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16FDAE" w14:textId="7BAFF2A1" w:rsidR="000977CC" w:rsidRDefault="00F103E8" w:rsidP="003257C3">
      <w:pPr>
        <w:adjustRightInd w:val="0"/>
        <w:snapToGrid w:val="0"/>
        <w:spacing w:beforeLines="0" w:before="240" w:after="240"/>
        <w:ind w:firstLineChars="0" w:firstLine="0"/>
        <w:jc w:val="center"/>
        <w:rPr>
          <w:rFonts w:cs="Times New Roman"/>
          <w:b/>
          <w:bCs/>
          <w:color w:val="000000"/>
          <w:sz w:val="28"/>
          <w:szCs w:val="28"/>
          <w:shd w:val="clear" w:color="auto" w:fill="FFFFFF"/>
        </w:rPr>
      </w:pPr>
      <w:r w:rsidRPr="000977CC">
        <w:rPr>
          <w:rFonts w:cs="Times New Roman"/>
          <w:b/>
          <w:bCs/>
          <w:color w:val="000000"/>
          <w:sz w:val="28"/>
          <w:szCs w:val="28"/>
          <w:shd w:val="clear" w:color="auto" w:fill="FFFFFF"/>
        </w:rPr>
        <w:t>Initiations of Mesoscale Convective Systems in the Middle Reaches of the Yangtze River Basin Based on FY-4A Satellite Data: Statistical Characteristics and Environmental Conditions</w:t>
      </w:r>
    </w:p>
    <w:p w14:paraId="677E3E00" w14:textId="35AE6E7C" w:rsidR="00EB35C5" w:rsidRDefault="00F103E8" w:rsidP="00885FBE">
      <w:pPr>
        <w:adjustRightInd w:val="0"/>
        <w:snapToGrid w:val="0"/>
        <w:spacing w:beforeLines="0" w:before="240" w:after="240"/>
        <w:ind w:firstLineChars="0" w:firstLine="0"/>
        <w:jc w:val="center"/>
        <w:rPr>
          <w:rFonts w:eastAsiaTheme="minorEastAsia" w:cs="Times New Roman"/>
          <w:b/>
          <w:bCs/>
          <w:color w:val="000000"/>
          <w:szCs w:val="24"/>
          <w:shd w:val="clear" w:color="auto" w:fill="FFFFFF"/>
          <w:vertAlign w:val="superscript"/>
        </w:rPr>
      </w:pPr>
      <w:r w:rsidRPr="00D973C6">
        <w:rPr>
          <w:rFonts w:eastAsiaTheme="minorEastAsia" w:cs="Times New Roman" w:hint="eastAsia"/>
          <w:b/>
          <w:bCs/>
          <w:color w:val="000000"/>
          <w:szCs w:val="24"/>
          <w:shd w:val="clear" w:color="auto" w:fill="FFFFFF"/>
        </w:rPr>
        <w:t>Ya</w:t>
      </w:r>
      <w:r w:rsidR="00B81ADD">
        <w:rPr>
          <w:rFonts w:eastAsiaTheme="minorEastAsia" w:cs="Times New Roman"/>
          <w:b/>
          <w:bCs/>
          <w:color w:val="000000"/>
          <w:szCs w:val="24"/>
          <w:shd w:val="clear" w:color="auto" w:fill="FFFFFF"/>
        </w:rPr>
        <w:t>n</w:t>
      </w:r>
      <w:r w:rsidRPr="00D973C6">
        <w:rPr>
          <w:rFonts w:eastAsiaTheme="minorEastAsia" w:cs="Times New Roman"/>
          <w:b/>
          <w:bCs/>
          <w:color w:val="000000"/>
          <w:szCs w:val="24"/>
          <w:shd w:val="clear" w:color="auto" w:fill="FFFFFF"/>
        </w:rPr>
        <w:t>an Fu</w:t>
      </w:r>
      <w:r w:rsidRPr="00D973C6">
        <w:rPr>
          <w:rFonts w:eastAsiaTheme="minorEastAsia" w:cs="Times New Roman"/>
          <w:b/>
          <w:bCs/>
          <w:color w:val="000000"/>
          <w:szCs w:val="24"/>
          <w:shd w:val="clear" w:color="auto" w:fill="FFFFFF"/>
          <w:vertAlign w:val="superscript"/>
        </w:rPr>
        <w:t>1, 2</w:t>
      </w:r>
      <w:r w:rsidRPr="00D973C6">
        <w:rPr>
          <w:rFonts w:eastAsiaTheme="minorEastAsia" w:cs="Times New Roman"/>
          <w:b/>
          <w:bCs/>
          <w:color w:val="000000"/>
          <w:szCs w:val="24"/>
          <w:shd w:val="clear" w:color="auto" w:fill="FFFFFF"/>
        </w:rPr>
        <w:t>, Jian</w:t>
      </w:r>
      <w:r w:rsidR="00B81ADD">
        <w:rPr>
          <w:rFonts w:eastAsiaTheme="minorEastAsia" w:cs="Times New Roman"/>
          <w:b/>
          <w:bCs/>
          <w:color w:val="000000"/>
          <w:szCs w:val="24"/>
          <w:shd w:val="clear" w:color="auto" w:fill="FFFFFF"/>
        </w:rPr>
        <w:t>h</w:t>
      </w:r>
      <w:r w:rsidRPr="00D973C6">
        <w:rPr>
          <w:rFonts w:eastAsiaTheme="minorEastAsia" w:cs="Times New Roman"/>
          <w:b/>
          <w:bCs/>
          <w:color w:val="000000"/>
          <w:szCs w:val="24"/>
          <w:shd w:val="clear" w:color="auto" w:fill="FFFFFF"/>
        </w:rPr>
        <w:t>ua Sun</w:t>
      </w:r>
      <w:r w:rsidRPr="00D973C6">
        <w:rPr>
          <w:rFonts w:eastAsiaTheme="minorEastAsia" w:cs="Times New Roman"/>
          <w:b/>
          <w:bCs/>
          <w:color w:val="000000"/>
          <w:szCs w:val="24"/>
          <w:shd w:val="clear" w:color="auto" w:fill="FFFFFF"/>
          <w:vertAlign w:val="superscript"/>
        </w:rPr>
        <w:t>1, 2, 3</w:t>
      </w:r>
      <w:r w:rsidR="00872E7B">
        <w:rPr>
          <w:rFonts w:eastAsiaTheme="minorEastAsia" w:cs="Times New Roman"/>
          <w:b/>
          <w:bCs/>
          <w:color w:val="000000"/>
          <w:szCs w:val="24"/>
          <w:shd w:val="clear" w:color="auto" w:fill="FFFFFF"/>
        </w:rPr>
        <w:t>, S</w:t>
      </w:r>
      <w:r w:rsidR="00872E7B">
        <w:rPr>
          <w:rFonts w:eastAsiaTheme="minorEastAsia" w:cs="Times New Roman" w:hint="eastAsia"/>
          <w:b/>
          <w:bCs/>
          <w:color w:val="000000"/>
          <w:szCs w:val="24"/>
          <w:shd w:val="clear" w:color="auto" w:fill="FFFFFF"/>
        </w:rPr>
        <w:t>hen</w:t>
      </w:r>
      <w:r w:rsidR="00B81ADD">
        <w:rPr>
          <w:rFonts w:eastAsiaTheme="minorEastAsia" w:cs="Times New Roman"/>
          <w:b/>
          <w:bCs/>
          <w:color w:val="000000"/>
          <w:szCs w:val="24"/>
          <w:shd w:val="clear" w:color="auto" w:fill="FFFFFF"/>
        </w:rPr>
        <w:t>m</w:t>
      </w:r>
      <w:r w:rsidR="00872E7B">
        <w:rPr>
          <w:rFonts w:eastAsiaTheme="minorEastAsia" w:cs="Times New Roman"/>
          <w:b/>
          <w:bCs/>
          <w:color w:val="000000"/>
          <w:szCs w:val="24"/>
          <w:shd w:val="clear" w:color="auto" w:fill="FFFFFF"/>
        </w:rPr>
        <w:t>ing Fu</w:t>
      </w:r>
      <w:r w:rsidR="002E171D">
        <w:rPr>
          <w:rFonts w:eastAsiaTheme="minorEastAsia" w:cs="Times New Roman"/>
          <w:b/>
          <w:bCs/>
          <w:color w:val="000000"/>
          <w:szCs w:val="24"/>
          <w:shd w:val="clear" w:color="auto" w:fill="FFFFFF"/>
          <w:vertAlign w:val="superscript"/>
        </w:rPr>
        <w:t>4</w:t>
      </w:r>
      <w:r w:rsidR="001D5076">
        <w:rPr>
          <w:rFonts w:eastAsiaTheme="minorEastAsia" w:cs="Times New Roman"/>
          <w:b/>
          <w:bCs/>
          <w:color w:val="000000"/>
          <w:szCs w:val="24"/>
          <w:shd w:val="clear" w:color="auto" w:fill="FFFFFF"/>
        </w:rPr>
        <w:t>, Yuan</w:t>
      </w:r>
      <w:r w:rsidR="00B81ADD">
        <w:rPr>
          <w:rFonts w:eastAsiaTheme="minorEastAsia" w:cs="Times New Roman"/>
          <w:b/>
          <w:bCs/>
          <w:color w:val="000000"/>
          <w:szCs w:val="24"/>
          <w:shd w:val="clear" w:color="auto" w:fill="FFFFFF"/>
        </w:rPr>
        <w:t>c</w:t>
      </w:r>
      <w:r w:rsidR="001D5076">
        <w:rPr>
          <w:rFonts w:eastAsiaTheme="minorEastAsia" w:cs="Times New Roman"/>
          <w:b/>
          <w:bCs/>
          <w:color w:val="000000"/>
          <w:szCs w:val="24"/>
          <w:shd w:val="clear" w:color="auto" w:fill="FFFFFF"/>
        </w:rPr>
        <w:t>hun Zhang</w:t>
      </w:r>
      <w:r w:rsidR="001D5076" w:rsidRPr="00D973C6">
        <w:rPr>
          <w:rFonts w:eastAsiaTheme="minorEastAsia" w:cs="Times New Roman"/>
          <w:b/>
          <w:bCs/>
          <w:color w:val="000000"/>
          <w:szCs w:val="24"/>
          <w:shd w:val="clear" w:color="auto" w:fill="FFFFFF"/>
          <w:vertAlign w:val="superscript"/>
        </w:rPr>
        <w:t>1</w:t>
      </w:r>
      <w:r>
        <w:rPr>
          <w:rFonts w:eastAsiaTheme="minorEastAsia" w:cs="Times New Roman"/>
          <w:b/>
          <w:bCs/>
          <w:color w:val="000000"/>
          <w:szCs w:val="24"/>
          <w:shd w:val="clear" w:color="auto" w:fill="FFFFFF"/>
        </w:rPr>
        <w:t>,</w:t>
      </w:r>
    </w:p>
    <w:p w14:paraId="5187CE22" w14:textId="293B6AD5" w:rsidR="00D973C6" w:rsidRPr="00D973C6" w:rsidRDefault="00F103E8" w:rsidP="00885FBE">
      <w:pPr>
        <w:adjustRightInd w:val="0"/>
        <w:snapToGrid w:val="0"/>
        <w:spacing w:beforeLines="0" w:before="240" w:after="240"/>
        <w:ind w:firstLineChars="0" w:firstLine="0"/>
        <w:jc w:val="center"/>
        <w:rPr>
          <w:rFonts w:eastAsiaTheme="minorEastAsia" w:cs="Times New Roman"/>
          <w:b/>
          <w:bCs/>
          <w:color w:val="000000"/>
          <w:szCs w:val="24"/>
          <w:shd w:val="clear" w:color="auto" w:fill="FFFFFF"/>
        </w:rPr>
      </w:pPr>
      <w:r>
        <w:rPr>
          <w:rFonts w:eastAsiaTheme="minorEastAsia" w:cs="Times New Roman"/>
          <w:b/>
          <w:bCs/>
          <w:color w:val="000000"/>
          <w:szCs w:val="24"/>
          <w:shd w:val="clear" w:color="auto" w:fill="FFFFFF"/>
        </w:rPr>
        <w:t>Zheng Ma</w:t>
      </w:r>
      <w:r w:rsidRPr="00D973C6">
        <w:rPr>
          <w:rFonts w:eastAsiaTheme="minorEastAsia" w:cs="Times New Roman"/>
          <w:b/>
          <w:bCs/>
          <w:color w:val="000000"/>
          <w:szCs w:val="24"/>
          <w:shd w:val="clear" w:color="auto" w:fill="FFFFFF"/>
          <w:vertAlign w:val="superscript"/>
        </w:rPr>
        <w:t>1</w:t>
      </w:r>
    </w:p>
    <w:p w14:paraId="640ACFA3" w14:textId="77777777" w:rsidR="0044430E" w:rsidRPr="00D973C6" w:rsidRDefault="0044430E" w:rsidP="0044430E">
      <w:pPr>
        <w:tabs>
          <w:tab w:val="left" w:pos="1470"/>
        </w:tabs>
        <w:spacing w:beforeLines="0" w:before="120"/>
        <w:ind w:firstLineChars="0" w:firstLine="0"/>
        <w:jc w:val="left"/>
        <w:rPr>
          <w:rFonts w:eastAsia="等线" w:cs="Times New Roman"/>
          <w:szCs w:val="24"/>
        </w:rPr>
      </w:pPr>
      <w:r w:rsidRPr="00D973C6">
        <w:rPr>
          <w:rFonts w:cs="Times New Roman"/>
          <w:szCs w:val="24"/>
          <w:vertAlign w:val="superscript"/>
        </w:rPr>
        <w:t>1</w:t>
      </w:r>
      <w:r w:rsidRPr="00D973C6">
        <w:rPr>
          <w:rFonts w:cs="Times New Roman"/>
          <w:szCs w:val="24"/>
        </w:rPr>
        <w:t xml:space="preserve"> </w:t>
      </w:r>
      <w:r w:rsidRPr="00D973C6">
        <w:rPr>
          <w:rFonts w:eastAsia="等线" w:cs="Times New Roman"/>
          <w:szCs w:val="24"/>
        </w:rPr>
        <w:t>Key Laboratory of Cloud-Precipitation Physics and Severe Storms, Institute of Atmospheric Physics, Chinese Academy of Sciences, Beijing, China</w:t>
      </w:r>
    </w:p>
    <w:p w14:paraId="0DCC9555" w14:textId="77777777" w:rsidR="0044430E" w:rsidRPr="00D973C6" w:rsidRDefault="0044430E" w:rsidP="0044430E">
      <w:pPr>
        <w:tabs>
          <w:tab w:val="left" w:pos="1470"/>
        </w:tabs>
        <w:spacing w:beforeLines="0" w:before="120"/>
        <w:ind w:firstLineChars="0" w:firstLine="0"/>
        <w:jc w:val="left"/>
        <w:rPr>
          <w:rFonts w:eastAsia="等线" w:cs="Times New Roman"/>
          <w:szCs w:val="24"/>
        </w:rPr>
      </w:pPr>
      <w:r w:rsidRPr="00D973C6">
        <w:rPr>
          <w:rFonts w:eastAsia="等线" w:cs="Times New Roman"/>
          <w:szCs w:val="24"/>
          <w:vertAlign w:val="superscript"/>
        </w:rPr>
        <w:t>2</w:t>
      </w:r>
      <w:r w:rsidRPr="00D973C6">
        <w:rPr>
          <w:rFonts w:eastAsia="等线" w:cs="Times New Roman"/>
          <w:szCs w:val="24"/>
        </w:rPr>
        <w:t xml:space="preserve"> University of Chinese Academy of Sciences, Beijing, China</w:t>
      </w:r>
    </w:p>
    <w:p w14:paraId="7C898DAE" w14:textId="77777777" w:rsidR="0044430E" w:rsidRPr="00D973C6" w:rsidRDefault="0044430E" w:rsidP="0044430E">
      <w:pPr>
        <w:tabs>
          <w:tab w:val="left" w:pos="1470"/>
        </w:tabs>
        <w:spacing w:beforeLines="0" w:before="120"/>
        <w:ind w:firstLineChars="0" w:firstLine="0"/>
        <w:jc w:val="left"/>
        <w:rPr>
          <w:rFonts w:eastAsia="等线" w:cs="Times New Roman"/>
          <w:szCs w:val="24"/>
        </w:rPr>
      </w:pPr>
      <w:r w:rsidRPr="00D973C6">
        <w:rPr>
          <w:rFonts w:eastAsia="等线" w:cs="Times New Roman"/>
          <w:szCs w:val="24"/>
          <w:vertAlign w:val="superscript"/>
        </w:rPr>
        <w:t>3</w:t>
      </w:r>
      <w:r w:rsidRPr="00D973C6">
        <w:rPr>
          <w:rFonts w:eastAsia="宋体" w:cs="Times New Roman"/>
          <w:kern w:val="0"/>
          <w:szCs w:val="24"/>
        </w:rPr>
        <w:t xml:space="preserve"> </w:t>
      </w:r>
      <w:r w:rsidRPr="00D973C6">
        <w:rPr>
          <w:rFonts w:eastAsia="等线" w:cs="Times New Roman"/>
          <w:szCs w:val="24"/>
        </w:rPr>
        <w:t>Collaborative Innovation Center on Forecast and Evaluation of Meteorological Disasters, Nanjing University of Information Science and Technology, Nanjing, Jiangsu Province, China</w:t>
      </w:r>
    </w:p>
    <w:p w14:paraId="440D4811" w14:textId="77777777" w:rsidR="0044430E" w:rsidRPr="00F84803" w:rsidRDefault="0044430E" w:rsidP="0044430E">
      <w:pPr>
        <w:tabs>
          <w:tab w:val="left" w:pos="1470"/>
        </w:tabs>
        <w:spacing w:beforeLines="0" w:before="120"/>
        <w:ind w:firstLineChars="0" w:firstLine="0"/>
        <w:jc w:val="left"/>
        <w:rPr>
          <w:rFonts w:eastAsia="等线" w:cs="Times New Roman"/>
          <w:szCs w:val="24"/>
        </w:rPr>
      </w:pPr>
      <w:r>
        <w:rPr>
          <w:rFonts w:eastAsia="等线" w:cs="Times New Roman"/>
          <w:szCs w:val="24"/>
          <w:vertAlign w:val="superscript"/>
        </w:rPr>
        <w:t>4</w:t>
      </w:r>
      <w:r w:rsidRPr="00F84803">
        <w:rPr>
          <w:rFonts w:eastAsia="等线" w:cs="Times New Roman"/>
          <w:szCs w:val="24"/>
          <w:vertAlign w:val="superscript"/>
        </w:rPr>
        <w:t xml:space="preserve"> </w:t>
      </w:r>
      <w:r w:rsidRPr="00F84803">
        <w:rPr>
          <w:rFonts w:eastAsia="等线" w:cs="Times New Roman"/>
          <w:szCs w:val="24"/>
        </w:rPr>
        <w:t>International Center for Climate and Environment Sciences, Institute of Atmospheric Physics, Chinese Academy of Sciences, Beijing, China</w:t>
      </w:r>
    </w:p>
    <w:p w14:paraId="6C1FDE29" w14:textId="21271074" w:rsidR="005D30AE" w:rsidRDefault="0044430E" w:rsidP="00180468">
      <w:pPr>
        <w:pStyle w:val="ParagraphText"/>
        <w:spacing w:before="240" w:after="240"/>
        <w:ind w:firstLine="0"/>
        <w:rPr>
          <w:rStyle w:val="ab"/>
        </w:rPr>
      </w:pPr>
      <w:r w:rsidRPr="00D973C6">
        <w:t xml:space="preserve">Corresponding author: </w:t>
      </w:r>
      <w:r>
        <w:t>Dr. Jian-Hua Sun (</w:t>
      </w:r>
      <w:hyperlink r:id="rId8" w:history="1">
        <w:r w:rsidR="006F25F3" w:rsidRPr="00CE1605">
          <w:rPr>
            <w:rStyle w:val="ab"/>
          </w:rPr>
          <w:t>sjh@mail.iap.ac.cn</w:t>
        </w:r>
      </w:hyperlink>
      <w:r>
        <w:rPr>
          <w:rStyle w:val="ab"/>
        </w:rPr>
        <w:t>)</w:t>
      </w:r>
    </w:p>
    <w:p w14:paraId="2A9A6B5F" w14:textId="5040DCAF" w:rsidR="00D973C6" w:rsidRDefault="00F103E8" w:rsidP="003257C3">
      <w:pPr>
        <w:pStyle w:val="ParagraphText"/>
        <w:spacing w:before="240" w:after="120"/>
        <w:ind w:firstLine="0"/>
        <w:rPr>
          <w:rStyle w:val="ab"/>
          <w:rFonts w:eastAsiaTheme="minorEastAsia"/>
          <w:b/>
          <w:bCs/>
          <w:color w:val="auto"/>
          <w:u w:val="none"/>
          <w:lang w:eastAsia="zh-CN"/>
        </w:rPr>
      </w:pPr>
      <w:r w:rsidRPr="00D973C6">
        <w:rPr>
          <w:rStyle w:val="ab"/>
          <w:rFonts w:eastAsiaTheme="minorEastAsia"/>
          <w:b/>
          <w:bCs/>
          <w:color w:val="auto"/>
          <w:u w:val="none"/>
          <w:lang w:eastAsia="zh-CN"/>
        </w:rPr>
        <w:t>Key Points</w:t>
      </w:r>
    </w:p>
    <w:p w14:paraId="38B628AD" w14:textId="5F9C341E" w:rsidR="00E33D33" w:rsidRPr="00E33D33" w:rsidRDefault="00F103E8" w:rsidP="003257C3">
      <w:pPr>
        <w:pStyle w:val="ParagraphText"/>
        <w:numPr>
          <w:ilvl w:val="0"/>
          <w:numId w:val="5"/>
        </w:numPr>
        <w:ind w:left="0" w:firstLineChars="200" w:firstLine="480"/>
        <w:rPr>
          <w:rFonts w:eastAsiaTheme="minorEastAsia"/>
          <w:lang w:eastAsia="zh-CN"/>
        </w:rPr>
      </w:pPr>
      <w:r>
        <w:rPr>
          <w:rStyle w:val="ab"/>
          <w:rFonts w:eastAsiaTheme="minorEastAsia"/>
          <w:color w:val="auto"/>
          <w:u w:val="none"/>
          <w:lang w:eastAsia="zh-CN"/>
        </w:rPr>
        <w:t xml:space="preserve">The initiations of </w:t>
      </w:r>
      <w:r>
        <w:rPr>
          <w:szCs w:val="24"/>
        </w:rPr>
        <w:t xml:space="preserve">mesoscale convective systems are backward tracked through </w:t>
      </w:r>
      <w:r w:rsidR="00541FD6" w:rsidRPr="00541FD6">
        <w:rPr>
          <w:szCs w:val="24"/>
        </w:rPr>
        <w:t>a hybrid method of areal overlapping and optical flow</w:t>
      </w:r>
    </w:p>
    <w:p w14:paraId="48809125" w14:textId="62842B06" w:rsidR="00E33D33" w:rsidRPr="00E33D33" w:rsidRDefault="00F103E8" w:rsidP="003257C3">
      <w:pPr>
        <w:pStyle w:val="ParagraphText"/>
        <w:numPr>
          <w:ilvl w:val="0"/>
          <w:numId w:val="5"/>
        </w:numPr>
        <w:ind w:left="0" w:firstLineChars="200" w:firstLine="480"/>
        <w:rPr>
          <w:rFonts w:eastAsiaTheme="minorEastAsia"/>
          <w:lang w:eastAsia="zh-CN"/>
        </w:rPr>
      </w:pPr>
      <w:r>
        <w:rPr>
          <w:szCs w:val="24"/>
        </w:rPr>
        <w:t xml:space="preserve">Quasistationary and outward-moving mesoscale convective systems show </w:t>
      </w:r>
      <w:r w:rsidR="0001277A">
        <w:rPr>
          <w:szCs w:val="24"/>
        </w:rPr>
        <w:t xml:space="preserve">notably </w:t>
      </w:r>
      <w:r>
        <w:rPr>
          <w:szCs w:val="24"/>
        </w:rPr>
        <w:t>different characteristics and initiation mechanisms</w:t>
      </w:r>
    </w:p>
    <w:p w14:paraId="67F36647" w14:textId="477899A3" w:rsidR="00A413F5" w:rsidRPr="00903EAB" w:rsidRDefault="00F103E8" w:rsidP="003257C3">
      <w:pPr>
        <w:pStyle w:val="ParagraphText"/>
        <w:numPr>
          <w:ilvl w:val="0"/>
          <w:numId w:val="5"/>
        </w:numPr>
        <w:ind w:left="0" w:firstLineChars="200" w:firstLine="480"/>
        <w:rPr>
          <w:rFonts w:eastAsiaTheme="minorEastAsia"/>
          <w:lang w:eastAsia="zh-CN"/>
        </w:rPr>
      </w:pPr>
      <w:r>
        <w:rPr>
          <w:rStyle w:val="ab"/>
          <w:rFonts w:eastAsia="等线"/>
          <w:color w:val="auto"/>
          <w:u w:val="none"/>
          <w:lang w:eastAsia="zh-CN"/>
        </w:rPr>
        <w:t>A</w:t>
      </w:r>
      <w:r>
        <w:rPr>
          <w:rStyle w:val="ab"/>
          <w:rFonts w:eastAsiaTheme="minorEastAsia"/>
          <w:color w:val="auto"/>
          <w:u w:val="none"/>
          <w:lang w:eastAsia="zh-CN"/>
        </w:rPr>
        <w:t xml:space="preserve"> </w:t>
      </w:r>
      <w:r w:rsidR="00CE65C8">
        <w:rPr>
          <w:rStyle w:val="ab"/>
          <w:rFonts w:eastAsiaTheme="minorEastAsia" w:hint="eastAsia"/>
          <w:color w:val="auto"/>
          <w:u w:val="none"/>
          <w:lang w:eastAsia="zh-CN"/>
        </w:rPr>
        <w:t>s</w:t>
      </w:r>
      <w:r w:rsidR="00BC4835">
        <w:rPr>
          <w:rStyle w:val="ab"/>
          <w:rFonts w:eastAsiaTheme="minorEastAsia"/>
          <w:color w:val="auto"/>
          <w:u w:val="none"/>
          <w:lang w:eastAsia="zh-CN"/>
        </w:rPr>
        <w:t xml:space="preserve">ynoptic circulation pattern </w:t>
      </w:r>
      <w:r w:rsidR="00D66DCC">
        <w:rPr>
          <w:szCs w:val="24"/>
        </w:rPr>
        <w:t xml:space="preserve">associated </w:t>
      </w:r>
      <w:r w:rsidR="00BC4835">
        <w:rPr>
          <w:szCs w:val="24"/>
        </w:rPr>
        <w:t xml:space="preserve">with the </w:t>
      </w:r>
      <w:r w:rsidR="007C4162">
        <w:rPr>
          <w:szCs w:val="24"/>
        </w:rPr>
        <w:t>M</w:t>
      </w:r>
      <w:r w:rsidR="00BC4835">
        <w:rPr>
          <w:szCs w:val="24"/>
        </w:rPr>
        <w:t xml:space="preserve">ei-yu front is most favorable for the </w:t>
      </w:r>
      <w:r>
        <w:rPr>
          <w:szCs w:val="24"/>
        </w:rPr>
        <w:t>initiation</w:t>
      </w:r>
      <w:r w:rsidR="00BC4835">
        <w:rPr>
          <w:szCs w:val="24"/>
        </w:rPr>
        <w:t xml:space="preserve"> of mesoscale convective systems</w:t>
      </w:r>
    </w:p>
    <w:p w14:paraId="0E11FA3D" w14:textId="77777777" w:rsidR="009076A1" w:rsidRDefault="00F103E8">
      <w:pPr>
        <w:widowControl/>
        <w:spacing w:beforeLines="0" w:before="0" w:line="240" w:lineRule="auto"/>
        <w:ind w:firstLineChars="0" w:firstLine="0"/>
        <w:jc w:val="left"/>
        <w:rPr>
          <w:rFonts w:eastAsia="黑体"/>
          <w:b/>
          <w:bCs/>
        </w:rPr>
      </w:pPr>
      <w:r>
        <w:rPr>
          <w:rFonts w:eastAsia="黑体"/>
          <w:b/>
          <w:bCs/>
        </w:rPr>
        <w:br w:type="page"/>
      </w:r>
    </w:p>
    <w:p w14:paraId="32ED9AC5" w14:textId="5B881171" w:rsidR="00A7754E" w:rsidRPr="00A7754E" w:rsidRDefault="00F103E8" w:rsidP="00A322EA">
      <w:pPr>
        <w:pStyle w:val="ae"/>
        <w:rPr>
          <w:rFonts w:eastAsia="黑体"/>
        </w:rPr>
      </w:pPr>
      <w:r w:rsidRPr="00A7754E">
        <w:rPr>
          <w:rFonts w:eastAsia="黑体" w:hint="eastAsia"/>
        </w:rPr>
        <w:lastRenderedPageBreak/>
        <w:t>Abstract</w:t>
      </w:r>
    </w:p>
    <w:p w14:paraId="69FB379D" w14:textId="096DCAEE" w:rsidR="00A413F5" w:rsidRPr="009D457B" w:rsidRDefault="00657BB0" w:rsidP="00E06EF3">
      <w:pPr>
        <w:adjustRightInd w:val="0"/>
        <w:snapToGrid w:val="0"/>
        <w:spacing w:beforeLines="0" w:before="0"/>
        <w:ind w:firstLineChars="0" w:firstLine="0"/>
        <w:rPr>
          <w:rFonts w:cs="Times New Roman"/>
          <w:szCs w:val="24"/>
        </w:rPr>
      </w:pPr>
      <w:r w:rsidRPr="009D457B">
        <w:rPr>
          <w:rFonts w:cs="Times New Roman"/>
          <w:szCs w:val="24"/>
        </w:rPr>
        <w:t xml:space="preserve">Based on the brightness temperature </w:t>
      </w:r>
      <w:r w:rsidR="00401226" w:rsidRPr="009D457B">
        <w:rPr>
          <w:rFonts w:cs="Times New Roman"/>
          <w:szCs w:val="24"/>
        </w:rPr>
        <w:t xml:space="preserve">observed by </w:t>
      </w:r>
      <w:r w:rsidRPr="009D457B">
        <w:rPr>
          <w:rFonts w:cs="Times New Roman"/>
          <w:szCs w:val="24"/>
        </w:rPr>
        <w:t xml:space="preserve">the Fengyun-4A satellite, </w:t>
      </w:r>
      <w:r w:rsidR="0001277A" w:rsidRPr="009D457B">
        <w:rPr>
          <w:rFonts w:cs="Times New Roman"/>
          <w:szCs w:val="24"/>
        </w:rPr>
        <w:t xml:space="preserve">around </w:t>
      </w:r>
      <w:r w:rsidRPr="009D457B">
        <w:rPr>
          <w:rFonts w:cs="Times New Roman"/>
          <w:szCs w:val="24"/>
        </w:rPr>
        <w:t>eight hundred mesoscale convective systems (MCSs) are identified in the middle reaches of the Yangtze River Basin during the warm seasons (April–September) of 2018–2021, which are categorized into the quasistationary (QS) type and the outward-moving (OM</w:t>
      </w:r>
      <w:r w:rsidR="0001277A" w:rsidRPr="009D457B">
        <w:rPr>
          <w:rFonts w:cs="Times New Roman"/>
          <w:szCs w:val="24"/>
        </w:rPr>
        <w:t>; i.e., vacating the source region</w:t>
      </w:r>
      <w:r w:rsidRPr="009D457B">
        <w:rPr>
          <w:rFonts w:cs="Times New Roman"/>
          <w:szCs w:val="24"/>
        </w:rPr>
        <w:t xml:space="preserve">) type. Afterward, the initiations of the MCSs are backward tracked using </w:t>
      </w:r>
      <w:r w:rsidR="0001277A" w:rsidRPr="009D457B">
        <w:rPr>
          <w:rFonts w:cs="Times New Roman"/>
          <w:szCs w:val="24"/>
        </w:rPr>
        <w:t xml:space="preserve">a hybrid method </w:t>
      </w:r>
      <w:r w:rsidR="00541FD6" w:rsidRPr="009D457B">
        <w:rPr>
          <w:rFonts w:cs="Times New Roman"/>
          <w:szCs w:val="24"/>
        </w:rPr>
        <w:t xml:space="preserve">of </w:t>
      </w:r>
      <w:r w:rsidRPr="009D457B">
        <w:rPr>
          <w:rFonts w:cs="Times New Roman"/>
          <w:szCs w:val="24"/>
        </w:rPr>
        <w:t xml:space="preserve">areal overlapping and optical flow. </w:t>
      </w:r>
      <w:r w:rsidR="00F103E8" w:rsidRPr="009D457B">
        <w:rPr>
          <w:rFonts w:cs="Times New Roman"/>
          <w:szCs w:val="24"/>
        </w:rPr>
        <w:t>Then</w:t>
      </w:r>
      <w:r w:rsidRPr="009D457B">
        <w:rPr>
          <w:rFonts w:cs="Times New Roman"/>
          <w:szCs w:val="24"/>
        </w:rPr>
        <w:t xml:space="preserve">, the main features of QS and OM MCSs and their </w:t>
      </w:r>
      <w:r w:rsidR="00541FD6" w:rsidRPr="009D457B">
        <w:rPr>
          <w:rFonts w:cs="Times New Roman"/>
          <w:szCs w:val="24"/>
        </w:rPr>
        <w:t xml:space="preserve">respective </w:t>
      </w:r>
      <w:r w:rsidRPr="009D457B">
        <w:rPr>
          <w:rFonts w:cs="Times New Roman"/>
          <w:szCs w:val="24"/>
        </w:rPr>
        <w:t>synoptic circulations</w:t>
      </w:r>
      <w:r w:rsidR="00F103E8" w:rsidRPr="009D457B">
        <w:rPr>
          <w:rFonts w:cs="Times New Roman"/>
          <w:szCs w:val="24"/>
        </w:rPr>
        <w:t xml:space="preserve"> and</w:t>
      </w:r>
      <w:r w:rsidRPr="009D457B">
        <w:rPr>
          <w:rFonts w:cs="Times New Roman"/>
          <w:szCs w:val="24"/>
        </w:rPr>
        <w:t xml:space="preserve"> environmental parameters are analyzed. The QS MCSs primarily occur in July and August and are mainly initiated in the afternoon. The OM MCSs mostly occur in June and July with two initiation peaks </w:t>
      </w:r>
      <w:r w:rsidR="00541FD6" w:rsidRPr="009D457B">
        <w:rPr>
          <w:rFonts w:cs="Times New Roman"/>
          <w:szCs w:val="24"/>
        </w:rPr>
        <w:t xml:space="preserve">appeared </w:t>
      </w:r>
      <w:r w:rsidR="00F103E8" w:rsidRPr="009D457B">
        <w:rPr>
          <w:rFonts w:cs="Times New Roman"/>
          <w:szCs w:val="24"/>
        </w:rPr>
        <w:t xml:space="preserve">at </w:t>
      </w:r>
      <w:r w:rsidRPr="009D457B">
        <w:rPr>
          <w:rFonts w:cs="Times New Roman"/>
          <w:szCs w:val="24"/>
        </w:rPr>
        <w:t>noon and late night, respectively. The QS</w:t>
      </w:r>
      <w:r w:rsidR="00532B12" w:rsidRPr="009D457B">
        <w:rPr>
          <w:rFonts w:cs="Times New Roman"/>
          <w:szCs w:val="24"/>
        </w:rPr>
        <w:t xml:space="preserve"> </w:t>
      </w:r>
      <w:r w:rsidRPr="009D457B">
        <w:rPr>
          <w:rFonts w:cs="Times New Roman"/>
          <w:szCs w:val="24"/>
        </w:rPr>
        <w:t>MCSs are mainly initiated in mountainous areas</w:t>
      </w:r>
      <w:r w:rsidR="002109E7" w:rsidRPr="009D457B">
        <w:rPr>
          <w:rFonts w:cs="Times New Roman"/>
          <w:szCs w:val="24"/>
        </w:rPr>
        <w:t>,</w:t>
      </w:r>
      <w:r w:rsidRPr="009D457B">
        <w:rPr>
          <w:rFonts w:cs="Times New Roman"/>
          <w:szCs w:val="24"/>
        </w:rPr>
        <w:t xml:space="preserve"> and </w:t>
      </w:r>
      <w:r w:rsidR="002109E7" w:rsidRPr="009D457B">
        <w:rPr>
          <w:rFonts w:cs="Times New Roman"/>
          <w:szCs w:val="24"/>
        </w:rPr>
        <w:t xml:space="preserve">they are primarily </w:t>
      </w:r>
      <w:r w:rsidRPr="009D457B">
        <w:rPr>
          <w:rFonts w:cs="Times New Roman"/>
          <w:szCs w:val="24"/>
        </w:rPr>
        <w:t>caused by local thermal effects</w:t>
      </w:r>
      <w:r w:rsidR="002109E7" w:rsidRPr="009D457B">
        <w:rPr>
          <w:rFonts w:cs="Times New Roman"/>
          <w:szCs w:val="24"/>
        </w:rPr>
        <w:t>. In contrast,</w:t>
      </w:r>
      <w:r w:rsidRPr="009D457B">
        <w:rPr>
          <w:rFonts w:cs="Times New Roman"/>
          <w:szCs w:val="24"/>
        </w:rPr>
        <w:t xml:space="preserve"> the OM MCSs are mainly initiated in plain areas </w:t>
      </w:r>
      <w:r w:rsidR="002109E7" w:rsidRPr="009D457B">
        <w:rPr>
          <w:rFonts w:cs="Times New Roman"/>
          <w:szCs w:val="24"/>
        </w:rPr>
        <w:t xml:space="preserve">under </w:t>
      </w:r>
      <w:r w:rsidRPr="009D457B">
        <w:rPr>
          <w:rFonts w:cs="Times New Roman"/>
          <w:szCs w:val="24"/>
        </w:rPr>
        <w:t xml:space="preserve">synoptic forcings. </w:t>
      </w:r>
      <w:r w:rsidR="009D457B" w:rsidRPr="009D457B">
        <w:rPr>
          <w:rFonts w:cs="Times New Roman"/>
          <w:szCs w:val="24"/>
        </w:rPr>
        <w:t xml:space="preserve">Circulations </w:t>
      </w:r>
      <w:r w:rsidR="009D457B">
        <w:rPr>
          <w:rFonts w:cs="Times New Roman"/>
          <w:szCs w:val="24"/>
        </w:rPr>
        <w:t>of a</w:t>
      </w:r>
      <w:r w:rsidR="00401226" w:rsidRPr="009D457B">
        <w:rPr>
          <w:rFonts w:cs="Times New Roman"/>
          <w:szCs w:val="24"/>
        </w:rPr>
        <w:t xml:space="preserve"> total of 285</w:t>
      </w:r>
      <w:r w:rsidR="00600B63" w:rsidRPr="009D457B">
        <w:rPr>
          <w:rFonts w:cs="Times New Roman"/>
          <w:szCs w:val="24"/>
        </w:rPr>
        <w:t xml:space="preserve"> </w:t>
      </w:r>
      <w:r w:rsidR="00401226" w:rsidRPr="009D457B">
        <w:rPr>
          <w:rFonts w:cs="Times New Roman"/>
          <w:szCs w:val="24"/>
        </w:rPr>
        <w:t xml:space="preserve">days (without direct influencings from tropical cyclones) </w:t>
      </w:r>
      <w:r w:rsidRPr="009D457B">
        <w:rPr>
          <w:rFonts w:cs="Times New Roman"/>
          <w:szCs w:val="24"/>
        </w:rPr>
        <w:t xml:space="preserve">are objectively classified into three patterns </w:t>
      </w:r>
      <w:r w:rsidR="00401226" w:rsidRPr="009D457B">
        <w:rPr>
          <w:rFonts w:cs="Times New Roman"/>
          <w:szCs w:val="24"/>
        </w:rPr>
        <w:t xml:space="preserve">by </w:t>
      </w:r>
      <w:r w:rsidRPr="009D457B">
        <w:rPr>
          <w:rFonts w:cs="Times New Roman"/>
          <w:szCs w:val="24"/>
        </w:rPr>
        <w:t xml:space="preserve">using the </w:t>
      </w:r>
      <w:r w:rsidR="002B17F5" w:rsidRPr="009D457B">
        <w:rPr>
          <w:rFonts w:cs="Times New Roman"/>
          <w:szCs w:val="24"/>
        </w:rPr>
        <w:t>k-means</w:t>
      </w:r>
      <w:r w:rsidR="00B3316A" w:rsidRPr="009D457B">
        <w:rPr>
          <w:rFonts w:cs="Times New Roman"/>
          <w:szCs w:val="24"/>
        </w:rPr>
        <w:t xml:space="preserve"> algorithm. </w:t>
      </w:r>
      <w:r w:rsidR="00960907" w:rsidRPr="009D457B">
        <w:rPr>
          <w:rFonts w:cs="Times New Roman"/>
          <w:szCs w:val="24"/>
        </w:rPr>
        <w:t>Pattern-</w:t>
      </w:r>
      <w:r w:rsidR="000B6FD8" w:rsidRPr="009D457B">
        <w:rPr>
          <w:rFonts w:cs="Times New Roman"/>
          <w:szCs w:val="24"/>
        </w:rPr>
        <w:t>I</w:t>
      </w:r>
      <w:r w:rsidR="00E06EF3" w:rsidRPr="009D457B">
        <w:rPr>
          <w:rFonts w:cs="Times New Roman"/>
          <w:szCs w:val="24"/>
        </w:rPr>
        <w:t xml:space="preserve"> </w:t>
      </w:r>
      <w:r w:rsidR="007547E9" w:rsidRPr="009D457B">
        <w:rPr>
          <w:rFonts w:cs="Times New Roman"/>
          <w:szCs w:val="24"/>
        </w:rPr>
        <w:t xml:space="preserve">(128 days) </w:t>
      </w:r>
      <w:r w:rsidR="00E06EF3" w:rsidRPr="009D457B">
        <w:rPr>
          <w:rFonts w:cs="Times New Roman"/>
          <w:szCs w:val="24"/>
        </w:rPr>
        <w:t>which is closely related to low-level jets, shows the most similar features to</w:t>
      </w:r>
      <w:r w:rsidR="000B6FD8" w:rsidRPr="009D457B">
        <w:rPr>
          <w:rFonts w:cs="Times New Roman"/>
          <w:szCs w:val="24"/>
        </w:rPr>
        <w:t xml:space="preserve"> </w:t>
      </w:r>
      <w:r w:rsidR="00E06EF3" w:rsidRPr="009D457B">
        <w:rPr>
          <w:rFonts w:cs="Times New Roman"/>
          <w:szCs w:val="24"/>
        </w:rPr>
        <w:t xml:space="preserve">those of </w:t>
      </w:r>
      <w:r w:rsidR="000B6FD8" w:rsidRPr="009D457B">
        <w:rPr>
          <w:rFonts w:cs="Times New Roman"/>
          <w:szCs w:val="24"/>
        </w:rPr>
        <w:t>typical</w:t>
      </w:r>
      <w:r w:rsidR="00E06EF3" w:rsidRPr="009D457B">
        <w:rPr>
          <w:rFonts w:cs="Times New Roman"/>
          <w:szCs w:val="24"/>
        </w:rPr>
        <w:t xml:space="preserve"> </w:t>
      </w:r>
      <w:r w:rsidR="006107B6" w:rsidRPr="009D457B">
        <w:rPr>
          <w:rFonts w:cs="Times New Roman"/>
          <w:szCs w:val="24"/>
        </w:rPr>
        <w:t>M</w:t>
      </w:r>
      <w:r w:rsidR="000B6FD8" w:rsidRPr="009D457B">
        <w:rPr>
          <w:rFonts w:cs="Times New Roman"/>
          <w:szCs w:val="24"/>
        </w:rPr>
        <w:t>ei-yu fronts</w:t>
      </w:r>
      <w:r w:rsidR="00E06EF3" w:rsidRPr="009D457B">
        <w:rPr>
          <w:rFonts w:cs="Times New Roman"/>
          <w:szCs w:val="24"/>
        </w:rPr>
        <w:t xml:space="preserve">, and it acts as </w:t>
      </w:r>
      <w:r w:rsidR="000B6FD8" w:rsidRPr="009D457B">
        <w:rPr>
          <w:rFonts w:cs="Times New Roman"/>
          <w:szCs w:val="24"/>
        </w:rPr>
        <w:t xml:space="preserve">the most favorable </w:t>
      </w:r>
      <w:r w:rsidR="00E06EF3" w:rsidRPr="009D457B">
        <w:rPr>
          <w:rFonts w:cs="Times New Roman"/>
          <w:szCs w:val="24"/>
        </w:rPr>
        <w:t xml:space="preserve">circulation type </w:t>
      </w:r>
      <w:r w:rsidR="000B6FD8" w:rsidRPr="009D457B">
        <w:rPr>
          <w:rFonts w:cs="Times New Roman"/>
          <w:szCs w:val="24"/>
        </w:rPr>
        <w:t>for MCS</w:t>
      </w:r>
      <w:r w:rsidR="00E06EF3" w:rsidRPr="009D457B">
        <w:rPr>
          <w:rFonts w:cs="Times New Roman"/>
          <w:szCs w:val="24"/>
        </w:rPr>
        <w:t>s’</w:t>
      </w:r>
      <w:r w:rsidR="000B6FD8" w:rsidRPr="009D457B">
        <w:rPr>
          <w:rFonts w:cs="Times New Roman"/>
          <w:szCs w:val="24"/>
        </w:rPr>
        <w:t xml:space="preserve"> initiations. </w:t>
      </w:r>
      <w:r w:rsidR="00960907" w:rsidRPr="009D457B">
        <w:rPr>
          <w:rFonts w:cs="Times New Roman"/>
          <w:szCs w:val="24"/>
        </w:rPr>
        <w:t>Pattern-</w:t>
      </w:r>
      <w:r w:rsidR="000B6FD8" w:rsidRPr="009D457B">
        <w:rPr>
          <w:rFonts w:cs="Times New Roman"/>
          <w:szCs w:val="24"/>
        </w:rPr>
        <w:t xml:space="preserve">II </w:t>
      </w:r>
      <w:r w:rsidR="007547E9" w:rsidRPr="009D457B">
        <w:rPr>
          <w:rFonts w:cs="Times New Roman"/>
          <w:szCs w:val="24"/>
        </w:rPr>
        <w:t xml:space="preserve">(66 days) </w:t>
      </w:r>
      <w:r w:rsidR="000B6FD8" w:rsidRPr="009D457B">
        <w:rPr>
          <w:rFonts w:cs="Times New Roman"/>
          <w:szCs w:val="24"/>
        </w:rPr>
        <w:t xml:space="preserve">is dominated by </w:t>
      </w:r>
      <w:r w:rsidR="00F103E8" w:rsidRPr="009D457B">
        <w:rPr>
          <w:rFonts w:cs="Times New Roman"/>
          <w:szCs w:val="24"/>
        </w:rPr>
        <w:t>northwesterlies</w:t>
      </w:r>
      <w:r w:rsidR="00E06EF3" w:rsidRPr="009D457B">
        <w:rPr>
          <w:rFonts w:cs="Times New Roman"/>
          <w:szCs w:val="24"/>
        </w:rPr>
        <w:t>,</w:t>
      </w:r>
      <w:r w:rsidR="00F103E8" w:rsidRPr="009D457B">
        <w:rPr>
          <w:rFonts w:cs="Times New Roman"/>
          <w:szCs w:val="24"/>
        </w:rPr>
        <w:t xml:space="preserve"> </w:t>
      </w:r>
      <w:r w:rsidR="000B6FD8" w:rsidRPr="009D457B">
        <w:rPr>
          <w:rFonts w:cs="Times New Roman"/>
          <w:szCs w:val="24"/>
        </w:rPr>
        <w:t xml:space="preserve">with a relatively stable layer in </w:t>
      </w:r>
      <w:r w:rsidR="00F103E8" w:rsidRPr="009D457B">
        <w:rPr>
          <w:rFonts w:cs="Times New Roman"/>
          <w:szCs w:val="24"/>
        </w:rPr>
        <w:t xml:space="preserve">the </w:t>
      </w:r>
      <w:r w:rsidR="000B6FD8" w:rsidRPr="009D457B">
        <w:rPr>
          <w:rFonts w:cs="Times New Roman"/>
          <w:szCs w:val="24"/>
        </w:rPr>
        <w:t>low-level troposphere</w:t>
      </w:r>
      <w:r w:rsidR="00E06EF3" w:rsidRPr="009D457B">
        <w:rPr>
          <w:rFonts w:cs="Times New Roman"/>
          <w:szCs w:val="24"/>
        </w:rPr>
        <w:t xml:space="preserve">. </w:t>
      </w:r>
      <w:r w:rsidR="0012559B" w:rsidRPr="009D457B">
        <w:rPr>
          <w:rFonts w:cs="Times New Roman"/>
          <w:szCs w:val="24"/>
        </w:rPr>
        <w:t>P</w:t>
      </w:r>
      <w:r w:rsidR="00E06EF3" w:rsidRPr="009D457B">
        <w:rPr>
          <w:rFonts w:cs="Times New Roman"/>
          <w:szCs w:val="24"/>
        </w:rPr>
        <w:t xml:space="preserve">attern-III </w:t>
      </w:r>
      <w:r w:rsidR="007547E9" w:rsidRPr="009D457B">
        <w:rPr>
          <w:rFonts w:cs="Times New Roman"/>
          <w:szCs w:val="24"/>
        </w:rPr>
        <w:t>(91 days)</w:t>
      </w:r>
      <w:r w:rsidR="00122F41" w:rsidRPr="009D457B">
        <w:rPr>
          <w:rFonts w:cs="Times New Roman"/>
          <w:szCs w:val="24"/>
        </w:rPr>
        <w:t xml:space="preserve"> </w:t>
      </w:r>
      <w:r w:rsidR="00E06EF3" w:rsidRPr="009D457B">
        <w:rPr>
          <w:rFonts w:cs="Times New Roman"/>
          <w:szCs w:val="24"/>
        </w:rPr>
        <w:t>features a dry-adiabatic or even a superadiabatic layer that contributes to lowering the layer stability.</w:t>
      </w:r>
    </w:p>
    <w:p w14:paraId="175568A6" w14:textId="1DC551D9" w:rsidR="00C81CC3" w:rsidRPr="00031361" w:rsidRDefault="00F103E8" w:rsidP="00A322EA">
      <w:pPr>
        <w:pStyle w:val="ae"/>
        <w:rPr>
          <w:rFonts w:eastAsia="黑体"/>
        </w:rPr>
      </w:pPr>
      <w:r w:rsidRPr="00A7754E">
        <w:rPr>
          <w:rFonts w:eastAsia="黑体" w:hint="eastAsia"/>
        </w:rPr>
        <w:t>Plain</w:t>
      </w:r>
      <w:r w:rsidRPr="00A7754E">
        <w:rPr>
          <w:rFonts w:eastAsia="黑体"/>
        </w:rPr>
        <w:t xml:space="preserve"> L</w:t>
      </w:r>
      <w:r w:rsidRPr="00A7754E">
        <w:rPr>
          <w:rFonts w:eastAsia="黑体" w:hint="eastAsia"/>
        </w:rPr>
        <w:t>anguage</w:t>
      </w:r>
      <w:r w:rsidRPr="00A7754E">
        <w:rPr>
          <w:rFonts w:eastAsia="黑体"/>
        </w:rPr>
        <w:t xml:space="preserve"> S</w:t>
      </w:r>
      <w:r w:rsidRPr="00A7754E">
        <w:rPr>
          <w:rFonts w:eastAsia="黑体" w:hint="eastAsia"/>
        </w:rPr>
        <w:t>ummary</w:t>
      </w:r>
    </w:p>
    <w:p w14:paraId="472377B7" w14:textId="05AD8AC1" w:rsidR="00C81CC3" w:rsidRDefault="00F103E8" w:rsidP="00A7754E">
      <w:pPr>
        <w:adjustRightInd w:val="0"/>
        <w:snapToGrid w:val="0"/>
        <w:spacing w:beforeLines="0" w:before="0"/>
        <w:ind w:firstLineChars="0" w:firstLine="0"/>
        <w:rPr>
          <w:rFonts w:eastAsiaTheme="minorEastAsia" w:cs="Times New Roman"/>
          <w:szCs w:val="24"/>
        </w:rPr>
      </w:pPr>
      <w:r>
        <w:rPr>
          <w:rFonts w:eastAsiaTheme="minorEastAsia" w:cs="Times New Roman" w:hint="eastAsia"/>
          <w:szCs w:val="24"/>
        </w:rPr>
        <w:t>Meso</w:t>
      </w:r>
      <w:r w:rsidR="005F4305">
        <w:rPr>
          <w:rFonts w:eastAsiaTheme="minorEastAsia" w:cs="Times New Roman"/>
          <w:szCs w:val="24"/>
        </w:rPr>
        <w:t xml:space="preserve">scale convective systems (MCSs) often cause severe convective weather over the middle reaches of the Yangtze River Basin and pose a great threat to life and property in this region. This study identified and tracked MCSs using satellite data and </w:t>
      </w:r>
      <w:r w:rsidR="009B02EA">
        <w:rPr>
          <w:rFonts w:cs="Times New Roman"/>
          <w:szCs w:val="24"/>
        </w:rPr>
        <w:t>categorized them into the quasistationary (QS) type and the outward-moving (OM) type based on their mov</w:t>
      </w:r>
      <w:r w:rsidR="00B466C5">
        <w:rPr>
          <w:rFonts w:cs="Times New Roman"/>
          <w:szCs w:val="24"/>
        </w:rPr>
        <w:t>ement</w:t>
      </w:r>
      <w:r w:rsidR="009B02EA">
        <w:rPr>
          <w:rFonts w:cs="Times New Roman"/>
          <w:szCs w:val="24"/>
        </w:rPr>
        <w:t xml:space="preserve"> features. The QS type primarily occurs in July and August and is mainly initiated in the afternoon over mountai</w:t>
      </w:r>
      <w:r w:rsidR="00F03DE8">
        <w:rPr>
          <w:rFonts w:cs="Times New Roman"/>
          <w:szCs w:val="24"/>
        </w:rPr>
        <w:t>ns</w:t>
      </w:r>
      <w:r w:rsidR="009B02EA">
        <w:rPr>
          <w:rFonts w:cs="Times New Roman"/>
          <w:szCs w:val="24"/>
        </w:rPr>
        <w:t xml:space="preserve">, caused by local thermal effects. The OM type mostly occurs in June and July and is mainly initiated </w:t>
      </w:r>
      <w:r>
        <w:rPr>
          <w:rFonts w:cs="Times New Roman"/>
          <w:szCs w:val="24"/>
        </w:rPr>
        <w:t xml:space="preserve">at </w:t>
      </w:r>
      <w:r w:rsidR="009B02EA">
        <w:rPr>
          <w:rFonts w:cs="Times New Roman"/>
          <w:szCs w:val="24"/>
        </w:rPr>
        <w:t xml:space="preserve">noon and late night over </w:t>
      </w:r>
      <w:r w:rsidR="00B466C5">
        <w:rPr>
          <w:rFonts w:cs="Times New Roman"/>
          <w:szCs w:val="24"/>
        </w:rPr>
        <w:t xml:space="preserve">the </w:t>
      </w:r>
      <w:r w:rsidR="009B02EA">
        <w:rPr>
          <w:rFonts w:cs="Times New Roman"/>
          <w:szCs w:val="24"/>
        </w:rPr>
        <w:t>plains, which is related to large-scale circulation. Large-scale circulation regulate</w:t>
      </w:r>
      <w:r w:rsidR="00B466C5">
        <w:rPr>
          <w:rFonts w:cs="Times New Roman"/>
          <w:szCs w:val="24"/>
        </w:rPr>
        <w:t>s</w:t>
      </w:r>
      <w:r w:rsidR="009B02EA">
        <w:rPr>
          <w:rFonts w:cs="Times New Roman"/>
          <w:szCs w:val="24"/>
        </w:rPr>
        <w:t xml:space="preserve"> environmental conditions and further </w:t>
      </w:r>
      <w:r>
        <w:rPr>
          <w:rFonts w:cs="Times New Roman"/>
          <w:szCs w:val="24"/>
        </w:rPr>
        <w:t>affect</w:t>
      </w:r>
      <w:r w:rsidR="00B466C5">
        <w:rPr>
          <w:rFonts w:cs="Times New Roman"/>
          <w:szCs w:val="24"/>
        </w:rPr>
        <w:t>s</w:t>
      </w:r>
      <w:r w:rsidR="009B02EA">
        <w:rPr>
          <w:rFonts w:cs="Times New Roman"/>
          <w:szCs w:val="24"/>
        </w:rPr>
        <w:t xml:space="preserve"> the initiation of </w:t>
      </w:r>
      <w:r>
        <w:rPr>
          <w:rFonts w:cs="Times New Roman"/>
          <w:szCs w:val="24"/>
        </w:rPr>
        <w:t>MCSs</w:t>
      </w:r>
      <w:r w:rsidR="009B02EA">
        <w:rPr>
          <w:rFonts w:cs="Times New Roman"/>
          <w:szCs w:val="24"/>
        </w:rPr>
        <w:t xml:space="preserve">. Circulations over the middle reaches of the Yangtze River Basin are classified into three </w:t>
      </w:r>
      <w:r w:rsidR="009B02EA">
        <w:rPr>
          <w:rFonts w:cs="Times New Roman"/>
          <w:szCs w:val="24"/>
        </w:rPr>
        <w:lastRenderedPageBreak/>
        <w:t xml:space="preserve">patterns, each of which is dominated by a large-scale weather system. The circulation pattern dominated by the </w:t>
      </w:r>
      <w:r w:rsidR="00B466C5">
        <w:rPr>
          <w:rFonts w:cs="Times New Roman"/>
          <w:szCs w:val="24"/>
        </w:rPr>
        <w:t>M</w:t>
      </w:r>
      <w:r w:rsidR="009B02EA">
        <w:rPr>
          <w:rFonts w:cs="Times New Roman"/>
          <w:szCs w:val="24"/>
        </w:rPr>
        <w:t xml:space="preserve">ei-yu front is the most favorable for MCS initiation. The circulation pattern dominated by the northwesterly is favorable for the initiation of OM MCSs but not for QS MCSs. The circulation pattern dominated by the southerly </w:t>
      </w:r>
      <w:r w:rsidR="0016149D">
        <w:rPr>
          <w:rFonts w:cs="Times New Roman"/>
          <w:szCs w:val="24"/>
        </w:rPr>
        <w:t>produces</w:t>
      </w:r>
      <w:r w:rsidR="009B02EA">
        <w:rPr>
          <w:rFonts w:cs="Times New Roman"/>
          <w:szCs w:val="24"/>
        </w:rPr>
        <w:t xml:space="preserve"> </w:t>
      </w:r>
      <w:r>
        <w:rPr>
          <w:rFonts w:cs="Times New Roman"/>
          <w:szCs w:val="24"/>
        </w:rPr>
        <w:t xml:space="preserve">a </w:t>
      </w:r>
      <w:r w:rsidR="009B02EA">
        <w:rPr>
          <w:rFonts w:cs="Times New Roman"/>
          <w:szCs w:val="24"/>
        </w:rPr>
        <w:t>strong thermal effect and is favorable for the initiation of QS MCSs.</w:t>
      </w:r>
    </w:p>
    <w:p w14:paraId="5D685A06" w14:textId="78F1A95C" w:rsidR="00CD28B9" w:rsidRPr="00A7754E" w:rsidRDefault="00F103E8" w:rsidP="00A322EA">
      <w:pPr>
        <w:pStyle w:val="ae"/>
        <w:rPr>
          <w:rFonts w:eastAsia="黑体"/>
        </w:rPr>
      </w:pPr>
      <w:r w:rsidRPr="00A7754E">
        <w:rPr>
          <w:rFonts w:eastAsia="黑体"/>
        </w:rPr>
        <w:t>1 Introduction</w:t>
      </w:r>
    </w:p>
    <w:p w14:paraId="6EEBE450" w14:textId="115399C0" w:rsidR="00C8238B" w:rsidRPr="00E7031F" w:rsidRDefault="00F103E8" w:rsidP="00A7754E">
      <w:pPr>
        <w:pStyle w:val="ParagraphText"/>
      </w:pPr>
      <w:r w:rsidRPr="00E7031F">
        <w:t xml:space="preserve">Severe convective weather phenomena, such as heavy rainfall, hailstorms, wind gusts and </w:t>
      </w:r>
      <w:r>
        <w:t>tornadoes</w:t>
      </w:r>
      <w:r w:rsidRPr="00E7031F">
        <w:t xml:space="preserve">, are </w:t>
      </w:r>
      <w:r w:rsidR="00E46874">
        <w:rPr>
          <w:rFonts w:hint="eastAsia"/>
        </w:rPr>
        <w:t>mainly</w:t>
      </w:r>
      <w:r w:rsidR="00E86E75" w:rsidRPr="00E7031F">
        <w:t xml:space="preserve"> associated with mesoscale convective systems (MCSs) </w:t>
      </w:r>
      <w:r w:rsidR="00E86E75" w:rsidRPr="00E7031F">
        <w:fldChar w:fldCharType="begin"/>
      </w:r>
      <w:r w:rsidR="009B45C2">
        <w:instrText xml:space="preserve"> ADDIN ZOTERO_ITEM CSL_CITATION {"citationID":"ScFSQuyu","properties":{"formattedCitation":"(Houze, 2004; Maddox, 1980; L. Zheng et al., 2013)","plainCitation":"(Houze, 2004; Maddox, 1980; L. Zheng et al., 2013)","noteIndex":0},"citationItems":[{"id":487,"uris":["http://zotero.org/users/8730623/items/QQH747DF"],"itemData":{"id":487,"type":"article-journal","abstract":"A particular class of weather system, the Mesoscale Convective Complex (MCC), is identified, defined, and contrasted with other types of convective weather systems. It is found that MCC systems frequently occur over the central United States, grow to tremendous areal extent, and often persist for periods exceeding 12 h. In addition to widespread beneficial rains, a wide variety of severe convective weather phenomena attends these systems.","container-title":"Bulletin of the American Meteorological Society","DOI":"https://doi.org/10.1175/1520-0477(1980)061&lt;1374:MCC&gt;2.0.CO;2","issue":"11","language":"en","note":"number: 11","page":"1374-1400","source":"Zotero","title":"Mesoscale convective complexes","volume":"61","author":[{"family":"Maddox","given":"Robert A"}],"issued":{"date-parts":[["1980"]]}},"label":"page"},{"id":979,"uris":["http://zotero.org/users/8730623/items/4L4CAB3I"],"itemData":{"id":979,"type":"article-journal","container-title":"Reviews of Geophysics","DOI":"10.1029/2004RG000150","ISSN":"87551209","issue":"4","journalAbbreviation":"Rev. Geophys.","language":"en","note":"number: 4","source":"DOI.org (Crossref)","title":"Mesoscale convective systems: MESOSCALE CONVECTIVE SYSTEMS","title-short":"Mesoscale convective systems","URL":"http://doi.wiley.com/10.1029/2004RG000150","volume":"42","author":[{"family":"Houze","given":"Robert A."}],"accessed":{"date-parts":[["2022",3,28]]},"issued":{"date-parts":[["2004",12]]}},"label":"page"},{"id":4552,"uris":["http://zotero.org/users/8730623/items/SYCCYK6R"],"itemData":{"id":4552,"type":"article-journal","abstract":"Abstract Composite reflectivity Doppler radar data from June to September of 2007–2010 were used to classify mesoscale convective systems (MCSs) over central east China into seven morphologies. The morphologies included one nonlinear mode (NL) and six linear modes: convective lines with no stratiform precipitation (NS), trailing stratiform precipitation (TS), leading stratiform precipitation (LS), parallel stratiform precipitation (PS), bow echoes (BE), and embedded lines (EL). Nonlinear and linear systems composed 44.7% and 55.3% of total MCSs, respectively, but there was no primary linear mode. All MCS morphologies attained their peak occurrence in July, except BE systems, which peaked in June. On average, TS and PS modes had relatively longer lifespans than did other modes. Significant differences in MCS-produced severe weather existed between dry and moist environments. High winds and hail events were mainly observed in dry environments, and in contrast, short-term intense precipitation occurred more frequently in moist environments. BE systems generated the most severe weather on average, while most TS systems were attendant with short-term intense precipitation and high winds. EL and PS systems were most frequently associated with extreme short-time intense precipitation (</w:instrText>
      </w:r>
      <w:r w:rsidR="009B45C2">
        <w:rPr>
          <w:rFonts w:hint="eastAsia"/>
        </w:rPr>
        <w:instrText>≥</w:instrText>
      </w:r>
      <w:r w:rsidR="009B45C2">
        <w:instrText xml:space="preserve">50 mm h−1) as these systems preferentially developed in moist environments. BE systems generally occurred under strong low-level shear and intermediately moist conditions. LS systems were observed in weak low-level shear, whereas EL systems often developed in relatively stable conditions and weak low- to middle-level shear. The largest instability was present in the environment for NS systems. The environmental parameters for TS systems featured the largest differences between the dry and moist cases.","container-title":"Weather and Forecasting","DOI":"10.1175/WAF-D-12-00088.1","ISSN":"1520-0434, 0882-8156","issue":"5","language":"EN","note":"publisher: American Meteorological Society\nsection: Weather and Forecasting","page":"1081-1098","source":"journals.ametsoc.org","title":"Organizational Modes of Mesoscale Convective Systems over Central East China","volume":"28","author":[{"family":"Zheng","given":"Linlin"},{"family":"Sun","given":"Jianhua"},{"family":"Zhang","given":"Xiaoling"},{"family":"Liu","given":"Changhai"}],"issued":{"date-parts":[["2013",10,1]]}},"label":"page"}],"schema":"https://github.com/citation-style-language/schema/raw/master/csl-citation.json"} </w:instrText>
      </w:r>
      <w:r w:rsidR="00E86E75" w:rsidRPr="00E7031F">
        <w:fldChar w:fldCharType="separate"/>
      </w:r>
      <w:r w:rsidR="009B45C2" w:rsidRPr="009B45C2">
        <w:t>(Houze, 2004; Maddox, 1980; Zheng et al., 2013)</w:t>
      </w:r>
      <w:r w:rsidR="00E86E75" w:rsidRPr="00E7031F">
        <w:fldChar w:fldCharType="end"/>
      </w:r>
      <w:r w:rsidR="00E86E75" w:rsidRPr="00E7031F">
        <w:t xml:space="preserve">. The generalized concept of </w:t>
      </w:r>
      <w:r w:rsidR="00593CE5">
        <w:t xml:space="preserve">the </w:t>
      </w:r>
      <w:r w:rsidR="00E86E75" w:rsidRPr="00E7031F">
        <w:t xml:space="preserve">MCS usually covers a broad spectrum of temporal and spatial scales </w:t>
      </w:r>
      <w:r w:rsidR="00E86E75" w:rsidRPr="00E7031F">
        <w:fldChar w:fldCharType="begin"/>
      </w:r>
      <w:r w:rsidR="009B45C2">
        <w:instrText xml:space="preserve"> ADDIN ZOTERO_ITEM CSL_CITATION {"citationID":"J4vFbNxz","properties":{"formattedCitation":"(Xiangrong Yang et al., 2015)","plainCitation":"(Xiangrong Yang et al., 2015)","noteIndex":0},"citationItems":[{"id":182,"uris":["http://zotero.org/users/8730623/items/YAAUVNAJ"],"itemData":{"id":182,"type":"article-journal","abstract":"This study investigates mesoscale convective systems (MCSs) over China and its vicinity during the boreal warm season (May–August) from 2005 to 2012 based on data from the geostationary satellite Fengyun 2 (FY2) series. The authors classiﬁed and analyzed the quasi-circular and elongated MCSs on both large and small scales, including mesoscale convective complexes (MCCs), persistent elongated convective systems (PECSs), meso-b circular convective systems (MbCCSs), meso-b elongated convective system (MbECSs), and two additional types named small meso-b circular convective systems (SMbCCSs) and small meso-b elongated convective systems (SMbECSs). Results show that nearly 80% of the 8696 MCSs identiﬁed in this study fall into the elongated categories. Overall, MCSs occur mainly at three zonal bands with average latitudes around 208, 308, and 508N. The frequency of MCSs occurrences is maximized at the zonal band around 208N and decreases with increase in latitude. During the eight warm seasons, the period of peak systems occurrences is in July, followed decreasingly by June, August, and May. Meanwhile, from May to August three kinds of monthly variations are observed, which are clear northward migration, rapid increase, and persistent high frequency of MCS occurrences. Compared to MCSs in the United States, the four types of MCSs (MCCs, PECSs, MbCCSs, and MbECSs) are relatively smaller both in size and eccentricity but exhibit nearly equal life spans. Moreover, MCSs in both countries share similar positive correlations between their duration and maximum extent. Additionally, the diurnal cycles of MCSs in both countries are similar (local time) regarding the three stages of initiation, maturation, and termination.","container-title":"Journal of Climate","DOI":"10.1175/JCLI-D-14-00491.1","ISSN":"0894-8755, 1520-0442","issue":"12","language":"en","note":"number: 12","page":"4890-4907","source":"DOI.org (Crossref)","title":"Characteristics of Mesoscale Convective Systems over China and Its Vicinity Using Geostationary Satellite FY2","volume":"28","author":[{"family":"Yang","given":"Xiangrong"},{"family":"Fei","given":"Jianfang"},{"family":"Huang","given":"Xiaogang"},{"family":"Cheng","given":"Xiaoping"},{"family":"Carvalho","given":"Leila M. V."},{"family":"He","given":"Hongrang"}],"issued":{"date-parts":[["2015",6,15]]}}}],"schema":"https://github.com/citation-style-language/schema/raw/master/csl-citation.json"} </w:instrText>
      </w:r>
      <w:r w:rsidR="00E86E75" w:rsidRPr="00E7031F">
        <w:fldChar w:fldCharType="separate"/>
      </w:r>
      <w:r w:rsidR="009B45C2" w:rsidRPr="009B45C2">
        <w:t>(Yang et al., 2015)</w:t>
      </w:r>
      <w:r w:rsidR="00E86E75" w:rsidRPr="00E7031F">
        <w:fldChar w:fldCharType="end"/>
      </w:r>
      <w:r>
        <w:t>,</w:t>
      </w:r>
      <w:r w:rsidR="00E86E75" w:rsidRPr="00E7031F">
        <w:t xml:space="preserve"> and MCSs exhibit different forms if different techniques of detection and identification are employed. In conventional weather maps, MCSs are generally presented as mesoscale high/low pressures </w:t>
      </w:r>
      <w:r w:rsidR="00E86E75" w:rsidRPr="00E7031F">
        <w:fldChar w:fldCharType="begin"/>
      </w:r>
      <w:r w:rsidR="009B45C2">
        <w:instrText xml:space="preserve"> ADDIN ZOTERO_ITEM CSL_CITATION {"citationID":"x4YhxtUL","properties":{"formattedCitation":"(Zipser, 1977)","plainCitation":"(Zipser, 1977)","noteIndex":0},"citationItems":[{"id":1858,"uris":["http://zotero.org/users/8730623/items/NFENZCD2"],"itemData":{"id":1858,"type":"article-journal","abstract":"Abstract This paper describes the two different kinds of downdraft air frequently observed to the rear of some squall lines at low levels. The primary data source is measurements taken during aircraft penetrations of certain low-latitude squall lines; they are supplemented by satellite data, radar data, surface meteorological data, and soundings ahead of and behind the squall lines. A shallow layer of cool, near-saturated air occupies the lowest few hundred meters and is separated by a marked stable layer from a deep layer of highly unsaturated air. The lowest layer is hypothesized to be the product of convective-scale saturated downdrafts, and the drier air is shown to be the result of mesoscale unsaturated downdrafts as described by Zipser (1969). Over a warm ocean, there is a large latent and sensible heat flux from the surface into the lowest layer, which rapidly becomes a new mixed layer and incorporates the drier air from above by entrainment. Mesoscale sinking in the post-squall region is shown to slow the deepening of the shallow mixed layer. The surface dew point drops during squall passage, but is observed to recover more slowly than the temperature toward ambient values. Frequently, tile dew point reaches its absolute minimum value several hours after squall passage, clearly indicating that enhanced evaporation from the surface can be less than the moisture flux through the top of the mixed layer. An idealized model describing a class of squall lines is presented and discussed. The thermodynamic transformations that take place in each layer of air are identified hypothetically, and they can account for the observed properties of each airstream both before and after passage through the system. The proposed structure permits the coexistence of convective-scale saturated downdrafts and mesoscale unsaturated downdrafts, the former in the active convective clouds of the squall line, the latter farther to the rear.","container-title":"Monthly Weather Review","DOI":"10.1175/1520-0493(1977)105&lt;1568:MACDAD&gt;2.0.CO;2","ISSN":"1520-0493, 0027-0644","issue":"12","language":"EN","note":"number: 12\npublisher: American Meteorological Society\nsection: Monthly Weather Review","page":"1568-1589","source":"journals.ametsoc.org","title":"Mesoscale and Convective–Scale Downdrafts as Distinct Components of Squall-Line Structure","volume":"105","author":[{"family":"Zipser","given":"E. J."}],"issued":{"date-parts":[["1977",12,1]]}}}],"schema":"https://github.com/citation-style-language/schema/raw/master/csl-citation.json"} </w:instrText>
      </w:r>
      <w:r w:rsidR="00E86E75" w:rsidRPr="00E7031F">
        <w:fldChar w:fldCharType="separate"/>
      </w:r>
      <w:r w:rsidR="009B45C2" w:rsidRPr="009B45C2">
        <w:t>(Zipser, 1977)</w:t>
      </w:r>
      <w:r w:rsidR="00E86E75" w:rsidRPr="00E7031F">
        <w:fldChar w:fldCharType="end"/>
      </w:r>
      <w:r w:rsidR="00E86E75" w:rsidRPr="00E7031F">
        <w:t xml:space="preserve">. Based on precipitation observations, MCSs often appear as mesoscale rain clusters or belts </w:t>
      </w:r>
      <w:r w:rsidR="00E86E75" w:rsidRPr="00E7031F">
        <w:fldChar w:fldCharType="begin"/>
      </w:r>
      <w:r w:rsidR="009B45C2">
        <w:instrText xml:space="preserve"> ADDIN ZOTERO_ITEM CSL_CITATION {"citationID":"CNlPmwct","properties":{"formattedCitation":"(Shen et al., 2020)","plainCitation":"(Shen et al., 2020)","noteIndex":0},"citationItems":[{"id":1030,"uris":["http://zotero.org/users/8730623/items/U25LPQHX"],"itemData":{"id":1030,"type":"article-journal","abstract":"Using ensemble</w:instrText>
      </w:r>
      <w:r w:rsidR="009B45C2">
        <w:rPr>
          <w:rFonts w:hint="eastAsia"/>
        </w:rPr>
        <w:instrText>‐</w:instrText>
      </w:r>
      <w:r w:rsidR="009B45C2">
        <w:instrText>based sensitivity analysis, a heavy rainfall event over southern China was analyzed to investigate the key controlling factors of rainfall amount and relevant predictability. The heavy rainfall event was caused by three coexisting mesoscale convective systems (MCSs) over southwestern China (MCS</w:instrText>
      </w:r>
      <w:r w:rsidR="009B45C2">
        <w:rPr>
          <w:rFonts w:hint="eastAsia"/>
        </w:rPr>
        <w:instrText>‐</w:instrText>
      </w:r>
      <w:r w:rsidR="009B45C2">
        <w:instrText>A), the south coast of China (MCS</w:instrText>
      </w:r>
      <w:r w:rsidR="009B45C2">
        <w:rPr>
          <w:rFonts w:hint="eastAsia"/>
        </w:rPr>
        <w:instrText>‐</w:instrText>
      </w:r>
      <w:r w:rsidR="009B45C2">
        <w:instrText>B), and northern Taiwan (MCS</w:instrText>
      </w:r>
      <w:r w:rsidR="009B45C2">
        <w:rPr>
          <w:rFonts w:hint="eastAsia"/>
        </w:rPr>
        <w:instrText>‐</w:instrText>
      </w:r>
      <w:r w:rsidR="009B45C2">
        <w:instrText>C). The three MCSs exhibited differences and similarities with respect to their forecast accuracy and relevant key factors contributing to the rainfall centers, such as low</w:instrText>
      </w:r>
      <w:r w:rsidR="009B45C2">
        <w:rPr>
          <w:rFonts w:hint="eastAsia"/>
        </w:rPr>
        <w:instrText>‐</w:instrText>
      </w:r>
      <w:r w:rsidR="009B45C2">
        <w:instrText>level vortex/shear lines and low</w:instrText>
      </w:r>
      <w:r w:rsidR="009B45C2">
        <w:rPr>
          <w:rFonts w:hint="eastAsia"/>
        </w:rPr>
        <w:instrText>‐</w:instrText>
      </w:r>
      <w:r w:rsidR="009B45C2">
        <w:instrText>level jets. The strength and shape of the southwest vortex, a mesoscale vortex usually located over southwestern China with a horizontal scale of 200–600 km, exerted a signiﬁcant effect on MCS</w:instrText>
      </w:r>
      <w:r w:rsidR="009B45C2">
        <w:rPr>
          <w:rFonts w:hint="eastAsia"/>
        </w:rPr>
        <w:instrText>‐</w:instrText>
      </w:r>
      <w:r w:rsidR="009B45C2">
        <w:instrText>A and MCS</w:instrText>
      </w:r>
      <w:r w:rsidR="009B45C2">
        <w:rPr>
          <w:rFonts w:hint="eastAsia"/>
        </w:rPr>
        <w:instrText>‐</w:instrText>
      </w:r>
      <w:r w:rsidR="009B45C2">
        <w:instrText>B, whereas the stronger shear line near the east coast of China was accompanied by increased precipitation in MCS</w:instrText>
      </w:r>
      <w:r w:rsidR="009B45C2">
        <w:rPr>
          <w:rFonts w:hint="eastAsia"/>
        </w:rPr>
        <w:instrText>‐</w:instrText>
      </w:r>
      <w:r w:rsidR="009B45C2">
        <w:instrText>C. In addition, the low</w:instrText>
      </w:r>
      <w:r w:rsidR="009B45C2">
        <w:rPr>
          <w:rFonts w:hint="eastAsia"/>
        </w:rPr>
        <w:instrText>‐</w:instrText>
      </w:r>
      <w:r w:rsidR="009B45C2">
        <w:instrText>level jets (LLJs) and their associated moisture transports had a strong inﬂuence on the three MCSs according to the LLJ location, strength, height, and direction. A synoptic LLJ located to the southeast of the southwest vortex with a stronger meridional (zonal) wind component and an axis more to the north (south) was related to increased precipitation in the corresponding region of MCS</w:instrText>
      </w:r>
      <w:r w:rsidR="009B45C2">
        <w:rPr>
          <w:rFonts w:hint="eastAsia"/>
        </w:rPr>
        <w:instrText>‐</w:instrText>
      </w:r>
      <w:r w:rsidR="009B45C2">
        <w:instrText>A (MCS</w:instrText>
      </w:r>
      <w:r w:rsidR="009B45C2">
        <w:rPr>
          <w:rFonts w:hint="eastAsia"/>
        </w:rPr>
        <w:instrText>‐</w:instrText>
      </w:r>
      <w:r w:rsidR="009B45C2">
        <w:instrText>B). In addition to the synoptic LLJ, the rainfall of MCS</w:instrText>
      </w:r>
      <w:r w:rsidR="009B45C2">
        <w:rPr>
          <w:rFonts w:hint="eastAsia"/>
        </w:rPr>
        <w:instrText>‐</w:instrText>
      </w:r>
      <w:r w:rsidR="009B45C2">
        <w:instrText xml:space="preserve">B was also inﬂuenced by a boundary layer jet over the ocean. Uncertainties in the aforementioned key factors might further inﬂuence the predictability of the three MCSs and thus lead to the differences in their forecast accuracy.","container-title":"Journal of Geophysical Research: Atmospheres","DOI":"10.1029/2019JD031266","ISSN":"2169-897X, 2169-8996","issue":"2","journalAbbreviation":"J. Geophys. Res. Atmos.","language":"en","note":"number: 2","source":"DOI.org (Crossref)","title":"Ensemble Sensitivity Analysis of Heavy Rainfall Associated With Three MCSs Coexisting Over Southern China","URL":"https://onlinelibrary.wiley.com/doi/10.1029/2019JD031266","volume":"125","author":[{"family":"Shen","given":"Yian"},{"family":"Du","given":"Yu"},{"family":"Chen","given":"Guixing"}],"accessed":{"date-parts":[["2021",11,7]]},"issued":{"date-parts":[["2020",1,27]]}}}],"schema":"https://github.com/citation-style-language/schema/raw/master/csl-citation.json"} </w:instrText>
      </w:r>
      <w:r w:rsidR="00E86E75" w:rsidRPr="00E7031F">
        <w:fldChar w:fldCharType="separate"/>
      </w:r>
      <w:r w:rsidR="009B45C2" w:rsidRPr="009B45C2">
        <w:t>(Shen et al., 2020)</w:t>
      </w:r>
      <w:r w:rsidR="00E86E75" w:rsidRPr="00E7031F">
        <w:fldChar w:fldCharType="end"/>
      </w:r>
      <w:r w:rsidR="00E86E75" w:rsidRPr="00E7031F">
        <w:t xml:space="preserve">. However, MCSs usually appear as different radar reflectivity </w:t>
      </w:r>
      <w:r>
        <w:t xml:space="preserve">morphologies </w:t>
      </w:r>
      <w:r w:rsidR="00E86E75" w:rsidRPr="00E7031F">
        <w:fldChar w:fldCharType="begin"/>
      </w:r>
      <w:r w:rsidR="009B45C2">
        <w:instrText xml:space="preserve"> ADDIN ZOTERO_ITEM CSL_CITATION {"citationID":"WxcfRNg2","properties":{"formattedCitation":"(Ma et al., 2021a; Xinlin Yang &amp; Sun, 2018)","plainCitation":"(Ma et al., 2021a; Xinlin Yang &amp; Sun, 2018)","noteIndex":0},"citationItems":[{"id":1204,"uris":["http://zotero.org/users/8730623/items/JKMGGUAJ"],"itemData":{"id":1204,"type":"article-journal","abstract":"Severe weather reports and composite radar reflectivity data from 2010-14 over North China were used to analyze the distribution of severe convective wind (SCW) events and their organizational modes of radar reflectivity. The six organizational modes for SCW events (and their proportions) were cluster cells (35.4%), squall lines (18.4%), nonlinear-shaped systems (17.8%), broken lines (11.6%), individual cells (1.2%), and bow echoes (0.5%). The peak month for both squall lines and broken lines was June, whereas it was July for the other four modes. The highest numbers of SCW events were over the mountains, which were generally associated with disorganized systems of cluster cells. In contrast, SCW associated with linear systems occurred mainly over the plains, where stations recorded an average of less than one SCW event per year. Regions with a high frequency of SCW associated with nonlinear-shaped systems also experienced many SCW events associated with squall lines. Values of convective available potential energy, precipitable water, 0-3-km shear, and 0-6-km shear, were demonstrably larger over the plains than over the mountains, which had an evident effect on the organizational modes of SCW events. Therefore, topography may be an important factor in the organizational modes for SCW events over North China.","container-title":"ADVANCES IN ATMOSPHERIC SCIENCES","DOI":"10.1007/s00376-017-7114-2","ISSN":"0256-1530","issue":"5","language":"en","license":"http://creativecommons.org/licenses/by/3.0/","note":"number: 5\npublisher: ADVANCES IN ATMOSPHERIC SCIENCES","page":"540-549","source":"www.iapjournals.ac.cn","title":"Organizational Modes of Severe Wind-producing Convective Systems over North China","volume":"35","author":[{"family":"Yang","given":"Xinlin"},{"family":"Sun","given":"Jianhua"}],"issued":{"date-parts":[["2018",3,2]]}},"label":"page"},{"id":1488,"uris":["http://zotero.org/users/8730623/items/VZN2XXCC"],"itemData":{"id":1488,"type":"article-journal","abstract":"Abstract The present work established a 7-yr climatology of the initiation, decay, and morphology of severe convective storms (SCSs) during the warm seasons (May–September) of 2011–18 (except 2014) over North China. This was achieved by using severe weather reports, precipitation observations, and composite Doppler radar reflectivity data. A total of 371 SCSs were identified. SCSs primarily initiated around noon with the highest frequency over the high terrain of Mount Taihang, and they mostly decayed over the plains at night. The storm morphologies were classified into three types of cellular storms (individual cells, clusters of cells, and broken lines), six types of linear systems (convective lines with no stratiform, with trailing stratiform, leading stratiform, parallel stratiform, embedded lines, and bow echoes), and nonlinear systems. Three types of severe convective weather, namely, short-duration heavy rainfall, hail, and thunderstorm high winds, associated with these morphologies were investigated. A total of 1429 morphology samples from the 371 SCSs were found to be responsible for 15 966 severe convective weather reports. Nonlinear systems were the most frequent morphology, followed by clusters of cells. Convective lines with trailing stratiform were the most frequent linear morphology. Linear (nonlinear) systems produced the most short-duration heavy rainfall (hail and thunderstorm high wind) reports. Bow echoes were most efficient in producing both short-duration heavy rainfall and thunderstorm high wind reports whereas broken lines had the highest efficiency for hail production. The results in the present study are helpful for local forecasters to better anticipate the storm types and associated hazardous weather.","container-title":"Monthly Weather Review","DOI":"10.1175/MWR-D-20-0087.1","ISSN":"1520-0493, 0027-0644","issue":"8","language":"EN","note":"number: 8\npublisher: American Meteorological Society\nsection: Monthly Weather Review","page":"2599-2612","source":"journals.ametsoc.org","title":"A 7-Yr Climatology of the Initiation, Decay, and Morphology of Severe Convective Storms during the Warm Season over North China","volume":"149","author":[{"family":"Ma","given":"Ruoyun"},{"family":"Sun","given":"Jianhua"},{"family":"Yang","given":"Xinlin"}],"issued":{"date-parts":[["2021",8,1]]}},"label":"page"}],"schema":"https://github.com/citation-style-language/schema/raw/master/csl-citation.json"} </w:instrText>
      </w:r>
      <w:r w:rsidR="00E86E75" w:rsidRPr="00E7031F">
        <w:fldChar w:fldCharType="separate"/>
      </w:r>
      <w:r w:rsidR="009B45C2" w:rsidRPr="009B45C2">
        <w:t>(Gallus et al., 2008; Ma et al., 2021a; Yang &amp; Sun, 2018)</w:t>
      </w:r>
      <w:r w:rsidR="00E86E75" w:rsidRPr="00E7031F">
        <w:fldChar w:fldCharType="end"/>
      </w:r>
      <w:r w:rsidR="00C03B6B" w:rsidRPr="00E7031F">
        <w:t xml:space="preserve">. On satellite infrared images, MCSs often appear as cold-cloud shields (CCSs) with a certain temporal and spatial scale </w:t>
      </w:r>
      <w:r w:rsidR="00E86E75" w:rsidRPr="00E7031F">
        <w:fldChar w:fldCharType="begin"/>
      </w:r>
      <w:r w:rsidR="009B45C2">
        <w:instrText xml:space="preserve"> ADDIN ZOTERO_ITEM CSL_CITATION {"citationID":"A7vFS2dV","properties":{"formattedCitation":"(Laing &amp; Michael Fritsch, 1997; Machado et al., 1998; Meng et al., 2020; Xiangrong Yang et al., 2015; Y. Zheng et al., 2008)","plainCitation":"(Laing &amp; Michael Fritsch, 1997; Machado et al., 1998; Meng et al., 2020; Xiangrong Yang et al., 2015; Y. Zheng et al., 2008)","noteIndex":0},"citationItems":[{"id":1840,"uris":["http://zotero.org/users/8730623/items/8KLQX7PD"],"itemData":{"id":1840,"type":"article-journal","abstract":"A global set of 714 mesoscale convective complexes is compiled and some of the common properties of the convective systems are identified and examined from a global perspective. the data set includes date of occurrence, time of first storms, initiation, maximum extent, termination, duration, cold-cloud shield areas, and tracks from initiation to termination. It is found that the typical convective complex is nocturnal, generates a cold-cloud shield area of approximately 350 000 km2, and persists for about 10 h. the largest systems and most persistent systems tend to occur near the summer solstices. For the globe, about 400 systems occur each year, primarily over land areas. Most systems develop in favoured zones, although some activity occurs over every continent (except Antarctica) and all major oceans. the concentration of activity into favoured zones indicates that there must be special dynamic and/or thermodynamic conditions necessary for convection to organize into convective complexes. Activity is strongly tied to the solar day, and shifts from 35°S in early January to about 50°N during the boreal summer and back to 35°S by December. Within the northern hemisphere there is a pronounced poleward migration as the jet stream shifts northward. Relatively little migration occurs in the ocean-dominated southern hemisphere where the subtropical jet remains quasi-stationary over the convective-complex regions. The nocturnal life cycles, copious rainfall, large cloud shields, and great frequency of mesoscale convective complexes suggest that they may be significant contributors to the global hydrologic cycle and earth-system energy budget.","container-title":"Quarterly Journal of the Royal Meteorological Society","DOI":"10.1002/qj.49712353807","ISSN":"1477-870X","issue":"538","language":"en","note":"number: 538\n_eprint: https://onlinelibrary.wiley.com/doi/pdf/10.1002/qj.49712353807","page":"389-405","source":"Wiley Online Library","title":"The global population of mesoscale convective complexes","volume":"123","author":[{"family":"Laing","given":"Arlene G."},{"family":"Michael Fritsch","given":"J."}],"issued":{"date-parts":[["1997"]]}},"label":"page"},{"id":602,"uris":["http://zotero.org/users/8730623/items/XLCCPJKT"],"itemData":{"id":602,"type":"article-journal","abstract":"Using GOES-7 ISCCP-B3 satellite data for 1987–88, the authors studied the evolution of the morphological and radiative properties of clouds over the life cycles of deep convective systems (CS) over the Americas at both tropical and middle latitudes. A deep convective cloud system is identiﬁed by adjacent satellite image pixels with infrared brightness temperatures, TIR Ͻ 245 K (Ϫ28ЊC), that at some time contain embedded convective clusters that are deﬁned by pixel values of TIR Ͻ 218 K (Ϫ55ЊC). The ﬁrst part of the analysis computes parameters for each convective system that describe the system areal size, number of convective clusters, fractional convective area, average and maximum size of the convective clusters, shape eccentricity and orientation, mean TIR, variance of TIR, TIR gradient, and the mean, variance, and gradient of collocated visible reﬂectances (when available). The second part of the analysis searches a 5Њ ϫ 5Њ region centered on each convective system, but in the subsequent image (3-h time separation), to locate possible candidates representing the same system at the later time. For each possible candidate, the method calculates the fraction of areal overlap with the target system and the implied speed and direction of propagation of the whole convective system and the largest convective cluster within the candidate system. The authors review previous studies of the sensitivity of CS statistics to the temperature thresholds used for identiﬁcation and quantify the effects on these statistics produced by different ways of tracking convective systems. Comparisons of the results from several tracking methods explains how they work and why most of the life cycle statistics are not sensitive to tracking method used. The authors conﬁrm that simple coincidence (as used in most previous studies) works as long as the time step between satellite images is smaller than the time required for signiﬁcant evolution of the CS: since smaller systems evolve more rapidly, getting accurate results for CS smaller than about 50–100 km probably requires time resolution better than 3 h. The whole dataset has been analyzed by a tropical meteorologist who choses the best candidate at each time step by comparing listings of all the calculated parameters and visually examining each satellite image pair. The whole dataset has also been analyzed by a simple automated procedure. Based on about 3200 cases examined by the meteorologist and about 4700 cases obtained by the completely automated method, the statistical behavior of convective systems over the Americas is described: their mean cloud properties as a function of system size and lifetime, the evolution of their cloud properties over their lifetimes, and their motions. The results demonstrate a direct correspondence between the size and lifetime of mesoscale convective systems and exhibit many common features of their growth, maturation, and decay. Some differences between CS over tropical land and tropical ocean are also apparent.","container-title":"Monthly Weather Review","DOI":"10.1175/1520-0493(1998)126&lt;1630:LCVOMC&gt;2.0.CO;2","ISSN":"0027-0644, 1520-0493","issue":"6","journalAbbreviation":"Mon. Wea. Rev.","language":"en","note":"number: 6","page":"1630-1654","source":"DOI.org (Crossref)","title":"Life Cycle Variations of Mesoscale Convective Systems over the Americas","volume":"126","author":[{"family":"Machado","given":"L. A. T."},{"family":"Rossow","given":"W. B."},{"family":"Guedes","given":"R. L."},{"family":"Walker","given":"A. W."}],"issued":{"date-parts":[["1998",6]]}},"label":"page"},{"id":910,"uris":["http://zotero.org/users/8730623/items/NW6ZEA5C"],"itemData":{"id":910,"type":"article-journal","abstract":"The climatological distribution of mesoscale convective systems (MCSs) over China and its vicinity during summer is statistically analyzed, based on the 10-year (1996-2006, 2004 excluded) June-August infrared TBB (Temperature of black body) dataset. Comparing the results obtained in this paper with the distribution of thunderstorms from surface meteorological stations over China and the distribution of lightning from low-orbit satellites over China and its vicinity in the previous studies, we find that the statistic characteristics of TBB less than -52 degrees C can better represent the spatiotemporal distribution of MCSs over China and its vicinity during summer. The spreading pattern of the MCSs over this region shows three transmeridional bands of active MCSs, with obvious fluctuation of active MCSs in the band near 30 degrees N. It can be explained by the atmospheric circulation that the three bands of active MCSs are associated with each other by the summer monsoon over East Asia. We focus on the diurnal variations of MCSs over different underlying surfaces, and the result shows that there are two types of MCSs over China and its vicinity during summer. One type of MCSs has only one active period all day long (single-peak MCSs), and the other has multiple active periods (multi-peak MCSs). Single-peak MCSs occur more often over plateaus or mountains, and multi-peak MCSs are more common over plains or basins. Depending on lifetimes and active periods, single-peak MCSs can be classified as Tibetan Plateau MCSs, general mountain MCSs, Ryukyu MCSs, and so on. The diurnal variation of multi-peak MCSs is very similar to that of MCCs (mesoscale convective complexes), and it reveals that multi-peak MCSs has longer life cycle and larger horizontal scale, becomes weaker after sunset, and develops again after midnight. Tibetan Plateau MCSs and general mountain MCSs both usually develop in the afternoon, but Tibetan Plateau MCSs have longer life cycle and more active M(alpha)CSs. Ryukyu MCSs generally develop after midnight, last longer time, and also have more active M,CS. The abundant moisture and favorable large-scale environment over Indian monsoon surge areas lead to active MCSs and M(alpha)CSs almost at any hour all day during summer. Due to local mountain-valley breeze circulation over the Sichuan Basin, MCSs are developed remarkably more often during the nighttime, and again there are also more active M(alpha)CSs. Because of local prominent sea-land breeze circulation over Guangxi and Guangdong, the MCSs over this region propagate from sea to land in the afternoon and from land to sea after midnight. The statistic characteristics of TBB less than -52 degrees C clearly display the different climatological characteristics of MCSs owing to the thermal difference among water, land and rough terrain. Not only the large-scale atmospheric circulation but also the local atmospheric circulation caused by the thermal difference among water, land and rough terrain, to a great extent, determines the climatological distribution of MCSs over China and its vicinity during summer.","archive_location":"WOS:000255985900016","container-title":"Chinese Science Bulletin","DOI":"10.1007/s11434-008-0116-9","issue":"10","note":"number: 10","page":"1574-1586","title":"Climatological distribution and diurnal variation of mesoscale convective systems over China and its vicinity during summer","volume":"53","author":[{"family":"Zheng","given":"YongGuang"},{"family":"Chen","given":"Jiong"},{"family":"Zhu","given":"PeiJun"}],"issued":{"date-parts":[["2008",5]]}},"label":"page"},{"id":182,"uris":["http://zotero.org/users/8730623/items/YAAUVNAJ"],"itemData":{"id":182,"type":"article-journal","abstract":"This study investigates mesoscale convective systems (MCSs) over China and its vicinity during the boreal warm season (May–August) from 2005 to 2012 based on data from the geostationary satellite Fengyun 2 (FY2) series. The authors classiﬁed and analyzed the quasi-circular and elongated MCSs on both large and small scales, including mesoscale convective complexes (MCCs), persistent elongated convective systems (PECSs), meso-b circular convective systems (MbCCSs), meso-b elongated convective system (MbECSs), and two additional types named small meso-b circular convective systems (SMbCCSs) and small meso-b elongated convective systems (SMbECSs). Results show that nearly 80% of the 8696 MCSs identiﬁed in this study fall into the elongated categories. Overall, MCSs occur mainly at three zonal bands with average latitudes around 208, 308, and 508N. The frequency of MCSs occurrences is maximized at the zonal band around 208N and decreases with increase in latitude. During the eight warm seasons, the period of peak systems occurrences is in July, followed decreasingly by June, August, and May. Meanwhile, from May to August three kinds of monthly variations are observed, which are clear northward migration, rapid increase, and persistent high frequency of MCS occurrences. Compared to MCSs in the United States, the four types of MCSs (MCCs, PECSs, MbCCSs, and MbECSs) are relatively smaller both in size and eccentricity but exhibit nearly equal life spans. Moreover, MCSs in both countries share similar positive correlations between their duration and maximum extent. Additionally, the diurnal cycles of MCSs in both countries are similar (local time) regarding the three stages of initiation, maturation, and termination.","container-title":"Journal of Climate","DOI":"10.1175/JCLI-D-14-00491.1","ISSN":"0894-8755, 1520-0442","issue":"12","language":"en","note":"number: 12","page":"4890-4907","source":"DOI.org (Crossref)","title":"Characteristics of Mesoscale Convective Systems over China and Its Vicinity Using Geostationary Satellite FY2","volume":"28","author":[{"family":"Yang","given":"Xiangrong"},{"family":"Fei","given":"Jianfang"},{"family":"Huang","given":"Xiaogang"},{"family":"Cheng","given":"Xiaoping"},{"family":"Carvalho","given":"Leila M. V."},{"family":"He","given":"Hongrang"}],"issued":{"date-parts":[["2015",6,15]]}},"label":"page"},{"id":1666,"uris":["http://zotero.org/users/8730623/items/GKFMSLGS"],"itemData":{"id":1666,"type":"article-journal","abstract":"Abstract Hourly blackbody temperature data from the warm seasons (May–September) of 2009–18 were used to detect mesoscale convective systems (MCSs) generated in the southwest mountain area (elevation </w:instrText>
      </w:r>
      <w:r w:rsidR="009B45C2">
        <w:rPr>
          <w:rFonts w:hint="eastAsia"/>
        </w:rPr>
        <w:instrText>≥</w:instrText>
      </w:r>
      <w:r w:rsidR="009B45C2">
        <w:instrText xml:space="preserve"> 500 m) of China. A total of 3059 MCSs were grouped into four categories (C1, C2, C3, and C4) according to their generation positions using K-means clustering. Major characteristics of the four types of MCSs and their synoptic environmental conditions were investigated. The MCSs had a peak in July and a minimum in May, and usually lasted from 3 to 21 h. The C1 MCSs generated in the northeast of the Tibetan Plateau developed faster, were largest, and had a longer lifespan. The C2 and C4 MCSs had greater intensity and were initiated in the southeast of the Tibetan Plateau and the west of the Yungui Plateau, and near the Wuling and Xuefeng Mountains, respectively. The C3 MCSs initiated in the Qinling, Ta-pa, and Wushan Mountains were smallest. The C1 and C2 MCSs contributed more than 30% to total precipitation, which was more than the C3 and C4 MCSs (&lt;25%), and the contribution rate of MCSs to short-duration heavy rainfall affected by local MCSs was over 60%. Composite synoptic circulations of the four types of MCSs showed several factors, including the locations and intensities of cyclones in the Bay of Bengal and high pressure in the Indochina Peninsula in the low-to-middle troposphere, and vortexes or southwesterly winds in the low-level troposphere, regulate the location and intensity of convection.","container-title":"Journal of Hydrometeorology","DOI":"10.1175/JHM-D-20-0167.1","ISSN":"1525-7541, 1525-755X","issue":"1","language":"EN","note":"number: 1\npublisher: American Meteorological Society\nsection: Journal of Hydrometeorology","page":"23-41","source":"journals.ametsoc.org","title":"A 10-Year Climatology of Mesoscale Convective Systems and Their Synoptic Circulations in the Southwest Mountain Area of China","volume":"22","author":[{"family":"Meng","given":"Yanan"},{"family":"Sun","given":"Jianhua"},{"family":"Zhang","given":"Yuanchun"},{"family":"Fu","given":"Shenming"}],"issued":{"date-parts":[["2020",12,22]]}},"label":"page"}],"schema":"https://github.com/citation-style-language/schema/raw/master/csl-citation.json"} </w:instrText>
      </w:r>
      <w:r w:rsidR="00E86E75" w:rsidRPr="00E7031F">
        <w:fldChar w:fldCharType="separate"/>
      </w:r>
      <w:r w:rsidR="009B45C2" w:rsidRPr="009B45C2">
        <w:t>(Laing &amp; Fritsch, 1997; Machado et al., 1998; Meng et al., 2021; Yang et al., 2015; Zheng et al., 2008)</w:t>
      </w:r>
      <w:r w:rsidR="00E86E75" w:rsidRPr="00E7031F">
        <w:fldChar w:fldCharType="end"/>
      </w:r>
      <w:r w:rsidR="00C03B6B" w:rsidRPr="00E7031F">
        <w:t>.</w:t>
      </w:r>
    </w:p>
    <w:p w14:paraId="5F2F3827" w14:textId="7009F7D4" w:rsidR="00463D75" w:rsidRPr="00E7031F" w:rsidRDefault="00F103E8" w:rsidP="00A7754E">
      <w:pPr>
        <w:pStyle w:val="ParagraphText"/>
      </w:pPr>
      <w:r w:rsidRPr="00E7031F">
        <w:t xml:space="preserve">Using the criteria of brightness temperature and cloud area, </w:t>
      </w:r>
      <w:r w:rsidR="00C52B4B" w:rsidRPr="00E7031F">
        <w:fldChar w:fldCharType="begin"/>
      </w:r>
      <w:r w:rsidR="00B43332" w:rsidRPr="00E7031F">
        <w:instrText xml:space="preserve"> ADDIN ZOTERO_ITEM CSL_CITATION {"citationID":"q2Z9LHud","properties":{"formattedCitation":"(Maddox 1980)","plainCitation":"(Maddox 1980)","dontUpdate":true,"noteIndex":0},"citationItems":[{"id":487,"uris":["http://zotero.org/users/8730623/items/QQH747DF"],"itemData":{"id":487,"type":"article-journal","abstract":"A particular class of weather system, the Mesoscale Convective Complex (MCC), is identified, defined, and contrasted with other types of convective weather systems. It is found that MCC systems frequently occur over the central United States, grow to tremendous areal extent, and often persist for periods exceeding 12 h. In addition to widespread beneficial rains, a wide variety of severe convective weather phenomena attends these systems.","container-title":"Bulletin of the American Meteorological Society","DOI":"https://doi.org/10.1175/1520-0477(1980)061&lt;1374:MCC&gt;2.0.CO;2","issue":"11","language":"en","note":"number: 11","page":"1374-1400","source":"Zotero","title":"Mesoscale convective complexes","volume":"61","author":[{"family":"Maddox","given":"Robert A"}],"issued":{"date-parts":[["1980"]]}}}],"schema":"https://github.com/citation-style-language/schema/raw/master/csl-citation.json"} </w:instrText>
      </w:r>
      <w:r w:rsidR="00C52B4B" w:rsidRPr="00E7031F">
        <w:fldChar w:fldCharType="separate"/>
      </w:r>
      <w:r w:rsidR="00C52B4B" w:rsidRPr="00E7031F">
        <w:t>Maddox (1980)</w:t>
      </w:r>
      <w:r w:rsidR="00C52B4B" w:rsidRPr="00E7031F">
        <w:fldChar w:fldCharType="end"/>
      </w:r>
      <w:r w:rsidR="00151347" w:rsidRPr="00E7031F">
        <w:t xml:space="preserve"> detected a kind of meso-α scale convective </w:t>
      </w:r>
      <w:r>
        <w:t>system</w:t>
      </w:r>
      <w:r w:rsidR="00151347" w:rsidRPr="00E7031F">
        <w:t xml:space="preserve">, which was later known as </w:t>
      </w:r>
      <w:r>
        <w:t xml:space="preserve">the </w:t>
      </w:r>
      <w:r w:rsidR="00151347" w:rsidRPr="00E7031F">
        <w:t>mesoscale convective complex (MCC)</w:t>
      </w:r>
      <w:r>
        <w:t>,</w:t>
      </w:r>
      <w:r w:rsidR="00151347" w:rsidRPr="00E7031F">
        <w:t xml:space="preserve"> and since then</w:t>
      </w:r>
      <w:r>
        <w:t>,</w:t>
      </w:r>
      <w:r w:rsidR="00151347" w:rsidRPr="00E7031F">
        <w:t xml:space="preserve"> the method based on the criteria of brightness temperature and cloud area </w:t>
      </w:r>
      <w:r>
        <w:t>has been</w:t>
      </w:r>
      <w:r w:rsidR="00151347" w:rsidRPr="00E7031F">
        <w:t xml:space="preserve"> widely used in research </w:t>
      </w:r>
      <w:r>
        <w:t>on</w:t>
      </w:r>
      <w:r w:rsidR="00151347" w:rsidRPr="00E7031F">
        <w:t xml:space="preserve"> MCCs </w:t>
      </w:r>
      <w:r w:rsidR="00B43332" w:rsidRPr="00E7031F">
        <w:fldChar w:fldCharType="begin"/>
      </w:r>
      <w:r w:rsidR="009B45C2">
        <w:instrText xml:space="preserve"> ADDIN ZOTERO_ITEM CSL_CITATION {"citationID":"ZBiVFSKY","properties":{"formattedCitation":"(Laing &amp; Michael Fritsch, 1997; Miller &amp; Fritsch, 1991; D. M. Rodgers et al., 1983; Velasco &amp; Fritsch, 1987)","plainCitation":"(Laing &amp; Michael Fritsch, 1997; Miller &amp; Fritsch, 1991; D. M. Rodgers et al., 1983; Velasco &amp; Fritsch, 1987)","noteIndex":0},"citationItems":[{"id":1825,"uris":["http://zotero.org/users/8730623/items/MT5QPSXD"],"itemData":{"id":1825,"type":"article-journal","abstract":"Abstract An important class of convective weather system, the mesoscale convective complex (MCC), presents many challenges and problems to both the research and operational communities. In addition, thew very large and long-lived thunderstorm systems have a significant social and economic impact resulting from associated severe weather phenomena and widespread beneficial rain. Enhanced infrared satellite images were surveyed to document MCCs which occurred over the United States during 1982. Thirty-seven convective mesosystems were identified that displayed satellite-observable characteristics which satisfied the MCC criteria described by Maddox. Details of the life cycles of the 37 cases are given and several specific cases are discussed. Current and proposed future research will focus on what are perceived to be key questions surrounding these important weather systems. This annual summary is offered as a starting point for scientists interested in pursuing studies of mesoscale convective weather systems.","container-title":"Monthly Weather Review","DOI":"10.1175/1520-0493(1983)111&lt;2363:MCCOTU&gt;2.0.CO;2","ISSN":"1520-0493, 0027-0644","issue":"12","language":"EN","note":"number: 12\npublisher: American Meteorological Society\nsection: Monthly Weather Review","page":"2363-2369","source":"journals.ametsoc.org","title":"Mesoscale Convective Complexes over the United States during 1982","volume":"111","author":[{"family":"Rodgers","given":"D. M."},{"family":"Howard","given":"K. W."},{"family":"Johnston","given":"E. C."}],"issued":{"date-parts":[["1983",12,1]]}},"label":"page"},{"id":1828,"uris":["http://zotero.org/users/8730623/items/NLM5ZQUT"],"itemData":{"id":1828,"type":"article-journal","abstract":"Enhanced infrared satellite imagery and conventional surface and sounding data are used to document the existence and climatological characteristics of mesoscale convective complexes (MCCs) over midlatitude South America (south of 20°S) and in the tropical region (20°N to 20°S) between North and South America. The implications of the results, with regard to the structure and dynamics of MCCs, are discussed. It is found that MCCs occur with approximately the same frequency in mid-latitude South America as they do in mid-latitude North America. For the most part the characteristics of mid-latitude South American MCCs are similar to those of MCCs in the United States. The most notable difference between North and South American MCCs is that the South American systems are, on the average, about 60% larger than MCCs in the United States. In addition to the large population of mid-latitude South American MCCs, an even larger number of low-latitude (tropical) systems were found. In general, both the mid-latitude and tropical populations of MCCs are nocturnal and continental; i.e., the great majority of systems occur at night over land. Of the systems that do occur over water, a significant fraction develop into tropical storms. Large populations of MCCs occur in each of the physiographically similar mid-latitude areas of North and South America where low-level nocturnal jets frequently develop. Very few MCCs occur over the Amazon River Basin or over the southeastern United States, even though both of these areas exhibit large amounts of deep convective activity. All of the various MCC population centers occur in latitudinal zones of westerlies or easterlies and are concentrated immediately downwind of major mountain ranges. One of the 2 years of data that was investigated was an El Niño year. During the El Niño period the number of mid-latitude South American systems was more than double the number in the non-El Niño year. Moreover, several MCCs formed over the anomalously warm water that appeared along the Peruvian coast. Thus on the basis of this very small sample, there may be a direct connection between MCC activity and El Niño.","container-title":"Journal of Geophysical Research: Atmospheres","DOI":"10.1029/JD092iD08p09591","ISSN":"2156-2202","issue":"D8","language":"en","note":"number: D8\n_eprint: https://onlinelibrary.wiley.com/doi/pdf/10.1029/JD092iD08p09591","page":"9591-9613","source":"Wiley Online Library","title":"Mesoscale convective complexes in the Americas","volume":"92","author":[{"family":"Velasco","given":"Ines"},{"family":"Fritsch","given":"J. Michael"}],"issued":{"date-parts":[["1987"]]}},"label":"page"},{"id":1837,"uris":["http://zotero.org/users/8730623/items/95CDY6G5"],"itemData":{"id":1837,"type":"article-journal","abstract":"Abstract A climatological study of mesoscale convective complexes (MCCs) during 1983–1985 over the western Pacific region (WPR), using full-disc, enhanced infrared satellite imagery from the Japanese Geostationary Meteorological Satellite is presented. The results indicate that MCCs are common in the WPR and display many of the same characteristics as those found in the Americas. The systems are nocturnal and tend to form over or in the immediate vicinity of land. Cold-cloud shields in the Americas last for about 10 h while WPR shields last about 11 h. The cold-cloud-shield size distribution is similar to that of the Americas, with most systems exhibiting areas between 2 × 105 and 3 × 105 km2. Seasonal distributions of WPR systems are also similar to that in the Americas. Specifically, the frequency of midlatitude systems peaks in late spring and early summer while low-latitude MCCs are distributed uniformly throughout the warm season. As with western systems, WPR MCCs occur in preferred zones. Climatologically, low-level jets of high-θe, air and upper-level diffluence are present in these zones. Tracks of WPR MCCs show that, like American systems, they typically move to the right (left in the Southern Hemisphere) of the climatological mean 700–500-mb flow. The deviation from the mean flow is in the direction of the source region of higher-θe air. A few MCCs that moved over water formed tropical storms. Likewise, a few tropical systems moved over land and formed MCCs. It is concluded that the strong similarity of the properties and environment of WPR MCCs to that in the Americas indicates that they are essentially the same phenomenon. Their high frequency in the Americas and the WPR makes them potentially important contributors to the global hydrologic cycle.","container-title":"Monthly Weather Review","DOI":"10.1175/1520-0493(1991)119&lt;2978:MCCITW&gt;2.0.CO;2","ISSN":"1520-0493, 0027-0644","issue":"12","language":"EN","note":"number: 12\npublisher: American Meteorological Society\nsection: Monthly Weather Review","page":"2978-2992","source":"journals.ametsoc.org","title":"Mesoscale Convective Complexes in the Western Pacific Region","volume":"119","author":[{"family":"Miller","given":"David"},{"family":"Fritsch","given":"J. M."}],"issued":{"date-parts":[["1991",12,1]]}},"label":"page"},{"id":1840,"uris":["http://zotero.org/users/8730623/items/8KLQX7PD"],"itemData":{"id":1840,"type":"article-journal","abstract":"A global set of 714 mesoscale convective complexes is compiled and some of the common properties of the convective systems are identified and examined from a global perspective. the data set includes date of occurrence, time of first storms, initiation, maximum extent, termination, duration, cold-cloud shield areas, and tracks from initiation to termination. It is found that the typical convective complex is nocturnal, generates a cold-cloud shield area of approximately 350 000 km2, and persists for about 10 h. the largest systems and most persistent systems tend to occur near the summer solstices. For the globe, about 400 systems occur each year, primarily over land areas. Most systems develop in favoured zones, although some activity occurs over every continent (except Antarctica) and all major oceans. the concentration of activity into favoured zones indicates that there must be special dynamic and/or thermodynamic conditions necessary for convection to organize into convective complexes. Activity is strongly tied to the solar day, and shifts from 35°S in early January to about 50°N during the boreal summer and back to 35°S by December. Within the northern hemisphere there is a pronounced poleward migration as the jet stream shifts northward. Relatively little migration occurs in the ocean-dominated southern hemisphere where the subtropical jet remains quasi-stationary over the convective-complex regions. The nocturnal life cycles, copious rainfall, large cloud shields, and great frequency of mesoscale convective complexes suggest that they may be significant contributors to the global hydrologic cycle and earth-system energy budget.","container-title":"Quarterly Journal of the Royal Meteorological Society","DOI":"10.1002/qj.49712353807","ISSN":"1477-870X","issue":"538","language":"en","note":"number: 538\n_eprint: https://onlinelibrary.wiley.com/doi/pdf/10.1002/qj.49712353807","page":"389-405","source":"Wiley Online Library","title":"The global population of mesoscale convective complexes","volume":"123","author":[{"family":"Laing","given":"Arlene G."},{"family":"Michael Fritsch","given":"J."}],"issued":{"date-parts":[["1997"]]}},"label":"page"}],"schema":"https://github.com/citation-style-language/schema/raw/master/csl-citation.json"} </w:instrText>
      </w:r>
      <w:r w:rsidR="00B43332" w:rsidRPr="00E7031F">
        <w:fldChar w:fldCharType="separate"/>
      </w:r>
      <w:r w:rsidR="009B45C2" w:rsidRPr="009B45C2">
        <w:t>(Laing &amp; Fritsch, 1997; Miller &amp; Fritsch, 1991; Rodgers et al., 1983; Velasco &amp; Fritsch, 1987)</w:t>
      </w:r>
      <w:r w:rsidR="00B43332" w:rsidRPr="00E7031F">
        <w:fldChar w:fldCharType="end"/>
      </w:r>
      <w:r w:rsidR="00151347" w:rsidRPr="00E7031F">
        <w:t xml:space="preserve">. </w:t>
      </w:r>
      <w:r w:rsidR="00B43332" w:rsidRPr="00E7031F">
        <w:fldChar w:fldCharType="begin"/>
      </w:r>
      <w:r w:rsidR="009B45C2">
        <w:instrText xml:space="preserve"> ADDIN ZOTERO_ITEM CSL_CITATION {"citationID":"AxCs9Wga","properties":{"formattedCitation":"(Augustine &amp; Howard, 1988)","plainCitation":"(Augustine &amp; Howard, 1988)","noteIndex":0},"citationItems":[{"id":1831,"uris":["http://zotero.org/users/8730623/items/78YR5SYX"],"itemData":{"id":1831,"type":"article-journal","abstract":"Abstract Digital GOES infrared imagery is used to document mesoscale convective complexes (MCCs) over the United States during 1985. The introduction of digital imagery to this process, which has been carried out since 1978, has made possible a partial automation of the MCC documentation procedure and subsequently expanded opportunities for research. In conjunction with these improvements, the definition of an MCC has been slightly modified from that proposed by Maddox in 1980. The warmer threshold area measurement (</w:instrText>
      </w:r>
      <w:r w:rsidR="009B45C2">
        <w:rPr>
          <w:rFonts w:ascii="Cambria Math" w:hAnsi="Cambria Math" w:cs="Cambria Math"/>
        </w:rPr>
        <w:instrText>⩽</w:instrText>
      </w:r>
      <w:r w:rsidR="009B45C2">
        <w:instrText xml:space="preserve">−32°C) of Maddox's original criteria has been dropped from consideration because its measurement was too subjective, and also was determined to be unnecessary. In 1985, 59 MCCs were identified; this total is approximately 20 to 40 more than in any year since 1978, when these annual summaries began. The monthly distribution and seasonal progression of MCCs in 1985 are similar to those of prior years. The enhanced MCC activity in June 1985 is associated with a persistent favorable quasi-geostrophic forcing during that period. Significant MCC research conducted in 1985 included a prototype large-scale field program (0.-K. PRE-STORM) in May and June dedicated solely to the investigation of middle-latitude mesoscale convective systems.","container-title":"Monthly Weather Review","DOI":"10.1175/1520-0493(1988)116&lt;0685:MCCOTU&gt;2.0.CO;2","ISSN":"1520-0493, 0027-0644","issue":"3","language":"EN","note":"number: 3\npublisher: American Meteorological Society\nsection: Monthly Weather Review","page":"685-701","source":"journals.ametsoc.org","title":"Mesoscale Convective Complexes over the United States during 1985","volume":"116","author":[{"family":"Augustine","given":"John A."},{"family":"Howard","given":"Kenneth W."}],"issued":{"date-parts":[["1988",3,1]]}}}],"schema":"https://github.com/citation-style-language/schema/raw/master/csl-citation.json"} </w:instrText>
      </w:r>
      <w:r w:rsidR="00B43332" w:rsidRPr="00E7031F">
        <w:fldChar w:fldCharType="separate"/>
      </w:r>
      <w:r w:rsidR="009B45C2" w:rsidRPr="009B45C2">
        <w:t>Augustine and Howard (1988)</w:t>
      </w:r>
      <w:r w:rsidR="00B43332" w:rsidRPr="00E7031F">
        <w:fldChar w:fldCharType="end"/>
      </w:r>
      <w:r w:rsidR="00151347" w:rsidRPr="00E7031F">
        <w:t xml:space="preserve"> simplified the method of </w:t>
      </w:r>
      <w:r w:rsidR="00B43332" w:rsidRPr="00E7031F">
        <w:fldChar w:fldCharType="begin"/>
      </w:r>
      <w:r w:rsidR="00B43332" w:rsidRPr="00E7031F">
        <w:instrText xml:space="preserve"> ADDIN ZOTERO_ITEM CSL_CITATION {"citationID":"OvvppUEv","properties":{"formattedCitation":"(Maddox 1980)","plainCitation":"(Maddox 1980)","dontUpdate":true,"noteIndex":0},"citationItems":[{"id":487,"uris":["http://zotero.org/users/8730623/items/QQH747DF"],"itemData":{"id":487,"type":"article-journal","abstract":"A particular class of weather system, the Mesoscale Convective Complex (MCC), is identified, defined, and contrasted with other types of convective weather systems. It is found that MCC systems frequently occur over the central United States, grow to tremendous areal extent, and often persist for periods exceeding 12 h. In addition to widespread beneficial rains, a wide variety of severe convective weather phenomena attends these systems.","container-title":"Bulletin of the American Meteorological Society","DOI":"https://doi.org/10.1175/1520-0477(1980)061&lt;1374:MCC&gt;2.0.CO;2","issue":"11","language":"en","note":"number: 11","page":"1374-1400","source":"Zotero","title":"Mesoscale convective complexes","volume":"61","author":[{"family":"Maddox","given":"Robert A"}],"issued":{"date-parts":[["1980"]]}}}],"schema":"https://github.com/citation-style-language/schema/raw/master/csl-citation.json"} </w:instrText>
      </w:r>
      <w:r w:rsidR="00B43332" w:rsidRPr="00E7031F">
        <w:fldChar w:fldCharType="separate"/>
      </w:r>
      <w:r w:rsidR="00B43332" w:rsidRPr="00E7031F">
        <w:t>Maddox (1980)</w:t>
      </w:r>
      <w:r w:rsidR="00B43332" w:rsidRPr="00E7031F">
        <w:fldChar w:fldCharType="end"/>
      </w:r>
      <w:r w:rsidR="00151347" w:rsidRPr="00E7031F">
        <w:t xml:space="preserve"> and found that applying the criteria of brightness temperature ≤ −52 °C and cloud area ≥ 5×10</w:t>
      </w:r>
      <w:r w:rsidR="00151347" w:rsidRPr="00E7031F">
        <w:rPr>
          <w:vertAlign w:val="superscript"/>
        </w:rPr>
        <w:t>4</w:t>
      </w:r>
      <w:r w:rsidR="00151347" w:rsidRPr="00E7031F">
        <w:t xml:space="preserve"> km</w:t>
      </w:r>
      <w:r w:rsidR="00151347" w:rsidRPr="00E7031F">
        <w:rPr>
          <w:vertAlign w:val="superscript"/>
        </w:rPr>
        <w:t>2</w:t>
      </w:r>
      <w:r w:rsidR="00B43332" w:rsidRPr="00E7031F">
        <w:t xml:space="preserve"> could better describe the evolution of storms. In recent years, −52 °C</w:t>
      </w:r>
      <w:r>
        <w:t xml:space="preserve"> has been</w:t>
      </w:r>
      <w:r w:rsidR="00B43332" w:rsidRPr="00E7031F">
        <w:t xml:space="preserve"> used as the brightness temperature criterion to identify MCSs </w:t>
      </w:r>
      <w:r w:rsidR="00B43332" w:rsidRPr="00E7031F">
        <w:fldChar w:fldCharType="begin"/>
      </w:r>
      <w:r w:rsidR="009B45C2">
        <w:instrText xml:space="preserve"> ADDIN ZOTERO_ITEM CSL_CITATION {"citationID":"9j9q4iJw","properties":{"formattedCitation":"(Kukulies et al., 2021; Morake et al., 2021; R. Yang et al., 2020; Xiangrong Yang et al., 2015)","plainCitation":"(Kukulies et al., 2021; Morake et al., 2021; R. Yang et al., 2020; Xiangrong Yang et al., 2015)","noteIndex":0},"citationItems":[{"id":182,"uris":["http://zotero.org/users/8730623/items/YAAUVNAJ"],"itemData":{"id":182,"type":"article-journal","abstract":"This study investigates mesoscale convective systems (MCSs) over China and its vicinity during the boreal warm season (May–August) from 2005 to 2012 based on data from the geostationary satellite Fengyun 2 (FY2) series. The authors classiﬁed and analyzed the quasi-circular and elongated MCSs on both large and small scales, including mesoscale convective complexes (MCCs), persistent elongated convective systems (PECSs), meso-b circular convective systems (MbCCSs), meso-b elongated convective system (MbECSs), and two additional types named small meso-b circular convective systems (SMbCCSs) and small meso-b elongated convective systems (SMbECSs). Results show that nearly 80% of the 8696 MCSs identiﬁed in this study fall into the elongated categories. Overall, MCSs occur mainly at three zonal bands with average latitudes around 208, 308, and 508N. The frequency of MCSs occurrences is maximized at the zonal band around 208N and decreases with increase in latitude. During the eight warm seasons, the period of peak systems occurrences is in July, followed decreasingly by June, August, and May. Meanwhile, from May to August three kinds of monthly variations are observed, which are clear northward migration, rapid increase, and persistent high frequency of MCS occurrences. Compared to MCSs in the United States, the four types of MCSs (MCCs, PECSs, MbCCSs, and MbECSs) are relatively smaller both in size and eccentricity but exhibit nearly equal life spans. Moreover, MCSs in both countries share similar positive correlations between their duration and maximum extent. Additionally, the diurnal cycles of MCSs in both countries are similar (local time) regarding the three stages of initiation, maturation, and termination.","container-title":"Journal of Climate","DOI":"10.1175/JCLI-D-14-00491.1","ISSN":"0894-8755, 1520-0442","issue":"12","language":"en","note":"number: 12","page":"4890-4907","source":"DOI.org (Crossref)","title":"Characteristics of Mesoscale Convective Systems over China and Its Vicinity Using Geostationary Satellite FY2","volume":"28","author":[{"family":"Yang","given":"Xiangrong"},{"family":"Fei","given":"Jianfang"},{"family":"Huang","given":"Xiaogang"},{"family":"Cheng","given":"Xiaoping"},{"family":"Carvalho","given":"Leila M. V."},{"family":"He","given":"Hongrang"}],"issued":{"date-parts":[["2015",6,15]]}},"label":"page"},{"id":4503,"uris":["http://zotero.org/users/8730623/items/2RMPHUVV"],"itemData":{"id":4503,"type":"article-journal","abstract":"Mesoscale convective systems (MCSs) around the second-step terrain (106°–113°E, 28°–35°N), along the middle reaches of the Yangtze River, were detected, tracked and classified using a black body temperature (TBB) dataset during May to August 2000–2016 (except 2005). The MCSs were divided into eastward-propagating (EP) and quasi-stationary (QS) types, to compare their spatial and temporal distributions and convective intensities, and to identify the favorable synoptic conditions for the formation and evolution of EP MCSs. The results showed that both MCS types occurred most often in July. The EP MCSs were mainly initiated over the eastern regions of the study area, while the QS type mainly originated in the western regions of the study area. Both MCS types mainly formed in the afternoon, but a second peak occurred in the early morning for QS MCSs. The EP MCSs had a larger cloud area at their mature stage and a lower cloud brightness temperature, indicating more intense convection. Additionally, the longer lifetime and further eastward propagation of the EP MCSs meant that they had a great influence on the precipitation over the middle and lower reaches of the Yangtze River. Synoptic circulation analysis demonstrated that the combination of the mid-level low trough east of the Tibetan Plateau (TP), and the western pacific subtropical high (WPSH), favored the formation and eastward propagation of EP MCSs. The positive vertical relative vorticity and stronger vertical wind shear provided dynamic conditions favorable for convective organization and development. Furthermore, a stronger low level jet imported warm and moist air to the eastern edge of, and the regions east of, the second-step terrain. The substantial convergence of water vapor promoted the development and long-lived maintenance of the EP MCSs.","container-title":"Science China Earth Sciences","DOI":"10.1007/s11430-018-9385-3","ISSN":"1674-7313, 1869-1897","issue":"8","journalAbbreviation":"Sci. China Earth Sci.","language":"en","page":"1209-1222","source":"DOI.org (Crossref)","title":"The comparison of statistical features and synoptic circulations between the eastward-propagating and quasi-stationary MCSs during the warm season around the second-step terrain along the middle reaches of the Yangtze River","volume":"63","author":[{"family":"Yang","given":"Ruyi"},{"family":"Zhang","given":"Yuanchun"},{"family":"Sun","given":"Jianhua"},{"family":"Li","given":"Jun"}],"issued":{"date-parts":[["2020",8]]}},"label":"page"},{"id":128,"uris":["http://zotero.org/users/8730623/items/N9Y7IML4"],"itemData":{"id":128,"type":"article-journal","abstract":"Mesoscale convective systems (MCSs) have been identified as an important source of precipitation in the Tibetan Plateau (TP) region. However, the characteristics and structure of MCS-induced precipitation are not well understood in this location. Infrared (IR) satellite imagery has been used for MCS tracking, but cirrus clouds or cold surfaces can lead to false MCS classification over mountain regions. Here, we combine brightness temperatures from IR imagery with satellite precipitation estimates from GPM IMERG and track MCSs over the TP, at the boundary of the TP (TPB), and in the surrounding lower-elevation plains (LE), between 2000 and 2019. In most parts of LE and TPB, MCSs produced 50%–80% of the total summer precipitation (60%–90% of summer heavy precipitation), whereas MCSs over the TP account for below 10% of the total summer precipitation (10%–30% of summer heavy precipitation). Our results also show that MCSs that produce the largest amounts of heavy precipitation are characterized by longevity and large extents rather than by high intensities. These are mainly located in the populous areas south and east of the TP. A tracking of meso-β convective systems over the TP shows that small-scale convection makes a large contribution to total and heavy precipitation. This suggests that more localized convective systems are important for the regional water cycle over the higher terrain and highlights the importance of convective-scale modeling to improve our understanding of precipitation dynamics in the TP region.","container-title":"Journal of Geophysical Research: Atmospheres","DOI":"10.1029/2021JD035279","ISSN":"2169-8996","issue":"23","language":"en","note":"number: 23\n_eprint: https://onlinelibrary.wiley.com/doi/pdf/10.1029/2021JD035279","page":"e2021JD035279","source":"Wiley Online Library","title":"The Role of Mesoscale Convective Systems in Precipitation in the Tibetan Plateau Region","volume":"126","author":[{"family":"Kukulies","given":"Julia"},{"family":"Chen","given":"Deliang"},{"family":"Curio","given":"Julia"}],"issued":{"date-parts":[["2021"]]}},"label":"page"},{"id":132,"uris":["http://zotero.org/users/8730623/items/ER6E6L2Y"],"itemData":{"id":132,"type":"article-journal","abstract":"Abstract A climatology of large, long-lived mesoscale convective systems (MCSs) over eastern South Africa for the extended austral summer (September-April) from 1985-2008 is presented. On average, 63 MCSs occur here in summer, but with considerable interannual variability in frequency. The systems mainly occur between November and March, with a December peak. This seasonal cycle in MCS activity is shown to coincide with favorable CAPE and vertical shear profiles across the domain. Most systems tend to occur along the eastern escarpment and adjacent warm waters of the northern Agulhas Current with a nocturnal life cycle. Typically, initiation begins in the early afternoon, MCS status is reached mid-afternoon, maximum extent early in the night and termination around midnight or shortly thereafter. It is found that most MCSs initiate over land, but systems that initiate over the ocean tend to last longer than those that develop over land. The results also show that there are differences in the seasonal cycle between continental and oceanic MCSs, with oceanic systems containing two intraseasonal peaks (December and April). There is a relatively strong positive relationship between the Southern Annular Mode (SAM) and early summer MCSs frequency. For the late summer, the frequency of MCSs appears related to the strength of the Mascarene High and Mozambique Channel Trough which modulate the inflow of moisture into eastern South Africa and the stability of the lower atmosphere over the region.","container-title":"Journal of Climate","DOI":"10.1175/JCLI-D-20-0851.1","ISSN":"0894-8755, 1520-0442","issue":"aop","language":"EN","note":"number: aop\npublisher: American Meteorological Society\nsection: Journal of Climate","page":"1-66","source":"journals.ametsoc.org","title":"Long-lived mesoscale convective systems over eastern South Africa","volume":"-1","author":[{"family":"Morake","given":"D. M."},{"family":"Blamey","given":"R. C."},{"family":"Reason","given":"C. J. C."}],"issued":{"date-parts":[["2021",5,13]]}},"label":"page"}],"schema":"https://github.com/citation-style-language/schema/raw/master/csl-citation.json"} </w:instrText>
      </w:r>
      <w:r w:rsidR="00B43332" w:rsidRPr="00E7031F">
        <w:fldChar w:fldCharType="separate"/>
      </w:r>
      <w:r w:rsidR="009B45C2" w:rsidRPr="009B45C2">
        <w:t>(Kukulies et al., 2021; Morake et al., 2021; Yang et al., 2015; Yang et al., 2020; Meng et al., 2021)</w:t>
      </w:r>
      <w:r w:rsidR="00B43332" w:rsidRPr="00E7031F">
        <w:fldChar w:fldCharType="end"/>
      </w:r>
      <w:r>
        <w:t>,</w:t>
      </w:r>
      <w:r w:rsidR="00010EAA" w:rsidRPr="00E7031F">
        <w:t xml:space="preserve"> and different cloud area and </w:t>
      </w:r>
      <w:r>
        <w:t xml:space="preserve">duration </w:t>
      </w:r>
      <w:r w:rsidR="003E2EFB" w:rsidRPr="00E7031F">
        <w:t xml:space="preserve">criteria </w:t>
      </w:r>
      <w:r>
        <w:t>have been</w:t>
      </w:r>
      <w:r w:rsidR="00010EAA" w:rsidRPr="00E7031F">
        <w:t xml:space="preserve"> applied to determine the spatial and temporal scales of MCSs.</w:t>
      </w:r>
    </w:p>
    <w:p w14:paraId="36FCEE5C" w14:textId="6D162FE6" w:rsidR="00635316" w:rsidRPr="00E7031F" w:rsidRDefault="00F103E8" w:rsidP="00A7754E">
      <w:pPr>
        <w:pStyle w:val="ParagraphText"/>
      </w:pPr>
      <w:r w:rsidRPr="00E7031F">
        <w:fldChar w:fldCharType="begin"/>
      </w:r>
      <w:r w:rsidR="009B45C2">
        <w:instrText xml:space="preserve"> ADDIN ZOTERO_ITEM CSL_CITATION {"citationID":"3zDYHbb0","properties":{"formattedCitation":"(Williams &amp; Houze, 1987)","plainCitation":"(Williams &amp; Houze, 1987)","noteIndex":0},"citationItems":[{"id":1855,"uris":["http://zotero.org/users/8730623/items/D6P5M42K"],"itemData":{"id":1855,"type":"article-journal","abstract":"Abstract An objective algorithm is devised which is capable of touting tropical cloud clusters at the point of initiation, tracking them to the paint of dissipation and thereby accumulating statistics on their size distributions and preferred geographical locations and times of occurrence. The technique is able to account for periods of growth, mergers, splits and decay, which take place during the lifetime of an individual cluster. It is used to derive statistics on cloud clusters observed during the Winter Monsoon Experiment, which was conducted in the region of the “maritime continent,” near Borneo, in December, 1978. The size distribution of the clusters identified and tracked shows that by far most of the cumulative cloud cover was accounted for by a few very large clusters. This result implies that the vertical distribution of diabatic heating in the region of the experiment was strongly influenced by dynamical and radiative processes in the widespread stratiform cloud and precipitation areas that typify very large clusters. A pronounced diurnal cycle was characterized by a preference for the very large clusters to reach the middle of their lifetime over the sea during morning. Monsoon “surge” conditions over the South China Sea also strongly favored the occurrence of large clusters over the water north of Borneo.","container-title":"Monthly Weather Review","DOI":"10.1175/1520-0493(1987)115&lt;0505:SOCOWM&gt;2.0.CO;2","ISSN":"1520-0493, 0027-0644","issue":"2","language":"EN","note":"number: 2\npublisher: American Meteorological Society\nsection: Monthly Weather Review","page":"505-519","source":"journals.ametsoc.org","title":"Satellite-Observed Characteristics of Winter Monsoon Cloud Clusters","volume":"115","author":[{"family":"Williams","given":"Mark"},{"family":"Houze","given":"Robert A."}],"issued":{"date-parts":[["1987",2,1]]}}}],"schema":"https://github.com/citation-style-language/schema/raw/master/csl-citation.json"} </w:instrText>
      </w:r>
      <w:r w:rsidRPr="00E7031F">
        <w:fldChar w:fldCharType="separate"/>
      </w:r>
      <w:r w:rsidR="009B45C2" w:rsidRPr="009B45C2">
        <w:t>Williams and Houze (1987)</w:t>
      </w:r>
      <w:r w:rsidRPr="00E7031F">
        <w:fldChar w:fldCharType="end"/>
      </w:r>
      <w:r w:rsidR="00C428B9" w:rsidRPr="00E7031F">
        <w:t xml:space="preserve"> developed an algorithm to track an individual cloud cluster in two successive infrared images by calculating the overlapping rate of the two </w:t>
      </w:r>
      <w:r w:rsidR="00C428B9" w:rsidRPr="00E7031F">
        <w:lastRenderedPageBreak/>
        <w:t>cloud areas</w:t>
      </w:r>
      <w:r>
        <w:t>,</w:t>
      </w:r>
      <w:r w:rsidR="00C428B9" w:rsidRPr="00E7031F">
        <w:t xml:space="preserve"> and since then</w:t>
      </w:r>
      <w:r>
        <w:t>,</w:t>
      </w:r>
      <w:r w:rsidR="00C428B9" w:rsidRPr="00E7031F">
        <w:t xml:space="preserve"> the areal overlapping method has been widely used in MCS tracking. Morel and Senesi (2002) improved the accuracy of MCS tracking by estimating the movement of clouds and developed the</w:t>
      </w:r>
      <w:r w:rsidR="00A06A4B">
        <w:t xml:space="preserve"> ISIS (</w:t>
      </w:r>
      <w:r w:rsidR="00C428B9" w:rsidRPr="00E7031F">
        <w:t>instrument de suivi dans l’imagerie satellitaire</w:t>
      </w:r>
      <w:r w:rsidR="00A06A4B">
        <w:t>)</w:t>
      </w:r>
      <w:r w:rsidR="00C428B9" w:rsidRPr="00E7031F">
        <w:t xml:space="preserve"> algorithm. </w:t>
      </w:r>
      <w:r w:rsidR="000246A8" w:rsidRPr="00E7031F">
        <w:fldChar w:fldCharType="begin"/>
      </w:r>
      <w:r w:rsidR="009B45C2">
        <w:instrText xml:space="preserve"> ADDIN ZOTERO_ITEM CSL_CITATION {"citationID":"Xes9gqDV","properties":{"formattedCitation":"(Feng et al., 2018)","plainCitation":"(Feng et al., 2018)","noteIndex":0},"citationItems":[{"id":974,"uris":["http://zotero.org/users/8730623/items/Y2DUJ8WL"],"itemData":{"id":974,"type":"article-journal","abstract":"Regional climate simulations over the continental United States were conducted for the 2011 warm season using the Weather Research and Forecasting model at convection-permitting resolution (4km) with two commonly used microphysics parameterizations (Thompson and Morrison). Sensitivities of the simulated mesoscale convective system (MCS) properties and feedbacks to large-scale environments are systematically examined against high-resolution geostationary satellite and 3-D mosaic radar observations. MCS precipitation including precipitation amount, diurnal cycle, and distribution of hourly precipitation intensity are reasonably captured by the two simulations despite significant differences in their simulated MCS properties. In general, the Thompson simulation produces better agreement with observations for MCS upper level cloud shield and precipitation area, convective feature horizontal and vertical extents, and partitioning between convective and stratiform precipitation. More importantly, Thompson simulates more stratiform rainfall, which agrees better with observations and results in top-heavier heating profiles from robust MCSs compared to Morrison. A stronger dynamical feedback to the large-scale environment is therefore seen in Thompson, wherein an enhanced mesoscale vortex behind the MCS strengthens the synoptic-scale trough and promotes advection of cool and dry air into the rear of the MCS region. The latter prolongs the MCS lifetimes in the Thompson relative to the Morrison simulations. Hence, different treatment of cloud microphysics not only alters MCS convective-scale dynamics but also has significant impacts on their macrophysical properties such as lifetime and precipitation. As long-lived MCSs produced 2-3 times the amount of rainfall compared to short-lived ones, cloud microphysics parameterizations have profound impact in simulating extreme precipitation and the hydrologic cycle.","archive_location":"WOS:000441886300006","container-title":"JOURNAL OF ADVANCES IN MODELING EARTH SYSTEMS","DOI":"10.1029/2018MS001305","issue":"7","note":"number: 7","page":"1470-1494","title":"Structure and Evolution of Mesoscale Convective Systems: Sensitivity to Cloud Microphysics in Convection-Permitting Simulations Over the United States","volume":"10","author":[{"family":"Feng","given":"Zhe"},{"family":"Leung","given":"L. Ruby"},{"family":"Houze","given":"Robert A."},{"family":"Hagos","given":"Samson"},{"family":"Hardin","given":"Joseph"},{"family":"Yang","given":"Qing"},{"family":"Han","given":"Bin"},{"family":"Fan","given":"Jiwen"}],"issued":{"date-parts":[["2018",7]]}}}],"schema":"https://github.com/citation-style-language/schema/raw/master/csl-citation.json"} </w:instrText>
      </w:r>
      <w:r w:rsidR="000246A8" w:rsidRPr="00E7031F">
        <w:fldChar w:fldCharType="separate"/>
      </w:r>
      <w:r w:rsidR="009B45C2" w:rsidRPr="009B45C2">
        <w:t>Feng et al. (2018)</w:t>
      </w:r>
      <w:r w:rsidR="000246A8" w:rsidRPr="00E7031F">
        <w:fldChar w:fldCharType="end"/>
      </w:r>
      <w:r w:rsidR="00FB0244" w:rsidRPr="00E7031F">
        <w:t xml:space="preserve"> improved the tracking accuracy by expanding the area of the target cloud and developed the</w:t>
      </w:r>
      <w:r w:rsidR="00813403">
        <w:t xml:space="preserve"> </w:t>
      </w:r>
      <w:r w:rsidR="00813403" w:rsidRPr="00E7031F">
        <w:t>FLEXTRKR</w:t>
      </w:r>
      <w:r w:rsidR="00FB0244" w:rsidRPr="00E7031F">
        <w:t xml:space="preserve"> </w:t>
      </w:r>
      <w:r w:rsidR="00813403">
        <w:t>(</w:t>
      </w:r>
      <w:r w:rsidR="00FB0244" w:rsidRPr="00E7031F">
        <w:t>flexible object tracker) algorithm. In addition, the optical flow approach has been widely used since</w:t>
      </w:r>
      <w:r>
        <w:t xml:space="preserve"> it was</w:t>
      </w:r>
      <w:r w:rsidR="00FB0244" w:rsidRPr="00E7031F">
        <w:t xml:space="preserve"> introduced into </w:t>
      </w:r>
      <w:r>
        <w:t>meteorology</w:t>
      </w:r>
      <w:r w:rsidR="00FB0244" w:rsidRPr="00E7031F">
        <w:t xml:space="preserve"> research, including the </w:t>
      </w:r>
      <w:r>
        <w:t>nowcasting</w:t>
      </w:r>
      <w:r w:rsidR="00FB0244" w:rsidRPr="00E7031F">
        <w:t xml:space="preserve"> of precipitation </w:t>
      </w:r>
      <w:r w:rsidR="00954762" w:rsidRPr="00E7031F">
        <w:fldChar w:fldCharType="begin"/>
      </w:r>
      <w:r w:rsidR="009B45C2">
        <w:instrText xml:space="preserve"> ADDIN ZOTERO_ITEM CSL_CITATION {"citationID":"nCcUU8rc","properties":{"formattedCitation":"(Bechini &amp; Chandrasekar, 2017; Bowler et al., 2004)","plainCitation":"(Bechini &amp; Chandrasekar, 2017; Bowler et al., 2004)","noteIndex":0},"citationItems":[{"id":664,"uris":["http://zotero.org/users/8730623/items/JHZUTJ2N"],"itemData":{"id":664,"type":"article-journal","container-title":"Journal of Hydrology","DOI":"10.1016/j.jhydrol.2003.11.011","ISSN":"00221694","issue":"1-2","journalAbbreviation":"Journal of Hydrology","language":"en","note":"number: 1-2","page":"74-91","source":"https://doi.org/10.1016/j.jhydrol.2003.11.011","title":"Development of a precipitation nowcasting algorithm based upon optical flow techniques","volume":"288","author":[{"family":"Bowler","given":"Neill E.H."},{"family":"Pierce","given":"Clive E."},{"family":"Seed","given":"Alan"}],"issued":{"date-parts":[["2004",3]]}}},{"id":666,"uris":["http://zotero.org/users/8730623/items/SIG7ZVYR"],"itemData":{"id":666,"type":"article-journal","abstract":"Abstract The atmospheric state evolution is an inherently highly complex three-dimensional problem that numerical weather prediction (NWP) models attempt to solve. Although NWP models are being successfully employed for medium- and long-range forecast, their short-duration forecast (or nowcast) capabilities are still limited because of model initialization challenges. On the lower end of the complexity scale, nowcasting by extrapolation of two-dimensional weather radar images has long been the most effective tool for nowcasting precipitation. Attempts are being made to take advantage of both approaches by blending extrapolation and numerical model forecasts. In this work a different approach is presented, relying on the additional Doppler radar wind information and a simplified modeling of basic physical processes. Instead of mixing the outputs of different forecasts as in blended approaches, the idea behind this study is to combine extrapolation and precipitation modeling in a new technique with a higher level of complexity with respect to conventional nowcasting methods, although still much simpler than NWP models. As a preliminary step, the Variational Doppler Radar Analysis System (VDRAS) is used to provide an initial analysis exploiting all the available dual-polarization and Doppler radar observations. The rainwater and wind fields are then advected using an optical flow technique that is subject to simplified physical interactions. As a result precipitation and wind nowcasting are obtained and are successively validated up to a 1-h lead time, showing potential improvement upon standard extrapolation.","container-title":"Journal of Atmospheric and Oceanic Technology","DOI":"10.1175/JTECH-D-17-0110.1","ISSN":"0739-0572, 1520-0426","issue":"12","language":"EN","note":"number: 12\npublisher: American Meteorological Society\nsection: Journal of Atmospheric and Oceanic Technology","page":"2637-2658","source":"journals.ametsoc.org","title":"An Enhanced Optical Flow Technique for Radar Nowcasting of Precipitation and Winds","volume":"34","author":[{"family":"Bechini","given":"Renzo"},{"family":"Chandrasekar","given":"V."}],"issued":{"date-parts":[["2017",12,1]]}}}],"schema":"https://github.com/citation-style-language/schema/raw/master/csl-citation.json"} </w:instrText>
      </w:r>
      <w:r w:rsidR="00954762" w:rsidRPr="00E7031F">
        <w:fldChar w:fldCharType="separate"/>
      </w:r>
      <w:r w:rsidR="009B45C2" w:rsidRPr="009B45C2">
        <w:t>(Bowler et al., 2004; Bechini &amp; Chandrasekar, 2017; Bowler et al., 2004)</w:t>
      </w:r>
      <w:r w:rsidR="00954762" w:rsidRPr="00E7031F">
        <w:fldChar w:fldCharType="end"/>
      </w:r>
      <w:r w:rsidR="00FB0244" w:rsidRPr="00E7031F">
        <w:t xml:space="preserve"> and the improvement of numerical forecast results </w:t>
      </w:r>
      <w:r w:rsidR="00954762" w:rsidRPr="00E7031F">
        <w:fldChar w:fldCharType="begin"/>
      </w:r>
      <w:r w:rsidR="009B45C2">
        <w:instrText xml:space="preserve"> ADDIN ZOTERO_ITEM CSL_CITATION {"citationID":"0HCovzHt","properties":{"formattedCitation":"(Marzban &amp; Sandgathe, 2010)","plainCitation":"(Marzban &amp; Sandgathe, 2010)","noteIndex":0},"citationItems":[{"id":678,"uris":["http://zotero.org/users/8730623/items/W4J9E9M4"],"itemData":{"id":678,"type":"article-journal","abstract":"Abstract Modern numerical weather prediction (NWP) models produce forecasts that are gridded spatial fields. Digital images can also be viewed as gridded spatial fields, and as such, techniques from image analysis can be employed to address the problem of verification of NWP forecasts. One technique for estimating how images change temporally is called optical flow, where it is assumed that temporal changes in images (e.g., in a video) can be represented as a fluid flowing in some manner. Multiple realizations of the general idea have already been employed in verification problems as well as in data assimilation. Here, a specific formulation of optical flow, called Lucas–Kanade, is reviewed and generalized as a tool for estimating three components of forecast error: intensity and two components of displacement, direction and distance. The method is illustrated first on simulated data, and then on a 418-day series of 24-h forecasts of sea level pressure from one member [the Global Forecast System (GFS)–fifth-generation Pennsylvania State University–National Center for Atmospheric Research Mesoscale Model (MM5)] of the University of Washington’s Mesoscale Ensemble system. The simulation study confirms (and quantifies) the expectation that the method correctly assesses forecast errors. The method is also applied to a real dataset consisting of 418 twenty-four-hour forecasts spanning 2 April 2008–2 November 2009, demonstrating its value for analyzing NWP model performance. Results reveal a significant intensity bias in the subtropics, especially in the southern California region. They also expose a systematic east-northeast or downstream bias of approximately 50 km over land, possibly due to the treatment of terrain in the coarse-resolution model.","container-title":"Weather and Forecasting","DOI":"10.1175/2010WAF2222351.1","ISSN":"1520-0434, 0882-8156","issue":"5","language":"EN","note":"number: 5\npublisher: American Meteorological Society\nsection: Weather and Forecasting","page":"1479-1494","source":"journals.ametsoc.org","title":"Optical Flow for Verification","volume":"25","author":[{"family":"Marzban","given":"Caren"},{"family":"Sandgathe","given":"Scott"}],"issued":{"date-parts":[["2010",10,1]]}}}],"schema":"https://github.com/citation-style-language/schema/raw/master/csl-citation.json"} </w:instrText>
      </w:r>
      <w:r w:rsidR="00954762" w:rsidRPr="00E7031F">
        <w:fldChar w:fldCharType="separate"/>
      </w:r>
      <w:r w:rsidR="009B45C2" w:rsidRPr="009B45C2">
        <w:t>(Marzban &amp; Sandgathe, 2010)</w:t>
      </w:r>
      <w:r w:rsidR="00954762" w:rsidRPr="00E7031F">
        <w:fldChar w:fldCharType="end"/>
      </w:r>
      <w:r w:rsidR="00FB0244" w:rsidRPr="00E7031F">
        <w:t xml:space="preserve">. In recent years, the optical flow approach has been </w:t>
      </w:r>
      <w:r w:rsidR="00250A91" w:rsidRPr="00250A91">
        <w:rPr>
          <w:rFonts w:hint="eastAsia"/>
        </w:rPr>
        <w:t>applied</w:t>
      </w:r>
      <w:r w:rsidR="00FB0244" w:rsidRPr="00E7031F">
        <w:t xml:space="preserve"> in the research of new generation geostationary satellite products. </w:t>
      </w:r>
      <w:r w:rsidR="00954762" w:rsidRPr="00E7031F">
        <w:fldChar w:fldCharType="begin"/>
      </w:r>
      <w:r w:rsidR="009B45C2">
        <w:instrText xml:space="preserve"> ADDIN ZOTERO_ITEM CSL_CITATION {"citationID":"rzUqF1IX","properties":{"formattedCitation":"(Vandal &amp; Nemani, 2020)","plainCitation":"(Vandal &amp; Nemani, 2020)","noteIndex":0},"citationItems":[{"id":659,"uris":["http://zotero.org/users/8730623/items/FLUZTI2M"],"itemData":{"id":659,"type":"article-journal","abstract":"Applications of satellite data in areas such as weather tracking and modeling, ecosystem monitoring, wildfire detection, and landcover change are heavily dependent on the trade-offs to spatial, spectral and temporal resolutions of observations. In weather tracking, high-frequency temporal observations are critical and used to improve forecasts, study severe events, and extract atmospheric motion, among others. However, while the current generation of geostationary satellites have hemispheric coverage at 10-15 minute intervals, higher temporal frequency observations are ideal for studying mesoscale severe weather events. In this work, we apply a task specific optical flow approach to temporal up-sampling using deep convolutional neural networks. We apply this technique to 16-bands of GOES-R/Advanced Baseline Imager mesoscale dataset to temporally enhance full disk hemispheric snapshots of different spatial resolutions from 15 minutes to 1 minute. Experiments show the effectiveness of task specific optical flow and multi-scale blocks for interpolating high-frequency severe weather events relative to bilinear and global optical flow baselines. Lastly, we demonstrate strong performance in capturing variability during a convective precipitation events.","language":"en","page":"9","source":"Zotero","title":"Temporal Interpolation of Geostationary Satellite Imagery with Task Specific Optical Flow","author":[{"family":"Vandal","given":"Thomas"},{"family":"Nemani","given":"Ramakrishna"}],"issued":{"date-parts":[["2020"]]}}}],"schema":"https://github.com/citation-style-language/schema/raw/master/csl-citation.json"} </w:instrText>
      </w:r>
      <w:r w:rsidR="00954762" w:rsidRPr="00E7031F">
        <w:fldChar w:fldCharType="separate"/>
      </w:r>
      <w:r w:rsidR="009B45C2" w:rsidRPr="009B45C2">
        <w:t>Vandal and Nemani (2020)</w:t>
      </w:r>
      <w:r w:rsidR="00954762" w:rsidRPr="00E7031F">
        <w:fldChar w:fldCharType="end"/>
      </w:r>
      <w:r w:rsidR="00FB0244" w:rsidRPr="00E7031F">
        <w:t xml:space="preserve"> improved the temporal resolution of 10.8 μm infrared </w:t>
      </w:r>
      <w:r>
        <w:t>longwave</w:t>
      </w:r>
      <w:r w:rsidR="00FB0244" w:rsidRPr="00E7031F">
        <w:t xml:space="preserve"> radiation products of the new generation Geostationary Operational Environmental Satellite from 15 min to 1 min using the optical flow approach</w:t>
      </w:r>
      <w:r w:rsidR="00F5450D">
        <w:t>,</w:t>
      </w:r>
      <w:r w:rsidR="00FB0244" w:rsidRPr="00E7031F">
        <w:t xml:space="preserve"> and </w:t>
      </w:r>
      <w:r w:rsidR="00F5450D">
        <w:t xml:space="preserve">they </w:t>
      </w:r>
      <w:r w:rsidR="00FB0244" w:rsidRPr="00E7031F">
        <w:t>successfully captured the evolution of a severe convective event.</w:t>
      </w:r>
      <w:r w:rsidR="00954762" w:rsidRPr="00E7031F">
        <w:fldChar w:fldCharType="begin"/>
      </w:r>
      <w:r w:rsidR="009B45C2">
        <w:instrText xml:space="preserve"> ADDIN ZOTERO_ITEM CSL_CITATION {"citationID":"5cKWSG0v","properties":{"formattedCitation":"(Burton et al., 2022)","plainCitation":"(Burton et al., 2022)","noteIndex":0},"citationItems":[{"id":675,"uris":["http://zotero.org/users/8730623/items/B9AI8R53"],"itemData":{"id":675,"type":"article-journal","abstract":"Abstract The ability to predict heavy rain and floods in Africa is urgently needed to reduce the socioeconomic costs of these events and increase resilience as climate changes. Numerical weather prediction in this region is challenging, and attention is being drawn to observationally based methods of providing short-term nowcasts (up to </w:instrText>
      </w:r>
      <w:r w:rsidR="009B45C2">
        <w:rPr>
          <w:rFonts w:ascii="Cambria Math" w:hAnsi="Cambria Math" w:cs="Cambria Math"/>
        </w:rPr>
        <w:instrText>∼</w:instrText>
      </w:r>
      <w:r w:rsidR="009B45C2">
        <w:instrText xml:space="preserve">6-h lead time). In this paper a freely available nowcasting package, pySTEPS, is used to assess the potential to provide nowcasts of satellite-derived convective rain rate for West Africa. By analyzing a large number of nowcasts, we demonstrate that a simple approach of “optical flow” can have useful skill at 2-h lead time on a 10-km scale and 4-h lead time at larger scales (200 km). A diurnal variation in nowcast skill is observed, with the worst-performing nowcasts being those that are initialized at 1500 UTC. Comparison with existing nowcasts is presented. Such nowcasts, if implemented operationally, would be expected to have significant benefits. Significance Statement A freely available, easy-to-use nowcasting package has been applied to satellite-retrieved rainfall rates for West Africa, and extrapolations have useful skill at up to 4 h of lead time.","container-title":"Weather and Forecasting","DOI":"10.1175/WAF-D-21-0051.1","ISSN":"1520-0434, 0882-8156","issue":"4","language":"EN","note":"number: 4\npublisher: American Meteorological Society\nsection: Weather and Forecasting","page":"445-455","source":"journals.ametsoc.org","title":"Satellite-Based Nowcasting of West African Mesoscale Storms Has Skill at up to 4-h Lead Time","volume":"37","author":[{"family":"Burton","given":"R. R."},{"family":"Blyth","given":"A. M."},{"family":"Cui","given":"Z."},{"family":"Groves","given":"J."},{"family":"Lamptey","given":"B. L."},{"family":"Fletcher","given":"J. K."},{"family":"Marsham","given":"J. H."},{"family":"Parker","given":"D. J."},{"family":"Roberts","given":"A."}],"issued":{"date-parts":[["2022",4,1]]}}}],"schema":"https://github.com/citation-style-language/schema/raw/master/csl-citation.json"} </w:instrText>
      </w:r>
      <w:r w:rsidR="00954762" w:rsidRPr="00E7031F">
        <w:fldChar w:fldCharType="separate"/>
      </w:r>
      <w:r w:rsidR="009B45C2" w:rsidRPr="009B45C2">
        <w:t xml:space="preserve"> Burton et al. (2022)</w:t>
      </w:r>
      <w:r w:rsidR="00954762" w:rsidRPr="00E7031F">
        <w:fldChar w:fldCharType="end"/>
      </w:r>
      <w:r w:rsidR="00CD7B65" w:rsidRPr="00E7031F">
        <w:t xml:space="preserve"> applied the optical flow approach to satellite-retrieved rainfall rate products for West Africa</w:t>
      </w:r>
      <w:r>
        <w:t>,</w:t>
      </w:r>
      <w:r w:rsidR="00CD7B65" w:rsidRPr="00E7031F">
        <w:t xml:space="preserve"> and extrapolations </w:t>
      </w:r>
      <w:r w:rsidR="00D66B8B" w:rsidRPr="00D66B8B">
        <w:rPr>
          <w:rFonts w:hint="eastAsia"/>
        </w:rPr>
        <w:t>showed</w:t>
      </w:r>
      <w:r w:rsidR="00730C3F" w:rsidRPr="00E7031F">
        <w:t xml:space="preserve"> useful skill at up to 4 h of lead time. In the present study, the areal overlapping method is used to track MCSs, and the optical flow is calculated to help improve accuracy.</w:t>
      </w:r>
    </w:p>
    <w:p w14:paraId="0278D786" w14:textId="3F000BF9" w:rsidR="00CD7B65" w:rsidRPr="00E7031F" w:rsidRDefault="00CE43C3" w:rsidP="00C37CFA">
      <w:pPr>
        <w:pStyle w:val="ParagraphText"/>
        <w:ind w:firstLine="480"/>
      </w:pPr>
      <w:r w:rsidRPr="00E7031F">
        <w:t xml:space="preserve">Previous studies </w:t>
      </w:r>
      <w:r w:rsidR="00F103E8">
        <w:t xml:space="preserve">have </w:t>
      </w:r>
      <w:r w:rsidRPr="00E7031F">
        <w:t xml:space="preserve">mainly </w:t>
      </w:r>
      <w:r w:rsidR="00F103E8">
        <w:t>focused</w:t>
      </w:r>
      <w:r w:rsidRPr="00E7031F">
        <w:t xml:space="preserve"> on the process from the formation to the termination of </w:t>
      </w:r>
      <w:r w:rsidR="00F5450D">
        <w:t xml:space="preserve">an </w:t>
      </w:r>
      <w:r w:rsidRPr="00E7031F">
        <w:t>MCS. Due to the data resolution and technical method</w:t>
      </w:r>
      <w:r w:rsidR="00F5450D" w:rsidRPr="00F5450D">
        <w:t xml:space="preserve"> </w:t>
      </w:r>
      <w:r w:rsidR="00F5450D">
        <w:t>limitations</w:t>
      </w:r>
      <w:r w:rsidRPr="00E7031F">
        <w:t xml:space="preserve">, few studies </w:t>
      </w:r>
      <w:r w:rsidR="00F103E8">
        <w:t>have focused on</w:t>
      </w:r>
      <w:r w:rsidRPr="00E7031F">
        <w:t xml:space="preserve"> the initiation of </w:t>
      </w:r>
      <w:r w:rsidR="00F5450D">
        <w:t xml:space="preserve">an </w:t>
      </w:r>
      <w:r w:rsidRPr="00E7031F">
        <w:t xml:space="preserve">MCS. </w:t>
      </w:r>
      <w:r w:rsidR="00954762" w:rsidRPr="00E7031F">
        <w:fldChar w:fldCharType="begin"/>
      </w:r>
      <w:r w:rsidR="009B45C2">
        <w:instrText xml:space="preserve"> ADDIN ZOTERO_ITEM CSL_CITATION {"citationID":"yftnjeub","properties":{"formattedCitation":"(Roberts &amp; Rutledge, 2003)","plainCitation":"(Roberts &amp; Rutledge, 2003)","noteIndex":0},"citationItems":[{"id":609,"uris":["http://zotero.org/users/8730623/items/RA9KP2IJ"],"itemData":{"id":609,"type":"article-journal","abstract":"The evolution of cumulus clouds over a variety of radar-detected, boundary layer convergence features in eastern Colorado has been examined using Geostationary Operational Environmental Satellite (GOES) imagery and Weather Surveillance Radar-1988 Doppler (WSR-88D) data. While convective storms formed above horizontal rolls in the absence of any additional surface forcing, the most intense storms initiated in regions above: gust fronts, gust front interaction with horizontal rolls, and terrain-induced stationary convergence zones. The onset of vigorous cloud growth leading to storm development was characterized by cloud tops that reached subfreezing temperatures and exhibited large cooling rates at cloud top 15 min prior to the ﬁrst detection of 10dBZ radar echoes aloft and 30 min before 35 dBZ. The rate of cloud-top temperature change was found to be important for discriminating between weakly precipitating storms (Ͻ35 dBZ) and vigorous convective storms (Ͼ35 dBZ). Results from this study have been used to increase the lead time of thunderstorm initiation nowcasts with the NCAR automated, convective storm nowcasting system. This improvement is demonstrated at two operational forecast ofﬁces in Virginia and New Mexico.","container-title":"Weather and Forecasting","DOI":"10.1175/1520-0434(2003)018&lt;0562:NSIAGU&gt;2.0.CO;2","ISSN":"0882-8156, 1520-0434","issue":"4","journalAbbreviation":"Wea. Forecasting","language":"en","note":"number: 4","page":"562-584","source":"DOI.org (Crossref)","title":"Nowcasting Storm Initiation and Growth Using GOES-8 and WSR-88D Data","volume":"18","author":[{"family":"Roberts","given":"Rita D."},{"family":"Rutledge","given":"Steven"}],"issued":{"date-parts":[["2003",8]]}}}],"schema":"https://github.com/citation-style-language/schema/raw/master/csl-citation.json"} </w:instrText>
      </w:r>
      <w:r w:rsidR="00954762" w:rsidRPr="00E7031F">
        <w:fldChar w:fldCharType="separate"/>
      </w:r>
      <w:r w:rsidR="009B45C2" w:rsidRPr="009B45C2">
        <w:t>Roberts and Rutledge (2003)</w:t>
      </w:r>
      <w:r w:rsidR="00954762" w:rsidRPr="00E7031F">
        <w:fldChar w:fldCharType="end"/>
      </w:r>
      <w:r w:rsidRPr="00E7031F">
        <w:t xml:space="preserve"> suggested that the precursor signal of convection initiation (CI) can be captured on </w:t>
      </w:r>
      <w:r w:rsidR="00F103E8">
        <w:t>satellites</w:t>
      </w:r>
      <w:r w:rsidR="00D26C88" w:rsidRPr="00D26C88">
        <w:rPr>
          <w:rFonts w:hint="eastAsia"/>
        </w:rPr>
        <w:t>.</w:t>
      </w:r>
      <w:r w:rsidR="003B5DE7">
        <w:t xml:space="preserve"> </w:t>
      </w:r>
      <w:r w:rsidR="00F5450D">
        <w:t>Subsequently</w:t>
      </w:r>
      <w:r w:rsidR="003B5DE7">
        <w:t xml:space="preserve">, two algorithms for identifying precursor </w:t>
      </w:r>
      <w:r w:rsidR="00F103E8">
        <w:t>signals</w:t>
      </w:r>
      <w:r w:rsidR="003B5DE7">
        <w:t xml:space="preserve"> and predicting CI based on satellite </w:t>
      </w:r>
      <w:r w:rsidR="00F103E8">
        <w:t xml:space="preserve">observations were </w:t>
      </w:r>
      <w:r w:rsidR="003B5DE7">
        <w:t>developed, namely</w:t>
      </w:r>
      <w:r w:rsidR="00F103E8">
        <w:t>,</w:t>
      </w:r>
      <w:r w:rsidR="003B5DE7">
        <w:t xml:space="preserve"> </w:t>
      </w:r>
      <w:r w:rsidR="00F103E8">
        <w:t xml:space="preserve">the </w:t>
      </w:r>
      <w:r w:rsidR="003B5DE7">
        <w:t>SATCAST (</w:t>
      </w:r>
      <w:r w:rsidR="003B5DE7" w:rsidRPr="00544BBB">
        <w:t>satellite convection analysis and tracking algorithm</w:t>
      </w:r>
      <w:r w:rsidR="00197758">
        <w:t xml:space="preserve">) algorithm </w:t>
      </w:r>
      <w:r w:rsidR="00954762" w:rsidRPr="00E7031F">
        <w:fldChar w:fldCharType="begin"/>
      </w:r>
      <w:r w:rsidR="009B45C2">
        <w:instrText xml:space="preserve"> ADDIN ZOTERO_ITEM CSL_CITATION {"citationID":"lmzsjUdA","properties":{"formattedCitation":"(Mecikalski &amp; Bedka, 2006; Sieglaff et al., 2011)","plainCitation":"(Mecikalski &amp; Bedka, 2006; Sieglaff et al., 2011)","noteIndex":0},"citationItems":[{"id":611,"uris":["http://zotero.org/users/8730623/items/VZILAECD"],"itemData":{"id":611,"type":"article-journal","abstract":"This study identifies the precursor signals of convective initiation within sequences of 1-km-resolution visible (VIS) and 4–8-km infrared (IR) imagery from the Geostationary Operational Environmental Satellite (GOES) instrument. Convective initiation (CI) is defined for this study as the first detection of Weather Surveillance Radar-1988 Doppler (WSR-88D) reflectivities Ն35 dBZ produced by convective clouds. Results indicate that CI may be forecasted ϳ30–45 min in advance through the monitoring of key IR fields for convective clouds. This is made possible by the coincident use of three components of GOES data: 1) a cumulus cloud “mask” at 1-km resolution using VIS and IR data, 2) satellite-derived atmospheric motion vectors (AMVs) for tracking individual cumulus clouds, and 3) IR brightness temperature (TB) and multispectral band-differencing time trends. In effect, these techniques isolate only the cumulus convection in satellite imagery, track moving cumulus convection, and evaluate various IR cloud properties in time. Convective initiation is predicted by accumulating information within a satellite pixel that is attributed to the first occurrence of a Ն35 dBZ radar echo. Through the incorporation of satellite tracking of moving cumulus clouds, this work represents a significant advance in the use of routinely available GOES data for monitoring aspects of cumulus clouds important for nowcasting CI (0–1-h forecasts). Once cumulus cloud tracking is established, eight predictor fields based on Lagrangian trends in IR data are used to characterize cloud conditions consistent with CI. Cumulus cloud pixels for which Ն7 of the 8 CI indicators are satisfied are labeled as having high CI potential, assuming an extrapolation of past trends into the future. Comparison to future WSR-88D imagery then measures the method’s predictive skill. Convective initiation predictability is demonstrated using several convective events—one during IHOP_2002—that occur over a variety of synoptic and mesoscale forcing regimes.","container-title":"Monthly Weather Review","DOI":"10.1175/MWR3062.1","ISSN":"1520-0493, 0027-0644","issue":"1","language":"en","note":"number: 1","page":"49-78","source":"DOI.org (Crossref)","title":"Forecasting Convective Initiation by Monitoring the Evolution of Moving Cumulus in Daytime GOES Imagery","volume":"134","author":[{"family":"Mecikalski","given":"John R."},{"family":"Bedka","given":"Kristopher M."}],"issued":{"date-parts":[["2006",1,1]]}}},{"id":608,"uris":["http://zotero.org/users/8730623/items/MU4BVPPP"],"itemData":{"id":608,"type":"article-journal","abstract":"Short-term (0–1 h) convective storm nowcasting remains a problem for operational weather forecasting, and convective storms pose a signiﬁcant monetary sink for the aviation industry. Numerical weather prediction models, traditional meteorological observations, and radar are all useful for short-term convective forecasting, but all have shortcomings. Geostationary imagers, while having their own shortcomings, are valuable assets for addressing the convective initiation nowcast problem. The University of Wisconsin Convective Initiation (UWCI) nowcasting algorithm is introduced for use as an objective, satellite-based decision support tool. The UWCI algorithm computes Geostationary Operational Environmental Satellite (GOES) Imager infrared window channel box-averaged cloud-top cooling rates and creates convective initiation nowcasts based on a combination of cloud-top cooling rates and satellite-derived cloud-top type–phase trends. The UWCI approach offers advantages over existing techniques, such as increased computational efﬁciency (decreased runtime) and day–night independence. A validation of the UWCI algorithm relative to cloud-to-ground lightning initiation events is also presented for 23 convective afternoons and 11 convective nights over the central United States during April–June and 1 night of July during 2008 and 2009. The mean probability of detection and false-alarm ratio are 56.3% (47.0%) and 25.5% (34.8%), respectively, for regions within a Storm Prediction Center severe storm risk area (entire validation domain). The UWCI algorithm is shown to perform 1) better in regimes with storms developing in previously clear to partly cloudy skies and along sharp boundaries and 2) poorer in other regimes such as scenes covered with cirrus shields, existing convective anvils, and fast cloud motion.","container-title":"Journal of Applied Meteorology and Climatology","DOI":"10.1175/2010JAMC2496.1","ISSN":"1558-8432, 1558-8424","issue":"1","language":"en","note":"number: 1","page":"110-126","source":"DOI.org (Crossref)","title":"Nowcasting Convective Storm Initiation Using Satellite-Based Box-Averaged Cloud-Top Cooling and Cloud-Type Trends","volume":"50","author":[{"family":"Sieglaff","given":"Justin M."},{"family":"Cronce","given":"Lee M."},{"family":"Feltz","given":"Wayne F."},{"family":"Bedka","given":"Kristopher M."},{"family":"Pavolonis","given":"Michael J."},{"family":"Heidinger","given":"Andrew K."}],"issued":{"date-parts":[["2011",1,1]]}}}],"schema":"https://github.com/citation-style-language/schema/raw/master/csl-citation.json"} </w:instrText>
      </w:r>
      <w:r w:rsidR="00954762" w:rsidRPr="00E7031F">
        <w:fldChar w:fldCharType="separate"/>
      </w:r>
      <w:r w:rsidR="009B45C2" w:rsidRPr="009B45C2">
        <w:t xml:space="preserve">(Mecikalski &amp; Bedka, 2006) </w:t>
      </w:r>
      <w:r w:rsidR="00954762" w:rsidRPr="00E7031F">
        <w:fldChar w:fldCharType="end"/>
      </w:r>
      <w:r w:rsidR="003B5DE7">
        <w:t>and</w:t>
      </w:r>
      <w:r w:rsidR="00F103E8">
        <w:t xml:space="preserve"> the</w:t>
      </w:r>
      <w:r w:rsidR="003B5DE7">
        <w:t xml:space="preserve"> UWCI (</w:t>
      </w:r>
      <w:r w:rsidR="003B5DE7" w:rsidRPr="00544BBB">
        <w:t>University of Wisconsin Convective Initiation</w:t>
      </w:r>
      <w:r w:rsidRPr="00E7031F">
        <w:t xml:space="preserve">) algorithm (Sieglaff et al., 2011). Both scientific research and operational practice have shown that the initiation of </w:t>
      </w:r>
      <w:r w:rsidR="00F103E8">
        <w:t>MCSs</w:t>
      </w:r>
      <w:r w:rsidRPr="00E7031F">
        <w:t xml:space="preserve"> can be identified through satellite </w:t>
      </w:r>
      <w:r w:rsidR="00F103E8">
        <w:t>observations</w:t>
      </w:r>
      <w:r w:rsidRPr="00E7031F">
        <w:t>.</w:t>
      </w:r>
    </w:p>
    <w:p w14:paraId="1BB3CEB1" w14:textId="15680629" w:rsidR="00CE43C3" w:rsidRPr="00E7031F" w:rsidRDefault="003B43C3" w:rsidP="00C37CFA">
      <w:pPr>
        <w:pStyle w:val="ParagraphText"/>
        <w:ind w:firstLine="480"/>
      </w:pPr>
      <w:r w:rsidRPr="00E7031F">
        <w:t>As mentioned above, MCSs have a wide spectrum of spatial and temporal scales, and the features of MCSs, such as the cloud extent, cloud top temperature and cloud motion, vary world</w:t>
      </w:r>
      <w:r w:rsidR="00F5450D">
        <w:t>wide</w:t>
      </w:r>
      <w:r w:rsidRPr="00E7031F">
        <w:t xml:space="preserve"> </w:t>
      </w:r>
      <w:r w:rsidR="000334C8" w:rsidRPr="00E7031F">
        <w:fldChar w:fldCharType="begin"/>
      </w:r>
      <w:r w:rsidR="009B45C2">
        <w:instrText xml:space="preserve"> ADDIN ZOTERO_ITEM CSL_CITATION {"citationID":"0Ig5VWfd","properties":{"formattedCitation":"(Feng et al., 2019; Kolios &amp; Feidas, 2010; Morel &amp; Senesi, 2002; Punkka &amp; Bister, 2015; Rehbein et al., 2018)","plainCitation":"(Feng et al., 2019; Kolios &amp; Feidas, 2010; Morel &amp; Senesi, 2002; Punkka &amp; Bister, 2015; Rehbein et al., 2018)","noteIndex":0},"citationItems":[{"id":480,"uris":["http://zotero.org/users/8730623/items/92TEEJ6R"],"itemData":{"id":480,"type":"article-journal","container-title":"Quarterly Journal of the Royal Meteorological Society","DOI":"10.1256/003590002320603485","ISSN":"00000000, 00359009","issue":"584","journalAbbreviation":"Q. J. R. Meteorol. Soc.","language":"en","note":"number: 584","page":"1953-1971","source":"DOI.org (Crossref)","title":"A climatology of mesoscale convective systems over Europe using satellite infrared imagery. I: Methodology","title-short":"A climatology of mesoscale convective systems over Europe using satellite infrared imagery. I","volume":"128","author":[{"family":"Morel","given":"C."},{"family":"Senesi","given":"S."}],"issued":{"date-parts":[["2002",7,15]]}}},{"id":932,"uris":["http://zotero.org/users/8730623/items/6KR4L2MF"],"itemData":{"id":932,"type":"article-journal","abstract":"A 3-year climatology of isolated warm season mesoscale convective systems (MCSs) was built for the Mediterranean basin using Meteosat Second Generation infrared imagery and an objective identification and tracking algorithm. A dataset of 4,718 MCS trajectories was constructed for the warm season of the period 2005-2007, which in turn was split into two subsets (deep and weak convective) according to the intensity of convection using a discriminant parameter in the MCS properties. Several parameters related to geographical, temporal, radiative, morphological, and motion related properties were calculated for each MCS. The majority of MCSs are mainly continental and strongly correlated with orography showing an increased formation from April to June when maximum is found. Initiation and dissipation time revealed a distinct diurnal cycle having a strong correlation with the typical diurnal heating cycle of the atmosphere. On average, a typical isolated MCS in the Mediterranean basin initiates between 14:00 and 17:00 local solar time, tends to be small with elongated shape, short-lived, usually moving toward northeast to southeast with a mean velocity of 36 km/h. When comparing the two MCS subsets, some notable differences were revealed. Weak convective MCSs initiate earlier, move faster, travel longer, tend to reach slightly smaller sizes, are more linear, present higher cloud top temperatures, and have lower fractions of convective cloud type areas than deep convective systems.","archive_location":"WOS:000281741700003","container-title":"THEORETICAL AND APPLIED CLIMATOLOGY","DOI":"10.1007/s00704-009-0241-7","ISSN":"0177-798X","issue":"1-2","note":"number: 1-2","page":"29-42","title":"A warm season climatology of mesoscale convective systems in the Mediterranean basin using satellite data","volume":"102","author":[{"family":"Kolios","given":"Stavros"},{"family":"Feidas","given":"Haralambos"}],"issued":{"date-parts":[["2010",10]]}}},{"id":113,"uris":["http://zotero.org/users/8730623/items/HK788XM9"],"itemData":{"id":113,"type":"article-journal","abstract":"Abstract The environments within which high-latitude intense and nonintense mesoscale convective systems (iMCSs and niMCSs) and smaller thunderstorm clusters (sub-MCSs) develop were studied using proximity soundings. MCS statistics covering 8 years were created by analyzing composite radar imagery. One-third of all systems were intense in Finland and the frequency of MCSs was highest in July. On average, MCSs had a duration of 10.8 h and traveled toward the northeast. Many of the linear MCSs had a southwest–northeast line orientation. Interestingly, a few MCSs were observed to travel toward the west, which is a geographically specific feature of the MCS characteristics. The midlevel lapse rate failed to distinguish the environments of the different event types from each other. However, in MCSs, CAPE and the low-level mixing ratio were higher, the deep-layer-mean wind was stronger, and the lifting condensation level (LCL) was lower than in sub-MCSs. CAPE, low-level mixing ratio, and LCL height were the best discriminators between iMCSs and niMCSs. The mean wind over deep layers distinguished the severe wind–producing events from the nonsevere events better than did the vertical equivalent potential temperature difference or the wind shear in shallow layers. No evidence was found to support the hypothesis that dry air at low- and midlevels would increase the likelihood of severe convective winds. Instead, abundant low- and midlevel moisture was present during both iMCS cases and significant wind events. These results emphasize the pronounced role of low- and midlevel moisture on the longevity and intensity of deep moist convection in low-CAPE environments.","container-title":"Weather and Forecasting","DOI":"10.1175/WAF-D-13-00146.1","ISSN":"1520-0434, 0882-8156","issue":"1","language":"EN","note":"number: 1\npublisher: American Meteorological Society\nsection: Weather and Forecasting","page":"182-196","source":"journals.ametsoc.org","title":"Mesoscale Convective Systems and Their Synoptic-Scale Environment in Finland","volume":"30","author":[{"family":"Punkka","given":"Ari-Juhani"},{"family":"Bister","given":"Marja"}],"issued":{"date-parts":[["2015",2,1]]}}},{"id":585,"uris":["http://zotero.org/users/8730623/items/PLAW3HQ8"],"itemData":{"id":585,"type":"article-journal","abstract":"Mesoscale convective systems (MCSs) over the Amazon basin provide a large contribution to regional precipitation, which strongly influences the maintenance of unique ecosystems. Despite the importance of these MCSs, their characteristics are not well described in the literature. The present study uses a 14-year long (2000-2013) data set of high-resolution (4km; 30min) infrared satellite images to compile a climatology of MCSs that during the period of analysis were within the borders of the Amazon basin at some point in their lifespan. MCSs that originated over the continent and the ocean are considered separately. It is found that on average about 7200 continental and 50 oceanic MCSs occurred per year in the Amazon basin. The majority (minority) of continental (oceanic) MCSs completed their lifecycles between 3 and 5.5h. These MCSs are studied separately from those with lifespan longer than 6h. Continental and oceanic MCSs over the Amazon occurred primarily during austral summer and autumn-winter, respectively. The preferred regions and time for genesis of continental and oceanic MCSs are identified. The average area, propagation speed and direction of displacement for MCSs in the different stages of their lifecycle are also examined.","archive_location":"WOS:000419093600016","container-title":"INTERNATIONAL JOURNAL OF CLIMATOLOGY","DOI":"10.1002/joc.5171","ISSN":"0899-8418","issue":"1","note":"number: 1","page":"215-229","title":"Mesoscale convective systems over the Amazon basin. Part I: climatological aspects","volume":"38","author":[{"family":"Rehbein","given":"Amanda"},{"family":"Ambrizzi","given":"Tercio"},{"family":"Mechoso","given":"Carlos Roberto"}],"issued":{"date-parts":[["2018",1]]}}},{"id":1551,"uris":["http://zotero.org/users/8730623/items/GFQSB3CH"],"itemData":{"id":1551,"type":"article-journal","abstract":"ABSTRACT The spatiotemporal variability and three-dimensional structures of mesoscale convective systems (MCSs) east of the U.S. Rocky Mountains and their large-scale environments are characterized across all seasons using 13 years of high-resolution radar and satellite observations. Long-lived and intense MCSs account for over 50% of warm season precipitation in the Great Plains and over 40% of cold season precipitation in the southeast. The Great Plains has the strongest MCS seasonal cycle peaking in May–June, whereas in the U.S. southeast MCSs occur year-round. Distinctly different large-scale environments across the seasons have significant impacts on the structure of MCSs. Spring and fall MCSs commonly initiate under strong baroclinic forcing and favorable thermodynamic environments. MCS genesis frequently occurs in the Great Plains near sunset, although convection is not always surface based. Spring MCSs feature both large and deep convection, with a large stratiform rain area and high volume of rainfall. In contrast, summer MCSs often initiate under weak baroclinic forcing, featuring a high pressure ridge with weak low-level convergence acting on the warm, humid air associated with the low-level jet. MCS genesis concentrates east of the Rocky Mountain Front Range and near the southeast coast in the afternoon. The strongest MCS diurnal cycle amplitude extends from the foothills of the Rocky Mountains to the Great Plains. Summer MCSs have the largest and deepest convective features, the smallest stratiform rain area, and the lowest rainfall volume. Last, winter MCSs are characterized by the strongest baroclinic forcing and the largest MCS precipitation features over the southeast. Implications of the findings for climate modeling are discussed.","container-title":"Journal of Climate","DOI":"10.1175/JCLI-D-19-0137.1","ISSN":"0894-8755, 1520-0442","issue":"21","language":"EN","note":"number: 21\npublisher: American Meteorological Society\nsection: Journal of Climate","page":"7303-7328","source":"journals.ametsoc.org","title":"Spatiotemporal Characteristics and Large-Scale Environments of Mesoscale Convective Systems East of the Rocky Mountains","volume":"32","author":[{"family":"Feng","given":"Zhe"},{"family":"Houze","given":"Robert A."},{"family":"Leung","given":"L. Ruby"},{"family":"Song","given":"Fengfei"},{"family":"Hardin","given":"Joseph C."},{"family":"Wang","given":"Jingyu"},{"family":"Gustafson","given":"William I."},{"family":"Homeyer","given":"Cameron R."}],"issued":{"date-parts":[["2019",11,1]]}}}],"schema":"https://github.com/citation-style-language/schema/raw/master/csl-citation.json"} </w:instrText>
      </w:r>
      <w:r w:rsidR="000334C8" w:rsidRPr="00E7031F">
        <w:fldChar w:fldCharType="separate"/>
      </w:r>
      <w:r w:rsidR="009B45C2" w:rsidRPr="009B45C2">
        <w:t>(Feng et al., 2019; Kolios &amp; Feidas, 2010; Morel &amp; Senesi, 2002; Punkka &amp; Bister, 2015; Rehbein et al., 2018)</w:t>
      </w:r>
      <w:r w:rsidR="000334C8" w:rsidRPr="00E7031F">
        <w:fldChar w:fldCharType="end"/>
      </w:r>
      <w:r w:rsidR="000334C8" w:rsidRPr="00E7031F">
        <w:t xml:space="preserve">. </w:t>
      </w:r>
      <w:r w:rsidR="00F103E8">
        <w:t>The activities</w:t>
      </w:r>
      <w:r w:rsidR="000334C8" w:rsidRPr="00E7031F">
        <w:t xml:space="preserve"> of </w:t>
      </w:r>
      <w:r w:rsidR="00F103E8">
        <w:t>MCSs</w:t>
      </w:r>
      <w:r w:rsidR="000334C8" w:rsidRPr="00E7031F">
        <w:t xml:space="preserve"> in China have regional characteristics: the highest frequency of </w:t>
      </w:r>
      <w:r w:rsidR="00F103E8">
        <w:t>MCSs</w:t>
      </w:r>
      <w:r w:rsidR="000334C8" w:rsidRPr="00E7031F">
        <w:t xml:space="preserve"> over </w:t>
      </w:r>
      <w:r w:rsidR="00F103E8">
        <w:t xml:space="preserve">the </w:t>
      </w:r>
      <w:r w:rsidR="000334C8" w:rsidRPr="00E7031F">
        <w:t xml:space="preserve">Tibetan Plateau </w:t>
      </w:r>
      <w:r w:rsidR="00F5450D">
        <w:lastRenderedPageBreak/>
        <w:t>occurs</w:t>
      </w:r>
      <w:r w:rsidR="00F5450D" w:rsidRPr="00E7031F">
        <w:t xml:space="preserve"> </w:t>
      </w:r>
      <w:r w:rsidR="000334C8" w:rsidRPr="00E7031F">
        <w:t xml:space="preserve">in July </w:t>
      </w:r>
      <w:r w:rsidR="000334C8" w:rsidRPr="00E7031F">
        <w:fldChar w:fldCharType="begin"/>
      </w:r>
      <w:r w:rsidR="009B45C2">
        <w:instrText xml:space="preserve"> ADDIN ZOTERO_ITEM CSL_CITATION {"citationID":"onJEXYDj","properties":{"formattedCitation":"(Xidi Zhang et al., 2021; \\uc0\\u27743{} &amp; \\uc0\\u33539{}, 2002; \\uc0\\u40614{} et al., 2020)","plainCitation":"(Xidi Zhang et al., 2021; </w:instrText>
      </w:r>
      <w:r w:rsidR="009B45C2">
        <w:rPr>
          <w:rFonts w:ascii="宋体" w:eastAsia="宋体" w:hAnsi="宋体" w:cs="宋体" w:hint="eastAsia"/>
        </w:rPr>
        <w:instrText>江</w:instrText>
      </w:r>
      <w:r w:rsidR="009B45C2">
        <w:instrText xml:space="preserve"> &amp; </w:instrText>
      </w:r>
      <w:r w:rsidR="009B45C2">
        <w:rPr>
          <w:rFonts w:ascii="宋体" w:eastAsia="宋体" w:hAnsi="宋体" w:cs="宋体" w:hint="eastAsia"/>
        </w:rPr>
        <w:instrText>范</w:instrText>
      </w:r>
      <w:r w:rsidR="009B45C2">
        <w:instrText xml:space="preserve">, 2002; </w:instrText>
      </w:r>
      <w:r w:rsidR="009B45C2">
        <w:rPr>
          <w:rFonts w:ascii="宋体" w:eastAsia="宋体" w:hAnsi="宋体" w:cs="宋体" w:hint="eastAsia"/>
        </w:rPr>
        <w:instrText>麦</w:instrText>
      </w:r>
      <w:r w:rsidR="009B45C2">
        <w:instrText xml:space="preserve"> et al., 2020)","noteIndex":0},"citationItems":[{"id":600,"uris":["http://zotero.org/users/8730623/items/8NRQWRLW"],"itemData":{"id":600,"type":"article-journal","abstract":"</w:instrText>
      </w:r>
      <w:r w:rsidR="009B45C2">
        <w:rPr>
          <w:rFonts w:ascii="宋体" w:eastAsia="宋体" w:hAnsi="宋体" w:cs="宋体" w:hint="eastAsia"/>
        </w:rPr>
        <w:instrText>运用１９９８年６</w:instrText>
      </w:r>
      <w:r w:rsidR="009B45C2">
        <w:instrText>—</w:instrText>
      </w:r>
      <w:r w:rsidR="009B45C2">
        <w:rPr>
          <w:rFonts w:ascii="宋体" w:eastAsia="宋体" w:hAnsi="宋体" w:cs="宋体" w:hint="eastAsia"/>
        </w:rPr>
        <w:instrText>８月逐日逐时日本地球静止气象卫星（ＧＭＳ）</w:instrText>
      </w:r>
      <w:r w:rsidR="009B45C2">
        <w:instrText xml:space="preserve"> </w:instrText>
      </w:r>
      <w:r w:rsidR="009B45C2">
        <w:rPr>
          <w:rFonts w:ascii="宋体" w:eastAsia="宋体" w:hAnsi="宋体" w:cs="宋体" w:hint="eastAsia"/>
        </w:rPr>
        <w:instrText>红外辐射亮温资料，计算和分析了青藏高原及周边地区对流云和中尺度对流系统的活动，揭示了它们形成和发展的月际变化和地理分布、强度、日变化、移动和传播等诸多特征，以及与长江流域暴雨过程的关系。</w:instrText>
      </w:r>
      <w:r w:rsidR="009B45C2">
        <w:instrText>","container-title":"</w:instrText>
      </w:r>
      <w:r w:rsidR="009B45C2">
        <w:rPr>
          <w:rFonts w:ascii="宋体" w:eastAsia="宋体" w:hAnsi="宋体" w:cs="宋体" w:hint="eastAsia"/>
        </w:rPr>
        <w:instrText>大气科学</w:instrText>
      </w:r>
      <w:r w:rsidR="009B45C2">
        <w:instrText>","ISSN":"1006-9895","issue":"2","language":"</w:instrText>
      </w:r>
      <w:r w:rsidR="009B45C2">
        <w:rPr>
          <w:rFonts w:ascii="宋体" w:eastAsia="宋体" w:hAnsi="宋体" w:cs="宋体" w:hint="eastAsia"/>
        </w:rPr>
        <w:instrText>中文</w:instrText>
      </w:r>
      <w:r w:rsidR="009B45C2">
        <w:instrText>;","note":"number: 2\n152 citations(CNKI)[2022-6-30]&lt;</w:instrText>
      </w:r>
      <w:r w:rsidR="009B45C2">
        <w:rPr>
          <w:rFonts w:ascii="宋体" w:eastAsia="宋体" w:hAnsi="宋体" w:cs="宋体" w:hint="eastAsia"/>
        </w:rPr>
        <w:instrText>北大核心</w:instrText>
      </w:r>
      <w:r w:rsidR="009B45C2">
        <w:instrText>&gt;","page":"263-270","source":"CNKI","title":"</w:instrText>
      </w:r>
      <w:r w:rsidR="009B45C2">
        <w:rPr>
          <w:rFonts w:ascii="宋体" w:eastAsia="宋体" w:hAnsi="宋体" w:cs="宋体" w:hint="eastAsia"/>
        </w:rPr>
        <w:instrText>夏季青藏高原上的对流云和中尺度对流系统</w:instrText>
      </w:r>
      <w:r w:rsidR="009B45C2">
        <w:instrText>","author":[{"family":"</w:instrText>
      </w:r>
      <w:r w:rsidR="009B45C2">
        <w:rPr>
          <w:rFonts w:ascii="宋体" w:eastAsia="宋体" w:hAnsi="宋体" w:cs="宋体" w:hint="eastAsia"/>
        </w:rPr>
        <w:instrText>江</w:instrText>
      </w:r>
      <w:r w:rsidR="009B45C2">
        <w:instrText>","given":"</w:instrText>
      </w:r>
      <w:r w:rsidR="009B45C2">
        <w:rPr>
          <w:rFonts w:ascii="宋体" w:eastAsia="宋体" w:hAnsi="宋体" w:cs="宋体" w:hint="eastAsia"/>
        </w:rPr>
        <w:instrText>吉喜</w:instrText>
      </w:r>
      <w:r w:rsidR="009B45C2">
        <w:instrText>"},{"family":"</w:instrText>
      </w:r>
      <w:r w:rsidR="009B45C2">
        <w:rPr>
          <w:rFonts w:ascii="宋体" w:eastAsia="宋体" w:hAnsi="宋体" w:cs="宋体" w:hint="eastAsia"/>
        </w:rPr>
        <w:instrText>范</w:instrText>
      </w:r>
      <w:r w:rsidR="009B45C2">
        <w:instrText>","given":"</w:instrText>
      </w:r>
      <w:r w:rsidR="009B45C2">
        <w:rPr>
          <w:rFonts w:ascii="宋体" w:eastAsia="宋体" w:hAnsi="宋体" w:cs="宋体" w:hint="eastAsia"/>
        </w:rPr>
        <w:instrText>梅珠</w:instrText>
      </w:r>
      <w:r w:rsidR="009B45C2">
        <w:instrText>"}],"issued":{"date-parts":[["2002"]]}},"label":"page"},{"id":2353,"uris":["http://zotero.org/users/8730623/items/M6AZ4AEL"],"itemData":{"id":2353,"type":"article-journal","abstract":"</w:instrText>
      </w:r>
      <w:r w:rsidR="009B45C2">
        <w:rPr>
          <w:rFonts w:ascii="宋体" w:eastAsia="宋体" w:hAnsi="宋体" w:cs="宋体" w:hint="eastAsia"/>
        </w:rPr>
        <w:instrText>利用日本高知大学提供的逐小时分辨率静止卫星云顶黑体亮温</w:instrText>
      </w:r>
      <w:r w:rsidR="009B45C2">
        <w:instrText>(TBB)</w:instrText>
      </w:r>
      <w:r w:rsidR="009B45C2">
        <w:rPr>
          <w:rFonts w:ascii="宋体" w:eastAsia="宋体" w:hAnsi="宋体" w:cs="宋体" w:hint="eastAsia"/>
        </w:rPr>
        <w:instrText>资料</w:instrText>
      </w:r>
      <w:r w:rsidR="009B45C2">
        <w:instrText>,</w:instrText>
      </w:r>
      <w:r w:rsidR="009B45C2">
        <w:rPr>
          <w:rFonts w:ascii="宋体" w:eastAsia="宋体" w:hAnsi="宋体" w:cs="宋体" w:hint="eastAsia"/>
        </w:rPr>
        <w:instrText>使用模式匹配算法对</w:instrText>
      </w:r>
      <w:r w:rsidR="009B45C2">
        <w:instrText>2000</w:instrText>
      </w:r>
      <w:r w:rsidR="009B45C2">
        <w:rPr>
          <w:rFonts w:ascii="宋体" w:eastAsia="宋体" w:hAnsi="宋体" w:cs="宋体" w:hint="eastAsia"/>
        </w:rPr>
        <w:instrText>～</w:instrText>
      </w:r>
      <w:r w:rsidR="009B45C2">
        <w:instrText>2016</w:instrText>
      </w:r>
      <w:r w:rsidR="009B45C2">
        <w:rPr>
          <w:rFonts w:ascii="宋体" w:eastAsia="宋体" w:hAnsi="宋体" w:cs="宋体" w:hint="eastAsia"/>
        </w:rPr>
        <w:instrText>年</w:instrText>
      </w:r>
      <w:r w:rsidR="009B45C2">
        <w:instrText>(2005</w:instrText>
      </w:r>
      <w:r w:rsidR="009B45C2">
        <w:rPr>
          <w:rFonts w:ascii="宋体" w:eastAsia="宋体" w:hAnsi="宋体" w:cs="宋体" w:hint="eastAsia"/>
        </w:rPr>
        <w:instrText>年除外</w:instrText>
      </w:r>
      <w:r w:rsidR="009B45C2">
        <w:instrText>)</w:instrText>
      </w:r>
      <w:r w:rsidR="009B45C2">
        <w:rPr>
          <w:rFonts w:ascii="宋体" w:eastAsia="宋体" w:hAnsi="宋体" w:cs="宋体" w:hint="eastAsia"/>
        </w:rPr>
        <w:instrText>暖季</w:instrText>
      </w:r>
      <w:r w:rsidR="009B45C2">
        <w:instrText>(5</w:instrText>
      </w:r>
      <w:r w:rsidR="009B45C2">
        <w:rPr>
          <w:rFonts w:ascii="宋体" w:eastAsia="宋体" w:hAnsi="宋体" w:cs="宋体" w:hint="eastAsia"/>
        </w:rPr>
        <w:instrText>～</w:instrText>
      </w:r>
      <w:r w:rsidR="009B45C2">
        <w:instrText>9</w:instrText>
      </w:r>
      <w:r w:rsidR="009B45C2">
        <w:rPr>
          <w:rFonts w:ascii="宋体" w:eastAsia="宋体" w:hAnsi="宋体" w:cs="宋体" w:hint="eastAsia"/>
        </w:rPr>
        <w:instrText>月</w:instrText>
      </w:r>
      <w:r w:rsidR="009B45C2">
        <w:instrText>)</w:instrText>
      </w:r>
      <w:r w:rsidR="009B45C2">
        <w:rPr>
          <w:rFonts w:ascii="宋体" w:eastAsia="宋体" w:hAnsi="宋体" w:cs="宋体" w:hint="eastAsia"/>
        </w:rPr>
        <w:instrText>青藏高原东部的两类中尺度对流系统</w:instrText>
      </w:r>
      <w:r w:rsidR="009B45C2">
        <w:instrText>(MCS)</w:instrText>
      </w:r>
      <w:r w:rsidR="009B45C2">
        <w:rPr>
          <w:rFonts w:ascii="宋体" w:eastAsia="宋体" w:hAnsi="宋体" w:cs="宋体" w:hint="eastAsia"/>
        </w:rPr>
        <w:instrText>进行了识别和追踪</w:instrText>
      </w:r>
      <w:r w:rsidR="009B45C2">
        <w:instrText>,</w:instrText>
      </w:r>
      <w:r w:rsidR="009B45C2">
        <w:rPr>
          <w:rFonts w:ascii="宋体" w:eastAsia="宋体" w:hAnsi="宋体" w:cs="宋体" w:hint="eastAsia"/>
        </w:rPr>
        <w:instrText>并利用人工验证订正了结果。基于此</w:instrText>
      </w:r>
      <w:r w:rsidR="009B45C2">
        <w:instrText>,</w:instrText>
      </w:r>
      <w:r w:rsidR="009B45C2">
        <w:rPr>
          <w:rFonts w:ascii="宋体" w:eastAsia="宋体" w:hAnsi="宋体" w:cs="宋体" w:hint="eastAsia"/>
        </w:rPr>
        <w:instrText>利用</w:instrText>
      </w:r>
      <w:r w:rsidR="009B45C2">
        <w:instrText>NOAA</w:instrText>
      </w:r>
      <w:r w:rsidR="009B45C2">
        <w:rPr>
          <w:rFonts w:ascii="宋体" w:eastAsia="宋体" w:hAnsi="宋体" w:cs="宋体" w:hint="eastAsia"/>
        </w:rPr>
        <w:instrText>的</w:instrText>
      </w:r>
      <w:r w:rsidR="009B45C2">
        <w:instrText>CMORPH(Climate Prediction Center Morphing)</w:instrText>
      </w:r>
      <w:r w:rsidR="009B45C2">
        <w:rPr>
          <w:rFonts w:ascii="宋体" w:eastAsia="宋体" w:hAnsi="宋体" w:cs="宋体" w:hint="eastAsia"/>
        </w:rPr>
        <w:instrText>降水资料和</w:instrText>
      </w:r>
      <w:r w:rsidR="009B45C2">
        <w:instrText>NCEP</w:instrText>
      </w:r>
      <w:r w:rsidR="009B45C2">
        <w:rPr>
          <w:rFonts w:ascii="宋体" w:eastAsia="宋体" w:hAnsi="宋体" w:cs="宋体" w:hint="eastAsia"/>
        </w:rPr>
        <w:instrText>的</w:instrText>
      </w:r>
      <w:r w:rsidR="009B45C2">
        <w:instrText>CFSR(Climate Forecast System Reanalysis)</w:instrText>
      </w:r>
      <w:r w:rsidR="009B45C2">
        <w:rPr>
          <w:rFonts w:ascii="宋体" w:eastAsia="宋体" w:hAnsi="宋体" w:cs="宋体" w:hint="eastAsia"/>
        </w:rPr>
        <w:instrText>再分析资料对高原东部两类</w:instrText>
      </w:r>
      <w:r w:rsidR="009B45C2">
        <w:instrText>MCS</w:instrText>
      </w:r>
      <w:r w:rsidR="009B45C2">
        <w:rPr>
          <w:rFonts w:ascii="宋体" w:eastAsia="宋体" w:hAnsi="宋体" w:cs="宋体" w:hint="eastAsia"/>
        </w:rPr>
        <w:instrText>进行了统计和对比研究。研究发现</w:instrText>
      </w:r>
      <w:r w:rsidR="009B45C2">
        <w:instrText>,7</w:instrText>
      </w:r>
      <w:r w:rsidR="009B45C2">
        <w:rPr>
          <w:rFonts w:ascii="宋体" w:eastAsia="宋体" w:hAnsi="宋体" w:cs="宋体" w:hint="eastAsia"/>
        </w:rPr>
        <w:instrText>月和</w:instrText>
      </w:r>
      <w:r w:rsidR="009B45C2">
        <w:instrText>8</w:instrText>
      </w:r>
      <w:r w:rsidR="009B45C2">
        <w:rPr>
          <w:rFonts w:ascii="宋体" w:eastAsia="宋体" w:hAnsi="宋体" w:cs="宋体" w:hint="eastAsia"/>
        </w:rPr>
        <w:instrText>月是高原东部</w:instrText>
      </w:r>
      <w:r w:rsidR="009B45C2">
        <w:instrText>MCS</w:instrText>
      </w:r>
      <w:r w:rsidR="009B45C2">
        <w:rPr>
          <w:rFonts w:ascii="宋体" w:eastAsia="宋体" w:hAnsi="宋体" w:cs="宋体" w:hint="eastAsia"/>
        </w:rPr>
        <w:instrText>生成最活跃的季节</w:instrText>
      </w:r>
      <w:r w:rsidR="009B45C2">
        <w:instrText>,</w:instrText>
      </w:r>
      <w:r w:rsidR="009B45C2">
        <w:rPr>
          <w:rFonts w:ascii="宋体" w:eastAsia="宋体" w:hAnsi="宋体" w:cs="宋体" w:hint="eastAsia"/>
        </w:rPr>
        <w:instrText>然而</w:instrText>
      </w:r>
      <w:r w:rsidR="009B45C2">
        <w:instrText>,</w:instrText>
      </w:r>
      <w:r w:rsidR="009B45C2">
        <w:rPr>
          <w:rFonts w:ascii="宋体" w:eastAsia="宋体" w:hAnsi="宋体" w:cs="宋体" w:hint="eastAsia"/>
        </w:rPr>
        <w:instrText>此两个月能够东移出高原</w:instrText>
      </w:r>
      <w:r w:rsidR="009B45C2">
        <w:instrText>MCS</w:instrText>
      </w:r>
      <w:r w:rsidR="009B45C2">
        <w:rPr>
          <w:rFonts w:ascii="宋体" w:eastAsia="宋体" w:hAnsi="宋体" w:cs="宋体" w:hint="eastAsia"/>
        </w:rPr>
        <w:instrText>的比例最小</w:instrText>
      </w:r>
      <w:r w:rsidR="009B45C2">
        <w:instrText>;5</w:instrText>
      </w:r>
      <w:r w:rsidR="009B45C2">
        <w:rPr>
          <w:rFonts w:ascii="宋体" w:eastAsia="宋体" w:hAnsi="宋体" w:cs="宋体" w:hint="eastAsia"/>
        </w:rPr>
        <w:instrText>月虽然</w:instrText>
      </w:r>
      <w:r w:rsidR="009B45C2">
        <w:instrText>MCS</w:instrText>
      </w:r>
      <w:r w:rsidR="009B45C2">
        <w:rPr>
          <w:rFonts w:ascii="宋体" w:eastAsia="宋体" w:hAnsi="宋体" w:cs="宋体" w:hint="eastAsia"/>
        </w:rPr>
        <w:instrText>生成数最少</w:instrText>
      </w:r>
      <w:r w:rsidR="009B45C2">
        <w:instrText>,</w:instrText>
      </w:r>
      <w:r w:rsidR="009B45C2">
        <w:rPr>
          <w:rFonts w:ascii="宋体" w:eastAsia="宋体" w:hAnsi="宋体" w:cs="宋体" w:hint="eastAsia"/>
        </w:rPr>
        <w:instrText>但是移出率高达近</w:instrText>
      </w:r>
      <w:r w:rsidR="009B45C2">
        <w:instrText>40%</w:instrText>
      </w:r>
      <w:r w:rsidR="009B45C2">
        <w:rPr>
          <w:rFonts w:ascii="宋体" w:eastAsia="宋体" w:hAnsi="宋体" w:cs="宋体" w:hint="eastAsia"/>
        </w:rPr>
        <w:instrText>。对比表明</w:instrText>
      </w:r>
      <w:r w:rsidR="009B45C2">
        <w:instrText>,</w:instrText>
      </w:r>
      <w:r w:rsidR="009B45C2">
        <w:rPr>
          <w:rFonts w:ascii="宋体" w:eastAsia="宋体" w:hAnsi="宋体" w:cs="宋体" w:hint="eastAsia"/>
        </w:rPr>
        <w:instrText>能够东移出高原的</w:instrText>
      </w:r>
      <w:r w:rsidR="009B45C2">
        <w:instrText>MCS(V-MCS)</w:instrText>
      </w:r>
      <w:r w:rsidR="009B45C2">
        <w:rPr>
          <w:rFonts w:ascii="宋体" w:eastAsia="宋体" w:hAnsi="宋体" w:cs="宋体" w:hint="eastAsia"/>
        </w:rPr>
        <w:instrText>比不能移出的</w:instrText>
      </w:r>
      <w:r w:rsidR="009B45C2">
        <w:instrText>MCS(N-MCS)</w:instrText>
      </w:r>
      <w:r w:rsidR="009B45C2">
        <w:rPr>
          <w:rFonts w:ascii="宋体" w:eastAsia="宋体" w:hAnsi="宋体" w:cs="宋体" w:hint="eastAsia"/>
        </w:rPr>
        <w:instrText>生命史更长</w:instrText>
      </w:r>
      <w:r w:rsidR="009B45C2">
        <w:instrText>,</w:instrText>
      </w:r>
      <w:r w:rsidR="009B45C2">
        <w:rPr>
          <w:rFonts w:ascii="宋体" w:eastAsia="宋体" w:hAnsi="宋体" w:cs="宋体" w:hint="eastAsia"/>
        </w:rPr>
        <w:instrText>触发更早</w:instrText>
      </w:r>
      <w:r w:rsidR="009B45C2">
        <w:instrText>,</w:instrText>
      </w:r>
      <w:r w:rsidR="009B45C2">
        <w:rPr>
          <w:rFonts w:ascii="宋体" w:eastAsia="宋体" w:hAnsi="宋体" w:cs="宋体" w:hint="eastAsia"/>
        </w:rPr>
        <w:instrText>短生命史个例占比更低。暖季各个月份</w:instrText>
      </w:r>
      <w:r w:rsidR="009B45C2">
        <w:instrText>,</w:instrText>
      </w:r>
      <w:r w:rsidR="009B45C2">
        <w:rPr>
          <w:rFonts w:ascii="宋体" w:eastAsia="宋体" w:hAnsi="宋体" w:cs="宋体" w:hint="eastAsia"/>
        </w:rPr>
        <w:instrText>相比于</w:instrText>
      </w:r>
      <w:r w:rsidR="009B45C2">
        <w:instrText>N-MCS,V-MCS</w:instrText>
      </w:r>
      <w:r w:rsidR="009B45C2">
        <w:rPr>
          <w:rFonts w:ascii="宋体" w:eastAsia="宋体" w:hAnsi="宋体" w:cs="宋体" w:hint="eastAsia"/>
        </w:rPr>
        <w:instrText>的对流更旺盛且发展更快</w:instrText>
      </w:r>
      <w:r w:rsidR="009B45C2">
        <w:instrText>,</w:instrText>
      </w:r>
      <w:r w:rsidR="009B45C2">
        <w:rPr>
          <w:rFonts w:ascii="宋体" w:eastAsia="宋体" w:hAnsi="宋体" w:cs="宋体" w:hint="eastAsia"/>
        </w:rPr>
        <w:instrText>然而</w:instrText>
      </w:r>
      <w:r w:rsidR="009B45C2">
        <w:instrText>,</w:instrText>
      </w:r>
      <w:r w:rsidR="009B45C2">
        <w:rPr>
          <w:rFonts w:ascii="宋体" w:eastAsia="宋体" w:hAnsi="宋体" w:cs="宋体" w:hint="eastAsia"/>
        </w:rPr>
        <w:instrText>由于其发生频数远低于</w:instrText>
      </w:r>
      <w:r w:rsidR="009B45C2">
        <w:instrText>N-MCS,</w:instrText>
      </w:r>
      <w:r w:rsidR="009B45C2">
        <w:rPr>
          <w:rFonts w:ascii="宋体" w:eastAsia="宋体" w:hAnsi="宋体" w:cs="宋体" w:hint="eastAsia"/>
        </w:rPr>
        <w:instrText>总体而言</w:instrText>
      </w:r>
      <w:r w:rsidR="009B45C2">
        <w:instrText>,V-MCS</w:instrText>
      </w:r>
      <w:r w:rsidR="009B45C2">
        <w:rPr>
          <w:rFonts w:ascii="宋体" w:eastAsia="宋体" w:hAnsi="宋体" w:cs="宋体" w:hint="eastAsia"/>
        </w:rPr>
        <w:instrText>对高原东部的降水贡献率仅为</w:instrText>
      </w:r>
      <w:r w:rsidR="009B45C2">
        <w:instrText>15%</w:instrText>
      </w:r>
      <w:r w:rsidR="009B45C2">
        <w:rPr>
          <w:rFonts w:ascii="宋体" w:eastAsia="宋体" w:hAnsi="宋体" w:cs="宋体" w:hint="eastAsia"/>
        </w:rPr>
        <w:instrText>左右</w:instrText>
      </w:r>
      <w:r w:rsidR="009B45C2">
        <w:instrText>,</w:instrText>
      </w:r>
      <w:r w:rsidR="009B45C2">
        <w:rPr>
          <w:rFonts w:ascii="宋体" w:eastAsia="宋体" w:hAnsi="宋体" w:cs="宋体" w:hint="eastAsia"/>
        </w:rPr>
        <w:instrText>是</w:instrText>
      </w:r>
      <w:r w:rsidR="009B45C2">
        <w:instrText>N-MCS</w:instrText>
      </w:r>
      <w:r w:rsidR="009B45C2">
        <w:rPr>
          <w:rFonts w:ascii="宋体" w:eastAsia="宋体" w:hAnsi="宋体" w:cs="宋体" w:hint="eastAsia"/>
        </w:rPr>
        <w:instrText>相应数值的一半左右。高原东部两类</w:instrText>
      </w:r>
      <w:r w:rsidR="009B45C2">
        <w:instrText>MCS</w:instrText>
      </w:r>
      <w:r w:rsidR="009B45C2">
        <w:rPr>
          <w:rFonts w:ascii="宋体" w:eastAsia="宋体" w:hAnsi="宋体" w:cs="宋体" w:hint="eastAsia"/>
        </w:rPr>
        <w:instrText>的环流特征差异显著</w:instrText>
      </w:r>
      <w:r w:rsidR="009B45C2">
        <w:instrText>,</w:instrText>
      </w:r>
      <w:r w:rsidR="009B45C2">
        <w:rPr>
          <w:rFonts w:ascii="宋体" w:eastAsia="宋体" w:hAnsi="宋体" w:cs="宋体" w:hint="eastAsia"/>
        </w:rPr>
        <w:instrText>有利于</w:instrText>
      </w:r>
      <w:r w:rsidR="009B45C2">
        <w:instrText>V-MCS</w:instrText>
      </w:r>
      <w:r w:rsidR="009B45C2">
        <w:rPr>
          <w:rFonts w:ascii="宋体" w:eastAsia="宋体" w:hAnsi="宋体" w:cs="宋体" w:hint="eastAsia"/>
        </w:rPr>
        <w:instrText>发生、维持和东移的因子主要位于对流层中低层</w:instrText>
      </w:r>
      <w:r w:rsidR="009B45C2">
        <w:instrText>(</w:instrText>
      </w:r>
      <w:r w:rsidR="009B45C2">
        <w:rPr>
          <w:rFonts w:ascii="宋体" w:eastAsia="宋体" w:hAnsi="宋体" w:cs="宋体" w:hint="eastAsia"/>
        </w:rPr>
        <w:instrText>西风带短波槽、西风引导气流、低层风场切变</w:instrText>
      </w:r>
      <w:r w:rsidR="009B45C2">
        <w:instrText>),</w:instrText>
      </w:r>
      <w:r w:rsidR="009B45C2">
        <w:rPr>
          <w:rFonts w:ascii="宋体" w:eastAsia="宋体" w:hAnsi="宋体" w:cs="宋体" w:hint="eastAsia"/>
        </w:rPr>
        <w:instrText>而在对流层高层</w:instrText>
      </w:r>
      <w:r w:rsidR="009B45C2">
        <w:instrText>,N-MCS</w:instrText>
      </w:r>
      <w:r w:rsidR="009B45C2">
        <w:rPr>
          <w:rFonts w:ascii="宋体" w:eastAsia="宋体" w:hAnsi="宋体" w:cs="宋体" w:hint="eastAsia"/>
        </w:rPr>
        <w:instrText>拥有更好的高空辐散条件</w:instrText>
      </w:r>
      <w:r w:rsidR="009B45C2">
        <w:instrText>(</w:instrText>
      </w:r>
      <w:r w:rsidR="009B45C2">
        <w:rPr>
          <w:rFonts w:ascii="宋体" w:eastAsia="宋体" w:hAnsi="宋体" w:cs="宋体" w:hint="eastAsia"/>
        </w:rPr>
        <w:instrText>其对应的南亚高压更强</w:instrText>
      </w:r>
      <w:r w:rsidR="009B45C2">
        <w:instrText>)</w:instrText>
      </w:r>
      <w:r w:rsidR="009B45C2">
        <w:rPr>
          <w:rFonts w:ascii="宋体" w:eastAsia="宋体" w:hAnsi="宋体" w:cs="宋体" w:hint="eastAsia"/>
        </w:rPr>
        <w:instrText>。</w:instrText>
      </w:r>
      <w:r w:rsidR="009B45C2">
        <w:instrText>","container-title":"</w:instrText>
      </w:r>
      <w:r w:rsidR="009B45C2">
        <w:rPr>
          <w:rFonts w:ascii="宋体" w:eastAsia="宋体" w:hAnsi="宋体" w:cs="宋体" w:hint="eastAsia"/>
        </w:rPr>
        <w:instrText>气候与环境研究</w:instrText>
      </w:r>
      <w:r w:rsidR="009B45C2">
        <w:instrText>","ISSN":"1006-9585","issue":"4","language":"</w:instrText>
      </w:r>
      <w:r w:rsidR="009B45C2">
        <w:rPr>
          <w:rFonts w:ascii="宋体" w:eastAsia="宋体" w:hAnsi="宋体" w:cs="宋体" w:hint="eastAsia"/>
        </w:rPr>
        <w:instrText>中文</w:instrText>
      </w:r>
      <w:r w:rsidR="009B45C2">
        <w:instrText>;","note":"number: 4\n2 citations(CNKI)[2022-4-28]&lt;</w:instrText>
      </w:r>
      <w:r w:rsidR="009B45C2">
        <w:rPr>
          <w:rFonts w:ascii="宋体" w:eastAsia="宋体" w:hAnsi="宋体" w:cs="宋体" w:hint="eastAsia"/>
        </w:rPr>
        <w:instrText>北大核心</w:instrText>
      </w:r>
      <w:r w:rsidR="009B45C2">
        <w:instrText>, CSCD&gt;","page":"385-398","source":"CNKI","title":"</w:instrText>
      </w:r>
      <w:r w:rsidR="009B45C2">
        <w:rPr>
          <w:rFonts w:ascii="宋体" w:eastAsia="宋体" w:hAnsi="宋体" w:cs="宋体" w:hint="eastAsia"/>
        </w:rPr>
        <w:instrText>近</w:instrText>
      </w:r>
      <w:r w:rsidR="009B45C2">
        <w:instrText>16</w:instrText>
      </w:r>
      <w:r w:rsidR="009B45C2">
        <w:rPr>
          <w:rFonts w:ascii="宋体" w:eastAsia="宋体" w:hAnsi="宋体" w:cs="宋体" w:hint="eastAsia"/>
        </w:rPr>
        <w:instrText>年暖季青藏高原东部两类中尺度对流系统</w:instrText>
      </w:r>
      <w:r w:rsidR="009B45C2">
        <w:instrText>(MCS)</w:instrText>
      </w:r>
      <w:r w:rsidR="009B45C2">
        <w:rPr>
          <w:rFonts w:ascii="宋体" w:eastAsia="宋体" w:hAnsi="宋体" w:cs="宋体" w:hint="eastAsia"/>
        </w:rPr>
        <w:instrText>的统计特征</w:instrText>
      </w:r>
      <w:r w:rsidR="009B45C2">
        <w:instrText>","volume":"25","author":[{"family":"</w:instrText>
      </w:r>
      <w:r w:rsidR="009B45C2">
        <w:rPr>
          <w:rFonts w:ascii="宋体" w:eastAsia="宋体" w:hAnsi="宋体" w:cs="宋体" w:hint="eastAsia"/>
        </w:rPr>
        <w:instrText>麦</w:instrText>
      </w:r>
      <w:r w:rsidR="009B45C2">
        <w:instrText>","given":"</w:instrText>
      </w:r>
      <w:r w:rsidR="009B45C2">
        <w:rPr>
          <w:rFonts w:ascii="宋体" w:eastAsia="宋体" w:hAnsi="宋体" w:cs="宋体" w:hint="eastAsia"/>
        </w:rPr>
        <w:instrText>子</w:instrText>
      </w:r>
      <w:r w:rsidR="009B45C2">
        <w:instrText>"},{"family":"</w:instrText>
      </w:r>
      <w:r w:rsidR="009B45C2">
        <w:rPr>
          <w:rFonts w:ascii="宋体" w:eastAsia="宋体" w:hAnsi="宋体" w:cs="宋体" w:hint="eastAsia"/>
        </w:rPr>
        <w:instrText>傅</w:instrText>
      </w:r>
      <w:r w:rsidR="009B45C2">
        <w:instrText>","given":"</w:instrText>
      </w:r>
      <w:r w:rsidR="009B45C2">
        <w:rPr>
          <w:rFonts w:ascii="宋体" w:eastAsia="宋体" w:hAnsi="宋体" w:cs="宋体" w:hint="eastAsia"/>
        </w:rPr>
        <w:instrText>慎明</w:instrText>
      </w:r>
      <w:r w:rsidR="009B45C2">
        <w:instrText>"},{"family":"</w:instrText>
      </w:r>
      <w:r w:rsidR="009B45C2">
        <w:rPr>
          <w:rFonts w:ascii="宋体" w:eastAsia="宋体" w:hAnsi="宋体" w:cs="宋体" w:hint="eastAsia"/>
        </w:rPr>
        <w:instrText>孙</w:instrText>
      </w:r>
      <w:r w:rsidR="009B45C2">
        <w:instrText>","given":"</w:instrText>
      </w:r>
      <w:r w:rsidR="009B45C2">
        <w:rPr>
          <w:rFonts w:ascii="宋体" w:eastAsia="宋体" w:hAnsi="宋体" w:cs="宋体" w:hint="eastAsia"/>
        </w:rPr>
        <w:instrText>建华</w:instrText>
      </w:r>
      <w:r w:rsidR="009B45C2">
        <w:instrText xml:space="preserve">"}],"issued":{"date-parts":[["2020"]]}},"label":"page"},{"id":647,"uris":["http://zotero.org/users/8730623/items/AHY5IW5R"],"itemData":{"id":647,"type":"article-journal","abstract":"In order to investigate the key characteristics of mesoscale convective systems (MCSs) initiated over the Tibetan Plateau (TP) in recent years and the main differences in circulation and environmental factors between different types of MCSs, an automatic MCS identification and tracking method was applied based on the data from China's Fengyun satellite and precipitation estimates. In total, 8820 MCSs were found to have been initiated over the TP during the summers from 2013 to 2019, and a total of 9.3% of them were able to move eastward out of the TP (EO). The number of MCSs showed a monthly variation, with a maximum in July and a minimum in June, while most EOs occurred in June. Compared with other types of MCSs, EOs usually had a lower cloud-top temperature, a greater rainfall intensity, a longer life duration, more rapid development, larger areas of rainfall and convective clouds, longer tracks and a wider influence range, indicating that EOs are more vigorous than the other types of MCSs. The movement of MCSs is mainly due to the mid- to high-level dynamic conditions, and moisture is an essential factor in their development and maintenance.","archive_location":"WOS:000650740400001","container-title":"REMOTE SENSING","DOI":"10.3390/rs13091652","ISSN":"2072-4292","issue":"9","note":"number: 9","title":"Statistical Characteristics of Mesoscale Convective Systems Initiated over the Tibetan Plateau in Summer by Fengyun Satellite and Precipitation Estimates","volume":"13","author":[{"family":"Zhang","given":"Xidi"},{"family":"Shen","given":"Wenqiang"},{"family":"Zhuge","given":"Xiaoyong"},{"family":"Yang","given":"Shunan"},{"family":"Chen","given":"Yun"},{"family":"Wang","given":"Yuan"},{"family":"Chen","given":"Tao"},{"family":"Zhang","given":"Shushi"}],"issued":{"date-parts":[["2021",5]]}},"label":"page"}],"schema":"https://github.com/citation-style-language/schema/raw/master/csl-citation.json"} </w:instrText>
      </w:r>
      <w:r w:rsidR="000334C8" w:rsidRPr="00E7031F">
        <w:fldChar w:fldCharType="separate"/>
      </w:r>
      <w:r w:rsidR="009B45C2" w:rsidRPr="009B45C2">
        <w:rPr>
          <w:szCs w:val="24"/>
        </w:rPr>
        <w:t xml:space="preserve">(Zhang et al., 2021; </w:t>
      </w:r>
      <w:r w:rsidR="00BA46B6">
        <w:rPr>
          <w:rFonts w:eastAsia="宋体" w:hint="eastAsia"/>
          <w:szCs w:val="24"/>
          <w:lang w:eastAsia="zh-CN"/>
        </w:rPr>
        <w:t>J</w:t>
      </w:r>
      <w:r w:rsidR="00BA46B6">
        <w:rPr>
          <w:rFonts w:eastAsia="宋体"/>
          <w:szCs w:val="24"/>
          <w:lang w:eastAsia="zh-CN"/>
        </w:rPr>
        <w:t>iang</w:t>
      </w:r>
      <w:r w:rsidR="009B45C2" w:rsidRPr="009B45C2">
        <w:rPr>
          <w:szCs w:val="24"/>
        </w:rPr>
        <w:t xml:space="preserve"> &amp; </w:t>
      </w:r>
      <w:r w:rsidR="00BA46B6">
        <w:rPr>
          <w:rFonts w:eastAsia="宋体" w:hint="eastAsia"/>
          <w:szCs w:val="24"/>
          <w:lang w:eastAsia="zh-CN"/>
        </w:rPr>
        <w:t>F</w:t>
      </w:r>
      <w:r w:rsidR="00BA46B6">
        <w:rPr>
          <w:rFonts w:eastAsia="宋体"/>
          <w:szCs w:val="24"/>
          <w:lang w:eastAsia="zh-CN"/>
        </w:rPr>
        <w:t>an</w:t>
      </w:r>
      <w:r w:rsidR="009B45C2" w:rsidRPr="009B45C2">
        <w:rPr>
          <w:szCs w:val="24"/>
        </w:rPr>
        <w:t xml:space="preserve">, 2002; </w:t>
      </w:r>
      <w:r w:rsidR="00BA46B6">
        <w:rPr>
          <w:rFonts w:eastAsia="宋体" w:hint="eastAsia"/>
          <w:szCs w:val="24"/>
          <w:lang w:eastAsia="zh-CN"/>
        </w:rPr>
        <w:t>M</w:t>
      </w:r>
      <w:r w:rsidR="00BA46B6">
        <w:rPr>
          <w:rFonts w:eastAsia="宋体"/>
          <w:szCs w:val="24"/>
          <w:lang w:eastAsia="zh-CN"/>
        </w:rPr>
        <w:t>ai</w:t>
      </w:r>
      <w:r w:rsidR="009B45C2" w:rsidRPr="009B45C2">
        <w:rPr>
          <w:szCs w:val="24"/>
        </w:rPr>
        <w:t xml:space="preserve"> et al., 2020)</w:t>
      </w:r>
      <w:r w:rsidR="000334C8" w:rsidRPr="00E7031F">
        <w:fldChar w:fldCharType="end"/>
      </w:r>
      <w:r w:rsidRPr="00E7031F">
        <w:t xml:space="preserve"> and formed mainly in the afternoon </w:t>
      </w:r>
      <w:r w:rsidR="000334C8" w:rsidRPr="00E7031F">
        <w:fldChar w:fldCharType="begin"/>
      </w:r>
      <w:r w:rsidR="009B45C2">
        <w:instrText xml:space="preserve"> ADDIN ZOTERO_ITEM CSL_CITATION {"citationID":"rzkKevP2","properties":{"formattedCitation":"(Y. Zheng et al., 2008)","plainCitation":"(Y. Zheng et al., 2008)","noteIndex":0},"citationItems":[{"id":910,"uris":["http://zotero.org/users/8730623/items/NW6ZEA5C"],"itemData":{"id":910,"type":"article-journal","abstract":"The climatological distribution of mesoscale convective systems (MCSs) over China and its vicinity during summer is statistically analyzed, based on the 10-year (1996-2006, 2004 excluded) June-August infrared TBB (Temperature of black body) dataset. Comparing the results obtained in this paper with the distribution of thunderstorms from surface meteorological stations over China and the distribution of lightning from low-orbit satellites over China and its vicinity in the previous studies, we find that the statistic characteristics of TBB less than -52 degrees C can better represent the spatiotemporal distribution of MCSs over China and its vicinity during summer. The spreading pattern of the MCSs over this region shows three transmeridional bands of active MCSs, with obvious fluctuation of active MCSs in the band near 30 degrees N. It can be explained by the atmospheric circulation that the three bands of active MCSs are associated with each other by the summer monsoon over East Asia. We focus on the diurnal variations of MCSs over different underlying surfaces, and the result shows that there are two types of MCSs over China and its vicinity during summer. One type of MCSs has only one active period all day long (single-peak MCSs), and the other has multiple active periods (multi-peak MCSs). Single-peak MCSs occur more often over plateaus or mountains, and multi-peak MCSs are more common over plains or basins. Depending on lifetimes and active periods, single-peak MCSs can be classified as Tibetan Plateau MCSs, general mountain MCSs, Ryukyu MCSs, and so on. The diurnal variation of multi-peak MCSs is very similar to that of MCCs (mesoscale convective complexes), and it reveals that multi-peak MCSs has longer life cycle and larger horizontal scale, becomes weaker after sunset, and develops again after midnight. Tibetan Plateau MCSs and general mountain MCSs both usually develop in the afternoon, but Tibetan Plateau MCSs have longer life cycle and more active M(alpha)CSs. Ryukyu MCSs generally develop after midnight, last longer time, and also have more active M,CS. The abundant moisture and favorable large-scale environment over Indian monsoon surge areas lead to active MCSs and M(alpha)CSs almost at any hour all day during summer. Due to local mountain-valley breeze circulation over the Sichuan Basin, MCSs are developed remarkably more often during the nighttime, and again there are also more active M(alpha)CSs. Because of local prominent sea-land breeze circulation over Guangxi and Guangdong, the MCSs over this region propagate from sea to land in the afternoon and from land to sea after midnight. The statistic characteristics of TBB less than -52 degrees C clearly display the different climatological characteristics of MCSs owing to the thermal difference among water, land and rough terrain. Not only the large-scale atmospheric circulation but also the local atmospheric circulation caused by the thermal difference among water, land and rough terrain, to a great extent, determines the climatological distribution of MCSs over China and its vicinity during summer.","archive_location":"WOS:000255985900016","container-title":"Chinese Science Bulletin","DOI":"10.1007/s11434-008-0116-9","issue":"10","note":"number: 10","page":"1574-1586","title":"Climatological distribution and diurnal variation of mesoscale convective systems over China and its vicinity during summer","volume":"53","author":[{"family":"Zheng","given":"YongGuang"},{"family":"Chen","given":"Jiong"},{"family":"Zhu","given":"PeiJun"}],"issued":{"date-parts":[["2008",5]]}}}],"schema":"https://github.com/citation-style-language/schema/raw/master/csl-citation.json"} </w:instrText>
      </w:r>
      <w:r w:rsidR="000334C8" w:rsidRPr="00E7031F">
        <w:fldChar w:fldCharType="separate"/>
      </w:r>
      <w:r w:rsidR="009B45C2" w:rsidRPr="009B45C2">
        <w:t>(Zheng et al., 2008)</w:t>
      </w:r>
      <w:r w:rsidR="000334C8" w:rsidRPr="00E7031F">
        <w:fldChar w:fldCharType="end"/>
      </w:r>
      <w:r w:rsidR="000334C8" w:rsidRPr="00E7031F">
        <w:t xml:space="preserve">; the activities of MCSs in </w:t>
      </w:r>
      <w:r w:rsidR="00F103E8">
        <w:t xml:space="preserve">the </w:t>
      </w:r>
      <w:r w:rsidR="000334C8" w:rsidRPr="00E7031F">
        <w:t>North China Plain are the most frequent in June, July and August</w:t>
      </w:r>
      <w:r w:rsidR="00F103E8">
        <w:t>,</w:t>
      </w:r>
      <w:r w:rsidR="000334C8" w:rsidRPr="00E7031F">
        <w:t xml:space="preserve"> and the formations </w:t>
      </w:r>
      <w:r w:rsidR="00F5450D">
        <w:t>occur</w:t>
      </w:r>
      <w:r w:rsidR="00F5450D" w:rsidRPr="00E7031F">
        <w:t xml:space="preserve"> </w:t>
      </w:r>
      <w:r w:rsidR="000334C8" w:rsidRPr="00E7031F">
        <w:t xml:space="preserve">mostly around noon </w:t>
      </w:r>
      <w:r w:rsidR="000334C8" w:rsidRPr="00E7031F">
        <w:fldChar w:fldCharType="begin"/>
      </w:r>
      <w:r w:rsidR="009B45C2">
        <w:instrText xml:space="preserve"> ADDIN ZOTERO_ITEM CSL_CITATION {"citationID":"ojohXntb","properties":{"formattedCitation":"(Ma et al., 2021a)","plainCitation":"(Ma et al., 2021a)","noteIndex":0},"citationItems":[{"id":1488,"uris":["http://zotero.org/users/8730623/items/VZN2XXCC"],"itemData":{"id":1488,"type":"article-journal","abstract":"Abstract The present work established a 7-yr climatology of the initiation, decay, and morphology of severe convective storms (SCSs) during the warm seasons (May–September) of 2011–18 (except 2014) over North China. This was achieved by using severe weather reports, precipitation observations, and composite Doppler radar reflectivity data. A total of 371 SCSs were identified. SCSs primarily initiated around noon with the highest frequency over the high terrain of Mount Taihang, and they mostly decayed over the plains at night. The storm morphologies were classified into three types of cellular storms (individual cells, clusters of cells, and broken lines), six types of linear systems (convective lines with no stratiform, with trailing stratiform, leading stratiform, parallel stratiform, embedded lines, and bow echoes), and nonlinear systems. Three types of severe convective weather, namely, short-duration heavy rainfall, hail, and thunderstorm high winds, associated with these morphologies were investigated. A total of 1429 morphology samples from the 371 SCSs were found to be responsible for 15 966 severe convective weather reports. Nonlinear systems were the most frequent morphology, followed by clusters of cells. Convective lines with trailing stratiform were the most frequent linear morphology. Linear (nonlinear) systems produced the most short-duration heavy rainfall (hail and thunderstorm high wind) reports. Bow echoes were most efficient in producing both short-duration heavy rainfall and thunderstorm high wind reports whereas broken lines had the highest efficiency for hail production. The results in the present study are helpful for local forecasters to better anticipate the storm types and associated hazardous weather.","container-title":"Monthly Weather Review","DOI":"10.1175/MWR-D-20-0087.1","ISSN":"1520-0493, 0027-0644","issue":"8","language":"EN","note":"number: 8\npublisher: American Meteorological Society\nsection: Monthly Weather Review","page":"2599-2612","source":"journals.ametsoc.org","title":"A 7-Yr Climatology of the Initiation, Decay, and Morphology of Severe Convective Storms during the Warm Season over North China","volume":"149","author":[{"family":"Ma","given":"Ruoyun"},{"family":"Sun","given":"Jianhua"},{"family":"Yang","given":"Xinlin"}],"issued":{"date-parts":[["2021",8,1]]}}}],"schema":"https://github.com/citation-style-language/schema/raw/master/csl-citation.json"} </w:instrText>
      </w:r>
      <w:r w:rsidR="000334C8" w:rsidRPr="00E7031F">
        <w:fldChar w:fldCharType="separate"/>
      </w:r>
      <w:r w:rsidR="009B45C2" w:rsidRPr="009B45C2">
        <w:t>(Ma et al., 2021a)</w:t>
      </w:r>
      <w:r w:rsidR="000334C8" w:rsidRPr="00E7031F">
        <w:fldChar w:fldCharType="end"/>
      </w:r>
      <w:r w:rsidR="000334C8" w:rsidRPr="00E7031F">
        <w:t xml:space="preserve">; under the influence of sea‒land breeze, the MCSs in South China propagate offshore (inland) at night (in the daytime) </w:t>
      </w:r>
      <w:r w:rsidR="000334C8" w:rsidRPr="00E7031F">
        <w:fldChar w:fldCharType="begin"/>
      </w:r>
      <w:r w:rsidR="009B45C2">
        <w:instrText xml:space="preserve"> ADDIN ZOTERO_ITEM CSL_CITATION {"citationID":"0MxxQniE","properties":{"formattedCitation":"(Y. Zheng et al., 2008)","plainCitation":"(Y. Zheng et al., 2008)","noteIndex":0},"citationItems":[{"id":910,"uris":["http://zotero.org/users/8730623/items/NW6ZEA5C"],"itemData":{"id":910,"type":"article-journal","abstract":"The climatological distribution of mesoscale convective systems (MCSs) over China and its vicinity during summer is statistically analyzed, based on the 10-year (1996-2006, 2004 excluded) June-August infrared TBB (Temperature of black body) dataset. Comparing the results obtained in this paper with the distribution of thunderstorms from surface meteorological stations over China and the distribution of lightning from low-orbit satellites over China and its vicinity in the previous studies, we find that the statistic characteristics of TBB less than -52 degrees C can better represent the spatiotemporal distribution of MCSs over China and its vicinity during summer. The spreading pattern of the MCSs over this region shows three transmeridional bands of active MCSs, with obvious fluctuation of active MCSs in the band near 30 degrees N. It can be explained by the atmospheric circulation that the three bands of active MCSs are associated with each other by the summer monsoon over East Asia. We focus on the diurnal variations of MCSs over different underlying surfaces, and the result shows that there are two types of MCSs over China and its vicinity during summer. One type of MCSs has only one active period all day long (single-peak MCSs), and the other has multiple active periods (multi-peak MCSs). Single-peak MCSs occur more often over plateaus or mountains, and multi-peak MCSs are more common over plains or basins. Depending on lifetimes and active periods, single-peak MCSs can be classified as Tibetan Plateau MCSs, general mountain MCSs, Ryukyu MCSs, and so on. The diurnal variation of multi-peak MCSs is very similar to that of MCCs (mesoscale convective complexes), and it reveals that multi-peak MCSs has longer life cycle and larger horizontal scale, becomes weaker after sunset, and develops again after midnight. Tibetan Plateau MCSs and general mountain MCSs both usually develop in the afternoon, but Tibetan Plateau MCSs have longer life cycle and more active M(alpha)CSs. Ryukyu MCSs generally develop after midnight, last longer time, and also have more active M,CS. The abundant moisture and favorable large-scale environment over Indian monsoon surge areas lead to active MCSs and M(alpha)CSs almost at any hour all day during summer. Due to local mountain-valley breeze circulation over the Sichuan Basin, MCSs are developed remarkably more often during the nighttime, and again there are also more active M(alpha)CSs. Because of local prominent sea-land breeze circulation over Guangxi and Guangdong, the MCSs over this region propagate from sea to land in the afternoon and from land to sea after midnight. The statistic characteristics of TBB less than -52 degrees C clearly display the different climatological characteristics of MCSs owing to the thermal difference among water, land and rough terrain. Not only the large-scale atmospheric circulation but also the local atmospheric circulation caused by the thermal difference among water, land and rough terrain, to a great extent, determines the climatological distribution of MCSs over China and its vicinity during summer.","archive_location":"WOS:000255985900016","container-title":"Chinese Science Bulletin","DOI":"10.1007/s11434-008-0116-9","issue":"10","note":"number: 10","page":"1574-1586","title":"Climatological distribution and diurnal variation of mesoscale convective systems over China and its vicinity during summer","volume":"53","author":[{"family":"Zheng","given":"YongGuang"},{"family":"Chen","given":"Jiong"},{"family":"Zhu","given":"PeiJun"}],"issued":{"date-parts":[["2008",5]]}}}],"schema":"https://github.com/citation-style-language/schema/raw/master/csl-citation.json"} </w:instrText>
      </w:r>
      <w:r w:rsidR="000334C8" w:rsidRPr="00E7031F">
        <w:fldChar w:fldCharType="separate"/>
      </w:r>
      <w:r w:rsidR="00CA4036">
        <w:t>(Bai et al., 2020</w:t>
      </w:r>
      <w:r w:rsidR="00CA4036">
        <w:rPr>
          <w:rFonts w:ascii="宋体" w:eastAsia="宋体" w:hAnsi="宋体" w:cs="宋体" w:hint="eastAsia"/>
          <w:lang w:eastAsia="zh-CN"/>
        </w:rPr>
        <w:t>;</w:t>
      </w:r>
      <w:r w:rsidR="00CA4036">
        <w:rPr>
          <w:rFonts w:ascii="宋体" w:eastAsia="宋体" w:hAnsi="宋体" w:cs="宋体"/>
          <w:lang w:eastAsia="zh-CN"/>
        </w:rPr>
        <w:t xml:space="preserve"> </w:t>
      </w:r>
      <w:r w:rsidR="009B45C2" w:rsidRPr="009B45C2">
        <w:t>Zheng et al., 2008)</w:t>
      </w:r>
      <w:r w:rsidR="000334C8" w:rsidRPr="00E7031F">
        <w:fldChar w:fldCharType="end"/>
      </w:r>
      <w:r w:rsidR="00E17157" w:rsidRPr="00E7031F">
        <w:t>.</w:t>
      </w:r>
    </w:p>
    <w:p w14:paraId="682C8749" w14:textId="4B35F646" w:rsidR="00E17157" w:rsidRPr="00E7031F" w:rsidRDefault="00F103E8" w:rsidP="00C37CFA">
      <w:pPr>
        <w:pStyle w:val="ParagraphText"/>
        <w:ind w:firstLine="480"/>
      </w:pPr>
      <w:r w:rsidRPr="00E7031F">
        <w:t xml:space="preserve">The initiation, development, and organization of </w:t>
      </w:r>
      <w:r>
        <w:t>MCSs</w:t>
      </w:r>
      <w:r w:rsidRPr="00E7031F">
        <w:t xml:space="preserve"> are controlled and regulated by synoptic and mesoscale circulations. </w:t>
      </w:r>
      <w:r w:rsidR="000334C8" w:rsidRPr="00E7031F">
        <w:fldChar w:fldCharType="begin"/>
      </w:r>
      <w:r w:rsidR="009B45C2">
        <w:instrText xml:space="preserve"> ADDIN ZOTERO_ITEM CSL_CITATION {"citationID":"qMy3RNNU","properties":{"formattedCitation":"(Lewis &amp; Gray, 2010)","plainCitation":"(Lewis &amp; Gray, 2010)","noteIndex":0},"citationItems":[{"id":121,"uris":["http://zotero.org/users/8730623/items/ZMGB7ZYR"],"itemData":{"id":121,"type":"article-journal","abstract":"Mesoscale convective systems (MCSs) are relatively rare events in the UK but, when they do occur, can be associated with weather that is considered extreme with respect to climatology (as indicated by the number of such events that have been analysed as case studies). These case studies usually associate UK MCSs with a synoptic environment known as the Spanish plume. Here a previously published 17 year climatology of UK MCS events is extended to the present day (from 1998 to 2008) and these events classified according to the synoptic environment in which they form. Three distinct synoptic environments have been identified, here termed the classical Spanish plume, modified Spanish plume, and European easterly plume. Detailed case studies of the two latter, newly defined, environments are presented. Composites produced for each environment further reveal the differences between them. The classical Spanish plume is associated with an eastward propagating baroclinic cyclone that evolves according to idealised life cycle 1. Conditional instability is released from a warm moist plume of air advected northeastwards from Iberia that is capped by warmer, but very dry air, from the Spanish plateau. The modified Spanish plume is associated with a slowly moving mature frontal system associated with a forward tilting trough (and possibly cut-off low) at 500 hPa that evolves according to idealised life cycle 2. As in the classical Spanish plume, conditional instability is released from a warm plume of air advected northwards from Iberia. The less frequent European easterly plume is associated with an omega block centred over Scandinavia at upper levels. Conditional instability is released from a warm plume of air advected westwards across northern continental Europe. Unlike the Spanish plume environments, the European easterly plume is not a warm sector phenomena associated with a baroclinic cyclone. However, in all environments the organisation of convection is associated with the interaction of an upper-level disturbance with a low-level region of warm advection. (C) 2010 Elsevier B.V. All rights reserved.","archive_location":"WOS:000280013700017","container-title":"ATMOSPHERIC RESEARCH","DOI":"10.1016/j.atmosres.2010.04.001","issue":"1-2","note":"number: 1-2","page":"194-213","title":"Categorisation of synoptic environments associated with mesoscale convective systems over the UK","volume":"97","author":[{"family":"Lewis","given":"Matthew W."},{"family":"Gray","given":"Suzanne L."}],"issued":{"date-parts":[["2010",7]]}}}],"schema":"https://github.com/citation-style-language/schema/raw/master/csl-citation.json"} </w:instrText>
      </w:r>
      <w:r w:rsidR="000334C8" w:rsidRPr="00E7031F">
        <w:fldChar w:fldCharType="separate"/>
      </w:r>
      <w:r w:rsidR="009B45C2" w:rsidRPr="009B45C2">
        <w:t>Lewis and Gray (2010)</w:t>
      </w:r>
      <w:r w:rsidR="000334C8" w:rsidRPr="00E7031F">
        <w:fldChar w:fldCharType="end"/>
      </w:r>
      <w:r w:rsidR="00D76FAC" w:rsidRPr="00E7031F">
        <w:t xml:space="preserve"> found that MCSs in Britain are mainly affected by three types of circulations and </w:t>
      </w:r>
      <w:r>
        <w:t xml:space="preserve">that </w:t>
      </w:r>
      <w:r w:rsidR="00D76FAC" w:rsidRPr="00E7031F">
        <w:t xml:space="preserve">the organization of </w:t>
      </w:r>
      <w:r>
        <w:t>MCSs</w:t>
      </w:r>
      <w:r w:rsidR="00D76FAC" w:rsidRPr="00E7031F">
        <w:t xml:space="preserve"> is related to the interaction of perturbations at the upper level and warm advections at the lower level. </w:t>
      </w:r>
      <w:r w:rsidR="000334C8" w:rsidRPr="00E7031F">
        <w:fldChar w:fldCharType="begin"/>
      </w:r>
      <w:r w:rsidR="009B45C2">
        <w:instrText xml:space="preserve"> ADDIN ZOTERO_ITEM CSL_CITATION {"citationID":"2zpfL6rc","properties":{"formattedCitation":"(Peters &amp; Schumacher, 2014)","plainCitation":"(Peters &amp; Schumacher, 2014)","noteIndex":0},"citationItems":[{"id":115,"uris":["http://zotero.org/users/8730623/items/Q5JZ2YHT"],"itemData":{"id":115,"type":"article-journal","abstract":"In this research, rotated principal component analysis was applied to the atmospheric ﬁelds associated with a large sample of heavy-rain-producing mesoscale convective systems (MCSs). Cluster analysis in the subspace deﬁned by the leading two resulting principal components revealed two subtypes with distinct synoptic and mesoscale characteristics, which are referred to as warm-season-type and synoptic-type events, respectively. Subsequent composite analysis showed that both subtypes typically occurred on the cool side of a quasi-stationary, low-level frontal boundary, within a region of locally maximized low-level convergence and warm advection. Synoptic-type events, which tended to exhibit greater horizontal extent than warmseason-type events, typically occurred downstream of a progressive upper-level trough, along a low-level potential temperature gradient with the warmest air to the south and southeast. Warm-season-type events, on the other hand, occurred within the right-entrance region of a minimally to anticyclonically curved upperlevel jet streak, along a low-level potential temperature gradient with the warmest low-level air to the southwest. Synoptic-scale forcing for ascent was stronger in synoptic-type events, while low-level moisture was greater in warm-season-type events. Warm-season-type events were frequently preceded by the passage of a trailing-stratiform- (TS) type MCS, whereas synoptic-type events often occurred prior to the passage of a TS-type system. Analysis of the composite vertical wind proﬁles at the event location suggests that quasistationary behavior in warm-season events predominantly resulted from upstream propagation that nearly canceled advection by the mean steering ﬂow, whereas in the case of synoptic-type events training predominantly resulted from system motion that paralleled a front.","container-title":"Monthly Weather Review","DOI":"10.1175/MWR-D-13-00295.1","ISSN":"0027-0644, 1520-0493","issue":"5","language":"en","note":"number: 5","page":"1716-1737","source":"DOI.org (Crossref)","title":"Objective Categorization of Heavy-Rain-Producing MCS Synoptic Types by Rotated Principal Component Analysis","volume":"142","author":[{"family":"Peters","given":"John M."},{"family":"Schumacher","given":"Russ S."}],"issued":{"date-parts":[["2014",5,1]]}}}],"schema":"https://github.com/citation-style-language/schema/raw/master/csl-citation.json"} </w:instrText>
      </w:r>
      <w:r w:rsidR="000334C8" w:rsidRPr="00E7031F">
        <w:fldChar w:fldCharType="separate"/>
      </w:r>
      <w:r w:rsidR="009B45C2" w:rsidRPr="009B45C2">
        <w:t>Peters and Schumacher (2014)</w:t>
      </w:r>
      <w:r w:rsidR="000334C8" w:rsidRPr="00E7031F">
        <w:fldChar w:fldCharType="end"/>
      </w:r>
      <w:r w:rsidR="003B3A62" w:rsidRPr="00E7031F">
        <w:t xml:space="preserve"> divided the circulations favorable for MCSs in the Great Plains of the United States into warm</w:t>
      </w:r>
      <w:r>
        <w:t xml:space="preserve"> </w:t>
      </w:r>
      <w:r w:rsidR="003B3A62" w:rsidRPr="00E7031F">
        <w:t>season-type and synoptic-type</w:t>
      </w:r>
      <w:r>
        <w:t xml:space="preserve"> circulations</w:t>
      </w:r>
      <w:r w:rsidR="003B3A62" w:rsidRPr="00E7031F">
        <w:t xml:space="preserve">. The synoptic-type MCSs tended to occur downstream of a progressive upper-level trough along a low-level potential temperature gradient with the warmest air to the south and southeast. </w:t>
      </w:r>
      <w:r>
        <w:t>Warm</w:t>
      </w:r>
      <w:r w:rsidR="003B3A62" w:rsidRPr="00E7031F">
        <w:t xml:space="preserve">-season-type MCSs typically occurred within the right-entrance of a minimally to anticyclonically curved upper-level jet along a low-level potential temperature gradient with the warmest air to the southwest. </w:t>
      </w:r>
      <w:r w:rsidR="00A47406" w:rsidRPr="00E7031F">
        <w:fldChar w:fldCharType="begin"/>
      </w:r>
      <w:r w:rsidR="009B45C2">
        <w:instrText xml:space="preserve"> ADDIN ZOTERO_ITEM CSL_CITATION {"citationID":"7cmACvZZ","properties":{"formattedCitation":"(Song et al., 2019)","plainCitation":"(Song et al., 2019)","noteIndex":0},"citationItems":[{"id":938,"uris":["http://zotero.org/users/8730623/items/BIUIAFCU"],"itemData":{"id":938,"type":"article-journal","abstract":"Abstract Mesoscale convective systems (MCSs) are frequently observed over the U.S. Great Plains during boreal spring and summer. Here, four types of synoptically favorable environments for spring MCSs and two types each of synoptically favorable and unfavorable environments for summer MCSs are identified using self-organizing maps (SOMs) with inputs from observational data. During spring, frontal systems providing a lifting mechanism and an enhanced Great Plains low-level jet (GPLLJ) providing anomalous moisture are important features identified by SOM analysis for creating favorable dynamical and thermodynamic environments for MCS development. During summer, the composite MCS environment shows small positive convective available potential energy (CAPE) and convective inhibition (CIN) anomalies, which are in stark contrast with the large positive CAPE and negative CIN anomalies in spring. This contrast suggests that summer convection may occur even with weak large-scale dynamical and thermodynamic perturbations so MCSs may be inherently less predictable in summer. The two synoptically favorable environments identified in summer have frontal characteristics and an enhanced GPLLJ, but both shift north compared to spring. The two synoptically unfavorable environments feature enhanced upper-level ridges, but differ in the strength of the GPLLJ. In both seasons, MCS precipitation amount, area, and rate are much larger in the frontal-related MCSs than in nonfrontal MCSs. A large-scale index constructed using pattern correlation between large-scale environments and the synoptically favorable SOM types is found to be skillful for estimating MCS number, precipitation rate, and area in spring, but its explanatory power decreases significantly in summer. The low predictability of summer MCSs deserves further investigation in the future.","container-title":"Journal of Climate","DOI":"10.1175/JCLI-D-18-0839.1","ISSN":"0894-8755, 1520-0442","issue":"20","language":"EN","note":"number: 20\npublisher: American Meteorological Society\nsection: Journal of Climate","page":"6749-6767","source":"journals.ametsoc.org","title":"Contrasting Spring and Summer Large-Scale Environments Associated with Mesoscale Convective Systems over the U.S. Great Plains","volume":"32","author":[{"family":"Song","given":"Fengfei"},{"family":"Feng","given":"Zhe"},{"family":"Leung","given":"L. Ruby"},{"family":"Jr","given":"Robert A. Houze"},{"family":"Wang","given":"Jingyu"},{"family":"Hardin","given":"Joseph"},{"family":"Homeyer","given":"Cameron R."}],"issued":{"date-parts":[["2019",10,15]]}}}],"schema":"https://github.com/citation-style-language/schema/raw/master/csl-citation.json"} </w:instrText>
      </w:r>
      <w:r w:rsidR="00A47406" w:rsidRPr="00E7031F">
        <w:fldChar w:fldCharType="separate"/>
      </w:r>
      <w:r w:rsidR="009B45C2" w:rsidRPr="009B45C2">
        <w:t>Song et al. (2019)</w:t>
      </w:r>
      <w:r w:rsidR="00A47406" w:rsidRPr="00E7031F">
        <w:fldChar w:fldCharType="end"/>
      </w:r>
      <w:r w:rsidR="007947AD" w:rsidRPr="00E7031F">
        <w:t xml:space="preserve"> found that the favorable environments for MCSs over the Great Plains of the United States have frontal characteristics and enhanced low-level jets</w:t>
      </w:r>
      <w:r>
        <w:t>,</w:t>
      </w:r>
      <w:r w:rsidR="007947AD" w:rsidRPr="00E7031F">
        <w:t xml:space="preserve"> while the unfavorable environments feature enhanced upper-level ridges. </w:t>
      </w:r>
      <w:r w:rsidR="00A47406" w:rsidRPr="00E7031F">
        <w:fldChar w:fldCharType="begin"/>
      </w:r>
      <w:r w:rsidR="009B45C2">
        <w:instrText xml:space="preserve"> ADDIN ZOTERO_ITEM CSL_CITATION {"citationID":"QgKsOE21","properties":{"formattedCitation":"(Sugimoto &amp; Ueno, 2010)","plainCitation":"(Sugimoto &amp; Ueno, 2010)","noteIndex":0},"citationItems":[{"id":119,"uris":["http://zotero.org/users/8730623/items/M3HBTIB9"],"itemData":{"id":119,"type":"article-journal","abstract":"This study revealed the formation processes of mesoscale convective systems (MCSs) over the eastern Tibetan Plateau (TP), associated with the establishment of subplateauscale convergences affected by the longitudinal surface wetness gradient. Composites of reanalysis data and satellite infrared images showed that large MCSs occurred in the afternoon under the condition of the eastward expansion of upper tropospheric anticyclone with the enhancement of near-surface low pressure in the western plateau. The low-level convergence was systematically formed through the eastward propagation of a thermally induced cyclonic circulation formed in the north central plateau before the day of the MCS genesis. A numerical model successively simulated the MCS occurrence processes with the diurnal evolution of convergences, namely, (1) the formation of horizontal wind shear between southwesterlies and northeasterlies over the strong heated land-surface causing a thermal low in the northwest, (2) the eastward propagation of the vorticity due to intensification of upper westerlies in the night, and (3) the MCS genesis by low-level convergences behind the migrated vortex with a convective instability condition over the eastern wet land surface. Numerical sensitivity experiments confirmed that eliminating either the western surface sensible heat flux or the eastern surface latent heat flux prevented the development of MCS. Namely, the enhanced southeast-northwest gradation of the plateau-scale soil moisture distribution could effectively form the MCSs in the eastern plateau during the monsoon season.","archive_location":"WOS:000281144100007","container-title":"JOURNAL OF GEOPHYSICAL RESEARCH-ATMOSPHERES","DOI":"10.1029/2009JD013609","title":"Formation of mesoscale convective systems over the eastern Tibetan Plateau affected by plateau-scale heating contrasts","volume":"115","author":[{"family":"Sugimoto","given":"Shiori"},{"family":"Ueno","given":"Kenichi"}],"issued":{"date-parts":[["2010",8,20]]}}}],"schema":"https://github.com/citation-style-language/schema/raw/master/csl-citation.json"} </w:instrText>
      </w:r>
      <w:r w:rsidR="00A47406" w:rsidRPr="00E7031F">
        <w:fldChar w:fldCharType="separate"/>
      </w:r>
      <w:r w:rsidR="009B45C2" w:rsidRPr="009B45C2">
        <w:t>Sugimoto and Ueno (2010)</w:t>
      </w:r>
      <w:r w:rsidR="00A47406" w:rsidRPr="00E7031F">
        <w:fldChar w:fldCharType="end"/>
      </w:r>
      <w:r w:rsidR="00A47406" w:rsidRPr="00E7031F">
        <w:t xml:space="preserve"> found that MCSs over the eastern Tibetan Plateau mainly occurred under the condition of the eastward extension of </w:t>
      </w:r>
      <w:r>
        <w:t xml:space="preserve">the </w:t>
      </w:r>
      <w:r w:rsidR="00A47406" w:rsidRPr="00E7031F">
        <w:t xml:space="preserve">upper tropospheric anticyclone with the enhancement of near-surface low pressure in the western plateau. </w:t>
      </w:r>
      <w:r w:rsidR="00A47406" w:rsidRPr="00E7031F">
        <w:fldChar w:fldCharType="begin"/>
      </w:r>
      <w:r w:rsidR="009B45C2">
        <w:instrText xml:space="preserve"> ADDIN ZOTERO_ITEM CSL_CITATION {"citationID":"E7H0QrfS","properties":{"formattedCitation":"(Z. He et al., 2017)","plainCitation":"(Z. He et al., 2017)","noteIndex":0},"citationItems":[{"id":2152,"uris":["http://zotero.org/users/8730623/items/H9YI3CGI"],"itemData":{"id":2152,"type":"article-journal","abstract":"Based on mosaics of composite radar reflectivity for a 4-year period from July 2007 to June 2011, a total of 354 mesoscale convective systems (MCSs) over central East China were identified and their characteristics were investigated. Using the objective classification method of obliquely rotated principal analysis in T mode, the atmospheric circulation patterns over central East China were classified into nine typical types based on the geopotential height fields at 850 hPa. It was found that 62.2% of daytime MCSs and 67.7% of nocturnal MCSs occurred in meridional atmospheric circulations, which were associated with the Western North Pacific Subtropical High (WNPSH) to the east and a low-pressure system to the west. The relationship between atmospheric circulation types and characteristics of MCSs was also investigated. Composite analyses revealed two different atmospheric circulation patterns at 500 hPa in meridional atmospheric circulations, the pre-short-trough pattern and the cold vortex pattern. The former featured relatively stronger vertical wind shear, warm advection, and convergence at the exit region of low-level jets (LLJs), while the latter was associated with relatively stronger frontal zones and frontogenesis process. Numbers of MCSs decreased significantly from 2008 to 2010, which might be attributed to changes in the location of WNPSH, the trough to the west and LLJs between the two systems.","container-title":"International Journal of Climatology","DOI":"10.1002/joc.4917","ISSN":"08998418","issue":"7","journalAbbreviation":"Int. J. Climatol.","language":"en","note":"number: 7","page":"3276-3290","source":"DOI.org (Crossref)","title":"Characteristics of mesoscale convective systems in central East China and their reliance on atmospheric circulation patterns: CHARACTERISTICS OF MCSs AND THEIR RELIANCE ON CIRCULATION PATTERNS","title-short":"Characteristics of mesoscale convective systems in central East China and their reliance on atmospheric circulation patterns","volume":"37","author":[{"family":"He","given":"Zhiwei"},{"family":"Zhang","given":"Qinghong"},{"family":"Bai","given":"Lanqiang"},{"family":"Meng","given":"Zhiyong"}],"issued":{"date-parts":[["2017",6]]}}}],"schema":"https://github.com/citation-style-language/schema/raw/master/csl-citation.json"} </w:instrText>
      </w:r>
      <w:r w:rsidR="00A47406" w:rsidRPr="00E7031F">
        <w:fldChar w:fldCharType="separate"/>
      </w:r>
      <w:r w:rsidR="009B45C2" w:rsidRPr="009B45C2">
        <w:t xml:space="preserve"> He et al. (2017)</w:t>
      </w:r>
      <w:r w:rsidR="00A47406" w:rsidRPr="00E7031F">
        <w:fldChar w:fldCharType="end"/>
      </w:r>
      <w:r w:rsidR="00F70F44" w:rsidRPr="00E7031F">
        <w:t xml:space="preserve"> classified the circulation patterns over central East China into nine typical types based on the geopotential height fields at 850 hPa</w:t>
      </w:r>
      <w:r>
        <w:t>,</w:t>
      </w:r>
      <w:r w:rsidR="00F70F44" w:rsidRPr="00E7031F">
        <w:t xml:space="preserve"> and MCSs mainly occurred in the meridional circulations, which were associated with the Western North Pacific Subtropical High to the east and a low-pressure system to the west.</w:t>
      </w:r>
    </w:p>
    <w:p w14:paraId="00335500" w14:textId="0291BA79" w:rsidR="00401B99" w:rsidRPr="00E7031F" w:rsidRDefault="0000122F" w:rsidP="00C37CFA">
      <w:pPr>
        <w:pStyle w:val="ParagraphText"/>
        <w:ind w:firstLine="480"/>
      </w:pPr>
      <w:r w:rsidRPr="00E7031F">
        <w:t>The aforementioned studies show that different synoptic circulations often lead to different environmental conditions</w:t>
      </w:r>
      <w:r w:rsidR="00F103E8">
        <w:t>,</w:t>
      </w:r>
      <w:r w:rsidRPr="00E7031F">
        <w:t xml:space="preserve"> and the interactions of environmental conditions, topography, underlying surface and other factors are highly nonlinear, which makes it difficult to forecast the initiation and development of </w:t>
      </w:r>
      <w:r w:rsidR="00F103E8">
        <w:t xml:space="preserve">MCSs. Previous </w:t>
      </w:r>
      <w:r w:rsidRPr="00E7031F">
        <w:t>studies involving</w:t>
      </w:r>
      <w:r w:rsidR="00F103E8">
        <w:t xml:space="preserve"> the</w:t>
      </w:r>
      <w:r w:rsidRPr="00E7031F">
        <w:t xml:space="preserve"> MCS life cycle are still limited </w:t>
      </w:r>
      <w:r w:rsidR="00415C33">
        <w:t>in terms of understanding</w:t>
      </w:r>
      <w:r w:rsidR="00415C33" w:rsidRPr="00E7031F">
        <w:t xml:space="preserve"> </w:t>
      </w:r>
      <w:r w:rsidRPr="00E7031F">
        <w:t xml:space="preserve">its formation. </w:t>
      </w:r>
      <w:r w:rsidR="00415C33">
        <w:t>At present</w:t>
      </w:r>
      <w:r w:rsidRPr="00E7031F">
        <w:t xml:space="preserve">, thanks to high spatial-temporal resolution satellite data, the development of </w:t>
      </w:r>
      <w:r w:rsidR="00415C33">
        <w:t xml:space="preserve">an </w:t>
      </w:r>
      <w:r w:rsidRPr="00E7031F">
        <w:t xml:space="preserve">MCS </w:t>
      </w:r>
      <w:r w:rsidRPr="00E7031F">
        <w:lastRenderedPageBreak/>
        <w:t xml:space="preserve">from initiation to formation can be accurately captured through backward tracking. The middle reaches of the Yangtze River Basin (YRB) </w:t>
      </w:r>
      <w:r w:rsidR="00F103E8">
        <w:t xml:space="preserve">are </w:t>
      </w:r>
      <w:r w:rsidRPr="00E7031F">
        <w:t xml:space="preserve">located in the transitional zone between the second-step terrain (mountains) and the plains over </w:t>
      </w:r>
      <w:r w:rsidR="00F103E8">
        <w:t>East</w:t>
      </w:r>
      <w:r w:rsidRPr="00E7031F">
        <w:t xml:space="preserve"> China, with complicated orography and various underlying surfaces. The </w:t>
      </w:r>
      <w:r w:rsidR="00415C33">
        <w:t>M</w:t>
      </w:r>
      <w:r w:rsidRPr="00E7031F">
        <w:t>ei-yu fronts are very active in this area</w:t>
      </w:r>
      <w:r w:rsidR="00F103E8">
        <w:t>,</w:t>
      </w:r>
      <w:r w:rsidRPr="00E7031F">
        <w:t xml:space="preserve"> and their precipitation and convection have unique characteristics and complicated mechanisms </w:t>
      </w:r>
      <w:r w:rsidRPr="00E7031F">
        <w:fldChar w:fldCharType="begin"/>
      </w:r>
      <w:r w:rsidR="00CF07C7">
        <w:rPr>
          <w:rFonts w:hint="eastAsia"/>
        </w:rPr>
        <w:instrText xml:space="preserve"> ADDIN ZOTERO_ITEM CSL_CITATION {"citationID":"zwtfCWG2","properties":{"formattedCitation":"(\\uc0\\u20613{} et al. 2011; Sun and Zhang 2012; Zhang et al. 2014, 2020; Wang et al. 2021)","plainCitation":"(</w:instrText>
      </w:r>
      <w:r w:rsidR="00CF07C7">
        <w:rPr>
          <w:rFonts w:ascii="宋体" w:eastAsia="宋体" w:hAnsi="宋体" w:cs="宋体" w:hint="eastAsia"/>
        </w:rPr>
        <w:instrText>傅</w:instrText>
      </w:r>
      <w:r w:rsidR="00CF07C7">
        <w:rPr>
          <w:rFonts w:hint="eastAsia"/>
        </w:rPr>
        <w:instrText xml:space="preserve"> et al. 2011; Sun and Zhang 2012; Zhang et al. 2014, 2020; Wang et al. 2021)","dontUpdate":true,"noteIndex":0},"citationItems":[{"id":1055,"uris":["http://zotero.org/users/8730623/items/RW8JQLUW"],"itemData":{"id":1055,"type":"article-journal","abstract":"</w:instrText>
      </w:r>
      <w:r w:rsidR="00CF07C7">
        <w:rPr>
          <w:rFonts w:ascii="宋体" w:eastAsia="宋体" w:hAnsi="宋体" w:cs="宋体" w:hint="eastAsia"/>
        </w:rPr>
        <w:instrText>利用</w:instrText>
      </w:r>
      <w:r w:rsidR="00CF07C7">
        <w:rPr>
          <w:rFonts w:hint="eastAsia"/>
        </w:rPr>
        <w:instrText>GOES-9</w:instrText>
      </w:r>
      <w:r w:rsidR="00CF07C7">
        <w:rPr>
          <w:rFonts w:ascii="宋体" w:eastAsia="宋体" w:hAnsi="宋体" w:cs="宋体" w:hint="eastAsia"/>
        </w:rPr>
        <w:instrText>和</w:instrText>
      </w:r>
      <w:r w:rsidR="00CF07C7">
        <w:rPr>
          <w:rFonts w:hint="eastAsia"/>
        </w:rPr>
        <w:instrText>FY-2C</w:instrText>
      </w:r>
      <w:r w:rsidR="00CF07C7">
        <w:rPr>
          <w:rFonts w:ascii="宋体" w:eastAsia="宋体" w:hAnsi="宋体" w:cs="宋体" w:hint="eastAsia"/>
        </w:rPr>
        <w:instrText>卫星</w:instrText>
      </w:r>
      <w:r w:rsidR="00CF07C7">
        <w:rPr>
          <w:rFonts w:hint="eastAsia"/>
        </w:rPr>
        <w:instrText>TBB</w:instrText>
      </w:r>
      <w:r w:rsidR="00CF07C7">
        <w:rPr>
          <w:rFonts w:ascii="宋体" w:eastAsia="宋体" w:hAnsi="宋体" w:cs="宋体" w:hint="eastAsia"/>
        </w:rPr>
        <w:instrText>资料、</w:instrText>
      </w:r>
      <w:r w:rsidR="00CF07C7">
        <w:rPr>
          <w:rFonts w:hint="eastAsia"/>
        </w:rPr>
        <w:instrText>1</w:instrText>
      </w:r>
      <w:r w:rsidR="00CF07C7">
        <w:instrText>°×</w:instrText>
      </w:r>
      <w:r w:rsidR="00CF07C7">
        <w:rPr>
          <w:rFonts w:hint="eastAsia"/>
        </w:rPr>
        <w:instrText>1</w:instrText>
      </w:r>
      <w:r w:rsidR="00CF07C7">
        <w:instrText>°</w:instrText>
      </w:r>
      <w:r w:rsidR="00CF07C7">
        <w:rPr>
          <w:rFonts w:ascii="宋体" w:eastAsia="宋体" w:hAnsi="宋体" w:cs="宋体" w:hint="eastAsia"/>
        </w:rPr>
        <w:instrText>的</w:instrText>
      </w:r>
      <w:r w:rsidR="00CF07C7">
        <w:rPr>
          <w:rFonts w:hint="eastAsia"/>
        </w:rPr>
        <w:instrText>NCEP</w:instrText>
      </w:r>
      <w:r w:rsidR="00CF07C7">
        <w:rPr>
          <w:rFonts w:ascii="宋体" w:eastAsia="宋体" w:hAnsi="宋体" w:cs="宋体" w:hint="eastAsia"/>
        </w:rPr>
        <w:instrText>再分析资料以及常规地面观测资料对</w:instrText>
      </w:r>
      <w:r w:rsidR="00CF07C7">
        <w:rPr>
          <w:rFonts w:hint="eastAsia"/>
        </w:rPr>
        <w:instrText>2003</w:instrText>
      </w:r>
      <w:r w:rsidR="00CF07C7">
        <w:rPr>
          <w:rFonts w:ascii="宋体" w:eastAsia="宋体" w:hAnsi="宋体" w:cs="宋体" w:hint="eastAsia"/>
        </w:rPr>
        <w:instrText>和</w:instrText>
      </w:r>
      <w:r w:rsidR="00CF07C7">
        <w:rPr>
          <w:rFonts w:hint="eastAsia"/>
        </w:rPr>
        <w:instrText>2007</w:instrText>
      </w:r>
      <w:r w:rsidR="00CF07C7">
        <w:rPr>
          <w:rFonts w:ascii="宋体" w:eastAsia="宋体" w:hAnsi="宋体" w:cs="宋体" w:hint="eastAsia"/>
        </w:rPr>
        <w:instrText>年梅雨期内青藏高原东移对流系统影响重庆、四川以及江淮梅雨锋地区降水的主要方式作了研究。结果表明</w:instrText>
      </w:r>
      <w:r w:rsidR="00CF07C7">
        <w:rPr>
          <w:rFonts w:hint="eastAsia"/>
        </w:rPr>
        <w:instrText>,2003</w:instrText>
      </w:r>
      <w:r w:rsidR="00CF07C7">
        <w:rPr>
          <w:rFonts w:ascii="宋体" w:eastAsia="宋体" w:hAnsi="宋体" w:cs="宋体" w:hint="eastAsia"/>
        </w:rPr>
        <w:instrText>和</w:instrText>
      </w:r>
      <w:r w:rsidR="00CF07C7">
        <w:rPr>
          <w:rFonts w:hint="eastAsia"/>
        </w:rPr>
        <w:instrText>2007</w:instrText>
      </w:r>
      <w:r w:rsidR="00CF07C7">
        <w:rPr>
          <w:rFonts w:ascii="宋体" w:eastAsia="宋体" w:hAnsi="宋体" w:cs="宋体" w:hint="eastAsia"/>
        </w:rPr>
        <w:instrText>年梅雨期内</w:instrText>
      </w:r>
      <w:r w:rsidR="00CF07C7">
        <w:rPr>
          <w:rFonts w:hint="eastAsia"/>
        </w:rPr>
        <w:instrText>,</w:instrText>
      </w:r>
      <w:r w:rsidR="00CF07C7">
        <w:rPr>
          <w:rFonts w:ascii="宋体" w:eastAsia="宋体" w:hAnsi="宋体" w:cs="宋体" w:hint="eastAsia"/>
        </w:rPr>
        <w:instrText>青藏高原东移对流系统影响下游地区降水主要存在</w:instrText>
      </w:r>
      <w:r w:rsidR="00CF07C7">
        <w:rPr>
          <w:rFonts w:hint="eastAsia"/>
        </w:rPr>
        <w:instrText>4</w:instrText>
      </w:r>
      <w:r w:rsidR="00CF07C7">
        <w:rPr>
          <w:rFonts w:ascii="宋体" w:eastAsia="宋体" w:hAnsi="宋体" w:cs="宋体" w:hint="eastAsia"/>
        </w:rPr>
        <w:instrText>种方式</w:instrText>
      </w:r>
      <w:r w:rsidR="00CF07C7">
        <w:rPr>
          <w:rFonts w:hint="eastAsia"/>
        </w:rPr>
        <w:instrText>:(1)</w:instrText>
      </w:r>
      <w:r w:rsidR="00CF07C7">
        <w:rPr>
          <w:rFonts w:ascii="宋体" w:eastAsia="宋体" w:hAnsi="宋体" w:cs="宋体" w:hint="eastAsia"/>
        </w:rPr>
        <w:instrText>高原上的动力辐合中心伴随高原对流系统东移</w:instrText>
      </w:r>
      <w:r w:rsidR="00CF07C7">
        <w:rPr>
          <w:rFonts w:hint="eastAsia"/>
        </w:rPr>
        <w:instrText>,</w:instrText>
      </w:r>
      <w:r w:rsidR="00CF07C7">
        <w:rPr>
          <w:rFonts w:ascii="宋体" w:eastAsia="宋体" w:hAnsi="宋体" w:cs="宋体" w:hint="eastAsia"/>
        </w:rPr>
        <w:instrText>影响所经地区的降水</w:instrText>
      </w:r>
      <w:r w:rsidR="00CF07C7">
        <w:rPr>
          <w:rFonts w:hint="eastAsia"/>
        </w:rPr>
        <w:instrText>,</w:instrText>
      </w:r>
      <w:r w:rsidR="00CF07C7">
        <w:rPr>
          <w:rFonts w:ascii="宋体" w:eastAsia="宋体" w:hAnsi="宋体" w:cs="宋体" w:hint="eastAsia"/>
        </w:rPr>
        <w:instrText>该种影响方式较为常见</w:instrText>
      </w:r>
      <w:r w:rsidR="00CF07C7">
        <w:rPr>
          <w:rFonts w:hint="eastAsia"/>
        </w:rPr>
        <w:instrText>,</w:instrText>
      </w:r>
      <w:r w:rsidR="00CF07C7">
        <w:rPr>
          <w:rFonts w:ascii="宋体" w:eastAsia="宋体" w:hAnsi="宋体" w:cs="宋体" w:hint="eastAsia"/>
        </w:rPr>
        <w:instrText>持续时间较长</w:instrText>
      </w:r>
      <w:r w:rsidR="00CF07C7">
        <w:rPr>
          <w:rFonts w:hint="eastAsia"/>
        </w:rPr>
        <w:instrText>,</w:instrText>
      </w:r>
      <w:r w:rsidR="00CF07C7">
        <w:rPr>
          <w:rFonts w:ascii="宋体" w:eastAsia="宋体" w:hAnsi="宋体" w:cs="宋体" w:hint="eastAsia"/>
        </w:rPr>
        <w:instrText>影响范围较广。</w:instrText>
      </w:r>
      <w:r w:rsidR="00CF07C7">
        <w:rPr>
          <w:rFonts w:hint="eastAsia"/>
        </w:rPr>
        <w:instrText>(2)</w:instrText>
      </w:r>
      <w:r w:rsidR="00CF07C7">
        <w:rPr>
          <w:rFonts w:ascii="宋体" w:eastAsia="宋体" w:hAnsi="宋体" w:cs="宋体" w:hint="eastAsia"/>
        </w:rPr>
        <w:instrText>高原对流系统移出高原后在四川盆地引发稳定少动的西南低涡</w:instrText>
      </w:r>
      <w:r w:rsidR="00CF07C7">
        <w:rPr>
          <w:rFonts w:hint="eastAsia"/>
        </w:rPr>
        <w:instrText>,</w:instrText>
      </w:r>
      <w:r w:rsidR="00CF07C7">
        <w:rPr>
          <w:rFonts w:ascii="宋体" w:eastAsia="宋体" w:hAnsi="宋体" w:cs="宋体" w:hint="eastAsia"/>
        </w:rPr>
        <w:instrText>触发一系列暴雨过程</w:instrText>
      </w:r>
      <w:r w:rsidR="00CF07C7">
        <w:rPr>
          <w:rFonts w:hint="eastAsia"/>
        </w:rPr>
        <w:instrText>,</w:instrText>
      </w:r>
      <w:r w:rsidR="00CF07C7">
        <w:rPr>
          <w:rFonts w:ascii="宋体" w:eastAsia="宋体" w:hAnsi="宋体" w:cs="宋体" w:hint="eastAsia"/>
        </w:rPr>
        <w:instrText>此种影响方式持续时间较长</w:instrText>
      </w:r>
      <w:r w:rsidR="00CF07C7">
        <w:rPr>
          <w:rFonts w:hint="eastAsia"/>
        </w:rPr>
        <w:instrText>,</w:instrText>
      </w:r>
      <w:r w:rsidR="00CF07C7">
        <w:rPr>
          <w:rFonts w:ascii="宋体" w:eastAsia="宋体" w:hAnsi="宋体" w:cs="宋体" w:hint="eastAsia"/>
        </w:rPr>
        <w:instrText>主要影响地区为四川和重庆</w:instrText>
      </w:r>
      <w:r w:rsidR="00CF07C7">
        <w:rPr>
          <w:rFonts w:hint="eastAsia"/>
        </w:rPr>
        <w:instrText>(</w:instrText>
      </w:r>
      <w:r w:rsidR="00CF07C7">
        <w:rPr>
          <w:rFonts w:ascii="宋体" w:eastAsia="宋体" w:hAnsi="宋体" w:cs="宋体" w:hint="eastAsia"/>
        </w:rPr>
        <w:instrText>往往会造成强度很大的暴雨</w:instrText>
      </w:r>
      <w:r w:rsidR="00CF07C7">
        <w:rPr>
          <w:rFonts w:hint="eastAsia"/>
        </w:rPr>
        <w:instrText>),</w:instrText>
      </w:r>
      <w:r w:rsidR="00CF07C7">
        <w:rPr>
          <w:rFonts w:ascii="宋体" w:eastAsia="宋体" w:hAnsi="宋体" w:cs="宋体" w:hint="eastAsia"/>
        </w:rPr>
        <w:instrText>当西南低涡以东盛行较强西南</w:instrText>
      </w:r>
      <w:r w:rsidR="00CF07C7">
        <w:rPr>
          <w:rFonts w:hint="eastAsia"/>
        </w:rPr>
        <w:instrText>...","container-title":"</w:instrText>
      </w:r>
      <w:r w:rsidR="00CF07C7">
        <w:rPr>
          <w:rFonts w:ascii="宋体" w:eastAsia="宋体" w:hAnsi="宋体" w:cs="宋体" w:hint="eastAsia"/>
        </w:rPr>
        <w:instrText>气象学报</w:instrText>
      </w:r>
      <w:r w:rsidR="00CF07C7">
        <w:rPr>
          <w:rFonts w:hint="eastAsia"/>
        </w:rPr>
        <w:instrText>","ISSN":"0577-6619","issue":"04","language":"</w:instrText>
      </w:r>
      <w:r w:rsidR="00CF07C7">
        <w:rPr>
          <w:rFonts w:ascii="宋体" w:eastAsia="宋体" w:hAnsi="宋体" w:cs="宋体" w:hint="eastAsia"/>
        </w:rPr>
        <w:instrText>中文</w:instrText>
      </w:r>
      <w:r w:rsidR="00CF07C7">
        <w:rPr>
          <w:rFonts w:hint="eastAsia"/>
        </w:rPr>
        <w:instrText>;","note":"number: 04","page":"581-600","source":"CNKI","title":"</w:instrText>
      </w:r>
      <w:r w:rsidR="00CF07C7">
        <w:rPr>
          <w:rFonts w:ascii="宋体" w:eastAsia="宋体" w:hAnsi="宋体" w:cs="宋体" w:hint="eastAsia"/>
        </w:rPr>
        <w:instrText>梅雨期青藏高原东移对流系统影响江淮流域降水的研究</w:instrText>
      </w:r>
      <w:r w:rsidR="00CF07C7">
        <w:rPr>
          <w:rFonts w:hint="eastAsia"/>
        </w:rPr>
        <w:instrText>","volume":"69","author":[{"family":"</w:instrText>
      </w:r>
      <w:r w:rsidR="00CF07C7">
        <w:rPr>
          <w:rFonts w:ascii="宋体" w:eastAsia="宋体" w:hAnsi="宋体" w:cs="宋体" w:hint="eastAsia"/>
        </w:rPr>
        <w:instrText>傅</w:instrText>
      </w:r>
      <w:r w:rsidR="00CF07C7">
        <w:rPr>
          <w:rFonts w:hint="eastAsia"/>
        </w:rPr>
        <w:instrText>","given":"</w:instrText>
      </w:r>
      <w:r w:rsidR="00CF07C7">
        <w:rPr>
          <w:rFonts w:ascii="宋体" w:eastAsia="宋体" w:hAnsi="宋体" w:cs="宋体" w:hint="eastAsia"/>
        </w:rPr>
        <w:instrText>慎明</w:instrText>
      </w:r>
      <w:r w:rsidR="00CF07C7">
        <w:rPr>
          <w:rFonts w:hint="eastAsia"/>
        </w:rPr>
        <w:instrText>"},{"family":"</w:instrText>
      </w:r>
      <w:r w:rsidR="00CF07C7">
        <w:rPr>
          <w:rFonts w:ascii="宋体" w:eastAsia="宋体" w:hAnsi="宋体" w:cs="宋体" w:hint="eastAsia"/>
        </w:rPr>
        <w:instrText>孙</w:instrText>
      </w:r>
      <w:r w:rsidR="00CF07C7">
        <w:rPr>
          <w:rFonts w:hint="eastAsia"/>
        </w:rPr>
        <w:instrText>","given":"</w:instrText>
      </w:r>
      <w:r w:rsidR="00CF07C7">
        <w:rPr>
          <w:rFonts w:ascii="宋体" w:eastAsia="宋体" w:hAnsi="宋体" w:cs="宋体" w:hint="eastAsia"/>
        </w:rPr>
        <w:instrText>建华</w:instrText>
      </w:r>
      <w:r w:rsidR="00CF07C7">
        <w:rPr>
          <w:rFonts w:hint="eastAsia"/>
        </w:rPr>
        <w:instrText>"},{"family":"</w:instrText>
      </w:r>
      <w:r w:rsidR="00CF07C7">
        <w:rPr>
          <w:rFonts w:ascii="宋体" w:eastAsia="宋体" w:hAnsi="宋体" w:cs="宋体" w:hint="eastAsia"/>
        </w:rPr>
        <w:instrText>赵</w:instrText>
      </w:r>
      <w:r w:rsidR="00CF07C7">
        <w:rPr>
          <w:rFonts w:hint="eastAsia"/>
        </w:rPr>
        <w:instrText>","given":"</w:instrText>
      </w:r>
      <w:r w:rsidR="00CF07C7">
        <w:rPr>
          <w:rFonts w:ascii="宋体" w:eastAsia="宋体" w:hAnsi="宋体" w:cs="宋体" w:hint="eastAsia"/>
        </w:rPr>
        <w:instrText>思雄</w:instrText>
      </w:r>
      <w:r w:rsidR="00CF07C7">
        <w:rPr>
          <w:rFonts w:hint="eastAsia"/>
        </w:rPr>
        <w:instrText>"},{"family":"</w:instrText>
      </w:r>
      <w:r w:rsidR="00CF07C7">
        <w:rPr>
          <w:rFonts w:ascii="宋体" w:eastAsia="宋体" w:hAnsi="宋体" w:cs="宋体" w:hint="eastAsia"/>
        </w:rPr>
        <w:instrText>李</w:instrText>
      </w:r>
      <w:r w:rsidR="00CF07C7">
        <w:rPr>
          <w:rFonts w:hint="eastAsia"/>
        </w:rPr>
        <w:instrText>","given":"</w:instrText>
      </w:r>
      <w:r w:rsidR="00CF07C7">
        <w:rPr>
          <w:rFonts w:ascii="宋体" w:eastAsia="宋体" w:hAnsi="宋体" w:cs="宋体" w:hint="eastAsia"/>
        </w:rPr>
        <w:instrText>万莉</w:instrText>
      </w:r>
      <w:r w:rsidR="00CF07C7">
        <w:rPr>
          <w:rFonts w:hint="eastAsia"/>
        </w:rPr>
        <w:instrText>"},{"family":"</w:instrText>
      </w:r>
      <w:r w:rsidR="00CF07C7">
        <w:rPr>
          <w:rFonts w:ascii="宋体" w:eastAsia="宋体" w:hAnsi="宋体" w:cs="宋体" w:hint="eastAsia"/>
        </w:rPr>
        <w:instrText>李</w:instrText>
      </w:r>
      <w:r w:rsidR="00CF07C7">
        <w:rPr>
          <w:rFonts w:hint="eastAsia"/>
        </w:rPr>
        <w:instrText>","given":"</w:instrText>
      </w:r>
      <w:r w:rsidR="00CF07C7">
        <w:rPr>
          <w:rFonts w:ascii="宋体" w:eastAsia="宋体" w:hAnsi="宋体" w:cs="宋体" w:hint="eastAsia"/>
        </w:rPr>
        <w:instrText>博</w:instrText>
      </w:r>
      <w:r w:rsidR="00CF07C7">
        <w:rPr>
          <w:rFonts w:hint="eastAsia"/>
        </w:rPr>
        <w:instrText>"}],"issued":{"date-parts":[["2011"]]}},"label":"page"},{"id":852,"uris":["http://zotero.org/users/8730623/items/3LNVH548"],"itemData":{"id":852,"type":"article-journal","abstract":"Abstr</w:instrText>
      </w:r>
      <w:r w:rsidR="00CF07C7">
        <w:instrText xml:space="preserve">act Convection-permitting numerical experiments using the Weather Research and Forecasting (WRF) model are performed to examine the impact of a thermally driven mountain–plains solenoid (MPS) on the diurnal variations of precipitation and mesoscale convective vortices along the mei-yu front over the east China plains during 1–10 July 2007. The focus of the analyses is a 10-day simulation that used the 10-day average of the global analysis at 0000 UTC as the initial condition and the 10-day averages every 6 h as lateral boundary conditions (with diurnal variations only). Despite differences in the rainfall intensity and location, this idealized experiment successfully simulated the observed diurnal variation and eastward propagation of rainfall and mesoscale convective vortices along the mei-yu front. It was found that the upward branch of the MPS, along with the attendant nocturnal low-level jet, is primarily responsible for the midnight-to-early-morning rainfall enhancement along the mei-yu front. The MPS is induced by differential heating between the high mountain ranges in central China and the low-lying plains in east China. Diabatic heating from moist convection initiated and/or enhanced by the solenoid circulation subsequently leads to the formation of a mesoscale convective vortex that further organizes and amplifies moist convection while propagating eastward along the mei-yu front. The downward branch of the MPS, on the other hand, leads to the suppression of precipitation over the plains during the daytime. The impacts of this regional MPS on the rainfall diurnal variations are further attested to by another idealized WRF simulation that uses fixed lateral boundary conditions.","container-title":"Monthly Weather Review","DOI":"10.1175/MWR-D-11-00041.1","ISSN":"1520-0493, 0027-0644","issue":"2","language":"EN","note":"number: 2\npublisher: American Meteorological Society\nsection: Monthly Weather Review","page":"379-397","source":"journals.ametsoc.org","title":"Impacts of Mountain–Plains Solenoid on Diurnal Variations of Rainfalls along the Mei-Yu Front over the East China Plains","volume":"140","author":[{"family":"Sun","given":"Jianhua"},{"family":"Zhang","given":"Fuqing"}],"issued":{"date-parts":[["2012",2,1]]}},"label":"page"},{"id":823,"uris":["http://zotero.org/users/8730623/items/YAM28G2M"],"itemData":{"id":823,"type":"article-journal","abstract":"Abstract. A wave-number-frequency spectral decomposition technique is used to analyze the high-resolution NOAA/Climate Prediction Center morphing technique (CMORPH) precipitation data set and to explore the differences and similarities of the diurnal variation of warm-season precipitation in the East Asia and North America downstream of big topography. The predominant phase speed of precipitation at different time scales for North America, averaged over all warm-season months (May–August) for 2003–2010, is ~20 ms−1, which is faster than the speed of ~14 ms−1 calculated for East Asia. Consistent with the recent studies of the precipitation diurnal cycles for these two regions, the difference in the diurnal phase propagation is likely due to the difference in the mean steering level wind speed for these two regions. The wave-number-frequency spectral analysis further reveals the complex, multi-scale, multi-modal nature of the warm-season precipitation variation embedded within the diurnal cycle over both continents, with phase speeds varying from 10 to 30 ms−1 and wave periods varying from diurnal to a few hours. At the diurnal frequency regulated by the thermodynamically driven mountains–plains solenoids (MPSs), increased precipitation for both continents first originates in the afternoon from the eastern edge of big topography and subsequently moves downslope in the evening and reaches the broad plains area at night. More complex diurnal evolutions are observed in East Asia due to the more complex, multistep terrains east of the Tibetan Plateau and the associated localized MPS circulations. Nevertheless, increased variation of precipitation at smaller spatial and temporal scales is evident in the active phase of the dominant diurnal cycle for both continents.","container-title":"Atmospheric Chemistry and Physics","DOI":"10.5194/acp-14-10741-2014","ISSN":"1680-7324","issue":"19","journalAbbreviation":"Atmos. Chem. Phys.","language":"en","note":"number: 19","page":"10741-10759","source":"DOI.org (Crossref)","title":"Comparison of the diurnal variations of warm-season precipitation for East Asia vs. North America downstream of the Tibetan Plateau vs. the Rocky Mountains","volume":"14","author":[{"family":"Zhang","given":"Yuanchun"},{"family":"Zhang","given":"Fuqing"},{"family":"Sun","given":"Jianhua"}],"issued":{"date-parts":[["2014",10,13]]}},"label":"page"},{"id":1048,"uris":["http://zotero.org/users/8730623/items/LK7RH6DZ"],"itemData":{"id":1048,"type":"article-journal","abstract":"The diurnal variation of precipitation reflects the influence of atmospheric heat and dynamic processes on the water cycle. Using multiple data sets, we carried out case studies and statistical analysis of the diurnal variation in Meiyu rainfall in atypical Meiyu years. Our results show that the morning precipitation was induced by strong southwesterly moisture transport and was mainly composed of stratiform pixels, whereas the precipitation occurring in the afternoon was mainly composed of convective pixels affected by updrafts. The diurnal variation in precipitation in the atypical Meiyu years appeared as a bimodal structure with peaks in early morning (06:30 LST) and afternoon (16:00 LST), which was different from the single morning peak (09:30 LST) in the normal Meiyu years and reported previously. Further research indicated that the morning peak is related to the low-level water vapor flux, whereas the afternoon peak is related to the local solar heating. In addition, the water vapor flux in the Yangtze Plain was characterized by strong morning and weak afternoon fluxes during both normal and atypical Meiyu periods. The diurnal variation in the low-level water vapor flux is thought to be influenced by the intensity of, and distance from, the subtropical high.","container-title":"Journal of Geophysical Research: Atmospheres","DOI":"10.1029/2019JD031742","ISSN":"2169-8996","issue":"1","language":"en","note":"number: 1\n_eprint: https://onlinelibrary.wiley.com/doi/pdf/10.1029/2019JD031742","page":"e2019JD031742","source":"Wiley Online Library","title":"Diurnal Variation of Meiyu Rainfall in the Yangtze Plain During Atypical Meiyu Years","volume":"125","author":[{"family":"Zhang","given":"A. Q."},{"family":"Chen","given":"Y. L."},{"family":"Zhou","given":"S. N."},{"family":"Cui","given":"C. G."},{"family":"Wan","given":"R."},{"family":"Fu","given":"Y. F."}],"issued":{"date-parts":[["2020"]]}},"label":"page"},{"id":776,"uris":["http://zotero.org/users/8730623/items/CBJ3UIB6"],"itemData":{"id":776,"type":"article-journal","abstract":"Persistent heavy rainfall events (PHREs) over the Yangtze–Huaihe River Valley (YHRV) during 1981–2020 are classified into three types (type-A, type-B and type-C) according to pattern correlation. The characteristics of the synoptic systems for the PHREs and their possible development mechanisms are investigated. The anomalous cyclonic disturbance over the southern part of the YHRV during type-A events is primarily maintained and intensified by the propagation of Rossby wave energy originating from the northeast Atlantic in the mid–upper troposphere and the northward propagation of Rossby wave packets from the western Pacific in the mid–lower troposphere. The zonal propagation of Rossby wave packets and the northward propagation of Rossby wave packets during type-B events are more coherent than those for type-A events, which induces eastward propagation of stronger anomaly centers of geopotential height from the northeast Atlantic Ocean to the YHRV and a meridional anomaly in geopotential height over the Asian continent. Type-C events have “two ridges and one trough” in the high latitudes of the Eurasian continent, but the anomalous intensity of the western Pacific subtropical high (WPSH) and the trough of the YHRV region are weaker than those for type-A and type-B events. The composite synoptic circulation of four PHREs in 2020 is basically consistent with that of the corresponding PHRE type. The location of the South Asian high (SAH) in three of the PHREs in 2020 moves eastward as in the composite of the three types, but the position of the WPSH of the four PHREs is clearly westward and northward. Two water vapor conveyor belts and two cold air conveyor belts are tracked during the four PHREs in 2020, but the water vapor path from the western Pacific is not seen, which may be caused by the westward extension of the WPSH.","container-title":"Advances in Atmospheric Sciences","DOI":"10.1007/s00376-021-1194-8","ISSN":"1861-9533","issue":"12","journalAbbreviation":"Adv. Atmos. Sci.","language":"en","note":"number: 12","page":"2167-2182","source":"Springer Link","title":"Typical Circulation Patterns and Associated Mechanisms for Persistent Heavy Rainfall Events over Yangtze-Huaihe River Valley during 1981–2020","volume":"38","author":[{"family":"Wang","given":"Huijie"},{"family":"Sun","given":"Jianhua"},{"family":"Fu","given":"Shenming"},{"family":"Zhang","given":"Yuanchun"}],"issued":{"date-parts":[["2021",12,1]]}},"label":"page"}],"schema":"https://github.com/citation-style-language/schema/raw/master/csl-citation.json"} </w:instrText>
      </w:r>
      <w:r w:rsidRPr="00E7031F">
        <w:fldChar w:fldCharType="separate"/>
      </w:r>
      <w:r w:rsidRPr="00E7031F">
        <w:t>(Fu et al., 2011b; Sun &amp; Zhang, 2012; Zhang et al., 2014, 2020; Wang et al., 2021)</w:t>
      </w:r>
      <w:r w:rsidRPr="00E7031F">
        <w:fldChar w:fldCharType="end"/>
      </w:r>
      <w:r w:rsidR="00A35EAE" w:rsidRPr="00E7031F">
        <w:t>. In the present study, the MCSs over the middle reaches of the YRB are identified and tracked first, and then</w:t>
      </w:r>
      <w:r w:rsidR="007B3FC7">
        <w:t>,</w:t>
      </w:r>
      <w:r w:rsidR="00A35EAE" w:rsidRPr="00E7031F">
        <w:t xml:space="preserve"> the MCS </w:t>
      </w:r>
      <w:r w:rsidR="007B3FC7" w:rsidRPr="00E7031F">
        <w:t xml:space="preserve">initiation </w:t>
      </w:r>
      <w:r w:rsidR="00A35EAE" w:rsidRPr="00E7031F">
        <w:t xml:space="preserve">is detected through backward tracking. </w:t>
      </w:r>
      <w:r w:rsidR="007B3FC7">
        <w:t>Next, the</w:t>
      </w:r>
      <w:r w:rsidR="007B3FC7" w:rsidRPr="00E7031F">
        <w:t xml:space="preserve"> </w:t>
      </w:r>
      <w:r w:rsidR="00A35EAE" w:rsidRPr="00E7031F">
        <w:t xml:space="preserve">temporal-spatial distribution and features of the MCSs are investigated. Finally, the synoptic circulations in this region are objectively classified into different patterns to find the circulations and environmental conditions favorable for the initiation of </w:t>
      </w:r>
      <w:r w:rsidR="00B13DC5">
        <w:t xml:space="preserve">an </w:t>
      </w:r>
      <w:r w:rsidR="00A35EAE" w:rsidRPr="00E7031F">
        <w:t xml:space="preserve">MCS. The remainder of this paper is organized as follows. Section 2 introduces the data and methodologies. Section 3 presents the statistics of MCSs, </w:t>
      </w:r>
      <w:r w:rsidR="00B13DC5">
        <w:t>including</w:t>
      </w:r>
      <w:r w:rsidR="00A35EAE" w:rsidRPr="00E7031F">
        <w:t xml:space="preserve"> the temporal-spatial distributions of initiation and </w:t>
      </w:r>
      <w:r w:rsidR="00B13DC5">
        <w:t xml:space="preserve">apparent </w:t>
      </w:r>
      <w:r w:rsidR="00A35EAE" w:rsidRPr="00E7031F">
        <w:t xml:space="preserve">features during their life cycles. Section 4 </w:t>
      </w:r>
      <w:r w:rsidR="00F103E8">
        <w:t>presents</w:t>
      </w:r>
      <w:r w:rsidR="00A35EAE" w:rsidRPr="00E7031F">
        <w:t xml:space="preserve"> the objective classification of circulations in the middle reaches of the YRB and </w:t>
      </w:r>
      <w:r w:rsidR="00F103E8">
        <w:t>examines</w:t>
      </w:r>
      <w:r w:rsidR="00A35EAE" w:rsidRPr="00E7031F">
        <w:t xml:space="preserve"> the circulation patterns and environmental conditions favorable for MCS initiation. </w:t>
      </w:r>
      <w:r w:rsidR="00B13DC5">
        <w:t>Finally, a</w:t>
      </w:r>
      <w:r w:rsidR="00A35EAE" w:rsidRPr="00E7031F">
        <w:t xml:space="preserve"> summary is given in Section 5.</w:t>
      </w:r>
    </w:p>
    <w:p w14:paraId="0AE63A4A" w14:textId="5BADBFA0" w:rsidR="00CD28B9" w:rsidRPr="00985817" w:rsidRDefault="00F103E8" w:rsidP="00A7754E">
      <w:pPr>
        <w:pStyle w:val="ae"/>
      </w:pPr>
      <w:r w:rsidRPr="00985817">
        <w:t>2 Data and methodology</w:t>
      </w:r>
    </w:p>
    <w:p w14:paraId="7010ADE6" w14:textId="0B878ADE" w:rsidR="00CD28B9" w:rsidRPr="00985817" w:rsidRDefault="00F103E8" w:rsidP="00A7754E">
      <w:pPr>
        <w:pStyle w:val="af0"/>
      </w:pPr>
      <w:r w:rsidRPr="00985817">
        <w:t xml:space="preserve">2.1 Data and </w:t>
      </w:r>
      <w:r w:rsidR="00050C01">
        <w:t>focused</w:t>
      </w:r>
      <w:r w:rsidR="00050C01" w:rsidRPr="00985817">
        <w:t xml:space="preserve"> </w:t>
      </w:r>
      <w:r w:rsidRPr="00985817">
        <w:t>area</w:t>
      </w:r>
    </w:p>
    <w:p w14:paraId="30D57365" w14:textId="3BEA0E9D" w:rsidR="00C230DE" w:rsidRPr="00E7031F" w:rsidRDefault="00F103E8" w:rsidP="00A7754E">
      <w:pPr>
        <w:pStyle w:val="ParagraphText"/>
      </w:pPr>
      <w:r w:rsidRPr="00E7031F">
        <w:t xml:space="preserve">The brightness temperature (BT) at the 10.8 μm band of the Advanced Geosynchronous Radiation Imager onboard the Fengyun-4A (FY-4A) satellite is used to identify and track MCSs in the present study. The spatial resolution of FY-4A BT data is 4 km at nadir. The temporal resolution of regional </w:t>
      </w:r>
      <w:r>
        <w:t>observations</w:t>
      </w:r>
      <w:r w:rsidRPr="00E7031F">
        <w:t xml:space="preserve"> over China and its </w:t>
      </w:r>
      <w:r w:rsidR="0050070C">
        <w:t>surrounding area</w:t>
      </w:r>
      <w:r w:rsidR="0050070C" w:rsidRPr="00E7031F">
        <w:t xml:space="preserve"> </w:t>
      </w:r>
      <w:r w:rsidRPr="00E7031F">
        <w:t xml:space="preserve">is ~5 min </w:t>
      </w:r>
      <w:r w:rsidR="00985817">
        <w:fldChar w:fldCharType="begin"/>
      </w:r>
      <w:r w:rsidR="009B45C2">
        <w:instrText xml:space="preserve"> ADDIN ZOTERO_ITEM CSL_CITATION {"citationID":"VbbEjKxE","properties":{"formattedCitation":"(Jun Yang et al., 2017)","plainCitation":"(Jun Yang et al., 2017)","noteIndex":0},"citationItems":[{"id":2108,"uris":["http://zotero.org/users/8730623/items/MXUEL8UH"],"itemData":{"id":2108,"type":"article-journal","abstract":"Abstract\n            China is developing a new generation of geostationary meteorological satellites called Fengyun-4 (FY-4), which is planned for launch beginning in 2016. Following upon the current FY-2 satellite series, FY-4 will carry four new instruments: the Advanced Geosynchronous Radiation Imager (AGRI), the Geosynchronous Interferometric Infrared Sounder (GIIRS), the Lightning Mapping Imager (LMI), and the Space Environment Package (SEP). The first satellite of the FY-4 series launched on 11 December 2016 is experimental, and the following four or more satellites will be operational.\n            The main objectives of the FY-4 series are to monitor rapidly changing weather systems and to improve warning and forecasting capabilities. The FY-4 measurements are aimed at accomplishing 1) high temporal and spatial resolution imaging in 14 spectral bands from the visible, near-infrared, and infrared (IR) spectral regions; 2) lightning imaging; and 3) high-spectral-resolution IR sounding observations over China and adjacent regions. FY-4 will also enhance the space weather monitoring and warning with SEP. Current products from FY-2 will be improved by FY-4, and a number of new products will also be introduced. FY-4’s sounding and imaging data will be used to improve applications in a wide range of ocean, land, and atmosphere monitoring plus forecasting extreme weather (especially typhoons and thunderstorms); overall, FY-4 will contribute to more accurate understanding and forecasting of China’s weather, climate, environment, and natural disasters. This new generation of Chinese geostationary weather satellites is being developed in parallel with the new generation of geostationary meteorological satellite systems from the international community of satellite providers and is intended to be an important contribution to the global observing system.","container-title":"Bulletin of the American Meteorological Society","DOI":"10.1175/BAMS-D-16-0065.1","ISSN":"0003-0007, 1520-0477","issue":"8","language":"en","note":"number: 8","page":"1637-1658","source":"DOI.org (Crossref)","title":"Introducing the New Generation of Chinese Geostationary Weather Satellites, Fengyun-4","volume":"98","author":[{"family":"Yang","given":"Jun"},{"family":"Zhang","given":"Zhiqing"},{"family":"Wei","given":"Caiying"},{"family":"Lu","given":"Feng"},{"family":"Guo","given":"Qiang"}],"issued":{"date-parts":[["2017",8,1]]}}}],"schema":"https://github.com/citation-style-language/schema/raw/master/csl-citation.json"} </w:instrText>
      </w:r>
      <w:r w:rsidR="00985817">
        <w:fldChar w:fldCharType="separate"/>
      </w:r>
      <w:r w:rsidR="009B45C2" w:rsidRPr="009B45C2">
        <w:t>(Yang et al., 2017)</w:t>
      </w:r>
      <w:r w:rsidR="00985817">
        <w:fldChar w:fldCharType="end"/>
      </w:r>
      <w:r w:rsidRPr="00E7031F">
        <w:t xml:space="preserve">. The BT fields used in the present study are limited </w:t>
      </w:r>
      <w:r>
        <w:t>to</w:t>
      </w:r>
      <w:r w:rsidRPr="00E7031F">
        <w:t xml:space="preserve"> the region (~15–45 °N and 75–135 °E) shown in Fig. 1a to ensure consistency </w:t>
      </w:r>
      <w:r w:rsidR="0050070C">
        <w:t>in</w:t>
      </w:r>
      <w:r w:rsidR="0050070C" w:rsidRPr="00E7031F">
        <w:t xml:space="preserve"> </w:t>
      </w:r>
      <w:r w:rsidRPr="00E7031F">
        <w:t xml:space="preserve">the dataset. The integrities of the dataset during </w:t>
      </w:r>
      <w:r>
        <w:t xml:space="preserve">the </w:t>
      </w:r>
      <w:r w:rsidRPr="00E7031F">
        <w:t xml:space="preserve">warm season (April–September) </w:t>
      </w:r>
      <w:r w:rsidR="00985817">
        <w:rPr>
          <w:rFonts w:hint="eastAsia"/>
        </w:rPr>
        <w:t>of</w:t>
      </w:r>
      <w:r w:rsidRPr="00E7031F">
        <w:t xml:space="preserve"> 2018–2021 are 93.26%, 97.65%, 97.07%, </w:t>
      </w:r>
      <w:r>
        <w:t xml:space="preserve">and </w:t>
      </w:r>
      <w:r w:rsidRPr="00E7031F">
        <w:t>98.05%, respectively, with an average integrity of 94.51%.</w:t>
      </w:r>
    </w:p>
    <w:p w14:paraId="0CB265AB" w14:textId="1D3F80D8" w:rsidR="00CD28B9" w:rsidRPr="00E7031F" w:rsidRDefault="00F103E8" w:rsidP="0020791A">
      <w:pPr>
        <w:pStyle w:val="ParagraphText"/>
        <w:ind w:firstLine="480"/>
      </w:pPr>
      <w:r w:rsidRPr="00E7031F">
        <w:t xml:space="preserve">Considering that the mechanisms of the convection related to tropical cyclones (TCs) are different from those of extratropical convection </w:t>
      </w:r>
      <w:r w:rsidR="00985817">
        <w:fldChar w:fldCharType="begin"/>
      </w:r>
      <w:r w:rsidR="009B45C2">
        <w:instrText xml:space="preserve"> ADDIN ZOTERO_ITEM CSL_CITATION {"citationID":"DRxkOQIS","properties":{"formattedCitation":"(Bister, 2001; Hendricks &amp; Montgomery, 2006; E. B. Rodgers et al., 1991)","plainCitation":"(Bister, 2001; Hendricks &amp; Montgomery, 2006; E. B. Rodgers et al., 1991)","noteIndex":0},"citationItems":[{"id":1607,"uris":["http://zotero.org/users/8730623/items/U4SGH5KY"],"itemData":{"id":1607,"type":"article-journal","abstract":"Abstract The mutual adjustment between upper-tropospheric troughs and the structure of western Atlantic Tropical Cyclones Florence (1988) and Irene (1981) are analyzed using satellite and in situ data. Satellite-observed tracers (e.g., cirrus clouds, water vapor, and ozone) art used to monitor the circulation within the tropical cyclones' environment. The tropical cyclones' convection is inferred from satellite flown passive microwave and infrared sensors. In addition, numerical model simulations are used to analyze and interpret these satellite observations. The study suggests that the initiation and maintenance of intense convective outbreaks in these tropical cyclones during their mature stage are related to the channeling and strengthening of their outflow by upper-tropospheric troughs. The convection can be enhanced in response to the outflow jet-induced import of eddy relative angular momentum and ascending motion associated with the thermally direct circulation. The channeling and strengthening of the outflow occurs when the upper-tropospheric troughs are located in a favorable position relative to the tropical cyclones. Both Florence and Irene intensify after the onset of these intense convective episodes. Satellite observations also suggest that the cessation in the convection of the two tropical cyclones occurs when the upper-tropospheric troughs move near or over the tropical cyclones, resulting in the weakening of their outflow and the entrainment of dry upper-tropospheric air into their inner core.","container-title":"Journal of Applied Meteorology and Climatology","DOI":"10.1175/1520-0450(1991)030&lt;1163:SOOVIT&gt;2.0.CO;2","ISSN":"1520-0450, 0894-8763","issue":"8","language":"EN","note":"number: 8\npublisher: American Meteorological Society\nsection: Journal of Applied Meteorology and Climatology","page":"1163-1184","source":"journals.ametsoc.org","title":"Satellite Observations of Variations in Tropical Cyclone Convection Caused by Upper-Tropospheric Troughs","volume":"30","author":[{"family":"Rodgers","given":"Edward B."},{"family":"Chang","given":"Simon W."},{"family":"Stout","given":"John"},{"family":"Steranka","given":"Joseph"},{"family":"Shi","given":"Jainn-Jong"}],"issued":{"date-parts":[["1991",8,1]]}}},{"id":1604,"uris":["http://zotero.org/users/8730623/items/93SXUBCW"],"itemData":{"id":1604,"type":"article-journal","abstract":"Abstract The effect of peripheral convection on the formation and intensification of tropical cyclones has been studied earlier with diagnostic models and with prognostic models that do not resolve convection. In this paper, a prognostic, axisymmetric model with explicit convection is used to study the effect of peripheral convection on tropical cyclone formation from a weak mesoscale vortex. Peripheral convection becomes stronger in the model if downdrafts extinguish deep convection in the core of the mesoscale vortex. The subsequent concentration of convection in the core of the vortex and the onset of rapid intensification of the vortex occur simultaneously. In model experiments, relative humidity in the midtroposphere reaches a value of 90% within 100 km from the center of the vortex before the onset of rapid intensification occurs. Decreasing the sea surface fluxes of sensible and latent heat artificially in the outer region of the vortex decreases the amount of outer convection in the model. This results in an earlier onset of rapid intensification of the vortex into a tropical cyclone. By comparing model experiments with normal and artificially decreased sea surface fluxes in the outer region, the response to outer convection is shown to consist of an increase of tangential wind in the outer region, a decrease of tangential wind in most of the inner region in the boundary layer, and heating of the inner region. These changes are unfavorable for future inner convection. With weak inner convection, the important moistening of the inner region is retarded and the onset of rapid intensification is delayed. However, the inner convection's role in the moistening may be somewhat smaller than suggested by the model experiments if the mesoscale vortex is moistened while it forms. As the results suggest that the peripheral convection's detrimental effect for the intensification of the vortex is owing to its effect on the location of future convection, models that do not include convection as a process that responds to stability may severely underestimate the detrimental effects of peripheral convection. The effect of the Coriolis parameter on the intensification depends on the strong downdrafts that severely weaken the inner convection. If the cooling by evaporation of precipitation is prevented in the model, inner convection remains strong and development of the mesoscale vortex into a hurricane occurs in less than 40 h for the value of the Coriolis parameter of both 10° and 30° latitude. When cooling owing to evaporation of precipitation is allowed and Coriolis parameter is that of 10° latitude, the small inertial stability in the outer region of the vortex results in little balanced response to the outer convection. The inner convection resumes relatively early and a tropical cyclone develops in 80 h from the start of the simulation. When the Coriolis parameter is that of 30° latitude, balanced response to the outer convection is stronger and the development of a tropical cyclone takes twice as long as at the latitude of 10°.","container-title":"Journal of the Atmospheric Sciences","DOI":"10.1175/1520-0469(2001)058&lt;3463:EOPCOT&gt;2.0.CO;2","ISSN":"0022-4928, 1520-0469","issue":"22","language":"EN","note":"number: 22\npublisher: American Meteorological Society\nsection: Journal of the Atmospheric Sciences","page":"3463-3476","source":"journals.ametsoc.org","title":"Effect of Peripheral Convection on Tropical Cyclone Formation","volume":"58","author":[{"family":"Bister","given":"Marja"}],"issued":{"date-parts":[["2001",11,1]]}}},{"id":1601,"uris":["http://zotero.org/users/8730623/items/IISHDP89"],"itemData":{"id":1601,"type":"article-journal","abstract":"Abstract On 9–10 September 2002, multiple mesovortices were captured in great detail by rapid scan visible satellite imagery in subtropical, then later, Tropical Storm Gustav. These mesovortices were observed as low-level cloud swirls while the low-level structure of the storm was exposed due to vertical shearing. They are shown to form most plausibly via vortex tube stretching associated with deep convection; they become decoupled from the convective towers by vertical shear; they are advected with the low-level circulation; finally they initiate new hot towers on their boundaries. Partial evidence of an axisymmetrizing mesovortex and its hypothesized role in the parent vortex spinup is presented. Observations from the mesoscale and synoptic scale are synthesized to provide a multiscale perspective of the intensification of Gustav that occurred on 10 September. The most important large-scale factors were the concurrent relaxation of the 850–200-hPa-deep layer vertical wind shear from 10–15 to 5–10 m s−1 and movement over pockets of very warm sea surface temperatures (approximately 29.5°–30.5°C). The mesoscale observations are not sufficient alone to determine the precise role of the deep convection and mesovortices in the intensification. However, qualitative comparisons are made between the mesoscale processes observed in Gustav and recent full-physics and idealized numerical simulations to obtain additional insight.","container-title":"Weather and Forecasting","DOI":"10.1175/WAF950.1","ISSN":"1520-0434, 0882-8156","issue":"6","language":"EN","note":"number: 6\npublisher: American Meteorological Society\nsection: Weather and Forecasting","page":"1041-1050","source":"journals.ametsoc.org","title":"Rapid Scan Views of Convectively Generated Mesovortices in Sheared Tropical Cyclone Gustav (2002)","volume":"21","author":[{"family":"Hendricks","given":"Eric A."},{"family":"Montgomery","given":"Michael T."}],"issued":{"date-parts":[["2006",12,1]]}}}],"schema":"https://github.com/citation-style-language/schema/raw/master/csl-citation.json"} </w:instrText>
      </w:r>
      <w:r w:rsidR="00985817">
        <w:fldChar w:fldCharType="separate"/>
      </w:r>
      <w:r w:rsidR="009B45C2" w:rsidRPr="009B45C2">
        <w:t>(Bister, 2001; Hendricks &amp; Montgomery, 2006; Rodgers et al., 1991)</w:t>
      </w:r>
      <w:r w:rsidR="00985817">
        <w:fldChar w:fldCharType="end"/>
      </w:r>
      <w:r w:rsidR="00FC1E8F" w:rsidRPr="00E7031F">
        <w:t xml:space="preserve">, MCSs induced by TCs and circulations related to TCs are excluded using the TC best-track dataset provided by </w:t>
      </w:r>
      <w:r>
        <w:t xml:space="preserve">the </w:t>
      </w:r>
      <w:r w:rsidR="00FC1E8F" w:rsidRPr="00E7031F">
        <w:t xml:space="preserve">China </w:t>
      </w:r>
      <w:r w:rsidR="00FC1E8F" w:rsidRPr="00E7031F">
        <w:lastRenderedPageBreak/>
        <w:t xml:space="preserve">Meteorological Administration, </w:t>
      </w:r>
      <w:r w:rsidR="0050070C">
        <w:t>and</w:t>
      </w:r>
      <w:r w:rsidR="00FC1E8F" w:rsidRPr="00E7031F">
        <w:t xml:space="preserve"> the temporal resolution is 3 h </w:t>
      </w:r>
      <w:r w:rsidR="00985817">
        <w:fldChar w:fldCharType="begin"/>
      </w:r>
      <w:r w:rsidR="009B45C2">
        <w:instrText xml:space="preserve"> ADDIN ZOTERO_ITEM CSL_CITATION {"citationID":"gX3NoOsZ","properties":{"formattedCitation":"(Lu et al., 2021; Ying et al., 2014)","plainCitation":"(Lu et al., 2021; Ying et al., 2014)","noteIndex":0},"citationItems":[{"id":193,"uris":["http://zotero.org/users/8730623/items/G27PCEQ2"],"itemData":{"id":193,"type":"article-journal","abstract":"The China Meteorological Administration (CMA)’s tropical cyclone (TC) database includes not only the best-track dataset but also TC-induced wind and precipitation data. This article summarizes the characteristics and key technical details of the CMA TC database. In addition to the best-track data, other phenomena that occurred with the TCs are also recorded in the dataset, such as the subcenters, extratropical transitions, outer-range severe winds associated with TCs over the South China Sea, and coastal severe winds associated with TCs landfalling in China. These data provide additional information for researchers. The TC-induced wind and precipitation data, which map the distribution of severe wind and rainfall, are also helpful for investigating the impacts of TCs. The study also considers the changing reliability of the various data sources used since the database was created and the potential causes of temporal and spatial inhomogeneities within the datasets. Because of the greater number of observations available for analysis, the CMA TC database is likely to be more accurate and complete over the offshore and land areas of China than over the open ocean. Temporal inhomogeneities were induced primarily by changes to the nature and quality of the input data, such as the development of a weather observation network in China and the use of satellite image analysis to replace the original aircraft reconnaissance data. Furthermore, technical and factitious changes, such as to the wind–pressure relationship and the satellite-derived current intensity (CI) number–intensity conversion, also led to inhomogeneities within the datasets.","container-title":"Journal of Atmospheric and Oceanic Technology","DOI":"10.1175/JTECH-D-12-00119.1","ISSN":"0739-0572, 1520-0426","issue":"2","language":"en","note":"number: 2","page":"287-301","source":"DOI.org (Crossref)","title":"An Overview of the China Meteorological Administration Tropical Cyclone Database","volume":"31","author":[{"family":"Ying","given":"Ming"},{"family":"Zhang","given":"Wei"},{"family":"Yu","given":"Hui"},{"family":"Lu","given":"Xiaoqin"},{"family":"Feng","given":"Jingxian"},{"family":"Fan","given":"Yongxiang"},{"family":"Zhu","given":"Yongti"},{"family":"Chen","given":"Dequan"}],"issued":{"date-parts":[["2014",2,1]]}}},{"id":3055,"uris":["http://zotero.org/users/8730623/items/4KXETS2C"],"itemData":{"id":3055,"type":"article-journal","abstract":"This paper describes the access to, and the content, characteristics, and potential applications of the tropical cyclone (TC) database that is maintained and actively developed by the China Meteorological Administration, with the aim of facilitating its use in scientific research and operational services. This database records data relating to all TCs that have passed through the western North Pacific (WNP) and South China Sea (SCS) since 1949. TC data collection has expanded over recent decades via continuous TC monitoring using remote sensing and specialized field detection techniques, allowing collation of a multi-source TC database for the WNP and SCS that covers a long period, with wide coverage and many observational elements. This database now comprises a wide variety of information related to TCs, such as historical or real-time locations (i.e., best track and landfall), intensity, dynamic and thermal structures, wind strengths, precipitation amounts, and frequency. This database will support ongoing research into the processes and patterns associated with TC climatic activity and TC forecasting.","container-title":"Advances in Atmospheric Sciences","DOI":"10.1007/s00376-020-0211-7","ISSN":"1861-9533","issue":"4","journalAbbreviation":"Adv. Atmos. Sci.","language":"en","note":"number: 4","page":"690-699","source":"Springer Link","title":"Western North Pacific Tropical Cyclone Database Created by the China Meteorological Administration","volume":"38","author":[{"family":"Lu","given":"Xiaoqin"},{"family":"Yu","given":"Hui"},{"family":"Ying","given":"Ming"},{"family":"Zhao","given":"Bingke"},{"family":"Zhang","given":"Shuai"},{"family":"Lin","given":"Limin"},{"family":"Bai","given":"Lina"},{"family":"Wan","given":"Rijin"}],"issued":{"date-parts":[["2021",4,1]]}}}],"schema":"https://github.com/citation-style-language/schema/raw/master/csl-citation.json"} </w:instrText>
      </w:r>
      <w:r w:rsidR="00985817">
        <w:fldChar w:fldCharType="separate"/>
      </w:r>
      <w:r w:rsidR="009B45C2" w:rsidRPr="009B45C2">
        <w:t>(Lu et al., 2021; Ying et al., 2014)</w:t>
      </w:r>
      <w:r w:rsidR="00985817">
        <w:fldChar w:fldCharType="end"/>
      </w:r>
      <w:r w:rsidRPr="00E7031F">
        <w:t>.</w:t>
      </w:r>
    </w:p>
    <w:p w14:paraId="69A8641F" w14:textId="4F35F0F6" w:rsidR="00FC1E8F" w:rsidRPr="00E7031F" w:rsidRDefault="00F103E8" w:rsidP="00C37CFA">
      <w:pPr>
        <w:pStyle w:val="ParagraphText"/>
        <w:ind w:firstLine="480"/>
      </w:pPr>
      <w:r w:rsidRPr="00E7031F">
        <w:t>The fifth-generation ECMWF (European Centre for Medium Range Forecasts) reanalysis (ERA5) data, with a temporal resolution of 1 h and a spatial resolution of 0.</w:t>
      </w:r>
      <w:r>
        <w:t>25°</w:t>
      </w:r>
      <w:r w:rsidRPr="00E7031F">
        <w:t xml:space="preserve"> </w:t>
      </w:r>
      <w:r w:rsidR="0041317A">
        <w:fldChar w:fldCharType="begin"/>
      </w:r>
      <w:r w:rsidR="009B45C2">
        <w:instrText xml:space="preserve"> ADDIN ZOTERO_ITEM CSL_CITATION {"citationID":"1k46Yb0q","properties":{"formattedCitation":"(Hersbach et al., 2020)","plainCitation":"(Hersbach et al., 2020)","noteIndex":0},"citationItems":[{"id":449,"uris":["http://zotero.org/users/8730623/items/2ZF2YIK2"],"itemData":{"id":449,"type":"article-journal","container-title":"Quarterly Journal of the Royal Meteorological Society","DOI":"10.1002/qj.3803","ISSN":"0035-9009, 1477-870X","issue":"730","journalAbbreviation":"Q.J.R. Meteorol. Soc.","language":"en","note":"number: 730","page":"1999-2049","source":"DOI.org (Crossref)","title":"The ERA5 global reanalysis","volume":"146","author":[{"family":"Hersbach","given":"Hans"},{"family":"Bell","given":"Bill"},{"family":"Berrisford","given":"Paul"},{"family":"Hirahara","given":"Shoji"},{"family":"Horányi","given":"András"},{"family":"Muñoz</w:instrText>
      </w:r>
      <w:r w:rsidR="009B45C2">
        <w:rPr>
          <w:rFonts w:hint="eastAsia"/>
        </w:rPr>
        <w:instrText>‐</w:instrText>
      </w:r>
      <w:r w:rsidR="009B45C2">
        <w:instrText>Sabater","given":"Joaquín"},{"family":"Nicolas","given":"Julien"},{"family":"Peubey","given":"Carole"},{"family":"Radu","given":"Raluca"},{"family":"Schepers","given":"Dinand"},{"family":"Simmons","given":"Adrian"},{"family":"Soci","given":"Cornel"},{"family":"Abdalla","given":"Saleh"},{"family":"Abellan","given":"Xavier"},{"family":"Balsamo","given":"Gianpaolo"},{"family":"Bechtold","given":"Peter"},{"family":"Biavati","given":"Gionata"},{"family":"Bidlot","given":"Jean"},{"family":"Bonavita","given":"Massimo"},{"family":"Chiara","given":"Giovanna"},{"family":"Dahlgren","given":"Per"},{"family":"Dee","given":"Dick"},{"family":"Diamantakis","given":"Michail"},{"family":"Dragani","given":"Rossana"},{"family":"Flemming","given":"Johannes"},{"family":"Forbes","given":"Richard"},{"family":"Fuentes","given":"Manuel"},{"family":"Geer","given":"Alan"},{"family":"Haimberger","given":"Leo"},{"family":"Healy","given":"Sean"},{"family":"Hogan","given":"Robin J."},{"family":"Hólm","given":"Elías"},{"family":"Janisková","given":"Marta"},{"family":"Keeley","given":"Sarah"},{"family":"Laloyaux","given":"Patrick"},{"family":"Lopez","given":"Philippe"},{"family":"Lupu","given":"Cristina"},{"family":"Radnoti","given":"Gabor"},{"family":"Rosnay","given":"Patricia"},{"family":"Rozum","given":"Iryna"},{"family":"Vamborg","given":"Freja"},{"family":"Villaume","given":"Sebastien"},{"family":"Thépaut","given":"Jean</w:instrText>
      </w:r>
      <w:r w:rsidR="009B45C2">
        <w:rPr>
          <w:rFonts w:hint="eastAsia"/>
        </w:rPr>
        <w:instrText>‐</w:instrText>
      </w:r>
      <w:r w:rsidR="009B45C2">
        <w:instrText xml:space="preserve">Noël"}],"issued":{"date-parts":[["2020",7]]}}}],"schema":"https://github.com/citation-style-language/schema/raw/master/csl-citation.json"} </w:instrText>
      </w:r>
      <w:r w:rsidR="0041317A">
        <w:fldChar w:fldCharType="separate"/>
      </w:r>
      <w:r w:rsidR="009B45C2" w:rsidRPr="009B45C2">
        <w:t>(Hersbach et al., 2020)</w:t>
      </w:r>
      <w:r w:rsidR="0041317A">
        <w:fldChar w:fldCharType="end"/>
      </w:r>
      <w:r w:rsidR="0041317A">
        <w:t xml:space="preserve">, </w:t>
      </w:r>
      <w:r>
        <w:t>are</w:t>
      </w:r>
      <w:r w:rsidR="0041317A">
        <w:t xml:space="preserve"> used in the classification and composite analysis of circulations. The </w:t>
      </w:r>
      <w:r>
        <w:t>construction</w:t>
      </w:r>
      <w:r w:rsidR="0041317A">
        <w:t xml:space="preserve"> of proximity soundings </w:t>
      </w:r>
      <w:r>
        <w:t>is</w:t>
      </w:r>
      <w:r w:rsidR="0041317A">
        <w:t xml:space="preserve"> mainly based on ERA5 data. However, considering the differences in the boundary layer variables between reanalysis and observed soundings </w:t>
      </w:r>
      <w:r w:rsidR="0041317A">
        <w:fldChar w:fldCharType="begin"/>
      </w:r>
      <w:r w:rsidR="009B45C2">
        <w:instrText xml:space="preserve"> ADDIN ZOTERO_ITEM CSL_CITATION {"citationID":"HojjaM5Y","properties":{"formattedCitation":"(Gensini et al., 2014; King &amp; Kennedy, 2019)","plainCitation":"(Gensini et al., 2014; King &amp; Kennedy, 2019)","noteIndex":0},"citationItems":[{"id":1518,"uris":["http://zotero.org/users/8730623/items/PPZFT3JG"],"itemData":{"id":1518,"type":"article-journal","abstract":"Abstract This research compares reanalysis-derived proxy soundings from the North American Regional Reanalysis (NARR) with collocated observed radiosonde data across the central and eastern United States during the period 2000–11: 23 important parameters used for forecasting severe convection are examined. Kinematic variables such as 0–6-km bulk wind shear are best represented by this reanalysis, whereas thermodynamic variables such as convective available potential energy exhibit regional biases and are generally overestimated by the reanalysis. For thermodynamic parameters, parcel-ascent choice is an important consideration because of large differences in reanalysis low-level moisture fields versus observed ones. Results herein provide researchers with potential strengths and limitations of using NARR data for the purposes of depicting climatological information for hazardous convective weather and initializing model simulations. Similar studies should be considered for other reanalysis datasets.","container-title":"Journal of Applied Meteorology and Climatology","DOI":"10.1175/JAMC-D-13-0263.1","ISSN":"1558-8424, 1558-8432","issue":"3","language":"EN","note":"number: 3\npublisher: American Meteorological Society\nsection: Journal of Applied Meteorology and Climatology","page":"742-751","source":"journals.ametsoc.org","title":"Severe-Thunderstorm Reanalysis Environments and Collocated Radiosonde Observations","volume":"53","author":[{"family":"Gensini","given":"Victor A."},{"family":"Mote","given":"Thomas L."},{"family":"Brooks","given":"Harold E."}],"issued":{"date-parts":[["2014",3,1]]}}},{"id":1613,"uris":["http://zotero.org/users/8730623/items/UFLYGBZW"],"itemData":{"id":1613,"type":"article-journal","abstract":"Abstract A suite of modern atmospheric reanalyses is analyzed to determine how they represent North American supercell environments. This analysis is performed by comparing a database of Rapid Update Cycle (RUC-2) proximity soundings with profiles derived from the nearest grid point in each reanalysis. Parameters are calculated using the Sounding and Hodograph Analysis and Research Program in Python (SHARPpy), an open-source Python sounding-analysis package. Representation of supercell environments varies across the reanalyses, and the results have ramifications for climatological studies that use these datasets. In particular, thermodynamic parameters such as the convective available potential energy (CAPE) show the widest range in biases, with reanalyses falling into two camps. The North American Regional Reanalysis (NARR) and the Japanese 55-year Reanalysis (JRA-55) are similar to RUC-2, but other reanalyses have a substantial negative bias. The reasons for these biases vary and range from thermodynamic biases at the surface to evidence of convective contamination. Overall, it is found that thermodynamic biases feed back to other convective parameters that incorporate CAPE directly or indirectly via the effective layer. As a result, significant negative biases are found for indices such as the supercell composite parameter. These biases are smallest for NARR and JRA-55. Kinematic parameters are more consistent across the reanalyses. Given the issues with thermodynamic properties, better segregation of soundings by storm type is found for fixed-layer parameters than for effective-layer shear parameters. Although no reanalysis can exactly reproduce the results of earlier RUC-2 studies, many of the reanalyses can broadly distinguish between environments that are significantly tornadic versus nontornadic.","container-title":"Journal of Applied Meteorology and Climatology","DOI":"10.1175/JAMC-D-18-0015.1","ISSN":"1558-8424, 1558-8432","issue":"1","language":"EN","note":"number: 1\npublisher: American Meteorological Society\nsection: Journal of Applied Meteorology and Climatology","page":"71-92","source":"journals.ametsoc.org","title":"North American Supercell Environments in Atmospheric Reanalyses and RUC-2","volume":"58","author":[{"family":"King","given":"Austin T."},{"family":"Kennedy","given":"Aaron D."}],"issued":{"date-parts":[["2019",1,1]]}}}],"schema":"https://github.com/citation-style-language/schema/raw/master/csl-citation.json"} </w:instrText>
      </w:r>
      <w:r w:rsidR="0041317A">
        <w:fldChar w:fldCharType="separate"/>
      </w:r>
      <w:r w:rsidR="009B45C2" w:rsidRPr="009B45C2">
        <w:t>(Gensini et al., 2014; King &amp; Kennedy, 2019)</w:t>
      </w:r>
      <w:r w:rsidR="0041317A">
        <w:fldChar w:fldCharType="end"/>
      </w:r>
      <w:r w:rsidR="00540192" w:rsidRPr="00E7031F">
        <w:t xml:space="preserve">, correcting the boundary layer variables of the reanalysis sounding is necessary. Therefore, the present study uses the 1-h observations of automatic weather stations (AWSs) provided by </w:t>
      </w:r>
      <w:r>
        <w:t xml:space="preserve">the </w:t>
      </w:r>
      <w:r w:rsidR="00540192" w:rsidRPr="00E7031F">
        <w:t>China Meteorological Administration to correct the surface level of the ERA5 data before constructing proximity soundings.</w:t>
      </w:r>
    </w:p>
    <w:p w14:paraId="777B959A" w14:textId="7ED126F4" w:rsidR="00540192" w:rsidRDefault="0053742C" w:rsidP="00C37CFA">
      <w:pPr>
        <w:pStyle w:val="ParagraphText"/>
        <w:ind w:firstLine="480"/>
      </w:pPr>
      <w:r w:rsidRPr="00E7031F">
        <w:t>The middle reaches of the YRB are defined as the region covering 107–119 °E and 25–35 °N in the present study (Fig. 1a)</w:t>
      </w:r>
      <w:r w:rsidR="00F103E8">
        <w:t>,</w:t>
      </w:r>
      <w:r w:rsidRPr="00E7031F">
        <w:t xml:space="preserve"> and the orography (Fig. 1b) in this area is complicated. The western Hubei mountainous areas and western Hunan mountainous areas</w:t>
      </w:r>
      <w:r w:rsidR="00F103E8">
        <w:t xml:space="preserve"> are located</w:t>
      </w:r>
      <w:r w:rsidRPr="00E7031F">
        <w:t xml:space="preserve"> in the west, the Nan-Ling Mountains </w:t>
      </w:r>
      <w:r w:rsidR="00F90D88">
        <w:t xml:space="preserve">are </w:t>
      </w:r>
      <w:r w:rsidRPr="00E7031F">
        <w:t xml:space="preserve">in the south and the Wu-Yi Mountains </w:t>
      </w:r>
      <w:r w:rsidR="00F90D88">
        <w:t xml:space="preserve">are </w:t>
      </w:r>
      <w:r w:rsidRPr="00E7031F">
        <w:t xml:space="preserve">in the southeast. </w:t>
      </w:r>
      <w:r w:rsidR="00F90D88">
        <w:t>T</w:t>
      </w:r>
      <w:r w:rsidRPr="00E7031F">
        <w:t>he North China Plain</w:t>
      </w:r>
      <w:r w:rsidR="00F90D88" w:rsidRPr="00F90D88">
        <w:t xml:space="preserve"> </w:t>
      </w:r>
      <w:r w:rsidR="00F90D88">
        <w:t>is i</w:t>
      </w:r>
      <w:r w:rsidR="00F90D88" w:rsidRPr="00E7031F">
        <w:t>n the northeast</w:t>
      </w:r>
      <w:r w:rsidR="00F90D88">
        <w:t>ern part</w:t>
      </w:r>
      <w:r w:rsidR="00F90D88" w:rsidRPr="00E7031F">
        <w:t xml:space="preserve"> of this region</w:t>
      </w:r>
      <w:r w:rsidRPr="00E7031F">
        <w:t>. Three smaller plains are in the middle, namely</w:t>
      </w:r>
      <w:r w:rsidR="00F103E8">
        <w:t>,</w:t>
      </w:r>
      <w:r w:rsidRPr="00E7031F">
        <w:t xml:space="preserve"> the Jiang-Han Plain, the Dong-Ting Lake Plain and the Po-Yang Lake Plain, with the Da-Bie Mountains, the Mu-Lian-Jiu Mountains and the Luo-Xiao Mountains distributed from north to south.</w:t>
      </w:r>
    </w:p>
    <w:p w14:paraId="2B0C86DB" w14:textId="346284CF" w:rsidR="00F2310E" w:rsidRDefault="00F103E8" w:rsidP="001C4CA7">
      <w:pPr>
        <w:adjustRightInd w:val="0"/>
        <w:snapToGrid w:val="0"/>
        <w:spacing w:beforeLines="100" w:before="326"/>
        <w:ind w:firstLineChars="83" w:firstLine="199"/>
        <w:jc w:val="center"/>
        <w:rPr>
          <w:rFonts w:cs="Times New Roman"/>
          <w:szCs w:val="24"/>
        </w:rPr>
      </w:pPr>
      <w:r w:rsidRPr="00BB15BA">
        <w:rPr>
          <w:noProof/>
        </w:rPr>
        <w:lastRenderedPageBreak/>
        <w:t xml:space="preserve"> </w:t>
      </w:r>
      <w:r>
        <w:rPr>
          <w:noProof/>
        </w:rPr>
        <w:drawing>
          <wp:inline distT="0" distB="0" distL="0" distR="0" wp14:anchorId="77B51737" wp14:editId="79488938">
            <wp:extent cx="3960000" cy="5482807"/>
            <wp:effectExtent l="0" t="0" r="254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9"/>
                    <a:stretch>
                      <a:fillRect/>
                    </a:stretch>
                  </pic:blipFill>
                  <pic:spPr>
                    <a:xfrm>
                      <a:off x="0" y="0"/>
                      <a:ext cx="3960000" cy="5482807"/>
                    </a:xfrm>
                    <a:prstGeom prst="rect">
                      <a:avLst/>
                    </a:prstGeom>
                  </pic:spPr>
                </pic:pic>
              </a:graphicData>
            </a:graphic>
          </wp:inline>
        </w:drawing>
      </w:r>
    </w:p>
    <w:p w14:paraId="4249FB1B" w14:textId="38D05015" w:rsidR="00A413F5" w:rsidRPr="00E7031F" w:rsidRDefault="00F103E8" w:rsidP="00D860CB">
      <w:pPr>
        <w:pStyle w:val="21"/>
        <w:spacing w:before="163" w:after="326"/>
        <w:ind w:firstLineChars="0" w:firstLine="0"/>
      </w:pPr>
      <w:r w:rsidRPr="00D860CB">
        <w:rPr>
          <w:b/>
          <w:bCs w:val="0"/>
        </w:rPr>
        <w:t>Figure 1.</w:t>
      </w:r>
      <w:r w:rsidR="003B7468">
        <w:t xml:space="preserve"> (a) The coverage of BT data (blue rectangle) in </w:t>
      </w:r>
      <w:r>
        <w:t xml:space="preserve">the </w:t>
      </w:r>
      <w:r w:rsidR="003B7468">
        <w:t>present study and the boundary of the middle reaches of the YRB (red line). (b) The terrain height (m</w:t>
      </w:r>
      <w:r w:rsidR="003B7468">
        <w:rPr>
          <w:rFonts w:hint="eastAsia"/>
        </w:rPr>
        <w:t>)</w:t>
      </w:r>
      <w:r w:rsidR="0050469A">
        <w:t xml:space="preserve"> in the middle reaches of the YRB. Mountains (MT.) and </w:t>
      </w:r>
      <w:r>
        <w:t>mountain</w:t>
      </w:r>
      <w:r w:rsidR="0050469A">
        <w:t xml:space="preserve"> areas (M.A.) are labeled in blue, and plains and lakes are labeled in red.</w:t>
      </w:r>
    </w:p>
    <w:p w14:paraId="17C239BA" w14:textId="212548BB" w:rsidR="0053742C" w:rsidRPr="005A2DC4" w:rsidRDefault="00F103E8" w:rsidP="00A7754E">
      <w:pPr>
        <w:pStyle w:val="af0"/>
      </w:pPr>
      <w:r w:rsidRPr="005A2DC4">
        <w:t xml:space="preserve">2.2 </w:t>
      </w:r>
      <w:r w:rsidR="00050C01" w:rsidRPr="005A2DC4">
        <w:t>Identif</w:t>
      </w:r>
      <w:r w:rsidR="00050C01">
        <w:t>ying</w:t>
      </w:r>
      <w:r w:rsidR="00050C01" w:rsidRPr="005A2DC4">
        <w:t xml:space="preserve"> </w:t>
      </w:r>
      <w:r w:rsidRPr="005A2DC4">
        <w:t xml:space="preserve">and tracking </w:t>
      </w:r>
      <w:r w:rsidR="00050C01">
        <w:t>methods</w:t>
      </w:r>
    </w:p>
    <w:p w14:paraId="1758069A" w14:textId="4C6D89C1" w:rsidR="00F210F9" w:rsidRPr="00E7031F" w:rsidRDefault="00F103E8" w:rsidP="00A7754E">
      <w:pPr>
        <w:pStyle w:val="ParagraphText"/>
      </w:pPr>
      <w:r w:rsidRPr="00E7031F">
        <w:t xml:space="preserve">Following </w:t>
      </w:r>
      <w:r w:rsidR="005A2DC4">
        <w:fldChar w:fldCharType="begin"/>
      </w:r>
      <w:r w:rsidR="009B45C2">
        <w:instrText xml:space="preserve"> ADDIN ZOTERO_ITEM CSL_CITATION {"citationID":"5G3KqiSH","properties":{"formattedCitation":"(R. Yang et al., 2020)","plainCitation":"(R. Yang et al., 2020)","noteIndex":0},"citationItems":[{"id":4503,"uris":["http://zotero.org/users/8730623/items/2RMPHUVV"],"itemData":{"id":4503,"type":"article-journal","abstract":"Mesoscale convective systems (MCSs) around the second-step terrain (106°–113°E, 28°–35°N), along the middle reaches of the Yangtze River, were detected, tracked and classified using a black body temperature (TBB) dataset during May to August 2000–2016 (except 2005). The MCSs were divided into eastward-propagating (EP) and quasi-stationary (QS) types, to compare their spatial and temporal distributions and convective intensities, and to identify the favorable synoptic conditions for the formation and evolution of EP MCSs. The results showed that both MCS types occurred most often in July. The EP MCSs were mainly initiated over the eastern regions of the study area, while the QS type mainly originated in the western regions of the study area. Both MCS types mainly formed in the afternoon, but a second peak occurred in the early morning for QS MCSs. The EP MCSs had a larger cloud area at their mature stage and a lower cloud brightness temperature, indicating more intense convection. Additionally, the longer lifetime and further eastward propagation of the EP MCSs meant that they had a great influence on the precipitation over the middle and lower reaches of the Yangtze River. Synoptic circulation analysis demonstrated that the combination of the mid-level low trough east of the Tibetan Plateau (TP), and the western pacific subtropical high (WPSH), favored the formation and eastward propagation of EP MCSs. The positive vertical relative vorticity and stronger vertical wind shear provided dynamic conditions favorable for convective organization and development. Furthermore, a stronger low level jet imported warm and moist air to the eastern edge of, and the regions east of, the second-step terrain. The substantial convergence of water vapor promoted the development and long-lived maintenance of the EP MCSs.","container-title":"Science China Earth Sciences","DOI":"10.1007/s11430-018-9385-3","ISSN":"1674-7313, 1869-1897","issue":"8","journalAbbreviation":"Sci. China Earth Sci.","language":"en","page":"1209-1222","source":"DOI.org (Crossref)","title":"The comparison of statistical features and synoptic circulations between the eastward-propagating and quasi-stationary MCSs during the warm season around the second-step terrain along the middle reaches of the Yangtze River","volume":"63","author":[{"family":"Yang","given":"Ruyi"},{"family":"Zhang","given":"Yuanchun"},{"family":"Sun","given":"Jianhua"},{"family":"Li","given":"Jun"}],"issued":{"date-parts":[["2020",8]]}}}],"schema":"https://github.com/citation-style-language/schema/raw/master/csl-citation.json"} </w:instrText>
      </w:r>
      <w:r w:rsidR="005A2DC4">
        <w:fldChar w:fldCharType="separate"/>
      </w:r>
      <w:r w:rsidR="009B45C2" w:rsidRPr="009B45C2">
        <w:t>Yang et al. (2020)</w:t>
      </w:r>
      <w:r w:rsidR="005A2DC4">
        <w:fldChar w:fldCharType="end"/>
      </w:r>
      <w:r w:rsidR="00C776BB" w:rsidRPr="00E7031F">
        <w:t>, the criteria and steps used in the present study to identify MCS are</w:t>
      </w:r>
      <w:r w:rsidR="00C700FF">
        <w:t xml:space="preserve"> outlined</w:t>
      </w:r>
      <w:r w:rsidR="00C776BB" w:rsidRPr="00E7031F">
        <w:t xml:space="preserve"> as follows (Fig. 2): 1) detect CCSs with temperature ≤ −52 °C and extent ≥ 5000 km</w:t>
      </w:r>
      <w:r w:rsidR="00C776BB" w:rsidRPr="005A2DC4">
        <w:rPr>
          <w:vertAlign w:val="superscript"/>
        </w:rPr>
        <w:t>2</w:t>
      </w:r>
      <w:r w:rsidRPr="00E7031F">
        <w:t xml:space="preserve"> in</w:t>
      </w:r>
      <w:r w:rsidR="00C700FF">
        <w:t xml:space="preserve"> the</w:t>
      </w:r>
      <w:r w:rsidRPr="00E7031F">
        <w:t xml:space="preserve"> BT fields; 2) track CCSs at different time steps; </w:t>
      </w:r>
      <w:r>
        <w:t xml:space="preserve">and </w:t>
      </w:r>
      <w:r w:rsidRPr="00E7031F">
        <w:t xml:space="preserve">3) continuous CCSs </w:t>
      </w:r>
      <w:r>
        <w:t>that</w:t>
      </w:r>
      <w:r w:rsidRPr="00E7031F">
        <w:t xml:space="preserve"> last longer than 3 h are identified as MCSs. The first (last) time that an MCS satisfies the above criteria is considered </w:t>
      </w:r>
      <w:r w:rsidR="00C700FF">
        <w:t xml:space="preserve">to be </w:t>
      </w:r>
      <w:r w:rsidRPr="00E7031F">
        <w:t xml:space="preserve">MCS formation (termination). The time when the CCS of an MCS reaches its maximum extent is </w:t>
      </w:r>
      <w:r w:rsidRPr="00E7031F">
        <w:lastRenderedPageBreak/>
        <w:t xml:space="preserve">considered </w:t>
      </w:r>
      <w:r w:rsidR="00C700FF">
        <w:t xml:space="preserve">to be </w:t>
      </w:r>
      <w:r w:rsidRPr="00E7031F">
        <w:t>MCS maturity.</w:t>
      </w:r>
    </w:p>
    <w:p w14:paraId="74BCF838" w14:textId="728926DA" w:rsidR="00D44C2E" w:rsidRDefault="00F210F9" w:rsidP="00A7754E">
      <w:pPr>
        <w:pStyle w:val="ParagraphText"/>
      </w:pPr>
      <w:r w:rsidRPr="00E7031F">
        <w:t xml:space="preserve">The combination of areal overlap and optical flow is used in the present study to track CCSs </w:t>
      </w:r>
      <w:r w:rsidR="00AE4C6D">
        <w:t>with</w:t>
      </w:r>
      <w:r w:rsidR="00AE4C6D" w:rsidRPr="00E7031F">
        <w:t xml:space="preserve"> </w:t>
      </w:r>
      <w:r w:rsidR="00F103E8">
        <w:t xml:space="preserve">the </w:t>
      </w:r>
      <w:r w:rsidRPr="00E7031F">
        <w:t xml:space="preserve">following steps: 1) calculate the optical flow between two successive BT fields; 2) extrapolate the target CCS at the previous time by adding optical flow and compare it with the CCSs at the later time, </w:t>
      </w:r>
      <w:r w:rsidR="00AE4C6D">
        <w:t>and the</w:t>
      </w:r>
      <w:r w:rsidR="00AE4C6D" w:rsidRPr="00E7031F">
        <w:t xml:space="preserve"> </w:t>
      </w:r>
      <w:r w:rsidRPr="00E7031F">
        <w:t xml:space="preserve">one with </w:t>
      </w:r>
      <w:r w:rsidR="00F103E8">
        <w:t xml:space="preserve">an </w:t>
      </w:r>
      <w:r w:rsidRPr="00E7031F">
        <w:t xml:space="preserve">overlapping rate ≥ 30% is considered </w:t>
      </w:r>
      <w:r w:rsidR="00F103E8">
        <w:t>the</w:t>
      </w:r>
      <w:r w:rsidRPr="00E7031F">
        <w:t xml:space="preserve"> successor of the target CCS; 3) if two CCSs or more satisfy the criterion of the areal overlapping rate at the later time, the one with the highest overlapping rate will be considered the successor of the target CCS; 4) examine the TC locations derived from the best-track dataset, and if there are any TC-related clouds within the coverage of a CCS, the CCS will be excluded </w:t>
      </w:r>
      <w:r w:rsidR="00F103E8">
        <w:t>because</w:t>
      </w:r>
      <w:r w:rsidRPr="00E7031F">
        <w:t xml:space="preserve"> the CCS is a TC cloud instead of an MCS. </w:t>
      </w:r>
      <w:r w:rsidR="00F103E8">
        <w:t xml:space="preserve">Backward </w:t>
      </w:r>
      <w:r w:rsidRPr="00E7031F">
        <w:t>tracking is applied to find the initiation time and location of an MCS. Considering that the CCS is small and develops rapidly during the early stage of an MCS, no areal limitation has been applied during backward tracking.</w:t>
      </w:r>
    </w:p>
    <w:p w14:paraId="53C2F445" w14:textId="0FB1A5CB" w:rsidR="00F2310E" w:rsidRPr="00285509" w:rsidRDefault="00F103E8" w:rsidP="000D14A4">
      <w:pPr>
        <w:adjustRightInd w:val="0"/>
        <w:snapToGrid w:val="0"/>
        <w:spacing w:beforeLines="100" w:before="326"/>
        <w:ind w:firstLine="480"/>
        <w:jc w:val="center"/>
        <w:rPr>
          <w:rFonts w:eastAsiaTheme="minorEastAsia" w:cs="Times New Roman"/>
          <w:szCs w:val="24"/>
        </w:rPr>
      </w:pPr>
      <w:r>
        <w:rPr>
          <w:noProof/>
        </w:rPr>
        <w:drawing>
          <wp:inline distT="0" distB="0" distL="0" distR="0" wp14:anchorId="6EC52D71" wp14:editId="1D6D2AE2">
            <wp:extent cx="3614694" cy="4320000"/>
            <wp:effectExtent l="0" t="0" r="508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614694" cy="4320000"/>
                    </a:xfrm>
                    <a:prstGeom prst="rect">
                      <a:avLst/>
                    </a:prstGeom>
                    <a:noFill/>
                    <a:ln>
                      <a:noFill/>
                    </a:ln>
                  </pic:spPr>
                </pic:pic>
              </a:graphicData>
            </a:graphic>
          </wp:inline>
        </w:drawing>
      </w:r>
    </w:p>
    <w:p w14:paraId="372A84F1" w14:textId="1917344B" w:rsidR="00F2310E" w:rsidRPr="000D14A4" w:rsidRDefault="00F103E8" w:rsidP="00885FBE">
      <w:pPr>
        <w:pStyle w:val="21"/>
        <w:spacing w:before="163" w:after="326"/>
        <w:ind w:firstLineChars="0" w:firstLine="0"/>
        <w:jc w:val="center"/>
      </w:pPr>
      <w:r w:rsidRPr="009B5F45">
        <w:rPr>
          <w:b/>
          <w:bCs w:val="0"/>
        </w:rPr>
        <w:t>F</w:t>
      </w:r>
      <w:r w:rsidRPr="009B5F45">
        <w:rPr>
          <w:rFonts w:hint="eastAsia"/>
          <w:b/>
          <w:bCs w:val="0"/>
        </w:rPr>
        <w:t>ig</w:t>
      </w:r>
      <w:r w:rsidRPr="009B5F45">
        <w:rPr>
          <w:b/>
          <w:bCs w:val="0"/>
        </w:rPr>
        <w:t>ure 2.</w:t>
      </w:r>
      <w:r w:rsidR="000D14A4" w:rsidRPr="000D14A4">
        <w:t xml:space="preserve"> Flow chart of MCS identification and tracking.</w:t>
      </w:r>
    </w:p>
    <w:p w14:paraId="755D9176" w14:textId="519FF497" w:rsidR="008611A9" w:rsidRPr="008D1044" w:rsidRDefault="00F103E8" w:rsidP="00A7754E">
      <w:pPr>
        <w:pStyle w:val="af0"/>
      </w:pPr>
      <w:r w:rsidRPr="008D1044">
        <w:lastRenderedPageBreak/>
        <w:t>2.3 Filtering of backward tracking</w:t>
      </w:r>
    </w:p>
    <w:p w14:paraId="5FCBD199" w14:textId="387C0AC9" w:rsidR="00954814" w:rsidRPr="00E7031F" w:rsidRDefault="00F103E8" w:rsidP="00A7754E">
      <w:pPr>
        <w:pStyle w:val="ParagraphText"/>
      </w:pPr>
      <w:r>
        <w:t>Backward</w:t>
      </w:r>
      <w:r w:rsidR="00D830C1" w:rsidRPr="00E7031F">
        <w:t xml:space="preserve"> tracking may not be accurate </w:t>
      </w:r>
      <w:r>
        <w:t>because</w:t>
      </w:r>
      <w:r w:rsidR="00D830C1" w:rsidRPr="00E7031F">
        <w:t xml:space="preserve"> the extent of a CCS is small and the motion is fast during the early stage of an MCS. </w:t>
      </w:r>
      <w:r>
        <w:t xml:space="preserve">The </w:t>
      </w:r>
      <w:r w:rsidR="00D830C1" w:rsidRPr="00E7031F">
        <w:t xml:space="preserve">splitting and regeneration of MCSs, cirrus anvils, and deficiency of BT data may all lead to </w:t>
      </w:r>
      <w:r>
        <w:t xml:space="preserve">incorrect </w:t>
      </w:r>
      <w:r w:rsidR="00D830C1" w:rsidRPr="00E7031F">
        <w:t>backward tracking. Therefore, further examinations are conducted on the backward tracking</w:t>
      </w:r>
      <w:r w:rsidR="00F16D98" w:rsidRPr="00F16D98">
        <w:t xml:space="preserve"> </w:t>
      </w:r>
      <w:r w:rsidR="00F16D98" w:rsidRPr="00E7031F">
        <w:t>results</w:t>
      </w:r>
      <w:r w:rsidR="00D830C1" w:rsidRPr="00E7031F">
        <w:t xml:space="preserve">. If two or more MCSs are initiated at the same time and location, it is considered that those MCSs are split from the same </w:t>
      </w:r>
      <w:r>
        <w:t>MCS</w:t>
      </w:r>
      <w:r w:rsidR="00D830C1" w:rsidRPr="00E7031F">
        <w:t xml:space="preserve"> or that one MCS is regenerated from another</w:t>
      </w:r>
      <w:r>
        <w:t>. Then</w:t>
      </w:r>
      <w:r w:rsidR="00D830C1" w:rsidRPr="00E7031F">
        <w:t xml:space="preserve">, the initiation will be assigned to the earliest MCS according to the formation time, and the </w:t>
      </w:r>
      <w:r>
        <w:t>remaining</w:t>
      </w:r>
      <w:r w:rsidR="00D830C1" w:rsidRPr="00E7031F">
        <w:t xml:space="preserve"> MCSs will be regarded as inaccurate tracking and excluded from the MCS dataset. For the inaccurate backward tracking results caused by deficiency of BT data, the filtering approach is </w:t>
      </w:r>
      <w:r w:rsidR="00F16D98">
        <w:t xml:space="preserve">outlined </w:t>
      </w:r>
      <w:r w:rsidR="00D830C1" w:rsidRPr="00E7031F">
        <w:t xml:space="preserve">as follows: check whether the BT data before the initiation time </w:t>
      </w:r>
      <w:r>
        <w:t>are</w:t>
      </w:r>
      <w:r w:rsidR="00D830C1" w:rsidRPr="00E7031F">
        <w:t xml:space="preserve"> missing</w:t>
      </w:r>
      <w:r>
        <w:t>;</w:t>
      </w:r>
      <w:r w:rsidR="00D830C1" w:rsidRPr="00E7031F">
        <w:t xml:space="preserve"> if true, the result will be regarded as inaccurate and excluded from the MCS dataset. CCSs connected with cirrus anvils are manually checked since they vary greatly between two successive times.</w:t>
      </w:r>
    </w:p>
    <w:p w14:paraId="21CEBFB3" w14:textId="3CDD939D" w:rsidR="00D830C1" w:rsidRPr="00C40E6D" w:rsidRDefault="00F103E8" w:rsidP="00A7754E">
      <w:pPr>
        <w:pStyle w:val="af0"/>
      </w:pPr>
      <w:r w:rsidRPr="00C40E6D">
        <w:t>2.4 Objective classification</w:t>
      </w:r>
    </w:p>
    <w:p w14:paraId="6C4DE20E" w14:textId="1D7DA7D1" w:rsidR="001C224E" w:rsidRPr="00E7031F" w:rsidRDefault="00F103E8" w:rsidP="00A7754E">
      <w:pPr>
        <w:pStyle w:val="ParagraphText"/>
      </w:pPr>
      <w:r w:rsidRPr="00E7031F">
        <w:t xml:space="preserve">The </w:t>
      </w:r>
      <w:r w:rsidRPr="00C40E6D">
        <w:rPr>
          <w:i/>
          <w:iCs/>
        </w:rPr>
        <w:t>k-means</w:t>
      </w:r>
      <w:r w:rsidRPr="00E7031F">
        <w:t xml:space="preserve"> algorithm, which is widely used for classification in atmospheric research</w:t>
      </w:r>
      <w:r>
        <w:t xml:space="preserve"> due to</w:t>
      </w:r>
      <w:r w:rsidRPr="00E7031F">
        <w:t xml:space="preserve"> its stable performance </w:t>
      </w:r>
      <w:r w:rsidR="00C40E6D">
        <w:fldChar w:fldCharType="begin"/>
      </w:r>
      <w:r w:rsidR="009B45C2">
        <w:instrText xml:space="preserve"> ADDIN ZOTERO_ITEM CSL_CITATION {"citationID":"m1ghcb39","properties":{"formattedCitation":"(Hoffmann &amp; Schl\\uc0\\u252{}nzen, 2013; Huth et al., 2008; Kanungo et al., 2002; Ku et al., 2021; Solman &amp; Men\\uc0\\u233{}ndez, 2003; Stahl et al., 2006; Xuebin Zhang et al., 1997)","plainCitation":"(Hoffmann &amp; Schlünzen, 2013; Huth et al., 2008; Kanungo et al., 2002; Ku et al., 2021; Solman &amp; Menéndez, 2003; Stahl et al., 2006; Xuebin Zhang et al., 1997)","noteIndex":0},"citationItems":[{"id":630,"uris":["http://zotero.org/users/8730623/items/LLFTSFJ6"],"itemData":{"id":630,"type":"article-journal","abstract":"Daily circulation (sea level pressure) maps over east Atlantic-Europe were classified into six circulation patterns (CPs) by using k-means clustering coupled with principal component analysis. The relationships between winter monthly rainfall in Portugal and the occurrence frequencies of the CPs were also examined. The CP classification scheme is effective not only in discriminating regional wet/dry weather conditions, but also in differentiating between various conditions associated with different precipitation intensities. For southern Portugal, CP6 and CP3 are the wettest patterns: under their presence the rainfall occurrence probability and the rainy day rainfall intensity are twice as high as those associated with the dry CPs; with only about 26.6% occurrence probability the two wet CPs together contribute about 66.8% of the total rainfall. For northern Portugal, CP6 and CP4 turned out to be the wettest patterns. They produce over 60% of the total rainfall with only 31% chance of occurrence. In terms of long-term variation the precipitation is also intimately related to the occurrence frequencies of the CPs. The occurrence frequencies of CPs were found to be good predictors for the regional precipitation. In addition, it is evident that the decrease of March rainfall throughout the country in the last 3 decades has been a consequence of a reduction in the occurrence frequency of the wettest circulation pattern, CP6, which coincides with the upward trend of the North Atlantic Oscillation index and could be related to the northeastward shifting and strengthening of the Azores High.","container-title":"Journal of Geophysical Research: Atmospheres","DOI":"10.1029/97JD01012","ISSN":"2156-2202","issue":"D12","language":"en","note":"number: D12\n_eprint: https://onlinelibrary.wiley.com/doi/pdf/10.1029/97JD01012","page":"13495-13507","source":"Wiley Online Library","title":"On the relationships between daily circulation patterns and precipitation in Portugal","volume":"102","author":[{"family":"Zhang","given":"Xuebin"},{"family":"Wang","given":"Xiaolan L."},{"family":"Corte-Real","given":"João"}],"issued":{"date-parts":[["1997"]]}}},{"id":637,"uris":["http://zotero.org/users/8730623/items/T4I9K2CG"],"itemData":{"id":637,"type":"article-journal","container-title":"IEEE Transactions on Pattern Analysis and Machine Intelligence","DOI":"10.1109/TPAMI.2002.1017616","ISSN":"0162-8828","issue":"7","journalAbbreviation":"IEEE Trans. Pattern Anal. Machine Intell.","language":"en","note":"number: 7","page":"881-892","source":"DOI.org (Crossref)","title":"An efficient k-means clustering algorithm: analysis and implementation","title-short":"An efficient k-means clustering algorithm","volume":"24","author":[{"family":"Kanungo","given":"T."},{"family":"Mount","given":"D.M."},{"family":"Netanyahu","given":"N.S."},{"family":"Piatko","given":"C.D."},{"family":"Silverman","given":"R."},{"family":"Wu","given":"A.Y."}],"issued":{"date-parts":[["2002",7]]}}},{"id":617,"uris":["http://zotero.org/users/8730623/items/BT4QD8FI"],"itemData":{"id":617,"type":"article-journal","abstract":"We classified 34 years of winter daily 500 hPa geopotential height patterns over the eastern South Pacific-South America-South Atlantic region using the K-means clustering method. We found a significant classification into five weather regimes (WRs) defined as the most frequent large-scale circulation anomalies: WR1 (trough centred downstream of the Drake Passage), WR2 (trough over the SW Pacific and ridge downstream), WR3 (ridge over the SE Pacific and NW–SE trough downstream), WR4 (trough over the SE Pacific and NW–SE ridge downstream) and WR5 (weak ridge to the west of southern South America). We also analysed their persistence and temporal evolution, including transitions between them and development around onsets and breaks of each regime. The preferred transitions, WR1</w:instrText>
      </w:r>
      <w:r w:rsidR="009B45C2">
        <w:rPr>
          <w:rFonts w:hint="eastAsia"/>
        </w:rPr>
        <w:instrText>→</w:instrText>
      </w:r>
      <w:r w:rsidR="009B45C2">
        <w:instrText>WR3</w:instrText>
      </w:r>
      <w:r w:rsidR="009B45C2">
        <w:rPr>
          <w:rFonts w:hint="eastAsia"/>
        </w:rPr>
        <w:instrText>→</w:instrText>
      </w:r>
      <w:r w:rsidR="009B45C2">
        <w:instrText>WR2</w:instrText>
      </w:r>
      <w:r w:rsidR="009B45C2">
        <w:rPr>
          <w:rFonts w:hint="eastAsia"/>
        </w:rPr>
        <w:instrText>→</w:instrText>
      </w:r>
      <w:r w:rsidR="009B45C2">
        <w:instrText>WR4</w:instrText>
      </w:r>
      <w:r w:rsidR="009B45C2">
        <w:rPr>
          <w:rFonts w:hint="eastAsia"/>
        </w:rPr>
        <w:instrText>→</w:instrText>
      </w:r>
      <w:r w:rsidR="009B45C2">
        <w:instrText>WR1 and also WR1</w:instrText>
      </w:r>
      <w:r w:rsidR="009B45C2">
        <w:rPr>
          <w:rFonts w:hint="eastAsia"/>
        </w:rPr>
        <w:instrText>→</w:instrText>
      </w:r>
      <w:r w:rsidR="009B45C2">
        <w:instrText>WR3</w:instrText>
      </w:r>
      <w:r w:rsidR="009B45C2">
        <w:rPr>
          <w:rFonts w:hint="eastAsia"/>
        </w:rPr>
        <w:instrText>→</w:instrText>
      </w:r>
      <w:r w:rsidR="009B45C2">
        <w:instrText>WR2</w:instrText>
      </w:r>
      <w:r w:rsidR="009B45C2">
        <w:rPr>
          <w:rFonts w:hint="eastAsia"/>
        </w:rPr>
        <w:instrText>→</w:instrText>
      </w:r>
      <w:r w:rsidR="009B45C2">
        <w:instrText>WR1, suggest the progression of a Rossby wave-like pattern in which each of the regimes resemble the Pacific-South America modes. Significant influence of the WRs on local climate over Argentina was found. The preferred transitions WR1</w:instrText>
      </w:r>
      <w:r w:rsidR="009B45C2">
        <w:rPr>
          <w:rFonts w:hint="eastAsia"/>
        </w:rPr>
        <w:instrText>→</w:instrText>
      </w:r>
      <w:r w:rsidR="009B45C2">
        <w:instrText>WR3 and WR3</w:instrText>
      </w:r>
      <w:r w:rsidR="009B45C2">
        <w:rPr>
          <w:rFonts w:hint="eastAsia"/>
        </w:rPr>
        <w:instrText>→</w:instrText>
      </w:r>
      <w:r w:rsidR="009B45C2">
        <w:instrText xml:space="preserve">WR2 induce sustained cold conditions over Patagonia and over northern Argentina, respectively. The most significant change in precipitation frequency is found for WR3, with wetter conditions over all the analysed regions. Finally, the interannual to interdecadal significant variations in the occurrence of these regimes were discussed. WR1 and WR3 are more frequent and WR2 is less frequent during El Niño, and WR2 and WR5 are more frequent and WR1 is less frequent during La Niña. A significant decrease in WR2 and increase of WR4 and WR5 during the 1970s and early 1980s were found.","container-title":"Climate Dynamics","DOI":"10.1007/s00382-003-0320-x","ISSN":"1432-0894","issue":"1","journalAbbreviation":"Climate Dynamics","language":"en","note":"number: 1","page":"91-104","source":"Springer Link","title":"Weather regimes in the South American sector and neighbouring oceans during winter","volume":"21","author":[{"family":"Solman","given":"S. A."},{"family":"Menéndez","given":"C. G."}],"issued":{"date-parts":[["2003",7,1]]}}},{"id":614,"uris":["http://zotero.org/users/8730623/items/AV7UTBCZ"],"itemData":{"id":614,"type":"article-journal","abstract":"In much of North America, variables such as temperature, precipitation, snowpack and streamflow are modulated by modes of large-scale ocean-atmosphere variability such as the Pacific Decadal Oscillation (PDO), El Niño-Southern Oscillation (ENSO) and the Pacific North American Pattern (PNA). In this study, we test the hypothesis that the influence of these modes on air temperature and precipitation in British Columbia (BC), Canada, can be explained in relation to changes in frequencies of synoptic-scale circulation types. A catalogue of 13 circulation types was derived by classifying daily mean sea-level pressure (MSLP) grids from 1948 to 2003. The grids cover BC and the North Pacific and were subjected to a standard pattern recognition algorithm employing principal component analysis followed by cluster analysis on the component scores. The circulation types are generally associated with distinctive patterns of precipitation and air temperature anomalies across BC. Multiple linear regressions for selected stations in BC using the type frequencies as predictors explain up to 75% of the variance of mean winter temperature and 65% of winter precipitation. The frequencies of most circulation types vary significantly between the different phases of ENSO, PDO and PNA in a manner consistent with the temperature anomalies associated with those modes and, to a lesser extent, with the more complex precipitation anomalies. In addition, however, average temperatures and precipitation amounts for some circulation types differ systematically between phases of ENSO and PDO. Subsequent analysis revealed distinct differences among ENSO and PDO phases in the upper-level circulation patterns associated with some surface types. A major part of the teleconnections can be explained through variations in the frequencies of synoptic-scale circulation types, but systematic within-type variability, particularly with PDO and PNA, can additionally influence the surface climate. Copyright © 2005 Royal Meteorological Society.","container-title":"International Journal of Climatology","DOI":"10.1002/joc.1268","ISSN":"1097-0088","issue":"4","language":"en","note":"number: 4\n_eprint: https://onlinelibrary.wiley.com/doi/pdf/10.1002/joc.1268","page":"541-560","source":"Wiley Online Library","title":"The role of synoptic-scale circulation in the linkage between large-scale ocean–atmosphere indices and winter surface climate in British Columbia, Canada","volume":"26","author":[{"family":"Stahl","given":"Kerstin"},{"family":"Moore","given":"R. Dan"},{"family":"Mckendry","given":"Ian G."}],"issued":{"date-parts":[["2006"]]}}},{"id":326,"uris":["http://zotero.org/users/8730623/items/KHL7KVYN"],"itemData":{"id":326,"type":"article-journal","container-title":"Annals of the New York Academy of Sciences","DOI":"10.1196/annals.1446.019","ISSN":"00778923, 17496632","issue":"1","language":"en","note":"number: 1","page":"105-152","source":"DOI.org (Crossref)","title":"Classifications of Atmospheric Circulation Patterns","volume":"1146","author":[{"family":"Huth","given":"Radan"},{"family":"Beck","given":"Christoph"},{"family":"Philipp","given":"Andreas"},{"family":"Demuzere","given":"Matthias"},{"family":"Ustrnul","given":"Zbigniew"},{"family":"Cahynová","given":"Monika"},{"family":"Kyselý","given":"Jan"},{"family":"Tveito","given":"Ole Einar"}],"issued":{"date-parts":[["2008",12]]}}},{"id":703,"uris":["http://zotero.org/users/8730623/items/UQTRC99M"],"itemData":{"id":703,"type":"article-journal","abstract":"A classiﬁcation of weather patterns (WP) is derived that is tailored to best represent situations relevant for the urban heat island (UHI). Three different types of k-means-based cluster methods are conducted. The explained cluster variance is used as a measure for the quality. Several variables of the 700-hPa ﬁelds from the 40-yr ECMWF Re-Analysis (ERA-40) were tested for the classiﬁcation. The variables as well as the domain for the clustering are chosen in a way to explain the variability of the UHI as best as possible. It turned out that the combination of geopotential height, relative humidity, vorticity, and the 1000–700-hPa thickness is best suited. To determine the optimal cluster number k several statistical measures are applied. Except for autumn (k 5 12) an optimal cluster number of k 5 7 is found. The WP frequency changes are analyzed using climate projections of two regional climate models (RCM). Both RCMs, the Regional Model (REMO) and Climate Limited-Area Model (CLM), are driven with the A1B simulations from the global climate model ECHAM5. Focusing on the periods 2036–65 and 2071–2100, no change can be found of the frequency for the anticyclonic WP when compared with 1971–2000. Since these WPs are favorable for the development of a strong UHI, the frequency of strong UHI days stays the same for the city of Hamburg,Germany. For other WPs changes can be found for both future periods. At the end of the century, a large increase (17%–40%) in the frequency of the zonal WP and a large decrease (20%–26%) in the southwesterly WP are projected.","container-title":"Journal of Applied Meteorology and Climatology","DOI":"10.1175/JAMC-D-12-065.1","ISSN":"1558-8424, 1558-8432","issue":"12","language":"en","note":"number: 12","page":"2699-2714","source":"DOI.org (Crossref)","title":"Weather Pattern Classification to Represent the Urban Heat Island in Present and Future Climate","volume":"52","author":[{"family":"Hoffmann","given":"Peter"},{"family":"Schlünzen","given":"K. Heinke"}],"issued":{"date-parts":[["2013",12]]}}},{"id":640,"uris":["http://zotero.org/users/8730623/items/PJPIIF8Y"],"itemData":{"id":640,"type":"article-journal","abstract":"The typical spatio-temporal evolutions of large-scale weather patterns before and after high-concentration events of particulate matter with an aerodynamic diameter </w:instrText>
      </w:r>
      <w:r w:rsidR="009B45C2">
        <w:rPr>
          <w:rFonts w:hint="eastAsia"/>
        </w:rPr>
        <w:instrText>≤</w:instrText>
      </w:r>
      <w:r w:rsidR="009B45C2">
        <w:instrText xml:space="preserve"> 10 μm (PM10) (High-PM10) over the Korean Peninsula were investigated. Using the K-means clustering method, five significant large-scale weather patterns associated with High-PM10 events were identified. Among the 91 High-PM10 events that occurred during winter/spring of 2007–2018, approximately 41% (38 cases) belonged to Cluster 1 and 5, characterized by upper-tropospheric downstream amplification of pressure anomaly originating from the Barents/Kara Sea of the Arctic Ocean. We refer to this pattern as the wave-train type. Concurrently with this pattern, southwesterly wind anomalies from southeastern China and significant descending air occurred over the Korean Peninsula, causing PM10 accumu­ lation. Despite its dominance of occurrence, the wave-train type exhibited a relatively shorter mean duration of 1–2 days owing to its rapid development and traveling characteristics. Cluster 2 corresponded to approximately 29% (27 cases) of the total cases, and was characterized by a stagnant anticyclone over the northeastern Eurasia region. In the lower atmosphere, southerly winds dominated the Korean Peninsula. Vertical diffusion of PM10 was restricted by a vertically stable condition in the lower-to-mid-troposphere and a notably weak wind speed. Cluster 2 had the longest duration of 3 days and the highest mean PM10 concentration compared to the other clusters. Cluster 3 corresponded to approximately 13% (12 cases) of the total cases and exhibited a stagnant anticyclone centered at the Kamchatka region. In this case, weakened westerly is observed resulting in the characteristics of a circulation pattern that easily accumulates pollutants. Cluster 4 accounted for approximately 15% (14 cases) of all cases, and is a pattern in which air of PM10 inflows following the back of the cyclone located in the northern part of the Korean Peninsula. We emphasize that most of High-PM10 events occurring over the Korean Peninsula are linked to the preceding upper-tropospheric large-scale circulation patterns. They control the low-level transports and accumulation of pollutants.","container-title":"Atmospheric Environment","DOI":"10.1016/j.atmosenv.2021.118632","ISSN":"13522310","journalAbbreviation":"Atmospheric Environment","language":"en","page":"118632","source":"DOI.org (Crossref)","title":"Classification of large-scale circulation patterns and their spatio-temporal variability during High-PM10 events over the Korean Peninsula","volume":"262","author":[{"family":"Ku","given":"Ho-Young"},{"family":"Noh","given":"Namkyu"},{"family":"Jeong","given":"Jee-Hoon"},{"family":"Koo","given":"Ja-Ho"},{"family":"Choi","given":"Wonsik"},{"family":"Kim","given":"Baek-Min"},{"family":"Lee","given":"Daegyun"},{"family":"Ban","given":"Soo-Jin"}],"issued":{"date-parts":[["2021",10]]}}}],"schema":"https://github.com/citation-style-language/schema/raw/master/csl-citation.json"} </w:instrText>
      </w:r>
      <w:r w:rsidR="00C40E6D">
        <w:fldChar w:fldCharType="separate"/>
      </w:r>
      <w:r w:rsidR="009B45C2" w:rsidRPr="009B45C2">
        <w:rPr>
          <w:szCs w:val="24"/>
        </w:rPr>
        <w:t>(Hoffmann &amp; Schlünzen, 2013; Huth et al., 2008; Kanungo et al., 2002; Ku et al., 2021; Solman &amp; Menéndez, 2003; Stahl et al., 2006; Zhang et al., 1997)</w:t>
      </w:r>
      <w:r w:rsidR="00C40E6D">
        <w:fldChar w:fldCharType="end"/>
      </w:r>
      <w:r w:rsidR="00371F48" w:rsidRPr="00E7031F">
        <w:t xml:space="preserve">, is applied in the present study </w:t>
      </w:r>
      <w:r w:rsidR="00A16ADF">
        <w:t>for</w:t>
      </w:r>
      <w:r w:rsidR="00371F48" w:rsidRPr="00E7031F">
        <w:t xml:space="preserve"> the objective classification of circulation patterns. The </w:t>
      </w:r>
      <w:r>
        <w:t>meteorological</w:t>
      </w:r>
      <w:r w:rsidR="00371F48" w:rsidRPr="00E7031F">
        <w:t xml:space="preserve"> variable used for classification in the present study is the geopotential height field at 700 hPa. The geopotential height field is a commonly used variable in circulation classification </w:t>
      </w:r>
      <w:r w:rsidR="00EF5E82">
        <w:fldChar w:fldCharType="begin"/>
      </w:r>
      <w:r w:rsidR="009B45C2">
        <w:instrText xml:space="preserve"> ADDIN ZOTERO_ITEM CSL_CITATION {"citationID":"k94qTvbW","properties":{"formattedCitation":"(Hoffmann &amp; Schl\\uc0\\u252{}nzen, 2013; N. Liu et al., 2019; Miao et al., 2017; Ning et al., 2020; Y. Yang et al., 2021)","plainCitation":"(Hoffmann &amp; Schlünzen, 2013; N. Liu et al., 2019; Miao et al., 2017; Ning et al., 2020; Y. Yang et al., 2021)","noteIndex":0},"citationItems":[{"id":703,"uris":["http://zotero.org/users/8730623/items/UQTRC99M"],"itemData":{"id":703,"type":"article-journal","abstract":"A classiﬁcation of weather patterns (WP) is derived that is tailored to best represent situations relevant for the urban heat island (UHI). Three different types of k-means-based cluster methods are conducted. The explained cluster variance is used as a measure for the quality. Several variables of the 700-hPa ﬁelds from the 40-yr ECMWF Re-Analysis (ERA-40) were tested for the classiﬁcation. The variables as well as the domain for the clustering are chosen in a way to explain the variability of the UHI as best as possible. It turned out that the combination of geopotential height, relative humidity, vorticity, and the 1000–700-hPa thickness is best suited. To determine the optimal cluster number k several statistical measures are applied. Except for autumn (k 5 12) an optimal cluster number of k 5 7 is found. The WP frequency changes are analyzed using climate projections of two regional climate models (RCM). Both RCMs, the Regional Model (REMO) and Climate Limited-Area Model (CLM), are driven with the A1B simulations from the global climate model ECHAM5. Focusing on the periods 2036–65 and 2071–2100, no change can be found of the frequency for the anticyclonic WP when compared with 1971–2000. Since these WPs are favorable for the development of a strong UHI, the frequency of strong UHI days stays the same for the city of Hamburg,Germany. For other WPs changes can be found for both future periods. At the end of the century, a large increase (17%–40%) in the frequency of the zonal WP and a large decrease (20%–26%) in the southwesterly WP are projected.","container-title":"Journal of Applied Meteorology and Climatology","DOI":"10.1175/JAMC-D-12-065.1","ISSN":"1558-8424, 1558-8432","issue":"12","language":"en","note":"number: 12","page":"2699-2714","source":"DOI.org (Crossref)","title":"Weather Pattern Classification to Represent the Urban Heat Island in Present and Future Climate","volume":"52","author":[{"family":"Hoffmann","given":"Peter"},{"family":"Schlünzen","given":"K. Heinke"}],"issued":{"date-parts":[["2013",12]]}}},{"id":706,"uris":["http://zotero.org/users/8730623/items/B3GK8BNP"],"itemData":{"id":706,"type":"article-journal","abstract":"Abstract. Meteorological conditions within the planetary boundary layer (PBL) are closely governed by large-scale synoptic patterns and play important roles in air quality by directly and indirectly affecting the emission, transport, formation, and deposition of air pollutants. Partly due to the lack of long-term fine-resolution observations of the PBL, the relationships between synoptic patterns, PBL structure, and aerosol pollution in Beijing have not been well understood. This study applied the obliquely rotated principal component analysis in T-mode to classify the summertime synoptic conditions over Beijing using the National Centers for Environmental Prediction reanalysis from 2011 to 2014, and investigated their relationships with PBL structure and aerosol pollution by combining numerical simulations, measurements of surface meteorological variables, fine-resolution soundings, the concentration of particles with diameters less than or equal to 2.5 µm, total cloud cover (CLD), and reanalysis data. Among the seven identified synoptic patterns, three types accounted for 67 % of the total number of cases studied and were associated with heavy aerosol pollution events. These particular synoptic patterns were characterized by high-pressure systems located to the east or southeast of Beijing at the 925 hPa level, which blocked the air flow seaward, and southerly PBL winds that brought in polluted air from the southern industrial zone. The horizontal transport of pollutants induced by the synoptic forcings may be the most important factor affecting the air quality of Beijing in summer. In the vertical dimension, these three synoptic patterns featured a relatively low boundary layer height (BLH) in the afternoon, accompanied by high CLD and southerly cold advection from the seas within the PBL. The high CLD reduced the solar radiation reaching the surface, and suppressed the thermal turbulence, leading to lower BLH. Besides, the numerical sensitive experiments show that cold advection induced by the large-scale synoptic forcing may have cooled the PBL, leading to an increase in near-surface stability and a decrease in the BLH in the afternoon. Moreover, when warm advection appeared simultaneously above the top level of the PBL, the thermal inversion layer capping the PBL may have been strengthened, resulting in the further suppression of PBL and thus the deterioration of aerosol pollution levels. This study has important implications for understanding the crucial roles that meteorological factors (at both synoptic and local scales) play in modulating and forecasting aerosol pollution in Beijing and its surrounding area.","container-title":"Atmospheric Chemistry and Physics","DOI":"10.5194/acp-17-3097-2017","ISSN":"1680-7324","issue":"4","journalAbbreviation":"Atmos. Chem. Phys.","language":"en","note":"number: 4","page":"3097-3110","source":"DOI.org (Crossref)","title":"Classification of summertime synoptic patterns in Beijing and their associations with boundary layer structure affecting aerosol pollution","volume":"17","author":[{"family":"Miao","given":"Yucong"},{"family":"Guo","given":"Jianping"},{"family":"Liu","given":"Shuhua"},{"family":"Liu","given":"Huan"},{"family":"Li","given":"Zhanqing"},{"family":"Zhang","given":"Wanchun"},{"family":"Zhai","given":"Panmao"}],"issued":{"date-parts":[["2017",2,28]]}}},{"id":2791,"uris":["http://zotero.org/users/8730623/items/P9VI5WCW"],"itemData":{"id":2791,"type":"article-journal","container-title":"Atmospheric Research","DOI":"10.1016/j.atmosres.2019.06.001","ISSN":"01698095","journalAbbreviation":"Atmospheric Research","language":"en","page":"186-195","source":"DOI.org (Crossref)","title":"Synoptic circulation pattern and boundary layer structure associated with PM2.5 during wintertime haze pollution episodes in Shanghai","volume":"228","author":[{"family":"Liu","given":"Ning"},{"family":"Zhou","given":"Sha"},{"family":"Liu","given":"Chaoshun"},{"family":"Guo","given":"Jianping"}],"issued":{"date-parts":[["2019",11]]}}},{"id":695,"uris":["http://zotero.org/users/8730623/items/T4IDFGRN"],"itemData":{"id":695,"type":"article-journal","abstract":"Ozone (O3) pollution in China tends to become increasingly severe despite recent emission reductions. O3 is sensitive to atmospheric conditions, but its modulations by changing synoptic systems and climate are unclear, especially in mountain-basin areas such as the Sichuan Basin (SCB). This study examines the impacts of typical synoptic systems and their secular changes on O3 pollution and its health risks in mountain-basin areas, by taking SCB as an example. Seven dominant synoptic patterns are identified and three typical synoptic patterns with high- (low-) pressure are associated with high (low) O3 concentrations over entire SCB, while the pattern with uniform-pressure is accompanied by heavy (light) pollution in western (eastern) SCB. Under the synoptic pat­ terns with high-pressure, clear weather with fewer clouds, strong solar radiation, weak convection, and hot and dry atmosphere enhances the photochemical reactions of O3 precursors and weakens the vertical mixing of O3 and its precursors, thus favoring heavy O3 pollution and posing higher health risks; whereas, the synoptic pat­ terns with low-pressure induce the opposite changes in O3 concentration and health risks. The uniform-pressure pattern is accompanied by district spatial variations of O3 via favoring O3-related physical and chemical pro­ cesses in eastern SCB and inhibiting that in the west. Under climatic changes, increasing synoptic pattern with high-pressure and decreasing synoptic pattern with low-pressure over SCB significantly increased O3 concen­ tration and the resultant health risks over the past 40 years. Our findings provide scientific evidence from synoptic and climatic views for forecasting O3 and its health risks and for mitigating O3 pollution in mountainbasin areas.","container-title":"Atmospheric Environment","DOI":"10.1016/j.atmosenv.2020.117808","ISSN":"13522310","journalAbbreviation":"Atmospheric Environment","language":"en","page":"117808","source":"DOI.org (Crossref)","title":"Modulations of synoptic and climatic changes on ozone pollution and its health risks in mountain-basin areas","volume":"240","author":[{"family":"Ning","given":"Guicai"},{"family":"Yim","given":"Steve Hung Lam"},{"family":"Yang","given":"Yuanjian"},{"family":"Gu","given":"Yefu"},{"family":"Dong","given":"Guanghui"}],"issued":{"date-parts":[["2020",11]]}}},{"id":2796,"uris":["http://zotero.org/users/8730623/items/74RQGXC3"],"itemData":{"id":2796,"type":"article-journal","abstract":"Precipitation is one of the most important features of the weather in the East Asian monsoon climatic zone; however, the ways in which different synoptic weather patterns modulate the three-dimensional structures of precipitation are yet to be fully understood. Taking the example of eastern China and using the three-dimensional observations of precipitation measured by the dual-frequency precipitation radar onboard the Global Precipi­ tation Measurement mission during 2014–2018, this study explores the rain rate (RR), precipitation frequency (PF), and vertical characteristics of precipitation during summer under four synoptic weather patterns (SWPs) objectively classified using reanalysis data. The four SWPs are referred to as Type 1, 2, 3, and 4. The RRs, PFs, and vertical structures over eastern China are closely linked to the variations of these four large-scale SWPs related to the western Pacific subtropical high (WPSH) and exhibit remarkable regional disparities. The highest PFs of stratiform, convective, and shallow convective precipitation over the whole of eastern China occur under Type 1, followed by Type 2. To the south of 40◦N, a more intense RR for both stratiform and convective pre­ cipitation appears under Types 1 and 2, while to the north of 40◦N these features appear under Types 3 and 4. The Contoured Frequency by Altitude Diagrams for both convective and stratiform precipitation exhibit large positive anomalies of large-value radar reflectivity above (below) 5 km over most regions under Types 2 and 4 (Types 1 and 3). Meanwhile, large positive anomalies for most regions occur under Types 3 and 4 for shallow convective precipitation and are mainly concentrated below the altitude of 4 km. These differences in vertical structures under different SWPs depend mainly on various vertical movements and water vapor moisture sup­ plies related to the location of the WPSH. Our findings provide evidence of a possible linkage between the threedimensional features of convective, shallow convective, and stratiform precipitation and large-scale WPSH cir­ culation on the synoptic scale.","container-title":"Atmospheric Research","DOI":"10.1016/j.atmosres.2020.105342","ISSN":"01698095","journalAbbreviation":"Atmospheric Research","language":"en","page":"105342","source":"DOI.org (Crossref)","title":"Synoptic weather patterns modulate the frequency, type and vertical structure of summer precipitation over Eastern China: A perspective from GPM observations","title-short":"Synoptic weather patterns modulate the frequency, type and vertical structure of summer precipitation over Eastern China","volume":"249","author":[{"family":"Yang","given":"Yuanjian"},{"family":"Wang","given":"Rui"},{"family":"Chen","given":"Fengjiao"},{"family":"Liu","given":"Chao"},{"family":"Bi","given":"Xueyan"},{"family":"Huang","given":"Meng"}],"issued":{"date-parts":[["2021",2]]}}}],"schema":"https://github.com/citation-style-language/schema/raw/master/csl-citation.json"} </w:instrText>
      </w:r>
      <w:r w:rsidR="00EF5E82">
        <w:fldChar w:fldCharType="separate"/>
      </w:r>
      <w:r w:rsidR="009B45C2" w:rsidRPr="009B45C2">
        <w:rPr>
          <w:szCs w:val="24"/>
        </w:rPr>
        <w:t>(Hoffmann &amp; Schlünzen, 2013; Liu et al., 2019; Miao et al., 2017; Ning et al., 2020; Yang et al., 2021)</w:t>
      </w:r>
      <w:r w:rsidR="00EF5E82">
        <w:fldChar w:fldCharType="end"/>
      </w:r>
      <w:r w:rsidR="00371F48" w:rsidRPr="00E7031F">
        <w:t xml:space="preserve">. </w:t>
      </w:r>
      <w:r w:rsidR="00EF5E82">
        <w:fldChar w:fldCharType="begin"/>
      </w:r>
      <w:r w:rsidR="009B45C2">
        <w:instrText xml:space="preserve"> ADDIN ZOTERO_ITEM CSL_CITATION {"citationID":"l9vNlOax","properties":{"formattedCitation":"(Huth et al., 2008)","plainCitation":"(Huth et al., 2008)","noteIndex":0},"citationItems":[{"id":326,"uris":["http://zotero.org/users/8730623/items/KHL7KVYN"],"itemData":{"id":326,"type":"article-journal","container-title":"Annals of the New York Academy of Sciences","DOI":"10.1196/annals.1446.019","ISSN":"00778923, 17496632","issue":"1","language":"en","note":"number: 1","page":"105-152","source":"DOI.org (Crossref)","title":"Classifications of Atmospheric Circulation Patterns","volume":"1146","author":[{"family":"Huth","given":"Radan"},{"family":"Beck","given":"Christoph"},{"family":"Philipp","given":"Andreas"},{"family":"Demuzere","given":"Matthias"},{"family":"Ustrnul","given":"Zbigniew"},{"family":"Cahynová","given":"Monika"},{"family":"Kyselý","given":"Jan"},{"family":"Tveito","given":"Ole Einar"}],"issued":{"date-parts":[["2008",12]]}}}],"schema":"https://github.com/citation-style-language/schema/raw/master/csl-citation.json"} </w:instrText>
      </w:r>
      <w:r w:rsidR="00EF5E82">
        <w:fldChar w:fldCharType="separate"/>
      </w:r>
      <w:r w:rsidR="009B45C2" w:rsidRPr="009B45C2">
        <w:t>Huth et al. (2008)</w:t>
      </w:r>
      <w:r w:rsidR="00EF5E82">
        <w:fldChar w:fldCharType="end"/>
      </w:r>
      <w:r w:rsidR="00371F48" w:rsidRPr="00E7031F">
        <w:t xml:space="preserve"> suggested that </w:t>
      </w:r>
      <w:r w:rsidR="00A16ADF">
        <w:t>due</w:t>
      </w:r>
      <w:r w:rsidR="00A16ADF" w:rsidRPr="00E7031F">
        <w:t xml:space="preserve"> </w:t>
      </w:r>
      <w:r w:rsidR="00371F48" w:rsidRPr="00E7031F">
        <w:t xml:space="preserve">to a high degree of dependence among individual levels, the inclusion of additional levels yields little extra information over using a single level, which has been confirmed in many studies </w:t>
      </w:r>
      <w:r w:rsidR="00EF5E82">
        <w:fldChar w:fldCharType="begin"/>
      </w:r>
      <w:r w:rsidR="009B45C2">
        <w:instrText xml:space="preserve"> ADDIN ZOTERO_ITEM CSL_CITATION {"citationID":"QTjX2wih","properties":{"formattedCitation":"(Dong et al., 2020; N. Liu et al., 2019; Miao et al., 2017; Ning et al., 2020; Y. Yang et al., 2021)","plainCitation":"(Dong et al., 2020; N. Liu et al., 2019; Miao et al., 2017; Ning et al., 2020; Y. Yang et al., 2021)","noteIndex":0},"citationItems":[{"id":706,"uris":["http://zotero.org/users/8730623/items/B3GK8BNP"],"itemData":{"id":706,"type":"article-journal","abstract":"Abstract. Meteorological conditions within the planetary boundary layer (PBL) are closely governed by large-scale synoptic patterns and play important roles in air quality by directly and indirectly affecting the emission, transport, formation, and deposition of air pollutants. Partly due to the lack of long-term fine-resolution observations of the PBL, the relationships between synoptic patterns, PBL structure, and aerosol pollution in Beijing have not been well understood. This study applied the obliquely rotated principal component analysis in T-mode to classify the summertime synoptic conditions over Beijing using the National Centers for Environmental Prediction reanalysis from 2011 to 2014, and investigated their relationships with PBL structure and aerosol pollution by combining numerical simulations, measurements of surface meteorological variables, fine-resolution soundings, the concentration of particles with diameters less than or equal to 2.5 µm, total cloud cover (CLD), and reanalysis data. Among the seven identified synoptic patterns, three types accounted for 67 % of the total number of cases studied and were associated with heavy aerosol pollution events. These particular synoptic patterns were characterized by high-pressure systems located to the east or southeast of Beijing at the 925 hPa level, which blocked the air flow seaward, and southerly PBL winds that brought in polluted air from the southern industrial zone. The horizontal transport of pollutants induced by the synoptic forcings may be the most important factor affecting the air quality of Beijing in summer. In the vertical dimension, these three synoptic patterns featured a relatively low boundary layer height (BLH) in the afternoon, accompanied by high CLD and southerly cold advection from the seas within the PBL. The high CLD reduced the solar radiation reaching the surface, and suppressed the thermal turbulence, leading to lower BLH. Besides, the numerical sensitive experiments show that cold advection induced by the large-scale synoptic forcing may have cooled the PBL, leading to an increase in near-surface stability and a decrease in the BLH in the afternoon. Moreover, when warm advection appeared simultaneously above the top level of the PBL, the thermal inversion layer capping the PBL may have been strengthened, resulting in the further suppression of PBL and thus the deterioration of aerosol pollution levels. This study has important implications for understanding the crucial roles that meteorological factors (at both synoptic and local scales) play in modulating and forecasting aerosol pollution in Beijing and its surrounding area.","container-title":"Atmospheric Chemistry and Physics","DOI":"10.5194/acp-17-3097-2017","ISSN":"1680-7324","issue":"4","journalAbbreviation":"Atmos. Chem. Phys.","language":"en","note":"number: 4","page":"3097-3110","source":"DOI.org (Crossref)","title":"Classification of summertime synoptic patterns in Beijing and their associations with boundary layer structure affecting aerosol pollution","volume":"17","author":[{"family":"Miao","given":"Yucong"},{"family":"Guo","given":"Jianping"},{"family":"Liu","given":"Shuhua"},{"family":"Liu","given":"Huan"},{"family":"Li","given":"Zhanqing"},{"family":"Zhang","given":"Wanchun"},{"family":"Zhai","given":"Panmao"}],"issued":{"date-parts":[["2017",2,28]]}}},{"id":2791,"uris":["http://zotero.org/users/8730623/items/P9VI5WCW"],"itemData":{"id":2791,"type":"article-journal","container-title":"Atmospheric Research","DOI":"10.1016/j.atmosres.2019.06.001","ISSN":"01698095","journalAbbreviation":"Atmospheric Research","language":"en","page":"186-195","source":"DOI.org (Crossref)","title":"Synoptic circulation pattern and boundary layer structure associated with PM2.5 during wintertime haze pollution episodes in Shanghai","volume":"228","author":[{"family":"Liu","given":"Ning"},{"family":"Zhou","given":"Sha"},{"family":"Liu","given":"Chaoshun"},{"family":"Guo","given":"Jianping"}],"issued":{"date-parts":[["2019",11]]}}},{"id":697,"uris":["http://zotero.org/users/8730623/items/ZYKRPC6J"],"itemData":{"id":697,"type":"article-journal","abstract":"Surface ozone pollution is a challenging environmental issue in most parts of China. In particular, the North China Plain (NCP) region suffers from the severest ozone pollution throughout the country. In addition to the emission of precursors, ozone concentration is closely related to meteorological conditions resulting from regional atmospheric circulation. In this study, we investigate the relationship between synoptic patterns and summertime ozone pollution in the NCP using the objective principal component analysis in T-mode (T-PCA) classiﬁcation method. Four dominant synoptic patterns are identiﬁed during the summers of 2014–2018. The heaviest ozone pollution is found to be associated with a high pressure anomaly over the Northwest Paciﬁc and a distinct low pressure center in Northeast China. The southwesterly wind surrounding the low pressure center brings dry, warm air from inland South China, resulting in a high temperature, low humidity environment in the NCP, which favors the chemical formation of surface ozone. Locally, this type is associated with a moderate planetary boundary layer height (PBLH) of ~860 m and a stronger warm anomaly within the boundary layer than the upper level. We also notice a non-linear relationship between surface ozone concentration and the PBLH, i.e., ozone concentration ﬁrst increases with PBLH till ~0.9 km, and then remains stable. This initial increase may relate to enhanced mixing with upper levels where ozone concentration is typically higher than that near the surface. However, when PBLH further increases, this downward mixing effect is balanced with the stronger upward turbulent mixing so that surface ozone shows little change. The synoptic patterns identiﬁed here, however, is unlikely responsible for the observed increasing trend in ozone concentration over the NCP region. Our study sheds light on the meteorological contribution to surface ozone pollution in North China and provides a reference for the pollution control and prediction.","container-title":"Science of The Total Environment","DOI":"10.1016/j.scitotenv.2020.139559","ISSN":"00489697","journalAbbreviation":"Science of The Total Environment","language":"en","page":"139559","source":"DOI.org (Crossref)","title":"The impact of synoptic patterns on summertime ozone pollution in the North China Plain","volume":"735","author":[{"family":"Dong","given":"Yueming"},{"family":"Li","given":"Jing"},{"family":"Guo","given":"Jianping"},{"family":"Jiang","given":"Zhongjing"},{"family":"Chu","given":"Yiqi"},{"family":"Chang","given":"Liang"},{"family":"Yang","given":"Yang"},{"family":"Liao","given":"Hong"}],"issued":{"date-parts":[["2020",9]]}}},{"id":695,"uris":["http://zotero.org/users/8730623/items/T4IDFGRN"],"itemData":{"id":695,"type":"article-journal","abstract":"Ozone (O3) pollution in China tends to become increasingly severe despite recent emission reductions. O3 is sensitive to atmospheric conditions, but its modulations by changing synoptic systems and climate are unclear, especially in mountain-basin areas such as the Sichuan Basin (SCB). This study examines the impacts of typical synoptic systems and their secular changes on O3 pollution and its health risks in mountain-basin areas, by taking SCB as an example. Seven dominant synoptic patterns are identified and three typical synoptic patterns with high- (low-) pressure are associated with high (low) O3 concentrations over entire SCB, while the pattern with uniform-pressure is accompanied by heavy (light) pollution in western (eastern) SCB. Under the synoptic pat­ terns with high-pressure, clear weather with fewer clouds, strong solar radiation, weak convection, and hot and dry atmosphere enhances the photochemical reactions of O3 precursors and weakens the vertical mixing of O3 and its precursors, thus favoring heavy O3 pollution and posing higher health risks; whereas, the synoptic pat­ terns with low-pressure induce the opposite changes in O3 concentration and health risks. The uniform-pressure pattern is accompanied by district spatial variations of O3 via favoring O3-related physical and chemical pro­ cesses in eastern SCB and inhibiting that in the west. Under climatic changes, increasing synoptic pattern with high-pressure and decreasing synoptic pattern with low-pressure over SCB significantly increased O3 concen­ tration and the resultant health risks over the past 40 years. Our findings provide scientific evidence from synoptic and climatic views for forecasting O3 and its health risks and for mitigating O3 pollution in mountainbasin areas.","container-title":"Atmospheric Environment","DOI":"10.1016/j.atmosenv.2020.117808","ISSN":"13522310","journalAbbreviation":"Atmospheric Environment","language":"en","page":"117808","source":"DOI.org (Crossref)","title":"Modulations of synoptic and climatic changes on ozone pollution and its health risks in mountain-basin areas","volume":"240","author":[{"family":"Ning","given":"Guicai"},{"family":"Yim","given":"Steve Hung Lam"},{"family":"Yang","given":"Yuanjian"},{"family":"Gu","given":"Yefu"},{"family":"Dong","given":"Guanghui"}],"issued":{"date-parts":[["2020",11]]}}},{"id":2796,"uris":["http://zotero.org/users/8730623/items/74RQGXC3"],"itemData":{"id":2796,"type":"article-journal","abstract":"Precipitation is one of the most important features of the weather in the East Asian monsoon climatic zone; however, the ways in which different synoptic weather patterns modulate the three-dimensional structures of precipitation are yet to be fully understood. Taking the example of eastern China and using the three-dimensional observations of precipitation measured by the dual-frequency precipitation radar onboard the Global Precipi­ tation Measurement mission during 2014–2018, this study explores the rain rate (RR), precipitation frequency (PF), and vertical characteristics of precipitation during summer under four synoptic weather patterns (SWPs) objectively classified using reanalysis data. The four SWPs are referred to as Type 1, 2, 3, and 4. The RRs, PFs, and vertical structures over eastern China are closely linked to the variations of these four large-scale SWPs related to the western Pacific subtropical high (WPSH) and exhibit remarkable regional disparities. The highest PFs of stratiform, convective, and shallow convective precipitation over the whole of eastern China occur under Type 1, followed by Type 2. To the south of 40◦N, a more intense RR for both stratiform and convective pre­ cipitation appears under Types 1 and 2, while to the north of 40◦N these features appear under Types 3 and 4. The Contoured Frequency by Altitude Diagrams for both convective and stratiform precipitation exhibit large positive anomalies of large-value radar reflectivity above (below) 5 km over most regions under Types 2 and 4 (Types 1 and 3). Meanwhile, large positive anomalies for most regions occur under Types 3 and 4 for shallow convective precipitation and are mainly concentrated below the altitude of 4 km. These differences in vertical structures under different SWPs depend mainly on various vertical movements and water vapor moisture sup­ plies related to the location of the WPSH. Our findings provide evidence of a possible linkage between the threedimensional features of convective, shallow convective, and stratiform precipitation and large-scale WPSH cir­ culation on the synoptic scale.","container-title":"Atmospheric Research","DOI":"10.1016/j.atmosres.2020.105342","ISSN":"01698095","journalAbbreviation":"Atmospheric Research","language":"en","page":"105342","source":"DOI.org (Crossref)","title":"Synoptic weather patterns modulate the frequency, type and vertical structure of summer precipitation over Eastern China: A perspective from GPM observations","title-short":"Synoptic weather patterns modulate the frequency, type and vertical structure of summer precipitation over Eastern China","volume":"249","author":[{"family":"Yang","given":"Yuanjian"},{"family":"Wang","given":"Rui"},{"family":"Chen","given":"Fengjiao"},{"family":"Liu","given":"Chao"},{"family":"Bi","given":"Xueyan"},{"family":"Huang","given":"Meng"}],"issued":{"date-parts":[["2021",2]]}}}],"schema":"https://github.com/citation-style-language/schema/raw/master/csl-citation.json"} </w:instrText>
      </w:r>
      <w:r w:rsidR="00EF5E82">
        <w:fldChar w:fldCharType="separate"/>
      </w:r>
      <w:r w:rsidR="009B45C2" w:rsidRPr="009B45C2">
        <w:t>(Dong et al., 2020; Liu et al., 2019; Miao et al., 2017; Ning et al., 2020; Yang et al., 2021)</w:t>
      </w:r>
      <w:r w:rsidR="00EF5E82">
        <w:fldChar w:fldCharType="end"/>
      </w:r>
      <w:r w:rsidR="00EF5E82">
        <w:t>. Statistics (see Section 3) in the present study suggest that MCSs are mainly initiated between 0300–0600 (Coordinated Universal Time, UTC) and that 78.4% (627 out of 800) of MCSs occur in June, July and August (JJA)</w:t>
      </w:r>
      <w:r>
        <w:t>. In addition</w:t>
      </w:r>
      <w:r w:rsidR="00EF5E82">
        <w:t xml:space="preserve">, circulation patterns vary greatly in September </w:t>
      </w:r>
      <w:r w:rsidR="00EF5E82">
        <w:fldChar w:fldCharType="begin"/>
      </w:r>
      <w:r w:rsidR="009B45C2">
        <w:instrText xml:space="preserve"> ADDIN ZOTERO_ITEM CSL_CITATION {"citationID":"6PSkuIqL","properties":{"formattedCitation":"(\\uc0\\u38518{}\\uc0\\u35799{}\\uc0\\u35328{} 1980)","plainCitation":"(</w:instrText>
      </w:r>
      <w:r w:rsidR="009B45C2">
        <w:rPr>
          <w:rFonts w:ascii="宋体" w:eastAsia="宋体" w:hAnsi="宋体" w:cs="宋体" w:hint="eastAsia"/>
        </w:rPr>
        <w:instrText>陶诗言</w:instrText>
      </w:r>
      <w:r w:rsidR="009B45C2">
        <w:instrText xml:space="preserve"> 1980)","dontUpdate":true,"noteIndex":0},"citationItems":[{"id":773,"uris":["http://zotero.org/users/8730623/items/BPPI5UC8"],"itemData":{"id":773,"type":"book","event-place":"Beijing","publisher":"Science Press","publisher-place":"Beijing","source":"Baidu Scholar","title":"Heavy Rainfalls in China","URL":"https://xueshu.baidu.com/usercenter/paper/show?paperid=cf16c8e521af3933c932f9933083d28a&amp;site=xueshu_se","author":[{"family":"Tao","given":"Shiyan"}],"accessed":{"date-parts":[["2022",7,18]]},"issued":{"date-parts":[["1980"]]}}}],"schema":"https://github.com/citation-style-language/schema/raw/master/csl-citation.json"} </w:instrText>
      </w:r>
      <w:r w:rsidR="00EF5E82">
        <w:fldChar w:fldCharType="separate"/>
      </w:r>
      <w:r w:rsidR="00EF5E82" w:rsidRPr="00EF5E82">
        <w:t>(</w:t>
      </w:r>
      <w:r w:rsidR="00EF5E82">
        <w:rPr>
          <w:rFonts w:hint="eastAsia"/>
        </w:rPr>
        <w:t>T</w:t>
      </w:r>
      <w:r w:rsidR="00EF5E82" w:rsidRPr="00EF5E82">
        <w:t>ao 1980)</w:t>
      </w:r>
      <w:r w:rsidR="00EF5E82">
        <w:fldChar w:fldCharType="end"/>
      </w:r>
      <w:r w:rsidR="00A27DA7" w:rsidRPr="00E7031F">
        <w:t>. Therefore, the geopotential height fields at 700 hPa at 0000 UTC each day during JJA of 2018</w:t>
      </w:r>
      <w:r w:rsidR="00A27DA7" w:rsidRPr="00E7031F">
        <w:softHyphen/>
        <w:t xml:space="preserve">–2021 are used for circulation classification. TCs may have a great impact on synoptic circulations, leading to inaccurate classification results. </w:t>
      </w:r>
      <w:r>
        <w:t>Therefore</w:t>
      </w:r>
      <w:r w:rsidR="00A27DA7" w:rsidRPr="00E7031F">
        <w:t xml:space="preserve">, </w:t>
      </w:r>
      <w:r w:rsidR="00A27DA7" w:rsidRPr="00E7031F">
        <w:lastRenderedPageBreak/>
        <w:t xml:space="preserve">based on the TC locations derived from best-track data, if a TC enters the </w:t>
      </w:r>
      <w:r w:rsidR="001D385A">
        <w:t xml:space="preserve">area </w:t>
      </w:r>
      <w:r w:rsidR="00A27DA7" w:rsidRPr="00E7031F">
        <w:t xml:space="preserve">east of 124 °E and north of 20 °N on a certain day, this day will be recorded as </w:t>
      </w:r>
      <w:r w:rsidR="001D385A">
        <w:t xml:space="preserve">a </w:t>
      </w:r>
      <w:r w:rsidR="00A27DA7" w:rsidRPr="00E7031F">
        <w:t>TC-day and will be excluded during circulation classification. A total of 83 TC</w:t>
      </w:r>
      <w:r>
        <w:t xml:space="preserve"> </w:t>
      </w:r>
      <w:r w:rsidR="00A27DA7" w:rsidRPr="00E7031F">
        <w:t xml:space="preserve">days </w:t>
      </w:r>
      <w:r>
        <w:t>are</w:t>
      </w:r>
      <w:r w:rsidR="00A27DA7" w:rsidRPr="00E7031F">
        <w:t xml:space="preserve"> excluded.</w:t>
      </w:r>
    </w:p>
    <w:p w14:paraId="532C3047" w14:textId="6D1F736A" w:rsidR="00D830C1" w:rsidRPr="00E7031F" w:rsidRDefault="00F103E8" w:rsidP="00A7754E">
      <w:pPr>
        <w:pStyle w:val="ParagraphText"/>
      </w:pPr>
      <w:r w:rsidRPr="00E7031F">
        <w:t xml:space="preserve">The silhouette coefficient </w:t>
      </w:r>
      <w:r w:rsidR="00EF5E82">
        <w:fldChar w:fldCharType="begin"/>
      </w:r>
      <w:r w:rsidR="009B45C2">
        <w:instrText xml:space="preserve"> ADDIN ZOTERO_ITEM CSL_CITATION {"citationID":"gLiaLGlE","properties":{"formattedCitation":"(Rousseeuw, 1987)","plainCitation":"(Rousseeuw, 1987)","noteIndex":0},"citationItems":[{"id":444,"uris":["http://zotero.org/users/8730623/items/3VNTL73I"],"itemData":{"id":444,"type":"article-journal","abstract":"A new graphical display is proposed for partitioning techniques. Each cluster is represented by a so-called silhouette, which is based on the comparison of its tightness and separation. This silhouette shows which objects he well within their cluster, and which ones are merely somewhere in between clusters. The entire clustering is displayed by combining the silhouettes into a single plot, allowing an appreciation of the relative quality of the clusters and an overview of the data configuration. The average silhouette width provides an evaluation of clustering validity, and might be used to select an ‘appropriate’ number of clusters.","container-title":"Journal of Computational and Applied Mathematics","DOI":"10.1016/0377-0427(87)90125-7","ISSN":"03770427","journalAbbreviation":"Journal of Computational and Applied Mathematics","language":"en","page":"53-65","source":"DOI.org (Crossref)","title":"Silhouettes: A graphical aid to the interpretation and validation of cluster analysis","title-short":"Silhouettes","volume":"20","author":[{"family":"Rousseeuw","given":"Peter J."}],"issued":{"date-parts":[["1987",11]]}}}],"schema":"https://github.com/citation-style-language/schema/raw/master/csl-citation.json"} </w:instrText>
      </w:r>
      <w:r w:rsidR="00EF5E82">
        <w:fldChar w:fldCharType="separate"/>
      </w:r>
      <w:r w:rsidR="009B45C2" w:rsidRPr="009B45C2">
        <w:t>(Rousseeuw, 1987)</w:t>
      </w:r>
      <w:r w:rsidR="00EF5E82">
        <w:fldChar w:fldCharType="end"/>
      </w:r>
      <w:r w:rsidR="00AF1B01" w:rsidRPr="00E7031F">
        <w:t xml:space="preserve"> is calculated as an approach to evaluate the performance of different classification </w:t>
      </w:r>
      <w:r>
        <w:t>numbers</w:t>
      </w:r>
      <w:r w:rsidR="00AF1B01" w:rsidRPr="00E7031F">
        <w:t xml:space="preserve">. The silhouette coefficient </w:t>
      </w:r>
      <w:r w:rsidR="00274594">
        <w:t>considers</w:t>
      </w:r>
      <w:r w:rsidR="00AF1B01" w:rsidRPr="00E7031F">
        <w:t xml:space="preserve"> both the homogeneity within a class and the difference between classes </w:t>
      </w:r>
      <w:r w:rsidR="00EF5E82">
        <w:fldChar w:fldCharType="begin"/>
      </w:r>
      <w:r w:rsidR="009B45C2">
        <w:instrText xml:space="preserve"> ADDIN ZOTERO_ITEM CSL_CITATION {"citationID":"YlfCLdsH","properties":{"formattedCitation":"(Huth et al., 2008; Rousseeuw, 1987)","plainCitation":"(Huth et al., 2008; Rousseeuw, 1987)","noteIndex":0},"citationItems":[{"id":444,"uris":["http://zotero.org/users/8730623/items/3VNTL73I"],"itemData":{"id":444,"type":"article-journal","abstract":"A new graphical display is proposed for partitioning techniques. Each cluster is represented by a so-called silhouette, which is based on the comparison of its tightness and separation. This silhouette shows which objects he well within their cluster, and which ones are merely somewhere in between clusters. The entire clustering is displayed by combining the silhouettes into a single plot, allowing an appreciation of the relative quality of the clusters and an overview of the data configuration. The average silhouette width provides an evaluation of clustering validity, and might be used to select an ‘appropriate’ number of clusters.","container-title":"Journal of Computational and Applied Mathematics","DOI":"10.1016/0377-0427(87)90125-7","ISSN":"03770427","journalAbbreviation":"Journal of Computational and Applied Mathematics","language":"en","page":"53-65","source":"DOI.org (Crossref)","title":"Silhouettes: A graphical aid to the interpretation and validation of cluster analysis","title-short":"Silhouettes","volume":"20","author":[{"family":"Rousseeuw","given":"Peter J."}],"issued":{"date-parts":[["1987",11]]}}},{"id":326,"uris":["http://zotero.org/users/8730623/items/KHL7KVYN"],"itemData":{"id":326,"type":"article-journal","container-title":"Annals of the New York Academy of Sciences","DOI":"10.1196/annals.1446.019","ISSN":"00778923, 17496632","issue":"1","language":"en","note":"number: 1","page":"105-152","source":"DOI.org (Crossref)","title":"Classifications of Atmospheric Circulation Patterns","volume":"1146","author":[{"family":"Huth","given":"Radan"},{"family":"Beck","given":"Christoph"},{"family":"Philipp","given":"Andreas"},{"family":"Demuzere","given":"Matthias"},{"family":"Ustrnul","given":"Zbigniew"},{"family":"Cahynová","given":"Monika"},{"family":"Kyselý","given":"Jan"},{"family":"Tveito","given":"Ole Einar"}],"issued":{"date-parts":[["2008",12]]}}}],"schema":"https://github.com/citation-style-language/schema/raw/master/csl-citation.json"} </w:instrText>
      </w:r>
      <w:r w:rsidR="00EF5E82">
        <w:fldChar w:fldCharType="separate"/>
      </w:r>
      <w:r w:rsidR="009B45C2" w:rsidRPr="009B45C2">
        <w:t>(Huth et al., 2008; Rousseeuw, 1987)</w:t>
      </w:r>
      <w:r w:rsidR="00EF5E82">
        <w:fldChar w:fldCharType="end"/>
      </w:r>
      <w:r w:rsidR="00AF1B01" w:rsidRPr="00E7031F">
        <w:t xml:space="preserve"> and is widely used as criterion to determine the classification number </w:t>
      </w:r>
      <w:r w:rsidR="00902CE7">
        <w:fldChar w:fldCharType="begin"/>
      </w:r>
      <w:r w:rsidR="009B45C2">
        <w:instrText xml:space="preserve"> ADDIN ZOTERO_ITEM CSL_CITATION {"citationID":"teATdIs5","properties":{"formattedCitation":"(Bernard et al., 2013; Nga et al., 2021; Ternynck et al., 2016)","plainCitation":"(Bernard et al., 2013; Nga et al., 2021; Ternynck et al., 2016)","noteIndex":0},"citationItems":[{"id":624,"uris":["http://zotero.org/users/8730623/items/H4YPJQSK"],"itemData":{"id":624,"type":"article-journal","abstract":"Abstract One of the main objectives of statistical climatology is to extract relevant information hidden in complex spatial–temporal climatological datasets. To identify spatial patterns, most well-known statistical techniques are based on the concept of intra- and intercluster variances (like the k-means algorithm or EOFs). As analyzing quantitative extremes like heavy rainfall has become more and more prevalent for climatologists and hydrologists during these last decades, finding spatial patterns with methods based on deviations from the mean (i.e., variances) may not be the most appropriate strategy in this context of studying such extremes. For practitioners, simple and fast clustering tools tailored for extremes have been lacking. A possible avenue to bridging this methodological gap resides in taking advantage of multivariate extreme value theory, a well-developed research field in probability, and to adapt it to the context of spatial clustering. In this paper, a novel algorithm based on this plan is proposed and studied. The approach is compared and discussed with respect to the classical k-means algorithm throughout the analysis of weekly maxima of hourly precipitation recorded in France (fall season, 92 stations, 1993–2011).","container-title":"Journal of Climate","DOI":"10.1175/JCLI-D-12-00836.1","ISSN":"0894-8755, 1520-0442","issue":"20","language":"EN","note":"number: 20\npublisher: American Meteorological Society\nsection: Journal of Climate","page":"7929-7937","source":"journals.ametsoc.org","title":"Clustering of Maxima: Spatial Dependencies among Heavy Rainfall in France","title-short":"Clustering of Maxima","volume":"26","author":[{"family":"Bernard","given":"Elsa"},{"family":"Naveau","given":"Philippe"},{"family":"Vrac","given":"Mathieu"},{"family":"Mestre","given":"Olivier"}],"issued":{"date-parts":[["2013",10,15]]}}},{"id":621,"uris":["http://zotero.org/users/8730623/items/3AURLXXF"],"itemData":{"id":621,"type":"article-journal","abstract":"Abstract Classification of streamflow hydrographs plays an important role in a large number of hydrological and hydraulic studies. For instance, it allows decisions to be made regarding the implementation of hydraulic structures and characterization of different flood types, leading to a better understanding of extreme flow behavior. The employed hydrograph classification methods are generally based on a finite number of hydrograph characteristics and do not include all the available information contained in a discharge time series. In this paper, two statistical techniques from the theory of functional data classification are adapted and applied for the analysis of flood hydrographs. Functional classification directly employs all data of a discharge time series and thus contains all available information on shape, peak, and timing. This potentially allows a better understanding and treatment of floods as well as other hydrological phenomena. The considered functional methodology is applied to streamflow datasets from the province of Quebec, Canada. It is shown that classes obtained using functional approaches have merit and can lead to better representation than those obtained using a multidimensional hierarchical classification method. The considered methodology has the advantage of using all of the information contained in the hydrograph, thus reducing the subjectivity that is inherent in multidimensional analysis of the type and number of characteristics to be used and consequently diminishing the associated uncertainty.","container-title":"Journal of Hydrometeorology","DOI":"10.1175/JHM-D-14-0200.1","ISSN":"1525-7541, 1525-755X","issue":"1","language":"EN","note":"number: 1\npublisher: American Meteorological Society\nsection: Journal of Hydrometeorology","page":"327-344","source":"journals.ametsoc.org","title":"Streamflow Hydrograph Classification Using Functional Data Analysis","volume":"17","author":[{"family":"Ternynck","given":"Camille"},{"family":"Alaya","given":"Mohamed Ali Ben"},{"family":"Chebana","given":"Fateh"},{"family":"Dabo-Niang","given":"Sophie"},{"family":"Ouarda","given":"Taha B. M. J."}],"issued":{"date-parts":[["2016",1,1]]}}},{"id":627,"uris":["http://zotero.org/users/8730623/items/8AMTPXP4"],"itemData":{"id":627,"type":"article-journal","abstract":"Abstract This study presents the application of k-means clustering to satellite-based solar irradiation in different regions of Vietnam. The solar irradiation products derived from the Himawari-8 satellite, named AMATERASS by the solar radiation consortium under the Japan Science and Technology Agency (JST), are validated with observations recorded at five stations in the period from October 2017 to September 2018 before their use for clustering. High correlations among them enable the use of satellite-based daily global horizontal irradiation for spatial variability analysis and regionalization. With respect to the climate regime in Vietnam, the defined 6-cluster groups demonstrate better agreement with the conventionally classified seven climatic zones rather than the four climatic zones of the Köppen classification. The spatial distribution and seasonal variation in the regionalized solar irradiation reflect interchangeable influences of large-scale atmospheric circulation in terms of the East Asian winter monsoon and the South Asian summer monsoon as well as the effect of local topography. Higher daily averaged solar radiation and its weaker seasonal variation were found in two clusters in the southern region where the South Asian summer monsoon dominates in the rainy season. Pronounced seasonal variability in solar irradiation in four clusters in the northern region is associated with the influence of the East Asian monsoon, resulting in its clear reduction during the winter months.","container-title":"Journal of Applied Meteorology and Climatology","DOI":"10.1175/JAMC-D-20-0070.1","ISSN":"1558-8424, 1558-8432","issue":"3","language":"EN","note":"number: 3\npublisher: American Meteorological Society\nsection: Journal of Applied Meteorology and Climatology","page":"391-402","source":"journals.ametsoc.org","title":"Satellite-Based Regionalization of Solar Irradiation in Vietnam by k-Means Clustering","volume":"60","author":[{"family":"Nga","given":"Pham Thi Thanh"},{"family":"Ha","given":"Pham Thanh"},{"family":"Hang","given":"Vu Thanh"}],"issued":{"date-parts":[["2021",3,1]]}}}],"schema":"https://github.com/citation-style-language/schema/raw/master/csl-citation.json"} </w:instrText>
      </w:r>
      <w:r w:rsidR="00902CE7">
        <w:fldChar w:fldCharType="separate"/>
      </w:r>
      <w:r w:rsidR="009B45C2" w:rsidRPr="009B45C2">
        <w:t>(Bernard et al., 2013; Nga et al., 2021; Ternynck et al., 2016)</w:t>
      </w:r>
      <w:r w:rsidR="00902CE7">
        <w:fldChar w:fldCharType="end"/>
      </w:r>
      <w:r w:rsidR="00AF1B01" w:rsidRPr="00E7031F">
        <w:t xml:space="preserve">. The optimal choice of classification number in </w:t>
      </w:r>
      <w:r>
        <w:t xml:space="preserve">the </w:t>
      </w:r>
      <w:r w:rsidR="00AF1B01" w:rsidRPr="00E7031F">
        <w:t xml:space="preserve">present study is 3 based on the evaluation of </w:t>
      </w:r>
      <w:r>
        <w:t xml:space="preserve">the </w:t>
      </w:r>
      <w:r w:rsidR="00AF1B01" w:rsidRPr="00E7031F">
        <w:t>silhouette coefficient.</w:t>
      </w:r>
    </w:p>
    <w:p w14:paraId="3B4FF9BF" w14:textId="365F1662" w:rsidR="00AF1B01" w:rsidRPr="00902CE7" w:rsidRDefault="00F103E8" w:rsidP="00652E9E">
      <w:pPr>
        <w:pStyle w:val="af0"/>
      </w:pPr>
      <w:r w:rsidRPr="00902CE7">
        <w:t>2.5 Construction of proximity soundings</w:t>
      </w:r>
    </w:p>
    <w:p w14:paraId="40EF6898" w14:textId="6D46C56A" w:rsidR="00037AB0" w:rsidRPr="00E7031F" w:rsidRDefault="00902CE7" w:rsidP="00652E9E">
      <w:pPr>
        <w:pStyle w:val="ParagraphText"/>
      </w:pPr>
      <w:r w:rsidRPr="00E7031F">
        <w:t xml:space="preserve">Considering the coarse temporal-spatial resolutions of the observed radiosonde data, the environmental parameters in the present study are calculated from the reanalysis-derived proximity soundings based on ERA5 data. However, some previous studies have noted the differences in the boundary layer variables between reanalysis and observed soundings and that correcting the boundary layer variables of the reanalysis sounding is necessary </w:t>
      </w:r>
      <w:r>
        <w:fldChar w:fldCharType="begin"/>
      </w:r>
      <w:r w:rsidR="009B45C2">
        <w:instrText xml:space="preserve"> ADDIN ZOTERO_ITEM CSL_CITATION {"citationID":"35B95gMe","properties":{"formattedCitation":"(Gensini et al., 2014; King &amp; Kennedy, 2019)","plainCitation":"(Gensini et al., 2014; King &amp; Kennedy, 2019)","noteIndex":0},"citationItems":[{"id":1518,"uris":["http://zotero.org/users/8730623/items/PPZFT3JG"],"itemData":{"id":1518,"type":"article-journal","abstract":"Abstract This research compares reanalysis-derived proxy soundings from the North American Regional Reanalysis (NARR) with collocated observed radiosonde data across the central and eastern United States during the period 2000–11: 23 important parameters used for forecasting severe convection are examined. Kinematic variables such as 0–6-km bulk wind shear are best represented by this reanalysis, whereas thermodynamic variables such as convective available potential energy exhibit regional biases and are generally overestimated by the reanalysis. For thermodynamic parameters, parcel-ascent choice is an important consideration because of large differences in reanalysis low-level moisture fields versus observed ones. Results herein provide researchers with potential strengths and limitations of using NARR data for the purposes of depicting climatological information for hazardous convective weather and initializing model simulations. Similar studies should be considered for other reanalysis datasets.","container-title":"Journal of Applied Meteorology and Climatology","DOI":"10.1175/JAMC-D-13-0263.1","ISSN":"1558-8424, 1558-8432","issue":"3","language":"EN","note":"number: 3\npublisher: American Meteorological Society\nsection: Journal of Applied Meteorology and Climatology","page":"742-751","source":"journals.ametsoc.org","title":"Severe-Thunderstorm Reanalysis Environments and Collocated Radiosonde Observations","volume":"53","author":[{"family":"Gensini","given":"Victor A."},{"family":"Mote","given":"Thomas L."},{"family":"Brooks","given":"Harold E."}],"issued":{"date-parts":[["2014",3,1]]}}},{"id":1613,"uris":["http://zotero.org/users/8730623/items/UFLYGBZW"],"itemData":{"id":1613,"type":"article-journal","abstract":"Abstract A suite of modern atmospheric reanalyses is analyzed to determine how they represent North American supercell environments. This analysis is performed by comparing a database of Rapid Update Cycle (RUC-2) proximity soundings with profiles derived from the nearest grid point in each reanalysis. Parameters are calculated using the Sounding and Hodograph Analysis and Research Program in Python (SHARPpy), an open-source Python sounding-analysis package. Representation of supercell environments varies across the reanalyses, and the results have ramifications for climatological studies that use these datasets. In particular, thermodynamic parameters such as the convective available potential energy (CAPE) show the widest range in biases, with reanalyses falling into two camps. The North American Regional Reanalysis (NARR) and the Japanese 55-year Reanalysis (JRA-55) are similar to RUC-2, but other reanalyses have a substantial negative bias. The reasons for these biases vary and range from thermodynamic biases at the surface to evidence of convective contamination. Overall, it is found that thermodynamic biases feed back to other convective parameters that incorporate CAPE directly or indirectly via the effective layer. As a result, significant negative biases are found for indices such as the supercell composite parameter. These biases are smallest for NARR and JRA-55. Kinematic parameters are more consistent across the reanalyses. Given the issues with thermodynamic properties, better segregation of soundings by storm type is found for fixed-layer parameters than for effective-layer shear parameters. Although no reanalysis can exactly reproduce the results of earlier RUC-2 studies, many of the reanalyses can broadly distinguish between environments that are significantly tornadic versus nontornadic.","container-title":"Journal of Applied Meteorology and Climatology","DOI":"10.1175/JAMC-D-18-0015.1","ISSN":"1558-8424, 1558-8432","issue":"1","language":"EN","note":"number: 1\npublisher: American Meteorological Society\nsection: Journal of Applied Meteorology and Climatology","page":"71-92","source":"journals.ametsoc.org","title":"North American Supercell Environments in Atmospheric Reanalyses and RUC-2","volume":"58","author":[{"family":"King","given":"Austin T."},{"family":"Kennedy","given":"Aaron D."}],"issued":{"date-parts":[["2019",1,1]]}}}],"schema":"https://github.com/citation-style-language/schema/raw/master/csl-citation.json"} </w:instrText>
      </w:r>
      <w:r>
        <w:fldChar w:fldCharType="separate"/>
      </w:r>
      <w:r w:rsidR="009B45C2" w:rsidRPr="009B45C2">
        <w:t>(Gensini et al., 2014; King &amp; Kennedy, 2019)</w:t>
      </w:r>
      <w:r>
        <w:fldChar w:fldCharType="end"/>
      </w:r>
      <w:r w:rsidR="00F103E8" w:rsidRPr="00E7031F">
        <w:t xml:space="preserve">. Therefore, the hourly AWS observations are used to correct surface-level variables </w:t>
      </w:r>
      <w:r w:rsidR="00274594">
        <w:t>in</w:t>
      </w:r>
      <w:r w:rsidR="00274594" w:rsidRPr="00E7031F">
        <w:t xml:space="preserve"> </w:t>
      </w:r>
      <w:r w:rsidR="00F103E8" w:rsidRPr="00E7031F">
        <w:t>ERA5 data before calculating environmental parameters.</w:t>
      </w:r>
    </w:p>
    <w:p w14:paraId="414D35FD" w14:textId="450E809F" w:rsidR="00747FB6" w:rsidRPr="00E7031F" w:rsidRDefault="00DD69E0" w:rsidP="00652E9E">
      <w:pPr>
        <w:pStyle w:val="ParagraphText"/>
      </w:pPr>
      <w:r w:rsidRPr="00E7031F">
        <w:t xml:space="preserve">The nearest hour before an MCS initiation and the ERA5 grid closest to the initiation are chosen as the time and location, respectively, to construct a proximity sounding. The closest AWS observation to the ERA5 grid within </w:t>
      </w:r>
      <w:r w:rsidR="00F103E8">
        <w:t>a</w:t>
      </w:r>
      <w:r w:rsidRPr="00E7031F">
        <w:t xml:space="preserve"> radius of 100 km of the grid is selected to correct the surface-level variables of </w:t>
      </w:r>
      <w:r w:rsidR="00F103E8">
        <w:t xml:space="preserve">the </w:t>
      </w:r>
      <w:r w:rsidRPr="00E7031F">
        <w:t xml:space="preserve">ERA5 data. The ERA5 temperature/dew-point temperature profile is </w:t>
      </w:r>
      <w:r w:rsidR="00274594" w:rsidRPr="00E7031F">
        <w:t xml:space="preserve">first </w:t>
      </w:r>
      <w:r w:rsidRPr="00E7031F">
        <w:t>constructed based on the isobaric layers (all 37 layers from 1000 hPa to 1 hPa). Then</w:t>
      </w:r>
      <w:r w:rsidR="00F103E8">
        <w:t>,</w:t>
      </w:r>
      <w:r w:rsidRPr="00E7031F">
        <w:t xml:space="preserve"> the isobaric layers below </w:t>
      </w:r>
      <w:r w:rsidR="00F103E8">
        <w:t xml:space="preserve">the </w:t>
      </w:r>
      <w:r w:rsidRPr="00E7031F">
        <w:t>AWS surface pressure layer are neglected</w:t>
      </w:r>
      <w:r w:rsidR="00F103E8">
        <w:t>,</w:t>
      </w:r>
      <w:r w:rsidRPr="00E7031F">
        <w:t xml:space="preserve"> and the AWS variables are deemed the lowest layer of the proximity sounding </w:t>
      </w:r>
      <w:r w:rsidR="00902CE7">
        <w:fldChar w:fldCharType="begin"/>
      </w:r>
      <w:r w:rsidR="009B45C2">
        <w:instrText xml:space="preserve"> ADDIN ZOTERO_ITEM CSL_CITATION {"citationID":"M7JlzwJW","properties":{"formattedCitation":"(Brooks et al., 2003; Ma et al., 2021b; Xinlin Yang &amp; Sun, 2018)","plainCitation":"(Brooks et al., 2003; Ma et al., 2021b; Xinlin Yang &amp; Sun, 2018)","noteIndex":0},"citationItems":[{"id":1884,"uris":["http://zotero.org/users/8730623/items/U8KCT9EC"],"itemData":{"id":1884,"type":"article-journal","abstract":"Proximity sounding analysis has long been a tool to determine environmental conditions associated with different kinds of weather events and to discriminate between them. It has been limited, necessarily, by the spatial and temporal distribution of soundings. The recent development of reanalysis datasets that cover the globe with spatial grid spacing on the order of 200 km and temporal spacing every 6 h allows for the possibility of increasing the number of proximity soundings by creating “pseudo-soundings.” We have used the National Center for Atmospheric Research (NCAR)/United States National Centers for Environmental Prediction (NCEP) reanalysis system to create soundings and find environmental conditions associated with significant severe thunderstorms (hail at least 5 cm in diameter, wind gusts at least 120 km h−1, or a tornado of at least F2 damage) and to discriminate between significant tornadic and non-tornadic thunderstorm environments in the eastern United States for the period 1997–1999. Applying the relationships from that region to Europe and the rest of the globe, we have made estimates of the frequency of favorable conditions for significant severe thunderstorms. Southern Europe has the greatest frequency of significant severe thunderstorm environments, particularly over the Spanish plateau and the region east of the Adriatic Sea. Favorable significant tornadic environments are found in France and east of the Adriatic. Worldwide, favorable significant thunderstorm environments are concentrated in equatorial Africa, the central United States, southern Brazil and northern Argentina, and near the Himalayas. Tornadic environments are by far the most common in the central United States, with lesser areas in southern Brazil and northern Argentina.","collection-title":"European Conference on Severe Storms 2002","container-title":"Atmospheric Research","DOI":"10.1016/S0169-8095(03)00045-0","ISSN":"0169-8095","journalAbbreviation":"Atmospheric Research","language":"en","page":"73-94","source":"ScienceDirect","title":"The spatial distribution of severe thunderstorm and tornado environments from global reanalysis data","volume":"67-68","author":[{"family":"Brooks","given":"Harold E"},{"family":"Lee","given":"James W"},{"family":"Craven","given":"Jeffrey P"}],"issued":{"date-parts":[["2003",7,1]]}}},{"id":1204,"uris":["http://zotero.org/users/8730623/items/JKMGGUAJ"],"itemData":{"id":1204,"type":"article-journal","abstract":"Severe weather reports and composite radar reflectivity data from 2010-14 over North China were used to analyze the distribution of severe convective wind (SCW) events and their organizational modes of radar reflectivity. The six organizational modes for SCW events (and their proportions) were cluster cells (35.4%), squall lines (18.4%), nonlinear-shaped systems (17.8%), broken lines (11.6%), individual cells (1.2%), and bow echoes (0.5%). The peak month for both squall lines and broken lines was June, whereas it was July for the other four modes. The highest numbers of SCW events were over the mountains, which were generally associated with disorganized systems of cluster cells. In contrast, SCW associated with linear systems occurred mainly over the plains, where stations recorded an average of less than one SCW event per year. Regions with a high frequency of SCW associated with nonlinear-shaped systems also experienced many SCW events associated with squall lines. Values of convective available potential energy, precipitable water, 0-3-km shear, and 0-6-km shear, were demonstrably larger over the plains than over the mountains, which had an evident effect on the organizational modes of SCW events. Therefore, topography may be an important factor in the organizational modes for SCW events over North China.","container-title":"ADVANCES IN ATMOSPHERIC SCIENCES","DOI":"10.1007/s00376-017-7114-2","ISSN":"0256-1530","issue":"5","language":"en","license":"http://creativecommons.org/licenses/by/3.0/","note":"number: 5\npublisher: ADVANCES IN ATMOSPHERIC SCIENCES","page":"540-549","source":"www.iapjournals.ac.cn","title":"Organizational Modes of Severe Wind-producing Convective Systems over North China","volume":"35","author":[{"family":"Yang","given":"Xinlin"},{"family":"Sun","given":"Jianhua"}],"issued":{"date-parts":[["2018",3,2]]}}},{"id":1610,"uris":["http://zotero.org/users/8730623/items/7ZTUYPGT"],"itemData":{"id":1610,"type":"article-journal","abstract":"Using proximity soundings taken during the warm seasons (May–September) of 2011–2018 over North China, this work investigated the environments of severe thunderstorms that caused the following four types of convective hazards: only hail (H), only thunderstorm high winds (W), only short-duration heavy rainfall (R), and two or three types of the above three hazards (hybrid). The environments for non-severe thunderstorms and no-rain days were also studied for comparison. Soundings in each weather category were further classified into mountain and plain groups. A set of parameters was tested for skill in discriminating between various categories. Results indicate that the environments over the plains, compared with those over the mountains, are generally characterized by stronger instability, more moisture, and higher vertical wind shear. Over both mountains and plains, the precipitable water (PW) shows the greatest skill overall in discriminating between various categories; the instability parameters show considerable skill in discriminating between the severe thunderstorm, non-severe thunderstorm, and no-rain categories but rather limited skill in discriminating between the four severe thunderstorm categories; the wind shear parameters show very limited skill in discriminating between various categories; the lifting condensation level (LCL) distinguishes well the environments of no-rain and R from those of other categories; and the mid-tropospheric pseudo-equivalent potential temperature is the only parameter investigated here that shows utility in discriminating between H and W environments. Probability distributions in two-parameter spaces reveal that great variations exist regarding the environments under which different weather types are most likely to occur.","container-title":"Atmospheric Research","DOI":"10.1016/j.atmosres.2021.105519","ISSN":"0169-8095","journalAbbreviation":"Atmospheric Research","language":"en","page":"105519","source":"ScienceDirect","title":"An eight-year climatology of the warm-season severe thunderstorm environments over North China","volume":"254","author":[{"family":"Ma","given":"Ruoyun"},{"family":"Sun","given":"Jianhua"},{"family":"Yang","given":"Xinlin"}],"issued":{"date-parts":[["2021",6,1]]}}}],"schema":"https://github.com/citation-style-language/schema/raw/master/csl-citation.json"} </w:instrText>
      </w:r>
      <w:r w:rsidR="00902CE7">
        <w:fldChar w:fldCharType="separate"/>
      </w:r>
      <w:r w:rsidR="009B45C2" w:rsidRPr="009B45C2">
        <w:t>(Brooks et al., 2003; Ma et al., 2021b; Yang &amp; Sun, 2018)</w:t>
      </w:r>
      <w:r w:rsidR="00902CE7">
        <w:fldChar w:fldCharType="end"/>
      </w:r>
      <w:r w:rsidR="00902CE7">
        <w:t>.</w:t>
      </w:r>
    </w:p>
    <w:p w14:paraId="069BB6E3" w14:textId="33BD4DF6" w:rsidR="00DD69E0" w:rsidRPr="00E7031F" w:rsidRDefault="000C3AF8" w:rsidP="00652E9E">
      <w:pPr>
        <w:pStyle w:val="ParagraphText"/>
      </w:pPr>
      <w:r w:rsidRPr="00E7031F">
        <w:t>The environmental parameters are calculated based on proximity soundings to investigate the dynamic and thermodynamic conditions of MCS initiation under different circulation backgrounds. Ten parameters are selected, namely</w:t>
      </w:r>
      <w:r w:rsidR="00F103E8">
        <w:t>,</w:t>
      </w:r>
      <w:r w:rsidRPr="00E7031F">
        <w:t xml:space="preserve"> the surface-based convective available potential energy (SBCAPE), the most</w:t>
      </w:r>
      <w:r w:rsidR="00F103E8">
        <w:t xml:space="preserve"> </w:t>
      </w:r>
      <w:r w:rsidRPr="00E7031F">
        <w:t>unstable</w:t>
      </w:r>
      <w:r w:rsidR="00F103E8">
        <w:t xml:space="preserve"> </w:t>
      </w:r>
      <w:r w:rsidRPr="00E7031F">
        <w:t xml:space="preserve">layer </w:t>
      </w:r>
      <w:r w:rsidRPr="00E7031F">
        <w:lastRenderedPageBreak/>
        <w:t>convective available potential energy (MUCAPE), surface-based convective inhibition (SBCIN), most</w:t>
      </w:r>
      <w:r w:rsidR="00F103E8">
        <w:t xml:space="preserve"> </w:t>
      </w:r>
      <w:r w:rsidRPr="00E7031F">
        <w:t>unstable</w:t>
      </w:r>
      <w:r w:rsidR="00F103E8">
        <w:t xml:space="preserve"> </w:t>
      </w:r>
      <w:r w:rsidRPr="00E7031F">
        <w:t xml:space="preserve">layer convective inhibition (SBCIN), lifted index (LI), lifted condensation level (LCL), level of free convection (LFC), precipitable water (PW), 0–3 km bulk wind shear (SHR3) and 0–6 km bulk wind shear (SHR6). These parameters, with clear physical meanings and good performances </w:t>
      </w:r>
      <w:r w:rsidR="00F103E8">
        <w:t>in</w:t>
      </w:r>
      <w:r w:rsidRPr="00E7031F">
        <w:t xml:space="preserve"> distinguishing between different </w:t>
      </w:r>
      <w:r w:rsidR="00F103E8">
        <w:t>intensities</w:t>
      </w:r>
      <w:r w:rsidRPr="00E7031F">
        <w:t xml:space="preserve"> and types of convection, are widely used in convection environment studies </w:t>
      </w:r>
      <w:r w:rsidR="00902CE7">
        <w:fldChar w:fldCharType="begin"/>
      </w:r>
      <w:r w:rsidR="009B45C2">
        <w:instrText xml:space="preserve"> ADDIN ZOTERO_ITEM CSL_CITATION {"citationID":"sw3rs5EH","properties":{"formattedCitation":"(Brotzge et al., 2013; Grams et al., 2012; J. C. Kirkpatrick et al., 2007; Ma et al., 2021b; McCaul &amp; Weisman, 2001; Xinlin Yang &amp; Sun, 2018)","plainCitation":"(Brotzge et al., 2013; Grams et al., 2012; J. C. Kirkpatrick et al., 2007; Ma et al., 2021b; McCaul &amp; Weisman, 2001; Xinlin Yang &amp; Sun, 2018)","noteIndex":0},"citationItems":[{"id":3106,"uris":["http://zotero.org/users/8730623/items/ENFWZ74E"],"itemData":{"id":3106,"type":"article-journal","abstract":"Abstract Convective storm simulations are conducted using varying thermal and wind profile shapes, subject to the constraints of strict conservation of convective available potential energy (CAPE) and hodograph trace. Small and large CAPE regimes and straight and curved hodographs are studied, each with a matrix of systematically varying thermal and wind profile shapes having identical levels of free convection and bulk Richardson numbers favorable to supercell development. Differences in storm intensity and morphology resulting from changes in the profile shapes can be profound, especially in the small CAPE regime, where, for the moderate shears studied here, storms are generally weak except when the buoyancy is concentrated at low levels. In stronger CAPE regimes, less dramatic relative enhancements of storm updraft intensity are found when both the buoyancy and shear are concentrated at low levels. Peak midlevel vertical vorticity correlates roughly with peak updraft speed in the small CAPE regime, but it shows less sensitivity to buoyancy and shear stratification at larger CAPE. Although peak low-level vertical vorticity can be large in either CAPE regime, it is generally larger in the large CAPE regime, where evaporation of rain leads to the formation of stronger surface cold pools, zones of enhanced horizontal shear, and baroclinic production of horizontal vorticity that can be tilted onto the vertical by storm updrafts. The present parameter space study strongly suggests that, while bulk CAPE and shear are important determinants of gross storm morphology and intensity, significant modulation is possible within a given bulk CAPE and shear class by changing only the shapes of the profiles of buoyancy and shear, either alone or in combination.","container-title":"Monthly Weather Review","DOI":"10.1175/1520-0493(2001)129&lt;0664:TSOSSS&gt;2.0.CO;2","ISSN":"1520-0493, 0027-0644","issue":"4","language":"EN","note":"number: 4\npublisher: American Meteorological Society\nsection: Monthly Weather Review","page":"664-687","source":"journals.ametsoc.org","title":"The Sensitivity of Simulated Supercell Structure and Intensity to Variations in the Shapes of Environmental Buoyancy and Shear Profiles","volume":"129","author":[{"family":"McCaul","given":"Eugene W."},{"family":"Weisman","given":"Morris L."}],"issued":{"date-parts":[["2001",4,1]]}}},{"id":1376,"uris":["http://zotero.org/users/8730623/items/844S38GW"],"itemData":{"id":1376,"type":"article-journal","abstract":"Abstract Based on results from a three-dimensional cloud-resolving model, it is shown that simulated convective storm motions are affected by thermodynamic as well as kinematic properties of the environment. In addition to the mean wind and its vertical shear, the effect on isolated storm motion of parameters such as bulk convective available potential energy (CAPE), the vertical distribution of buoyancy in the profile, the heights of the lifting condensation level (LCL) and level of free convection (LFC), and cloud-base temperature is considered. Storm motions show at least some sensitivity to all input parameters. Consistent with previous studies, hodograph radius has the most pronounced effect, but the vertical distribution of shear (which also influences the mean wind) affects storm evolution and propagation, even when the effective hodograph radius is unchanged. Among the thermodynamic parameters, the most significant variations occur when the LCL–LFC configuration is modified or when cloud-base temperature is changed. The effects of increases in bulk CAPE act mainly to increase the temporal variability of storm motions. This temporal variability is found to consist both of oscillations about a mean state and trends (accelerations) and is related to increases in the complexity of storm evolution with increasing CAPE. The results point to the importance of environmental factors that enhance storm intensity and rotation, which play a key role in determining storm deviate motion.","container-title":"Monthly Weather Review","DOI":"10.1175/MWR3447.1","ISSN":"1520-0493, 0027-0644","issue":"9","language":"EN","note":"number: 9\npublisher: American Meteorological Society\nsection: Monthly Weather Review","page":"3033-3051","source":"journals.ametsoc.org","title":"The Motion of Simulated Convective Storms as a Function of Basic Environmental Parameters","volume":"135","author":[{"family":"Kirkpatrick","given":"J. Cody"},{"family":"McCaul","given":"Eugene W."},{"family":"Cohen","given":"Charles"}],"issued":{"date-parts":[["2007",9,1]]}}},{"id":1395,"uris":["http://zotero.org/users/8730623/items/3C5KFMPE"],"itemData":{"id":1395,"type":"article-journal","abstract":"Abstract A sample of 448 significant tornado events was collected, representing a population of 1072 individual tornadoes across the contiguous United States from 2000 to 2008. Classification of convective mode was assessed from radar mosaics for each event with the majority classified as discrete cells compared to quasi-linear convective systems and clusters. These events were further stratified by season and region and compared with a null-tornado database of 911 significant hail and wind events that occurred without nearby tornadoes. These comparisons involved 1) environmental variables that have been used through the past 25–50 yr as part of the approach to tornado forecasting, 2) recent sounding-based parameter evaluations, and 3) convective mode. The results show that composite and kinematic parameters (whether at standard pressure levels or sounding derived), along with convective mode, provide greater discrimination than thermodynamic parameters between significant tornado versus either significant hail or wind events that occurred in the absence of nearby tornadoes.","container-title":"Weather and Forecasting","DOI":"10.1175/WAF-D-11-00008.1","ISSN":"1520-0434, 0882-8156","issue":"1","language":"EN","note":"number: 1\npublisher: American Meteorological Society\nsection: Weather and Forecasting","page":"106-123","source":"journals.ametsoc.org","title":"A Climatology and Comparison of Parameters for Significant Tornado Events in the United States","volume":"27","author":[{"family":"Grams","given":"Jeremy S."},{"family":"Thompson","given":"Richard L."},{"family":"Snively","given":"Darren V."},{"family":"Prentice","given":"Jayson A."},{"family":"Hodges","given":"Gina M."},{"family":"Reames","given":"Larissa J."}],"issued":{"date-parts":[["2012",2,1]]}}},{"id":1385,"uris":["http://zotero.org/users/8730623/items/H8WP5SKV"],"itemData":{"id":1385,"type":"article-journal","abstract":"Abstract The ability to provide advanced warning on tornadoes can be impacted by variations in storm mode. This research evaluates 2 yr of National Weather Service (NWS) tornado warnings, verification reports, and radar-derived convective modes to appraise the ability of the NWS to warn across a variety of convective modes and environmental conditions. Several specific hypotheses are considered: (i) supercell morphologies are the easiest convective modes to warn for tornadoes and yield the greatest lead times, while tornadoes from more linear, nonsupercell convective modes, such as quasi-linear convective systems, are more difficult to warn for; (ii) parameters such as tornado distance from radar, population density, and tornado intensity (F scale) introduce significant and complex variability into warning statistics as a function of storm mode; and (iii) tornadoes from stronger storms, as measured by their mesocyclone strength (when present), convective available potential energy (CAPE), vertical wind shear, and significant tornado parameter (STP) are easier to warn for than tornadoes from weaker systems. Results confirmed these hypotheses. Supercell morphologies caused 97% of tornado fatalities, 96% of injuries, and 92% of damage during the study period. Tornado warnings for supercells had a statistically higher probability of detection (POD) and lead time than tornado warnings for nonsupercells; among supercell storms, tornadoes from supercells in lines were slightly more difficult to warn for than tornadoes from discrete or clusters of supercells. F-scale intensity and distance from radar had some impact on POD, with less impact on lead times. Higher mesocyclone strength (when applicable), CAPE, wind shear, and STP values were associated with greater tornado POD and lead times.","container-title":"Weather and Forecasting","DOI":"10.1175/WAF-D-12-00119.1","ISSN":"1520-0434, 0882-8156","issue":"5","language":"EN","note":"number: 5\npublisher: American Meteorological Society\nsection: Weather and Forecasting","page":"1261-1276","source":"journals.ametsoc.org","title":"Tornado Probability of Detection and Lead Time as a Function of Convective Mode and Environmental Parameters","volume":"28","author":[{"family":"Brotzge","given":"Jerald A."},{"family":"Nelson","given":"Steven E."},{"family":"Thompson","given":"Richard L."},{"family":"Smith","given":"Bryan T."}],"issued":{"date-parts":[["2013",10,1]]}}},{"id":1204,"uris":["http://zotero.org/users/8730623/items/JKMGGUAJ"],"itemData":{"id":1204,"type":"article-journal","abstract":"Severe weather reports and composite radar reflectivity data from 2010-14 over North China were used to analyze the distribution of severe convective wind (SCW) events and their organizational modes of radar reflectivity. The six organizational modes for SCW events (and their proportions) were cluster cells (35.4%), squall lines (18.4%), nonlinear-shaped systems (17.8%), broken lines (11.6%), individual cells (1.2%), and bow echoes (0.5%). The peak month for both squall lines and broken lines was June, whereas it was July for the other four modes. The highest numbers of SCW events were over the mountains, which were generally associated with disorganized systems of cluster cells. In contrast, SCW associated with linear systems occurred mainly over the plains, where stations recorded an average of less than one SCW event per year. Regions with a high frequency of SCW associated with nonlinear-shaped systems also experienced many SCW events associated with squall lines. Values of convective available potential energy, precipitable water, 0-3-km shear, and 0-6-km shear, were demonstrably larger over the plains than over the mountains, which had an evident effect on the organizational modes of SCW events. Therefore, topography may be an important factor in the organizational modes for SCW events over North China.","container-title":"ADVANCES IN ATMOSPHERIC SCIENCES","DOI":"10.1007/s00376-017-7114-2","ISSN":"0256-1530","issue":"5","language":"en","license":"http://creativecommons.org/licenses/by/3.0/","note":"number: 5\npublisher: ADVANCES IN ATMOSPHERIC SCIENCES","page":"540-549","source":"www.iapjournals.ac.cn","title":"Organizational Modes of Severe Wind-producing Convective Systems over North China","volume":"35","author":[{"family":"Yang","given":"Xinlin"},{"family":"Sun","given":"Jianhua"}],"issued":{"date-parts":[["2018",3,2]]}}},{"id":1610,"uris":["http://zotero.org/users/8730623/items/7ZTUYPGT"],"itemData":{"id":1610,"type":"article-journal","abstract":"Using proximity soundings taken during the warm seasons (May–September) of 2011–2018 over North China, this work investigated the environments of severe thunderstorms that caused the following four types of convective hazards: only hail (H), only thunderstorm high winds (W), only short-duration heavy rainfall (R), and two or three types of the above three hazards (hybrid). The environments for non-severe thunderstorms and no-rain days were also studied for comparison. Soundings in each weather category were further classified into mountain and plain groups. A set of parameters was tested for skill in discriminating between various categories. Results indicate that the environments over the plains, compared with those over the mountains, are generally characterized by stronger instability, more moisture, and higher vertical wind shear. Over both mountains and plains, the precipitable water (PW) shows the greatest skill overall in discriminating between various categories; the instability parameters show considerable skill in discriminating between the severe thunderstorm, non-severe thunderstorm, and no-rain categories but rather limited skill in discriminating between the four severe thunderstorm categories; the wind shear parameters show very limited skill in discriminating between various categories; the lifting condensation level (LCL) distinguishes well the environments of no-rain and R from those of other categories; and the mid-tropospheric pseudo-equivalent potential temperature is the only parameter investigated here that shows utility in discriminating between H and W environments. Probability distributions in two-parameter spaces reveal that great variations exist regarding the environments under which different weather types are most likely to occur.","container-title":"Atmospheric Research","DOI":"10.1016/j.atmosres.2021.105519","ISSN":"0169-8095","journalAbbreviation":"Atmospheric Research","language":"en","page":"105519","source":"ScienceDirect","title":"An eight-year climatology of the warm-season severe thunderstorm environments over North China","volume":"254","author":[{"family":"Ma","given":"Ruoyun"},{"family":"Sun","given":"Jianhua"},{"family":"Yang","given":"Xinlin"}],"issued":{"date-parts":[["2021",6,1]]}}}],"schema":"https://github.com/citation-style-language/schema/raw/master/csl-citation.json"} </w:instrText>
      </w:r>
      <w:r w:rsidR="00902CE7">
        <w:fldChar w:fldCharType="separate"/>
      </w:r>
      <w:r w:rsidR="009B45C2" w:rsidRPr="009B45C2">
        <w:t>(Brotzge et al., 2013; Grams et al., 2012; J. C. Kirkpatrick et al., 2007; Ma et al., 2021b; McCaul &amp; Weisman, 2001; Yang &amp; Sun, 2018)</w:t>
      </w:r>
      <w:r w:rsidR="00902CE7">
        <w:fldChar w:fldCharType="end"/>
      </w:r>
      <w:r w:rsidR="00AC06CC" w:rsidRPr="00E7031F">
        <w:t>.</w:t>
      </w:r>
    </w:p>
    <w:p w14:paraId="3E3E45B7" w14:textId="7E18AA27" w:rsidR="00432405" w:rsidRPr="0018230F" w:rsidRDefault="00F103E8" w:rsidP="00652E9E">
      <w:pPr>
        <w:pStyle w:val="ae"/>
      </w:pPr>
      <w:r w:rsidRPr="0018230F">
        <w:t>3 Statistical characteristics</w:t>
      </w:r>
    </w:p>
    <w:p w14:paraId="1344A131" w14:textId="035A8F39" w:rsidR="00432405" w:rsidRPr="0018230F" w:rsidRDefault="001F02D0" w:rsidP="00652E9E">
      <w:pPr>
        <w:pStyle w:val="af0"/>
      </w:pPr>
      <w:r w:rsidRPr="0018230F">
        <w:t>3.1 MCS trajectories and paths</w:t>
      </w:r>
    </w:p>
    <w:p w14:paraId="08BABD0F" w14:textId="7E066CBC" w:rsidR="00F25547" w:rsidRPr="00E7031F" w:rsidRDefault="00C84E97" w:rsidP="00652E9E">
      <w:pPr>
        <w:pStyle w:val="ParagraphText"/>
      </w:pPr>
      <w:r>
        <w:t>O</w:t>
      </w:r>
      <w:r w:rsidRPr="00E7031F">
        <w:t>n the one hand</w:t>
      </w:r>
      <w:r>
        <w:t>,</w:t>
      </w:r>
      <w:r w:rsidRPr="00E7031F">
        <w:t xml:space="preserve"> </w:t>
      </w:r>
      <w:r>
        <w:t>t</w:t>
      </w:r>
      <w:r w:rsidR="00F103E8" w:rsidRPr="00E7031F">
        <w:t>he movements and propagations of MCSs are closely related to the occurrences of convective weather phenomena</w:t>
      </w:r>
      <w:r>
        <w:t>;</w:t>
      </w:r>
      <w:r w:rsidR="00F103E8" w:rsidRPr="00E7031F">
        <w:t xml:space="preserve"> on the other hand,</w:t>
      </w:r>
      <w:r>
        <w:t xml:space="preserve"> they</w:t>
      </w:r>
      <w:r w:rsidR="00F103E8" w:rsidRPr="00E7031F">
        <w:t xml:space="preserve"> represent the regulation of large-scale circulations </w:t>
      </w:r>
      <w:r>
        <w:t>over</w:t>
      </w:r>
      <w:r w:rsidRPr="00E7031F">
        <w:t xml:space="preserve"> </w:t>
      </w:r>
      <w:r w:rsidR="00F103E8" w:rsidRPr="00E7031F">
        <w:t xml:space="preserve">mesoscale systems </w:t>
      </w:r>
      <w:r w:rsidR="0018230F">
        <w:fldChar w:fldCharType="begin"/>
      </w:r>
      <w:r w:rsidR="009B45C2">
        <w:instrText xml:space="preserve"> ADDIN ZOTERO_ITEM CSL_CITATION {"citationID":"FyOhPVfR","properties":{"formattedCitation":"(Y. Li et al., 2008; R. Yang et al., 2020; \\uc0\\u27743{} &amp; \\uc0\\u33539{}, 2002; \\uc0\\u40614{} et al., 2020)","plainCitation":"(Y. Li et al., 2008; R. Yang et al., 2020; </w:instrText>
      </w:r>
      <w:r w:rsidR="009B45C2">
        <w:rPr>
          <w:rFonts w:ascii="宋体" w:eastAsia="宋体" w:hAnsi="宋体" w:cs="宋体" w:hint="eastAsia"/>
        </w:rPr>
        <w:instrText>江</w:instrText>
      </w:r>
      <w:r w:rsidR="009B45C2">
        <w:instrText xml:space="preserve"> &amp; </w:instrText>
      </w:r>
      <w:r w:rsidR="009B45C2">
        <w:rPr>
          <w:rFonts w:ascii="宋体" w:eastAsia="宋体" w:hAnsi="宋体" w:cs="宋体" w:hint="eastAsia"/>
        </w:rPr>
        <w:instrText>范</w:instrText>
      </w:r>
      <w:r w:rsidR="009B45C2">
        <w:instrText xml:space="preserve">, 2002; </w:instrText>
      </w:r>
      <w:r w:rsidR="009B45C2">
        <w:rPr>
          <w:rFonts w:ascii="宋体" w:eastAsia="宋体" w:hAnsi="宋体" w:cs="宋体" w:hint="eastAsia"/>
        </w:rPr>
        <w:instrText>麦</w:instrText>
      </w:r>
      <w:r w:rsidR="009B45C2">
        <w:instrText xml:space="preserve"> et al., 2020)","noteIndex":0},"citationItems":[{"id":600,"uris":["http://zotero.org/users/8730623/items/8NRQWRLW"],"itemData":{"id":600,"type":"article-journal","abstract":"</w:instrText>
      </w:r>
      <w:r w:rsidR="009B45C2">
        <w:rPr>
          <w:rFonts w:ascii="宋体" w:eastAsia="宋体" w:hAnsi="宋体" w:cs="宋体" w:hint="eastAsia"/>
        </w:rPr>
        <w:instrText>运用１９９８年６</w:instrText>
      </w:r>
      <w:r w:rsidR="009B45C2">
        <w:instrText>—</w:instrText>
      </w:r>
      <w:r w:rsidR="009B45C2">
        <w:rPr>
          <w:rFonts w:ascii="宋体" w:eastAsia="宋体" w:hAnsi="宋体" w:cs="宋体" w:hint="eastAsia"/>
        </w:rPr>
        <w:instrText>８月逐日逐时日本地球静止气象卫星（ＧＭＳ）</w:instrText>
      </w:r>
      <w:r w:rsidR="009B45C2">
        <w:instrText xml:space="preserve"> </w:instrText>
      </w:r>
      <w:r w:rsidR="009B45C2">
        <w:rPr>
          <w:rFonts w:ascii="宋体" w:eastAsia="宋体" w:hAnsi="宋体" w:cs="宋体" w:hint="eastAsia"/>
        </w:rPr>
        <w:instrText>红外辐射亮温资料，计算和分析了青藏高原及周边地区对流云和中尺度对流系统的活动，揭示了它们形成和发展的月际变化和地理分布、强度、日变化、移动和传播等诸多特征，以及与长江流域暴雨过程的关系。</w:instrText>
      </w:r>
      <w:r w:rsidR="009B45C2">
        <w:instrText>","container-title":"</w:instrText>
      </w:r>
      <w:r w:rsidR="009B45C2">
        <w:rPr>
          <w:rFonts w:ascii="宋体" w:eastAsia="宋体" w:hAnsi="宋体" w:cs="宋体" w:hint="eastAsia"/>
        </w:rPr>
        <w:instrText>大气科学</w:instrText>
      </w:r>
      <w:r w:rsidR="009B45C2">
        <w:instrText>","ISSN":"1006-9895","issue":"2","language":"</w:instrText>
      </w:r>
      <w:r w:rsidR="009B45C2">
        <w:rPr>
          <w:rFonts w:ascii="宋体" w:eastAsia="宋体" w:hAnsi="宋体" w:cs="宋体" w:hint="eastAsia"/>
        </w:rPr>
        <w:instrText>中文</w:instrText>
      </w:r>
      <w:r w:rsidR="009B45C2">
        <w:instrText>;","note":"number: 2\n152 citations(CNKI)[2022-6-30]&lt;</w:instrText>
      </w:r>
      <w:r w:rsidR="009B45C2">
        <w:rPr>
          <w:rFonts w:ascii="宋体" w:eastAsia="宋体" w:hAnsi="宋体" w:cs="宋体" w:hint="eastAsia"/>
        </w:rPr>
        <w:instrText>北大核心</w:instrText>
      </w:r>
      <w:r w:rsidR="009B45C2">
        <w:instrText>&gt;","page":"263-270","source":"CNKI","title":"</w:instrText>
      </w:r>
      <w:r w:rsidR="009B45C2">
        <w:rPr>
          <w:rFonts w:ascii="宋体" w:eastAsia="宋体" w:hAnsi="宋体" w:cs="宋体" w:hint="eastAsia"/>
        </w:rPr>
        <w:instrText>夏季青藏高原上的对流云和中尺度对流系统</w:instrText>
      </w:r>
      <w:r w:rsidR="009B45C2">
        <w:instrText>","author":[{"family":"</w:instrText>
      </w:r>
      <w:r w:rsidR="009B45C2">
        <w:rPr>
          <w:rFonts w:ascii="宋体" w:eastAsia="宋体" w:hAnsi="宋体" w:cs="宋体" w:hint="eastAsia"/>
        </w:rPr>
        <w:instrText>江</w:instrText>
      </w:r>
      <w:r w:rsidR="009B45C2">
        <w:instrText>","given":"</w:instrText>
      </w:r>
      <w:r w:rsidR="009B45C2">
        <w:rPr>
          <w:rFonts w:ascii="宋体" w:eastAsia="宋体" w:hAnsi="宋体" w:cs="宋体" w:hint="eastAsia"/>
        </w:rPr>
        <w:instrText>吉喜</w:instrText>
      </w:r>
      <w:r w:rsidR="009B45C2">
        <w:instrText>"},{"family":"</w:instrText>
      </w:r>
      <w:r w:rsidR="009B45C2">
        <w:rPr>
          <w:rFonts w:ascii="宋体" w:eastAsia="宋体" w:hAnsi="宋体" w:cs="宋体" w:hint="eastAsia"/>
        </w:rPr>
        <w:instrText>范</w:instrText>
      </w:r>
      <w:r w:rsidR="009B45C2">
        <w:instrText>","given":"</w:instrText>
      </w:r>
      <w:r w:rsidR="009B45C2">
        <w:rPr>
          <w:rFonts w:ascii="宋体" w:eastAsia="宋体" w:hAnsi="宋体" w:cs="宋体" w:hint="eastAsia"/>
        </w:rPr>
        <w:instrText>梅珠</w:instrText>
      </w:r>
      <w:r w:rsidR="009B45C2">
        <w:instrText>"}],"issued":{"date-parts":[["2002"]]}},"label":"page"},{"id":729,"uris":["http://zotero.org/users/8730623/items/G2WE6FUQ"],"itemData":{"id":729,"type":"article-journal","abstract":"Abstract Summer convective systems (CSs) initiated over the Tibetan Plateau identified by the International Satellite Cloud Climatology Project (ISCCP) deep convection database and associated Tropical Rainfall Measuring Mission (TRMM) precipitation for 1998–2001 have been analyzed for their basic characteristics in terms of initiation, distribution, trajectory, development, life cycle, convective intensity, and precipitation. Summer convective systems have a dominant center over the Hengduan Mountain and a secondary center over the Yaluzangbu River Valley. Precipitation associated with these CSs contributes more than 60% of total precipitation over the central-eastern area of the Tibetan Plateau and 30%–40% over the adjacent region to its southeast. The average CS life cycle is about 36 h; 85% of CSs disappear within 60 h of their initiation. About 50% of CSs do not move out of the Tibetan region, with the remainder split into eastward- and southward-moving components. These CSs moving out the Tibetan Plateau are generally larger, have longer life spans, and produce more rainfall than those staying inside the region. Convective system occurrences and associated rainfall present robust diurnal variations. The midafternoon maximum of CS initiation and associated rainfall over the plateau is mainly induced by solar heating linked to the unique Tibetan geography. The delayed afternoon–late night peak of rainfall from CSs propagating out of this region is a combined outcome of multiple mechanisms working together. Results suggest that interactions of summer Tibetan CSs with the orientation of the unique Tibetan geography and the surrounding atmospheric circulations are important for the development, intensification, propagation, and life span of these CSs.","container-title":"Journal of Applied Meteorology and Climatology","DOI":"10.1175/2008JAMC1695.1","ISSN":"1558-8424, 1558-8432","issue":"10","language":"EN","note":"number: 10\npublisher: American Meteorological Society\nsection: Journal of Applied Meteorology and Climatology","page":"2679-2695","source":"journals.ametsoc.org","title":"Characteristics of Summer Convective Systems Initiated over the Tibetan Plateau. Part I: Origin, Track, Development, and Precipitation","title-short":"Characteristics of Summer Convective Systems Initiated over the Tibetan Plateau. Part I","volume":"47","author":[{"family":"Li","given":"Yaodong"},{"family":"Wang","given":"Yun"},{"family":"Yang","given":"Song"},{"family":"Hu","given":"Liang"},{"family":"Gao","given":"Shouting"},{"family":"Fu","given":"Rong"}],"issued":{"date-parts":[["2008",10,1]]}},"label":"page"},{"id":2353,"uris":["http://zotero.org/users/8730623/items/M6AZ4AEL"],"itemData":{"id":2353,"type":"article-journal","abstract":"</w:instrText>
      </w:r>
      <w:r w:rsidR="009B45C2">
        <w:rPr>
          <w:rFonts w:ascii="宋体" w:eastAsia="宋体" w:hAnsi="宋体" w:cs="宋体" w:hint="eastAsia"/>
        </w:rPr>
        <w:instrText>利用日本高知大学提供的逐小时分辨率静止卫星云顶黑体亮温</w:instrText>
      </w:r>
      <w:r w:rsidR="009B45C2">
        <w:instrText>(TBB)</w:instrText>
      </w:r>
      <w:r w:rsidR="009B45C2">
        <w:rPr>
          <w:rFonts w:ascii="宋体" w:eastAsia="宋体" w:hAnsi="宋体" w:cs="宋体" w:hint="eastAsia"/>
        </w:rPr>
        <w:instrText>资料</w:instrText>
      </w:r>
      <w:r w:rsidR="009B45C2">
        <w:instrText>,</w:instrText>
      </w:r>
      <w:r w:rsidR="009B45C2">
        <w:rPr>
          <w:rFonts w:ascii="宋体" w:eastAsia="宋体" w:hAnsi="宋体" w:cs="宋体" w:hint="eastAsia"/>
        </w:rPr>
        <w:instrText>使用模式匹配算法对</w:instrText>
      </w:r>
      <w:r w:rsidR="009B45C2">
        <w:instrText>2000</w:instrText>
      </w:r>
      <w:r w:rsidR="009B45C2">
        <w:rPr>
          <w:rFonts w:ascii="宋体" w:eastAsia="宋体" w:hAnsi="宋体" w:cs="宋体" w:hint="eastAsia"/>
        </w:rPr>
        <w:instrText>～</w:instrText>
      </w:r>
      <w:r w:rsidR="009B45C2">
        <w:instrText>2016</w:instrText>
      </w:r>
      <w:r w:rsidR="009B45C2">
        <w:rPr>
          <w:rFonts w:ascii="宋体" w:eastAsia="宋体" w:hAnsi="宋体" w:cs="宋体" w:hint="eastAsia"/>
        </w:rPr>
        <w:instrText>年</w:instrText>
      </w:r>
      <w:r w:rsidR="009B45C2">
        <w:instrText>(2005</w:instrText>
      </w:r>
      <w:r w:rsidR="009B45C2">
        <w:rPr>
          <w:rFonts w:ascii="宋体" w:eastAsia="宋体" w:hAnsi="宋体" w:cs="宋体" w:hint="eastAsia"/>
        </w:rPr>
        <w:instrText>年除外</w:instrText>
      </w:r>
      <w:r w:rsidR="009B45C2">
        <w:instrText>)</w:instrText>
      </w:r>
      <w:r w:rsidR="009B45C2">
        <w:rPr>
          <w:rFonts w:ascii="宋体" w:eastAsia="宋体" w:hAnsi="宋体" w:cs="宋体" w:hint="eastAsia"/>
        </w:rPr>
        <w:instrText>暖季</w:instrText>
      </w:r>
      <w:r w:rsidR="009B45C2">
        <w:instrText>(5</w:instrText>
      </w:r>
      <w:r w:rsidR="009B45C2">
        <w:rPr>
          <w:rFonts w:ascii="宋体" w:eastAsia="宋体" w:hAnsi="宋体" w:cs="宋体" w:hint="eastAsia"/>
        </w:rPr>
        <w:instrText>～</w:instrText>
      </w:r>
      <w:r w:rsidR="009B45C2">
        <w:instrText>9</w:instrText>
      </w:r>
      <w:r w:rsidR="009B45C2">
        <w:rPr>
          <w:rFonts w:ascii="宋体" w:eastAsia="宋体" w:hAnsi="宋体" w:cs="宋体" w:hint="eastAsia"/>
        </w:rPr>
        <w:instrText>月</w:instrText>
      </w:r>
      <w:r w:rsidR="009B45C2">
        <w:instrText>)</w:instrText>
      </w:r>
      <w:r w:rsidR="009B45C2">
        <w:rPr>
          <w:rFonts w:ascii="宋体" w:eastAsia="宋体" w:hAnsi="宋体" w:cs="宋体" w:hint="eastAsia"/>
        </w:rPr>
        <w:instrText>青藏高原东部的两类中尺度对流系统</w:instrText>
      </w:r>
      <w:r w:rsidR="009B45C2">
        <w:instrText>(MCS)</w:instrText>
      </w:r>
      <w:r w:rsidR="009B45C2">
        <w:rPr>
          <w:rFonts w:ascii="宋体" w:eastAsia="宋体" w:hAnsi="宋体" w:cs="宋体" w:hint="eastAsia"/>
        </w:rPr>
        <w:instrText>进行了识别和追踪</w:instrText>
      </w:r>
      <w:r w:rsidR="009B45C2">
        <w:instrText>,</w:instrText>
      </w:r>
      <w:r w:rsidR="009B45C2">
        <w:rPr>
          <w:rFonts w:ascii="宋体" w:eastAsia="宋体" w:hAnsi="宋体" w:cs="宋体" w:hint="eastAsia"/>
        </w:rPr>
        <w:instrText>并利用人工验证订正了结果。基于此</w:instrText>
      </w:r>
      <w:r w:rsidR="009B45C2">
        <w:instrText>,</w:instrText>
      </w:r>
      <w:r w:rsidR="009B45C2">
        <w:rPr>
          <w:rFonts w:ascii="宋体" w:eastAsia="宋体" w:hAnsi="宋体" w:cs="宋体" w:hint="eastAsia"/>
        </w:rPr>
        <w:instrText>利用</w:instrText>
      </w:r>
      <w:r w:rsidR="009B45C2">
        <w:instrText>NOAA</w:instrText>
      </w:r>
      <w:r w:rsidR="009B45C2">
        <w:rPr>
          <w:rFonts w:ascii="宋体" w:eastAsia="宋体" w:hAnsi="宋体" w:cs="宋体" w:hint="eastAsia"/>
        </w:rPr>
        <w:instrText>的</w:instrText>
      </w:r>
      <w:r w:rsidR="009B45C2">
        <w:instrText>CMORPH(Climate Prediction Center Morphing)</w:instrText>
      </w:r>
      <w:r w:rsidR="009B45C2">
        <w:rPr>
          <w:rFonts w:ascii="宋体" w:eastAsia="宋体" w:hAnsi="宋体" w:cs="宋体" w:hint="eastAsia"/>
        </w:rPr>
        <w:instrText>降水资料和</w:instrText>
      </w:r>
      <w:r w:rsidR="009B45C2">
        <w:instrText>NCEP</w:instrText>
      </w:r>
      <w:r w:rsidR="009B45C2">
        <w:rPr>
          <w:rFonts w:ascii="宋体" w:eastAsia="宋体" w:hAnsi="宋体" w:cs="宋体" w:hint="eastAsia"/>
        </w:rPr>
        <w:instrText>的</w:instrText>
      </w:r>
      <w:r w:rsidR="009B45C2">
        <w:instrText>CFSR(Climate Forecast System Reanalysis)</w:instrText>
      </w:r>
      <w:r w:rsidR="009B45C2">
        <w:rPr>
          <w:rFonts w:ascii="宋体" w:eastAsia="宋体" w:hAnsi="宋体" w:cs="宋体" w:hint="eastAsia"/>
        </w:rPr>
        <w:instrText>再分析资料对高原东部两类</w:instrText>
      </w:r>
      <w:r w:rsidR="009B45C2">
        <w:instrText>MCS</w:instrText>
      </w:r>
      <w:r w:rsidR="009B45C2">
        <w:rPr>
          <w:rFonts w:ascii="宋体" w:eastAsia="宋体" w:hAnsi="宋体" w:cs="宋体" w:hint="eastAsia"/>
        </w:rPr>
        <w:instrText>进行了统计和对比研究。研究发现</w:instrText>
      </w:r>
      <w:r w:rsidR="009B45C2">
        <w:instrText>,7</w:instrText>
      </w:r>
      <w:r w:rsidR="009B45C2">
        <w:rPr>
          <w:rFonts w:ascii="宋体" w:eastAsia="宋体" w:hAnsi="宋体" w:cs="宋体" w:hint="eastAsia"/>
        </w:rPr>
        <w:instrText>月和</w:instrText>
      </w:r>
      <w:r w:rsidR="009B45C2">
        <w:instrText>8</w:instrText>
      </w:r>
      <w:r w:rsidR="009B45C2">
        <w:rPr>
          <w:rFonts w:ascii="宋体" w:eastAsia="宋体" w:hAnsi="宋体" w:cs="宋体" w:hint="eastAsia"/>
        </w:rPr>
        <w:instrText>月是高原东部</w:instrText>
      </w:r>
      <w:r w:rsidR="009B45C2">
        <w:instrText>MCS</w:instrText>
      </w:r>
      <w:r w:rsidR="009B45C2">
        <w:rPr>
          <w:rFonts w:ascii="宋体" w:eastAsia="宋体" w:hAnsi="宋体" w:cs="宋体" w:hint="eastAsia"/>
        </w:rPr>
        <w:instrText>生成最活跃的季节</w:instrText>
      </w:r>
      <w:r w:rsidR="009B45C2">
        <w:instrText>,</w:instrText>
      </w:r>
      <w:r w:rsidR="009B45C2">
        <w:rPr>
          <w:rFonts w:ascii="宋体" w:eastAsia="宋体" w:hAnsi="宋体" w:cs="宋体" w:hint="eastAsia"/>
        </w:rPr>
        <w:instrText>然而</w:instrText>
      </w:r>
      <w:r w:rsidR="009B45C2">
        <w:instrText>,</w:instrText>
      </w:r>
      <w:r w:rsidR="009B45C2">
        <w:rPr>
          <w:rFonts w:ascii="宋体" w:eastAsia="宋体" w:hAnsi="宋体" w:cs="宋体" w:hint="eastAsia"/>
        </w:rPr>
        <w:instrText>此两个月能够东移出高原</w:instrText>
      </w:r>
      <w:r w:rsidR="009B45C2">
        <w:instrText>MCS</w:instrText>
      </w:r>
      <w:r w:rsidR="009B45C2">
        <w:rPr>
          <w:rFonts w:ascii="宋体" w:eastAsia="宋体" w:hAnsi="宋体" w:cs="宋体" w:hint="eastAsia"/>
        </w:rPr>
        <w:instrText>的比例最小</w:instrText>
      </w:r>
      <w:r w:rsidR="009B45C2">
        <w:instrText>;5</w:instrText>
      </w:r>
      <w:r w:rsidR="009B45C2">
        <w:rPr>
          <w:rFonts w:ascii="宋体" w:eastAsia="宋体" w:hAnsi="宋体" w:cs="宋体" w:hint="eastAsia"/>
        </w:rPr>
        <w:instrText>月虽然</w:instrText>
      </w:r>
      <w:r w:rsidR="009B45C2">
        <w:instrText>MCS</w:instrText>
      </w:r>
      <w:r w:rsidR="009B45C2">
        <w:rPr>
          <w:rFonts w:ascii="宋体" w:eastAsia="宋体" w:hAnsi="宋体" w:cs="宋体" w:hint="eastAsia"/>
        </w:rPr>
        <w:instrText>生成数最少</w:instrText>
      </w:r>
      <w:r w:rsidR="009B45C2">
        <w:instrText>,</w:instrText>
      </w:r>
      <w:r w:rsidR="009B45C2">
        <w:rPr>
          <w:rFonts w:ascii="宋体" w:eastAsia="宋体" w:hAnsi="宋体" w:cs="宋体" w:hint="eastAsia"/>
        </w:rPr>
        <w:instrText>但是移出率高达近</w:instrText>
      </w:r>
      <w:r w:rsidR="009B45C2">
        <w:instrText>40%</w:instrText>
      </w:r>
      <w:r w:rsidR="009B45C2">
        <w:rPr>
          <w:rFonts w:ascii="宋体" w:eastAsia="宋体" w:hAnsi="宋体" w:cs="宋体" w:hint="eastAsia"/>
        </w:rPr>
        <w:instrText>。对比表明</w:instrText>
      </w:r>
      <w:r w:rsidR="009B45C2">
        <w:instrText>,</w:instrText>
      </w:r>
      <w:r w:rsidR="009B45C2">
        <w:rPr>
          <w:rFonts w:ascii="宋体" w:eastAsia="宋体" w:hAnsi="宋体" w:cs="宋体" w:hint="eastAsia"/>
        </w:rPr>
        <w:instrText>能够东移出高原的</w:instrText>
      </w:r>
      <w:r w:rsidR="009B45C2">
        <w:instrText>MCS(V-MCS)</w:instrText>
      </w:r>
      <w:r w:rsidR="009B45C2">
        <w:rPr>
          <w:rFonts w:ascii="宋体" w:eastAsia="宋体" w:hAnsi="宋体" w:cs="宋体" w:hint="eastAsia"/>
        </w:rPr>
        <w:instrText>比不能移出的</w:instrText>
      </w:r>
      <w:r w:rsidR="009B45C2">
        <w:instrText>MCS(N-MCS)</w:instrText>
      </w:r>
      <w:r w:rsidR="009B45C2">
        <w:rPr>
          <w:rFonts w:ascii="宋体" w:eastAsia="宋体" w:hAnsi="宋体" w:cs="宋体" w:hint="eastAsia"/>
        </w:rPr>
        <w:instrText>生命史更长</w:instrText>
      </w:r>
      <w:r w:rsidR="009B45C2">
        <w:instrText>,</w:instrText>
      </w:r>
      <w:r w:rsidR="009B45C2">
        <w:rPr>
          <w:rFonts w:ascii="宋体" w:eastAsia="宋体" w:hAnsi="宋体" w:cs="宋体" w:hint="eastAsia"/>
        </w:rPr>
        <w:instrText>触发更早</w:instrText>
      </w:r>
      <w:r w:rsidR="009B45C2">
        <w:instrText>,</w:instrText>
      </w:r>
      <w:r w:rsidR="009B45C2">
        <w:rPr>
          <w:rFonts w:ascii="宋体" w:eastAsia="宋体" w:hAnsi="宋体" w:cs="宋体" w:hint="eastAsia"/>
        </w:rPr>
        <w:instrText>短生命史个例占比更低。暖季各个月份</w:instrText>
      </w:r>
      <w:r w:rsidR="009B45C2">
        <w:instrText>,</w:instrText>
      </w:r>
      <w:r w:rsidR="009B45C2">
        <w:rPr>
          <w:rFonts w:ascii="宋体" w:eastAsia="宋体" w:hAnsi="宋体" w:cs="宋体" w:hint="eastAsia"/>
        </w:rPr>
        <w:instrText>相比于</w:instrText>
      </w:r>
      <w:r w:rsidR="009B45C2">
        <w:instrText>N-MCS,V-MCS</w:instrText>
      </w:r>
      <w:r w:rsidR="009B45C2">
        <w:rPr>
          <w:rFonts w:ascii="宋体" w:eastAsia="宋体" w:hAnsi="宋体" w:cs="宋体" w:hint="eastAsia"/>
        </w:rPr>
        <w:instrText>的对流更旺盛且发展更快</w:instrText>
      </w:r>
      <w:r w:rsidR="009B45C2">
        <w:instrText>,</w:instrText>
      </w:r>
      <w:r w:rsidR="009B45C2">
        <w:rPr>
          <w:rFonts w:ascii="宋体" w:eastAsia="宋体" w:hAnsi="宋体" w:cs="宋体" w:hint="eastAsia"/>
        </w:rPr>
        <w:instrText>然而</w:instrText>
      </w:r>
      <w:r w:rsidR="009B45C2">
        <w:instrText>,</w:instrText>
      </w:r>
      <w:r w:rsidR="009B45C2">
        <w:rPr>
          <w:rFonts w:ascii="宋体" w:eastAsia="宋体" w:hAnsi="宋体" w:cs="宋体" w:hint="eastAsia"/>
        </w:rPr>
        <w:instrText>由于其发生频数远低于</w:instrText>
      </w:r>
      <w:r w:rsidR="009B45C2">
        <w:instrText>N-MCS,</w:instrText>
      </w:r>
      <w:r w:rsidR="009B45C2">
        <w:rPr>
          <w:rFonts w:ascii="宋体" w:eastAsia="宋体" w:hAnsi="宋体" w:cs="宋体" w:hint="eastAsia"/>
        </w:rPr>
        <w:instrText>总体而言</w:instrText>
      </w:r>
      <w:r w:rsidR="009B45C2">
        <w:instrText>,V-MCS</w:instrText>
      </w:r>
      <w:r w:rsidR="009B45C2">
        <w:rPr>
          <w:rFonts w:ascii="宋体" w:eastAsia="宋体" w:hAnsi="宋体" w:cs="宋体" w:hint="eastAsia"/>
        </w:rPr>
        <w:instrText>对高原东部的降水贡献率仅为</w:instrText>
      </w:r>
      <w:r w:rsidR="009B45C2">
        <w:instrText>15%</w:instrText>
      </w:r>
      <w:r w:rsidR="009B45C2">
        <w:rPr>
          <w:rFonts w:ascii="宋体" w:eastAsia="宋体" w:hAnsi="宋体" w:cs="宋体" w:hint="eastAsia"/>
        </w:rPr>
        <w:instrText>左右</w:instrText>
      </w:r>
      <w:r w:rsidR="009B45C2">
        <w:instrText>,</w:instrText>
      </w:r>
      <w:r w:rsidR="009B45C2">
        <w:rPr>
          <w:rFonts w:ascii="宋体" w:eastAsia="宋体" w:hAnsi="宋体" w:cs="宋体" w:hint="eastAsia"/>
        </w:rPr>
        <w:instrText>是</w:instrText>
      </w:r>
      <w:r w:rsidR="009B45C2">
        <w:instrText>N-MCS</w:instrText>
      </w:r>
      <w:r w:rsidR="009B45C2">
        <w:rPr>
          <w:rFonts w:ascii="宋体" w:eastAsia="宋体" w:hAnsi="宋体" w:cs="宋体" w:hint="eastAsia"/>
        </w:rPr>
        <w:instrText>相应数值的一半左右。高原东部两类</w:instrText>
      </w:r>
      <w:r w:rsidR="009B45C2">
        <w:instrText>MCS</w:instrText>
      </w:r>
      <w:r w:rsidR="009B45C2">
        <w:rPr>
          <w:rFonts w:ascii="宋体" w:eastAsia="宋体" w:hAnsi="宋体" w:cs="宋体" w:hint="eastAsia"/>
        </w:rPr>
        <w:instrText>的环流特征差异显著</w:instrText>
      </w:r>
      <w:r w:rsidR="009B45C2">
        <w:instrText>,</w:instrText>
      </w:r>
      <w:r w:rsidR="009B45C2">
        <w:rPr>
          <w:rFonts w:ascii="宋体" w:eastAsia="宋体" w:hAnsi="宋体" w:cs="宋体" w:hint="eastAsia"/>
        </w:rPr>
        <w:instrText>有利于</w:instrText>
      </w:r>
      <w:r w:rsidR="009B45C2">
        <w:instrText>V-MCS</w:instrText>
      </w:r>
      <w:r w:rsidR="009B45C2">
        <w:rPr>
          <w:rFonts w:ascii="宋体" w:eastAsia="宋体" w:hAnsi="宋体" w:cs="宋体" w:hint="eastAsia"/>
        </w:rPr>
        <w:instrText>发生、维持和东移的因子主要位于对流层中低层</w:instrText>
      </w:r>
      <w:r w:rsidR="009B45C2">
        <w:instrText>(</w:instrText>
      </w:r>
      <w:r w:rsidR="009B45C2">
        <w:rPr>
          <w:rFonts w:ascii="宋体" w:eastAsia="宋体" w:hAnsi="宋体" w:cs="宋体" w:hint="eastAsia"/>
        </w:rPr>
        <w:instrText>西风带短波槽、西风引导气流、低层风场切变</w:instrText>
      </w:r>
      <w:r w:rsidR="009B45C2">
        <w:instrText>),</w:instrText>
      </w:r>
      <w:r w:rsidR="009B45C2">
        <w:rPr>
          <w:rFonts w:ascii="宋体" w:eastAsia="宋体" w:hAnsi="宋体" w:cs="宋体" w:hint="eastAsia"/>
        </w:rPr>
        <w:instrText>而在对流层高层</w:instrText>
      </w:r>
      <w:r w:rsidR="009B45C2">
        <w:instrText>,N-MCS</w:instrText>
      </w:r>
      <w:r w:rsidR="009B45C2">
        <w:rPr>
          <w:rFonts w:ascii="宋体" w:eastAsia="宋体" w:hAnsi="宋体" w:cs="宋体" w:hint="eastAsia"/>
        </w:rPr>
        <w:instrText>拥有更好的高空辐散条件</w:instrText>
      </w:r>
      <w:r w:rsidR="009B45C2">
        <w:instrText>(</w:instrText>
      </w:r>
      <w:r w:rsidR="009B45C2">
        <w:rPr>
          <w:rFonts w:ascii="宋体" w:eastAsia="宋体" w:hAnsi="宋体" w:cs="宋体" w:hint="eastAsia"/>
        </w:rPr>
        <w:instrText>其对应的南亚高压更强</w:instrText>
      </w:r>
      <w:r w:rsidR="009B45C2">
        <w:instrText>)</w:instrText>
      </w:r>
      <w:r w:rsidR="009B45C2">
        <w:rPr>
          <w:rFonts w:ascii="宋体" w:eastAsia="宋体" w:hAnsi="宋体" w:cs="宋体" w:hint="eastAsia"/>
        </w:rPr>
        <w:instrText>。</w:instrText>
      </w:r>
      <w:r w:rsidR="009B45C2">
        <w:instrText>","container-title":"</w:instrText>
      </w:r>
      <w:r w:rsidR="009B45C2">
        <w:rPr>
          <w:rFonts w:ascii="宋体" w:eastAsia="宋体" w:hAnsi="宋体" w:cs="宋体" w:hint="eastAsia"/>
        </w:rPr>
        <w:instrText>气候与环境研究</w:instrText>
      </w:r>
      <w:r w:rsidR="009B45C2">
        <w:instrText>","ISSN":"1006-9585","issue":"4","language":"</w:instrText>
      </w:r>
      <w:r w:rsidR="009B45C2">
        <w:rPr>
          <w:rFonts w:ascii="宋体" w:eastAsia="宋体" w:hAnsi="宋体" w:cs="宋体" w:hint="eastAsia"/>
        </w:rPr>
        <w:instrText>中文</w:instrText>
      </w:r>
      <w:r w:rsidR="009B45C2">
        <w:instrText>;","note":"number: 4\n2 citations(CNKI)[2022-4-28]&lt;</w:instrText>
      </w:r>
      <w:r w:rsidR="009B45C2">
        <w:rPr>
          <w:rFonts w:ascii="宋体" w:eastAsia="宋体" w:hAnsi="宋体" w:cs="宋体" w:hint="eastAsia"/>
        </w:rPr>
        <w:instrText>北大核心</w:instrText>
      </w:r>
      <w:r w:rsidR="009B45C2">
        <w:instrText>, CSCD&gt;","page":"385-398","source":"CNKI","title":"</w:instrText>
      </w:r>
      <w:r w:rsidR="009B45C2">
        <w:rPr>
          <w:rFonts w:ascii="宋体" w:eastAsia="宋体" w:hAnsi="宋体" w:cs="宋体" w:hint="eastAsia"/>
        </w:rPr>
        <w:instrText>近</w:instrText>
      </w:r>
      <w:r w:rsidR="009B45C2">
        <w:instrText>16</w:instrText>
      </w:r>
      <w:r w:rsidR="009B45C2">
        <w:rPr>
          <w:rFonts w:ascii="宋体" w:eastAsia="宋体" w:hAnsi="宋体" w:cs="宋体" w:hint="eastAsia"/>
        </w:rPr>
        <w:instrText>年暖季青藏高原东部两类中尺度对流系统</w:instrText>
      </w:r>
      <w:r w:rsidR="009B45C2">
        <w:instrText>(MCS)</w:instrText>
      </w:r>
      <w:r w:rsidR="009B45C2">
        <w:rPr>
          <w:rFonts w:ascii="宋体" w:eastAsia="宋体" w:hAnsi="宋体" w:cs="宋体" w:hint="eastAsia"/>
        </w:rPr>
        <w:instrText>的统计特征</w:instrText>
      </w:r>
      <w:r w:rsidR="009B45C2">
        <w:instrText>","volume":"25","author":[{"family":"</w:instrText>
      </w:r>
      <w:r w:rsidR="009B45C2">
        <w:rPr>
          <w:rFonts w:ascii="宋体" w:eastAsia="宋体" w:hAnsi="宋体" w:cs="宋体" w:hint="eastAsia"/>
        </w:rPr>
        <w:instrText>麦</w:instrText>
      </w:r>
      <w:r w:rsidR="009B45C2">
        <w:instrText>","given":"</w:instrText>
      </w:r>
      <w:r w:rsidR="009B45C2">
        <w:rPr>
          <w:rFonts w:ascii="宋体" w:eastAsia="宋体" w:hAnsi="宋体" w:cs="宋体" w:hint="eastAsia"/>
        </w:rPr>
        <w:instrText>子</w:instrText>
      </w:r>
      <w:r w:rsidR="009B45C2">
        <w:instrText>"},{"family":"</w:instrText>
      </w:r>
      <w:r w:rsidR="009B45C2">
        <w:rPr>
          <w:rFonts w:ascii="宋体" w:eastAsia="宋体" w:hAnsi="宋体" w:cs="宋体" w:hint="eastAsia"/>
        </w:rPr>
        <w:instrText>傅</w:instrText>
      </w:r>
      <w:r w:rsidR="009B45C2">
        <w:instrText>","given":"</w:instrText>
      </w:r>
      <w:r w:rsidR="009B45C2">
        <w:rPr>
          <w:rFonts w:ascii="宋体" w:eastAsia="宋体" w:hAnsi="宋体" w:cs="宋体" w:hint="eastAsia"/>
        </w:rPr>
        <w:instrText>慎明</w:instrText>
      </w:r>
      <w:r w:rsidR="009B45C2">
        <w:instrText>"},{"family":"</w:instrText>
      </w:r>
      <w:r w:rsidR="009B45C2">
        <w:rPr>
          <w:rFonts w:ascii="宋体" w:eastAsia="宋体" w:hAnsi="宋体" w:cs="宋体" w:hint="eastAsia"/>
        </w:rPr>
        <w:instrText>孙</w:instrText>
      </w:r>
      <w:r w:rsidR="009B45C2">
        <w:instrText>","given":"</w:instrText>
      </w:r>
      <w:r w:rsidR="009B45C2">
        <w:rPr>
          <w:rFonts w:ascii="宋体" w:eastAsia="宋体" w:hAnsi="宋体" w:cs="宋体" w:hint="eastAsia"/>
        </w:rPr>
        <w:instrText>建华</w:instrText>
      </w:r>
      <w:r w:rsidR="009B45C2">
        <w:instrText xml:space="preserve">"}],"issued":{"date-parts":[["2020"]]}},"label":"page"},{"id":4503,"uris":["http://zotero.org/users/8730623/items/2RMPHUVV"],"itemData":{"id":4503,"type":"article-journal","abstract":"Mesoscale convective systems (MCSs) around the second-step terrain (106°–113°E, 28°–35°N), along the middle reaches of the Yangtze River, were detected, tracked and classified using a black body temperature (TBB) dataset during May to August 2000–2016 (except 2005). The MCSs were divided into eastward-propagating (EP) and quasi-stationary (QS) types, to compare their spatial and temporal distributions and convective intensities, and to identify the favorable synoptic conditions for the formation and evolution of EP MCSs. The results showed that both MCS types occurred most often in July. The EP MCSs were mainly initiated over the eastern regions of the study area, while the QS type mainly originated in the western regions of the study area. Both MCS types mainly formed in the afternoon, but a second peak occurred in the early morning for QS MCSs. The EP MCSs had a larger cloud area at their mature stage and a lower cloud brightness temperature, indicating more intense convection. Additionally, the longer lifetime and further eastward propagation of the EP MCSs meant that they had a great influence on the precipitation over the middle and lower reaches of the Yangtze River. Synoptic circulation analysis demonstrated that the combination of the mid-level low trough east of the Tibetan Plateau (TP), and the western pacific subtropical high (WPSH), favored the formation and eastward propagation of EP MCSs. The positive vertical relative vorticity and stronger vertical wind shear provided dynamic conditions favorable for convective organization and development. Furthermore, a stronger low level jet imported warm and moist air to the eastern edge of, and the regions east of, the second-step terrain. The substantial convergence of water vapor promoted the development and long-lived maintenance of the EP MCSs.","container-title":"Science China Earth Sciences","DOI":"10.1007/s11430-018-9385-3","ISSN":"1674-7313, 1869-1897","issue":"8","journalAbbreviation":"Sci. China Earth Sci.","language":"en","page":"1209-1222","source":"DOI.org (Crossref)","title":"The comparison of statistical features and synoptic circulations between the eastward-propagating and quasi-stationary MCSs during the warm season around the second-step terrain along the middle reaches of the Yangtze River","volume":"63","author":[{"family":"Yang","given":"Ruyi"},{"family":"Zhang","given":"Yuanchun"},{"family":"Sun","given":"Jianhua"},{"family":"Li","given":"Jun"}],"issued":{"date-parts":[["2020",8]]}},"label":"page"}],"schema":"https://github.com/citation-style-language/schema/raw/master/csl-citation.json"} </w:instrText>
      </w:r>
      <w:r w:rsidR="0018230F">
        <w:fldChar w:fldCharType="separate"/>
      </w:r>
      <w:r w:rsidR="009B45C2" w:rsidRPr="009B45C2">
        <w:rPr>
          <w:szCs w:val="24"/>
        </w:rPr>
        <w:t xml:space="preserve">(Li et al., 2008; Yang et al., 2020; </w:t>
      </w:r>
      <w:r w:rsidR="00B06173">
        <w:rPr>
          <w:rFonts w:eastAsia="宋体" w:hint="eastAsia"/>
          <w:szCs w:val="24"/>
          <w:lang w:eastAsia="zh-CN"/>
        </w:rPr>
        <w:t>J</w:t>
      </w:r>
      <w:r w:rsidR="00B06173">
        <w:rPr>
          <w:rFonts w:eastAsia="宋体"/>
          <w:szCs w:val="24"/>
          <w:lang w:eastAsia="zh-CN"/>
        </w:rPr>
        <w:t>iang</w:t>
      </w:r>
      <w:r w:rsidR="009B45C2" w:rsidRPr="009B45C2">
        <w:rPr>
          <w:szCs w:val="24"/>
        </w:rPr>
        <w:t xml:space="preserve"> &amp; </w:t>
      </w:r>
      <w:r w:rsidR="00B06173">
        <w:rPr>
          <w:rFonts w:eastAsia="宋体" w:hint="eastAsia"/>
          <w:szCs w:val="24"/>
          <w:lang w:eastAsia="zh-CN"/>
        </w:rPr>
        <w:t>F</w:t>
      </w:r>
      <w:r w:rsidR="00B06173">
        <w:rPr>
          <w:rFonts w:eastAsia="宋体"/>
          <w:szCs w:val="24"/>
          <w:lang w:eastAsia="zh-CN"/>
        </w:rPr>
        <w:t>an</w:t>
      </w:r>
      <w:r w:rsidR="009B45C2" w:rsidRPr="009B45C2">
        <w:rPr>
          <w:szCs w:val="24"/>
        </w:rPr>
        <w:t xml:space="preserve">, 2002; </w:t>
      </w:r>
      <w:r w:rsidR="00B06173">
        <w:rPr>
          <w:rFonts w:eastAsia="宋体" w:hint="eastAsia"/>
          <w:szCs w:val="24"/>
          <w:lang w:eastAsia="zh-CN"/>
        </w:rPr>
        <w:t>M</w:t>
      </w:r>
      <w:r w:rsidR="00B06173">
        <w:rPr>
          <w:rFonts w:eastAsia="宋体"/>
          <w:szCs w:val="24"/>
          <w:lang w:eastAsia="zh-CN"/>
        </w:rPr>
        <w:t>ai</w:t>
      </w:r>
      <w:r w:rsidR="009B45C2" w:rsidRPr="009B45C2">
        <w:rPr>
          <w:szCs w:val="24"/>
        </w:rPr>
        <w:t xml:space="preserve"> et al., 2020)</w:t>
      </w:r>
      <w:r w:rsidR="0018230F">
        <w:fldChar w:fldCharType="end"/>
      </w:r>
      <w:r w:rsidR="00F103E8" w:rsidRPr="00E7031F">
        <w:t xml:space="preserve">. In the present study, MCSs are categorized into quasistationary (QS) and outward-moving (OM) </w:t>
      </w:r>
      <w:r w:rsidR="00F103E8">
        <w:t>types</w:t>
      </w:r>
      <w:r w:rsidR="00F103E8" w:rsidRPr="00E7031F">
        <w:t xml:space="preserve">. For QS MCSs, both the formations and terminations </w:t>
      </w:r>
      <w:r>
        <w:t>occur</w:t>
      </w:r>
      <w:r w:rsidRPr="00E7031F">
        <w:t xml:space="preserve"> </w:t>
      </w:r>
      <w:r w:rsidR="00F103E8" w:rsidRPr="00E7031F">
        <w:t>within the study area (Fig. 1b), and OM MCSs refer to those formed within the study area but terminated outside of the study area.</w:t>
      </w:r>
    </w:p>
    <w:p w14:paraId="5CF6A6BF" w14:textId="26D525D0" w:rsidR="001F02D0" w:rsidRPr="00E7031F" w:rsidRDefault="005A07FC" w:rsidP="00652E9E">
      <w:pPr>
        <w:pStyle w:val="ParagraphText"/>
      </w:pPr>
      <w:r w:rsidRPr="00E7031F">
        <w:t xml:space="preserve">During the warm seasons (April–September) of 2018–2021, 800 MCSs are identified in the middle reaches of the YRB, </w:t>
      </w:r>
      <w:r w:rsidR="00C84E97">
        <w:t>where</w:t>
      </w:r>
      <w:r w:rsidRPr="00E7031F">
        <w:t xml:space="preserve"> 524 are QS type and 276 are OM type, accounting for 65.5% and 34.5% of the total MCSs, respectively. Based on the mov</w:t>
      </w:r>
      <w:r w:rsidR="00C84E97">
        <w:t>ement</w:t>
      </w:r>
      <w:r w:rsidRPr="00E7031F">
        <w:t xml:space="preserve"> trajectories of </w:t>
      </w:r>
      <w:r w:rsidR="00C84E97">
        <w:t xml:space="preserve">the </w:t>
      </w:r>
      <w:r w:rsidRPr="00E7031F">
        <w:t>MCSs, those of</w:t>
      </w:r>
      <w:r w:rsidR="00F103E8">
        <w:t xml:space="preserve"> the</w:t>
      </w:r>
      <w:r w:rsidRPr="00E7031F">
        <w:t xml:space="preserve"> QS type (Fig. 3a) are short and mainly within the study area. Part (13.7%) of the QS MCSs moved outside of the study area at certain </w:t>
      </w:r>
      <w:r w:rsidR="00F103E8">
        <w:t>times</w:t>
      </w:r>
      <w:r w:rsidRPr="00E7031F">
        <w:t xml:space="preserve"> </w:t>
      </w:r>
      <w:r w:rsidR="00C84E97">
        <w:t>during</w:t>
      </w:r>
      <w:r w:rsidR="00C84E97" w:rsidRPr="00E7031F">
        <w:t xml:space="preserve"> </w:t>
      </w:r>
      <w:r w:rsidRPr="00E7031F">
        <w:t>their life cycles</w:t>
      </w:r>
      <w:r w:rsidR="00C84E97">
        <w:t>; however,</w:t>
      </w:r>
      <w:r w:rsidRPr="00E7031F">
        <w:t xml:space="preserve"> they moved back into and terminated within the study area. The trajectories of OM MCSs (Fig. 3b) are longer than those of QS MCSs and </w:t>
      </w:r>
      <w:r w:rsidR="00F103E8">
        <w:t xml:space="preserve">are </w:t>
      </w:r>
      <w:r w:rsidRPr="00E7031F">
        <w:t>mainly eastward and southward. Most of the OM MCSs terminated after propagating into the oceanic area</w:t>
      </w:r>
      <w:r w:rsidR="00F103E8">
        <w:t>;</w:t>
      </w:r>
      <w:r w:rsidRPr="00E7031F">
        <w:t xml:space="preserve"> however, some OM MCSs with long trajectories could reach the Pacific Ocean east of Japan or north of the Indo-China Peninsula.</w:t>
      </w:r>
    </w:p>
    <w:p w14:paraId="7F7354DA" w14:textId="3A7ACCE4" w:rsidR="00574848" w:rsidRDefault="00F103E8" w:rsidP="00652E9E">
      <w:pPr>
        <w:pStyle w:val="ParagraphText"/>
      </w:pPr>
      <w:r w:rsidRPr="00E7031F">
        <w:t xml:space="preserve">To further investigate the main paths of the two types of MCSs, the </w:t>
      </w:r>
      <w:r w:rsidRPr="0085191C">
        <w:rPr>
          <w:i/>
          <w:iCs/>
        </w:rPr>
        <w:t>k-means</w:t>
      </w:r>
      <w:r w:rsidR="0085191C">
        <w:t xml:space="preserve"> algorithm is adopted to </w:t>
      </w:r>
      <w:r>
        <w:t xml:space="preserve">classify MCS </w:t>
      </w:r>
      <w:r w:rsidR="0085191C">
        <w:t xml:space="preserve">trajectories. Based on the evaluation of </w:t>
      </w:r>
      <w:r>
        <w:t xml:space="preserve">the </w:t>
      </w:r>
      <w:r w:rsidR="0085191C">
        <w:t xml:space="preserve">silhouette coefficient, the trajectories of QS (OM) MCSs are classified into 4 (3) main paths. Among the 4 paths of the QS MCSs (Fig. 3c), the number of MCSs in the </w:t>
      </w:r>
      <w:r w:rsidR="0085191C">
        <w:lastRenderedPageBreak/>
        <w:t>southeast path is the largest</w:t>
      </w:r>
      <w:r>
        <w:t>,</w:t>
      </w:r>
      <w:r w:rsidR="0085191C">
        <w:t xml:space="preserve"> and </w:t>
      </w:r>
      <w:r>
        <w:t xml:space="preserve">the </w:t>
      </w:r>
      <w:r w:rsidR="0085191C">
        <w:t xml:space="preserve">northwest path </w:t>
      </w:r>
      <w:r>
        <w:t xml:space="preserve">is the </w:t>
      </w:r>
      <w:r w:rsidR="0085191C">
        <w:t>smallest. The lengths of the northeast and southeast paths are long</w:t>
      </w:r>
      <w:r>
        <w:t>,</w:t>
      </w:r>
      <w:r w:rsidR="0085191C">
        <w:t xml:space="preserve"> while those of the northwest and southwest paths are short. For the southeast and northeast paths, the average locations of MCS initiation are both located in the western Hunan mountainous area. For the southwest path and the northwest path, the average locations are in the western slope of the Mu-Lian-Jiu Mountains and the northern edge of the Luo-Xiao Mountains, respectively. Except for the northwest path with the smallest </w:t>
      </w:r>
      <w:r>
        <w:t>number</w:t>
      </w:r>
      <w:r w:rsidR="0085191C">
        <w:t xml:space="preserve"> of MCSs, the other 3 paths all move from the mountains to the plains. The phenomenon that convections are initiated in mountainous areas and propagate to the plains often </w:t>
      </w:r>
      <w:r>
        <w:t>occurs</w:t>
      </w:r>
      <w:r w:rsidR="0085191C">
        <w:t xml:space="preserve"> in the Rocky Mountains and the Great Plains of the United States </w:t>
      </w:r>
      <w:r w:rsidR="0085191C">
        <w:fldChar w:fldCharType="begin"/>
      </w:r>
      <w:r w:rsidR="009B45C2">
        <w:instrText xml:space="preserve"> ADDIN ZOTERO_ITEM CSL_CITATION {"citationID":"yG0jXrRV","properties":{"formattedCitation":"(Carbone et al., 2002; Y. Zhang et al., 2014)","plainCitation":"(Carbone et al., 2002; Y. Zhang et al., 2014)","noteIndex":0},"citationItems":[{"id":788,"uris":["http://zotero.org/users/8730623/items/IAY49F9F"],"itemData":{"id":788,"type":"article-journal","abstract":"Abstract Herein preliminary findings are reported from a radar-based climatology of warm season precipitation “episodes.” Episodes are defined as time–space clusters of heavy precipitation that often result from sequences of organized convection such as squall lines, mesoscale convective systems, and mesoscale convective complexes. Episodes exhibit coherent rainfall patterns, characteristic of propagating events, under a broad range of atmospheric conditions. Such rainfall patterns are most frequent under “weakly forced” conditions in midsummer. The longevity of episodes, up to 60 h, suggests an intrinsic predictability of warm season rainfall that significantly exceeds the lifetime of individual convective systems. Episodes are initiated primarily in response to diurnal and semidiurnal forcings. Diurnal forcing is dominant near the Rocky and Appalachian Mountains, whereas semidiurnal forcing is dominant between these cordilleras. A most common longitude of origin is at or near the east slope of the Continental Divide (105°W). These observations are consistent with a condition of continual thermal forcing, widespread hydrodynamic instability, and the existence of other processes that routinely excite, maintain, and regenerate organized convection. The propagation speed of major episodes is often in excess of rates that are easily attributable either to the phase speeds of large-scale forcing or to advection from low- to midlevel “steering” winds. It is speculated that wavelike mechanisms, in the free troposphere and/or the planetary boundary layer, may contribute to the rates of motion observed. Once understood, the representation of such mechanisms in forecast models offers the opportunity for improved predictions of warm season rainfall.","container-title":"Journal of the Atmospheric Sciences","DOI":"10.1175/1520-0469(2002)059&lt;2033:IOPAWW&gt;2.0.CO;2","ISSN":"0022-4928, 1520-0469","issue":"13","language":"EN","note":"number: 13\npublisher: American Meteorological Society\nsection: Journal of the Atmospheric Sciences","page":"2033-2056","source":"journals.ametsoc.org","title":"Inferences of Predictability Associated with Warm Season Precipitation Episodes","volume":"59","author":[{"family":"Carbone","given":"R. E."},{"family":"Tuttle","given":"J. D."},{"family":"Ahijevych","given":"D. A."},{"family":"Trier","given":"S. B."}],"issued":{"date-parts":[["2002",7,1]]}}},{"id":823,"uris":["http://zotero.org/users/8730623/items/YAM28G2M"],"itemData":{"id":823,"type":"article-journal","abstract":"Abstract. A wave-number-frequency spectral decomposition technique is used to analyze the high-resolution NOAA/Climate Prediction Center morphing technique (CMORPH) precipitation data set and to explore the differences and similarities of the diurnal variation of warm-season precipitation in the East Asia and North America downstream of big topography. The predominant phase speed of precipitation at different time scales for North America, averaged over all warm-season months (May–August) for 2003–2010, is ~20 ms−1, which is faster than the speed of ~14 ms−1 calculated for East Asia. Consistent with the recent studies of the precipitation diurnal cycles for these two regions, the difference in the diurnal phase propagation is likely due to the difference in the mean steering level wind speed for these two regions. The wave-number-frequency spectral analysis further reveals the complex, multi-scale, multi-modal nature of the warm-season precipitation variation embedded within the diurnal cycle over both continents, with phase speeds varying from 10 to 30 ms−1 and wave periods varying from diurnal to a few hours. At the diurnal frequency regulated by the thermodynamically driven mountains–plains solenoids (MPSs), increased precipitation for both continents first originates in the afternoon from the eastern edge of big topography and subsequently moves downslope in the evening and reaches the broad plains area at night. More complex diurnal evolutions are observed in East Asia due to the more complex, multistep terrains east of the Tibetan Plateau and the associated localized MPS circulations. Nevertheless, increased variation of precipitation at smaller spatial and temporal scales is evident in the active phase of the dominant diurnal cycle for both continents.","container-title":"Atmospheric Chemistry and Physics","DOI":"10.5194/acp-14-10741-2014","ISSN":"1680-7324","issue":"19","journalAbbreviation":"Atmos. Chem. Phys.","language":"en","note":"number: 19","page":"10741-10759","source":"DOI.org (Crossref)","title":"Comparison of the diurnal variations of warm-season precipitation for East Asia vs. North America downstream of the Tibetan Plateau vs. the Rocky Mountains","volume":"14","author":[{"family":"Zhang","given":"Yuanchun"},{"family":"Zhang","given":"Fuqing"},{"family":"Sun","given":"Jianhua"}],"issued":{"date-parts":[["2014",10,13]]}}}],"schema":"https://github.com/citation-style-language/schema/raw/master/csl-citation.json"} </w:instrText>
      </w:r>
      <w:r w:rsidR="0085191C">
        <w:fldChar w:fldCharType="separate"/>
      </w:r>
      <w:r w:rsidR="009B45C2" w:rsidRPr="009B45C2">
        <w:t>(Carbone et al., 2002; Zhang et al., 2014)</w:t>
      </w:r>
      <w:r w:rsidR="0085191C">
        <w:fldChar w:fldCharType="end"/>
      </w:r>
      <w:r w:rsidR="0085191C">
        <w:t xml:space="preserve"> and the Tai-Hang Mountains and the North China Plain </w:t>
      </w:r>
      <w:r w:rsidR="0085191C">
        <w:fldChar w:fldCharType="begin"/>
      </w:r>
      <w:r w:rsidR="009B45C2">
        <w:instrText xml:space="preserve"> ADDIN ZOTERO_ITEM CSL_CITATION {"citationID":"Y0aBKHGp","properties":{"formattedCitation":"(H. He &amp; Zhang, 2010; Zhu et al., 2018)","plainCitation":"(H. He &amp; Zhang, 2010; Zhu et al., 2018)","noteIndex":0},"citationItems":[{"id":785,"uris":["http://zotero.org/users/8730623/items/NPMU3HG6"],"itemData":{"id":785,"type":"article-journal","abstract":"Abstract This study examines the diurnal variations of the warm-season precipitation over northern China using the high-resolution precipitation products obtained from the Climate Prediction Center’s morphing technique (CMORPH) during May–August of 2003–09. The areas of focus are the Yanshan–Taihangshan Mountain ranges along the east peripheries of the Loess and Inner Mongolian Plateaus and the adjacent North China Plains. It is found that the averaged peak in local precipitation begins early in the afternoon near the top of the mountain ranges and propagates downslope and southeastward at a speed of </w:instrText>
      </w:r>
      <w:r w:rsidR="009B45C2">
        <w:rPr>
          <w:rFonts w:ascii="Cambria Math" w:hAnsi="Cambria Math" w:cs="Cambria Math"/>
        </w:rPr>
        <w:instrText>∼</w:instrText>
      </w:r>
      <w:r w:rsidR="009B45C2">
        <w:instrText xml:space="preserve">13 m s−1. The peak reaches the central North China Plains around midnight and the early morning hours resulting in a broad area of nocturnal precipitation maxima over the plains. The diurnal precipitation peak (minimum) is closely collocated with the upward (downward) branch of a mountain–plains solenoid (MPS) circulation. Both the MPS and a low-level southwesterly nocturnal jet are likely to be jointly responsible for the nighttime precipitation maxima over the plains.","container-title":"Monthly Weather Review","DOI":"10.1175/2010MWR3356.1","ISSN":"1520-0493, 0027-0644","issue":"4","language":"EN","note":"number: 4\npublisher: American Meteorological Society\nsection: Monthly Weather Review","page":"1017-1025","source":"journals.ametsoc.org","title":"Diurnal Variations of Warm-Season Precipitation over Northern China","volume":"138","author":[{"family":"He","given":"Huizhong"},{"family":"Zhang","given":"Fuqing"}],"issued":{"date-parts":[["2010",4,1]]}}},{"id":779,"uris":["http://zotero.org/users/8730623/items/MACSHP5F"],"itemData":{"id":779,"type":"article-journal","abstract":"Abstract Diurnal rainfall variation plays an important role in the characterization of regional climate. Most existing research used predefined region boundaries to study the spatial differences of diurnal rainfall variation, which depends on experiential knowledge and is somewhat subjective. In this study, the k-means clustering algorithm was used to mine the spatial distribution of diurnal rainfall variation from gridded precipitation data over China. First, clustering was conducted according to the hourly rainfall frequency at each grid cell. A cluster number large enough to find the main types of diurnal rainfall variation was used. Then similar clusters were merged according to the peak time and amplitude of the diurnal rainfall variation. Each merged cluster corresponds to one type of diurnal variation, and the locations of grid cells in each merged cluster form the spatial distribution. Thus, the classification maps of diurnal rainfall variation can be obtained. From the spatial distribution maps, the conclusions of existing research (e.g., the distribution of well-known nocturnal rainfall in southwestern China, the prevailing afternoon rainfall regions) were confirmed. Some new findings were found, such as the spatial patterns of nocturnal rainfall regions along slopes of the macroterrain and the different types of diurnal rainfall variation in the North China Plain. The diurnal rainfall variation in some regions also shows a close relationship with land cover. The results of this study can provide valuable information for further mechanism studies, and the proposed approach can serve as a useful tool for studies on diurnal rainfall variation in other regions.","container-title":"Journal of Hydrometeorology","DOI":"10.1175/JHM-D-17-0176.1","ISSN":"1525-7541, 1525-755X","issue":"4","language":"EN","note":"number: 4\npublisher: American Meteorological Society\nsection: Journal of Hydrometeorology","page":"667-678","source":"journals.ametsoc.org","title":"Spatial Distribution of Diurnal Rainfall Variation in Summer over China","volume":"19","author":[{"family":"Zhu","given":"Liming"},{"family":"Liu","given":"Junzhi"},{"family":"Zhu","given":"A.-Xing"},{"family":"Sheng","given":"Meiling"},{"family":"Duan","given":"Zheng"}],"issued":{"date-parts":[["2018",4,1]]}}}],"schema":"https://github.com/citation-style-language/schema/raw/master/csl-citation.json"} </w:instrText>
      </w:r>
      <w:r w:rsidR="0085191C">
        <w:fldChar w:fldCharType="separate"/>
      </w:r>
      <w:r w:rsidR="009B45C2" w:rsidRPr="009B45C2">
        <w:t>(He &amp; Zhang, 2010; Zhu et al., 2018)</w:t>
      </w:r>
      <w:r w:rsidR="0085191C">
        <w:fldChar w:fldCharType="end"/>
      </w:r>
      <w:r w:rsidR="0085191C">
        <w:t xml:space="preserve">, which is related to the mountain-plain solenoid driven by thermodynamic effects </w:t>
      </w:r>
      <w:r w:rsidR="0085191C">
        <w:fldChar w:fldCharType="begin"/>
      </w:r>
      <w:r w:rsidR="009B45C2">
        <w:instrText xml:space="preserve"> ADDIN ZOTERO_ITEM CSL_CITATION {"citationID":"jvMvp9Cm","properties":{"formattedCitation":"(Bao et al., 2011; Sun &amp; Zhang, 2012)","plainCitation":"(Bao et al., 2011; Sun &amp; Zhang, 2012)","noteIndex":0},"citationItems":[{"id":782,"uris":["http://zotero.org/users/8730623/items/JNTXY5ZQ"],"itemData":{"id":782,"type":"article-journal","abstract":"Abstract This study explores the diurnal variations of the warm-season precipitation to the east of the Tibetan Plateau over China using the high-resolution NOAA/Climate Prediction Center morphing technique (CMORPH) precipitation data and the Global Forecast System (GFS) gridded analyses during mid-May to mid-August of 2003–09. Complementary to the past studies using satellite or surface observations, it is found that there are strong diurnal variations in the summertime precipitation over the focus domain to the east of the Tibetan Plateau. These diurnal precipitation cycles are strongly associated with several thermally driven regional mountain–plains solenoids due to the differential heating between the Tibetan Plateau, the highlands, the plains, and the ocean. The diurnal cycles differ substantially from region to region and during the three different month-long periods: the pre-mei-yu period (15 May–15 June), the mei-yu period (15 June–15 July), and the post-mei-yu period (15 July–15 August). In particular, there is a substantial difference in the propagation speed and eastward extent of the peak phase of the dominant diurnal precipitation cycle that is originated from the Tibetan Plateau. This diurnal peak has a faster (slower) eastward propagation speed, the more (less) coherent propagation duration, and thus covers the longest (shortest) distance to the east during the pre-mei-yu (post-mei-yu) period than that during the mei-yu period. The differences in the mean midlatitude westerly flow and in the positioning and strength of the western Pacific subtropical high during different periods are the key factors in explaining the difference in the propagation speed and the eastward extent of this dominant diurnal precipitation cycle.","container-title":"Monthly Weather Review","DOI":"10.1175/MWR-D-11-00006.1","ISSN":"1520-0493, 0027-0644","issue":"9","language":"EN","note":"number: 9\npublisher: American Meteorological Society\nsection: Monthly Weather Review","page":"2790-2810","source":"journals.ametsoc.org","title":"Diurnal Variations of Warm-Season Precipitation East of the Tibetan Plateau over China","volume":"139","author":[{"family":"Bao","given":"Xinghua"},{"family":"Zhang","given":"Fuqing"},{"family":"Sun","given":"Jianhua"}],"issued":{"date-parts":[["2011",9,1]]}}},{"id":852,"uris":["http://zotero.org/users/8730623/items/3LNVH548"],"itemData":{"id":852,"type":"article-journal","abstract":"Abstract Convection-permitting numerical experiments using the Weather Research and Forecasting (WRF) model are performed to examine the impact of a thermally driven mountain–plains solenoid (MPS) on the diurnal variations of precipitation and mesoscale convective vortices along the mei-yu front over the east China plains during 1–10 July 2007. The focus of the analyses is a 10-day simulation that used the 10-day average of the global analysis at 0000 UTC as the initial condition and the 10-day averages every 6 h as lateral boundary conditions (with diurnal variations only). Despite differences in the rainfall intensity and location, this idealized experiment successfully simulated the observed diurnal variation and eastward propagation of rainfall and mesoscale convective vortices along the mei-yu front. It was found that the upward branch of the MPS, along with the attendant nocturnal low-level jet, is primarily responsible for the midnight-to-early-morning rainfall enhancement along the mei-yu front. The MPS is induced by differential heating between the high mountain ranges in central China and the low-lying plains in east China. Diabatic heating from moist convection initiated and/or enhanced by the solenoid circulation subsequently leads to the formation of a mesoscale convective vortex that further organizes and amplifies moist convection while propagating eastward along the mei-yu front. The downward branch of the MPS, on the other hand, leads to the suppression of precipitation over the plains during the daytime. The impacts of this regional MPS on the rainfall diurnal variations are further attested to by another idealized WRF simulation that uses fixed lateral boundary conditions.","container-title":"Monthly Weather Review","DOI":"10.1175/MWR-D-11-00041.1","ISSN":"1520-0493, 0027-0644","issue":"2","language":"EN","note":"number: 2\npublisher: American Meteorological Society\nsection: Monthly Weather Review","page":"379-397","source":"journals.ametsoc.org","title":"Impacts of Mountain–Plains Solenoid on Diurnal Variations of Rainfalls along the Mei-Yu Front over the East China Plains","volume":"140","author":[{"family":"Sun","given":"Jianhua"},{"family":"Zhang","given":"Fuqing"}],"issued":{"date-parts":[["2012",2,1]]}}}],"schema":"https://github.com/citation-style-language/schema/raw/master/csl-citation.json"} </w:instrText>
      </w:r>
      <w:r w:rsidR="0085191C">
        <w:fldChar w:fldCharType="separate"/>
      </w:r>
      <w:r w:rsidR="009B45C2" w:rsidRPr="009B45C2">
        <w:t>(Bao et al., 2011; Sun &amp; Zhang, 2012; Zhang &amp; Sun, 2017)</w:t>
      </w:r>
      <w:r w:rsidR="0085191C">
        <w:fldChar w:fldCharType="end"/>
      </w:r>
      <w:r w:rsidR="000A1A00" w:rsidRPr="00E7031F">
        <w:t xml:space="preserve">. </w:t>
      </w:r>
      <w:r>
        <w:t xml:space="preserve">For </w:t>
      </w:r>
      <w:r w:rsidR="000A1A00" w:rsidRPr="00E7031F">
        <w:t>the OM MCSs, among the 3 paths (Fig. 3d), the number of MCSs in the southeast path is the largest. The northeast path has the longest length, followed by the southeast path, and the southwest path has the shortest length. For the northeast path, the average location of MCS initiation is east of the Yangtze-Han Plain</w:t>
      </w:r>
      <w:r>
        <w:t>,</w:t>
      </w:r>
      <w:r w:rsidR="000A1A00" w:rsidRPr="00E7031F">
        <w:t xml:space="preserve"> and for the southeast path and the southwest path, the average locations are in the Mu-Lian-Jiu Mountains and the Luo-Xiao Mountains, respectively.</w:t>
      </w:r>
    </w:p>
    <w:p w14:paraId="5825F919" w14:textId="43D22A18" w:rsidR="00F2310E" w:rsidRPr="00E7031F" w:rsidRDefault="00F103E8" w:rsidP="007D09AE">
      <w:pPr>
        <w:adjustRightInd w:val="0"/>
        <w:snapToGrid w:val="0"/>
        <w:spacing w:beforeLines="100" w:before="326"/>
        <w:ind w:firstLineChars="0" w:firstLine="0"/>
        <w:rPr>
          <w:rFonts w:cs="Times New Roman"/>
          <w:szCs w:val="24"/>
        </w:rPr>
      </w:pPr>
      <w:r>
        <w:rPr>
          <w:noProof/>
        </w:rPr>
        <w:drawing>
          <wp:inline distT="0" distB="0" distL="0" distR="0" wp14:anchorId="0012EA0F" wp14:editId="70A9FFA3">
            <wp:extent cx="5274310" cy="332295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a:stretch>
                      <a:fillRect/>
                    </a:stretch>
                  </pic:blipFill>
                  <pic:spPr>
                    <a:xfrm>
                      <a:off x="0" y="0"/>
                      <a:ext cx="5274310" cy="3322955"/>
                    </a:xfrm>
                    <a:prstGeom prst="rect">
                      <a:avLst/>
                    </a:prstGeom>
                  </pic:spPr>
                </pic:pic>
              </a:graphicData>
            </a:graphic>
          </wp:inline>
        </w:drawing>
      </w:r>
    </w:p>
    <w:p w14:paraId="01D76489" w14:textId="3D8ACF42" w:rsidR="00DE3DDE" w:rsidRPr="00310C0D" w:rsidRDefault="00310C0D" w:rsidP="00613B9E">
      <w:pPr>
        <w:pStyle w:val="21"/>
        <w:spacing w:before="163" w:after="326"/>
        <w:ind w:firstLineChars="0" w:firstLine="0"/>
      </w:pPr>
      <w:r w:rsidRPr="00613B9E">
        <w:rPr>
          <w:b/>
          <w:bCs w:val="0"/>
        </w:rPr>
        <w:lastRenderedPageBreak/>
        <w:t xml:space="preserve">Figure 3. </w:t>
      </w:r>
      <w:r w:rsidR="00F103E8" w:rsidRPr="00310C0D">
        <w:rPr>
          <w:rFonts w:hint="eastAsia"/>
        </w:rPr>
        <w:t>T</w:t>
      </w:r>
      <w:r w:rsidR="00F103E8" w:rsidRPr="00310C0D">
        <w:t>he mov</w:t>
      </w:r>
      <w:r w:rsidR="00C84E97">
        <w:t>ement</w:t>
      </w:r>
      <w:r w:rsidR="00F103E8" w:rsidRPr="00310C0D">
        <w:t xml:space="preserve"> trajectories of QS MCSs (a) and OM MCSs (b) and the composite mov</w:t>
      </w:r>
      <w:r w:rsidR="00C55BE4">
        <w:t>ement</w:t>
      </w:r>
      <w:r w:rsidR="00F103E8" w:rsidRPr="00310C0D">
        <w:t xml:space="preserve"> paths of QS MCSs (c) and OM MCSs (d). The blue dots (orange crosses) in (a) and (b) represent the initiation (termination) locations of MCSs. Different paths are distinguished by different colors in (c) and (d)</w:t>
      </w:r>
      <w:r w:rsidR="00F103E8">
        <w:t>,</w:t>
      </w:r>
      <w:r w:rsidR="00F103E8" w:rsidRPr="00310C0D">
        <w:t xml:space="preserve"> and the proportions of trajectories in different paths are marked </w:t>
      </w:r>
      <w:r w:rsidR="00F103E8">
        <w:t>in</w:t>
      </w:r>
      <w:r w:rsidR="00F103E8" w:rsidRPr="00310C0D">
        <w:t xml:space="preserve"> the lower left corner. The gray shading represents terrain height (m). The red rectangle indicates the boundary of the middle reaches of the YRB.</w:t>
      </w:r>
    </w:p>
    <w:p w14:paraId="5D06BB47" w14:textId="71AC7866" w:rsidR="000A1A00" w:rsidRPr="0085191C" w:rsidRDefault="0085191C" w:rsidP="00652E9E">
      <w:pPr>
        <w:pStyle w:val="af0"/>
      </w:pPr>
      <w:r w:rsidRPr="0085191C">
        <w:t>3.2 Temporal-spatial distribution of MCS</w:t>
      </w:r>
      <w:r w:rsidR="00050C01">
        <w:t>s’</w:t>
      </w:r>
      <w:r w:rsidRPr="0085191C">
        <w:t xml:space="preserve"> initiation</w:t>
      </w:r>
      <w:r w:rsidR="00050C01">
        <w:t>s</w:t>
      </w:r>
    </w:p>
    <w:p w14:paraId="7AC43622" w14:textId="08C6A57C" w:rsidR="000A1A00" w:rsidRPr="00E7031F" w:rsidRDefault="00197766" w:rsidP="00652E9E">
      <w:pPr>
        <w:pStyle w:val="ParagraphText"/>
      </w:pPr>
      <w:r>
        <w:t>The temporal distributions of MCS initiation are shown in Fig. 4. The QS MCSs mostly occur in July, followed by August (Fig. 4a)</w:t>
      </w:r>
      <w:r w:rsidR="00F103E8">
        <w:t>,</w:t>
      </w:r>
      <w:r>
        <w:t xml:space="preserve"> while the OM MCSs occur most frequently in July</w:t>
      </w:r>
      <w:r w:rsidR="00F103E8">
        <w:t>,</w:t>
      </w:r>
      <w:r>
        <w:t xml:space="preserve"> followed by June (Fig. 4b). During the </w:t>
      </w:r>
      <w:r w:rsidR="00C55BE4">
        <w:t>M</w:t>
      </w:r>
      <w:r>
        <w:t xml:space="preserve">ei-yu season </w:t>
      </w:r>
      <w:r w:rsidR="00C55BE4">
        <w:t xml:space="preserve">in </w:t>
      </w:r>
      <w:r>
        <w:t>the YRB, namely</w:t>
      </w:r>
      <w:r w:rsidR="00F103E8">
        <w:t>,</w:t>
      </w:r>
      <w:r>
        <w:t xml:space="preserve"> mid-June to mid-July </w:t>
      </w:r>
      <w:r w:rsidR="00C679BC">
        <w:fldChar w:fldCharType="begin"/>
      </w:r>
      <w:r w:rsidR="009B45C2">
        <w:instrText xml:space="preserve"> ADDIN ZOTERO_ITEM CSL_CITATION {"citationID":"iAyBn5RV","properties":{"formattedCitation":"(Tao, 1980)","plainCitation":"(Tao, 1980)","noteIndex":0},"citationItems":[{"id":773,"uris":["http://zotero.org/users/8730623/items/BPPI5UC8"],"itemData":{"id":773,"type":"book","event-place":"Beijing","publisher":"Science Press","publisher-place":"Beijing","source":"Baidu Scholar","title":"Heavy Rainfalls in China","URL":"https://xueshu.baidu.com/usercenter/paper/show?paperid=cf16c8e521af3933c932f9933083d28a&amp;site=xueshu_se","author":[{"family":"Tao","given":"Shiyan"}],"accessed":{"date-parts":[["2022",7,18]]},"issued":{"date-parts":[["1980"]]}}}],"schema":"https://github.com/citation-style-language/schema/raw/master/csl-citation.json"} </w:instrText>
      </w:r>
      <w:r w:rsidR="00C679BC">
        <w:fldChar w:fldCharType="separate"/>
      </w:r>
      <w:r w:rsidR="009B45C2" w:rsidRPr="009B45C2">
        <w:t>(Tao, 1980)</w:t>
      </w:r>
      <w:r w:rsidR="00C679BC">
        <w:fldChar w:fldCharType="end"/>
      </w:r>
      <w:r w:rsidR="00016690" w:rsidRPr="00E7031F">
        <w:t xml:space="preserve">, the mesoscale systems basically move eastward along the </w:t>
      </w:r>
      <w:r w:rsidR="00C55BE4">
        <w:t>M</w:t>
      </w:r>
      <w:r w:rsidR="00016690" w:rsidRPr="00E7031F">
        <w:t>ei-yu front. After mid-July, the convections in this area are mainly caused by local diabatic effects. These results explain why QS MCSs mostly occur in July and August</w:t>
      </w:r>
      <w:r w:rsidR="00F103E8">
        <w:t>,</w:t>
      </w:r>
      <w:r w:rsidR="00016690" w:rsidRPr="00E7031F">
        <w:t xml:space="preserve"> while OM MCSs mostly occur in June and July </w:t>
      </w:r>
      <w:r w:rsidR="00293D5F">
        <w:fldChar w:fldCharType="begin"/>
      </w:r>
      <w:r w:rsidR="009B45C2">
        <w:instrText xml:space="preserve"> ADDIN ZOTERO_ITEM CSL_CITATION {"citationID":"Hfc8v5L9","properties":{"formattedCitation":"(Y. Zhang et al., 2014)","plainCitation":"(Y. Zhang et al., 2014)","noteIndex":0},"citationItems":[{"id":823,"uris":["http://zotero.org/users/8730623/items/YAM28G2M"],"itemData":{"id":823,"type":"article-journal","abstract":"Abstract. A wave-number-frequency spectral decomposition technique is used to analyze the high-resolution NOAA/Climate Prediction Center morphing technique (CMORPH) precipitation data set and to explore the differences and similarities of the diurnal variation of warm-season precipitation in the East Asia and North America downstream of big topography. The predominant phase speed of precipitation at different time scales for North America, averaged over all warm-season months (May–August) for 2003–2010, is ~20 ms−1, which is faster than the speed of ~14 ms−1 calculated for East Asia. Consistent with the recent studies of the precipitation diurnal cycles for these two regions, the difference in the diurnal phase propagation is likely due to the difference in the mean steering level wind speed for these two regions. The wave-number-frequency spectral analysis further reveals the complex, multi-scale, multi-modal nature of the warm-season precipitation variation embedded within the diurnal cycle over both continents, with phase speeds varying from 10 to 30 ms−1 and wave periods varying from diurnal to a few hours. At the diurnal frequency regulated by the thermodynamically driven mountains–plains solenoids (MPSs), increased precipitation for both continents first originates in the afternoon from the eastern edge of big topography and subsequently moves downslope in the evening and reaches the broad plains area at night. More complex diurnal evolutions are observed in East Asia due to the more complex, multistep terrains east of the Tibetan Plateau and the associated localized MPS circulations. Nevertheless, increased variation of precipitation at smaller spatial and temporal scales is evident in the active phase of the dominant diurnal cycle for both continents.","container-title":"Atmospheric Chemistry and Physics","DOI":"10.5194/acp-14-10741-2014","ISSN":"1680-7324","issue":"19","journalAbbreviation":"Atmos. Chem. Phys.","language":"en","note":"number: 19","page":"10741-10759","source":"DOI.org (Crossref)","title":"Comparison of the diurnal variations of warm-season precipitation for East Asia vs. North America downstream of the Tibetan Plateau vs. the Rocky Mountains","volume":"14","author":[{"family":"Zhang","given":"Yuanchun"},{"family":"Zhang","given":"Fuqing"},{"family":"Sun","given":"Jianhua"}],"issued":{"date-parts":[["2014",10,13]]}}}],"schema":"https://github.com/citation-style-language/schema/raw/master/csl-citation.json"} </w:instrText>
      </w:r>
      <w:r w:rsidR="00293D5F">
        <w:fldChar w:fldCharType="separate"/>
      </w:r>
      <w:r w:rsidR="009B45C2" w:rsidRPr="009B45C2">
        <w:t>(Zhang et al., 2014)</w:t>
      </w:r>
      <w:r w:rsidR="00293D5F">
        <w:fldChar w:fldCharType="end"/>
      </w:r>
      <w:r w:rsidR="00BE1949" w:rsidRPr="00E7031F">
        <w:t>. The QS MCSs are mainly (41.2%) initiated around noon (0400–0800 UTC)</w:t>
      </w:r>
      <w:r w:rsidR="00F103E8">
        <w:t>,</w:t>
      </w:r>
      <w:r w:rsidR="00BE1949" w:rsidRPr="00E7031F">
        <w:t xml:space="preserve"> and the peak time is 0600–0700 UTC, which is identical in each month (Fig. 4a). However, the peak hours of initiation for OM MCSs vary in different months. In June and July, the initiation of OM MCSs has two peaks, one </w:t>
      </w:r>
      <w:r w:rsidR="00F103E8">
        <w:t xml:space="preserve">at </w:t>
      </w:r>
      <w:r w:rsidR="00BE1949" w:rsidRPr="00E7031F">
        <w:t xml:space="preserve">noon (0300–0500 UTC) and the other </w:t>
      </w:r>
      <w:r w:rsidR="00F103E8">
        <w:t xml:space="preserve">at </w:t>
      </w:r>
      <w:r w:rsidR="00BE1949" w:rsidRPr="00E7031F">
        <w:t xml:space="preserve">night (1800–1900 UTC). The noon peak is generally considered to be related to the instability caused by surface solar heating </w:t>
      </w:r>
      <w:r w:rsidR="00293D5F">
        <w:fldChar w:fldCharType="begin"/>
      </w:r>
      <w:r w:rsidR="009B45C2">
        <w:instrText xml:space="preserve"> ADDIN ZOTERO_ITEM CSL_CITATION {"citationID":"zR0kpI6R","properties":{"formattedCitation":"(Yu et al., 2007)","plainCitation":"(Yu et al., 2007)","noteIndex":0},"citationItems":[{"id":838,"uris":["http://zotero.org/users/8730623/items/BKGNPBY5"],"itemData":{"id":838,"type":"article-journal","abstract":"Diurnal variations of summer precipitation over contiguous China are studied using hourly rain-gauge data from 588 stations during 1991–2004. It is found that summer precipitation over contiguous China has large diurnal variations with considerable regional features. Over southern inland China and northeastern China summer precipitation peaks in the late afternoon, while over most of the Tibetan Plateau and its east periphery it peaks around midnight. The diurnal phase changes eastward along the Yangtze River Valley, with a midnight maximum in the upper valley, an early morning peak in the middle valley, and a late afternoon maximum in the lower valley. Summer precipitation over the region between the Yangtze and Yellow Rivers has two diurnal peaks: one in the early morning and another in the late afternoon.","container-title":"Geophysical Research Letters","DOI":"10.1029/2006GL028129","ISSN":"1944-8007","issue":"1","language":"en","note":"number: 1\n_eprint: https://onlinelibrary.wiley.com/doi/pdf/10.1029/2006GL028129","source":"Wiley Online Library","title":"Diurnal variations of summer precipitation over contiguous China","URL":"https://onlinelibrary.wiley.com/doi/abs/10.1029/2006GL028129","volume":"34","author":[{"family":"Yu","given":"Rucong"},{"family":"Zhou","given":"Tianjun"},{"family":"Xiong","given":"Anyuan"},{"family":"Zhu","given":"Yanjun"},{"family":"Li","given":"Jiming"}],"accessed":{"date-parts":[["2022",7,18]]},"issued":{"date-parts":[["2007"]]}}}],"schema":"https://github.com/citation-style-language/schema/raw/master/csl-citation.json"} </w:instrText>
      </w:r>
      <w:r w:rsidR="00293D5F">
        <w:fldChar w:fldCharType="separate"/>
      </w:r>
      <w:r w:rsidR="009B45C2" w:rsidRPr="009B45C2">
        <w:t>(Yu et al., 2007)</w:t>
      </w:r>
      <w:r w:rsidR="00293D5F">
        <w:fldChar w:fldCharType="end"/>
      </w:r>
      <w:r w:rsidR="00293D5F">
        <w:t xml:space="preserve">, and MCSs initiated during this time period correspond to the afternoon peak of summer precipitation in the YRB </w:t>
      </w:r>
      <w:r w:rsidR="00293D5F">
        <w:fldChar w:fldCharType="begin"/>
      </w:r>
      <w:r w:rsidR="009B45C2">
        <w:instrText xml:space="preserve"> ADDIN ZOTERO_ITEM CSL_CITATION {"citationID":"X97DqXIf","properties":{"formattedCitation":"(Luo et al., 2016; A. Q. Zhang et al., 2020)","plainCitation":"(Luo et al., 2016; A. Q. Zhang et al., 2020)","noteIndex":0},"citationItems":[{"id":355,"uris":["http://zotero.org/users/8730623/items/4GQK7RVW"],"itemData":{"id":355,"type":"article-journal","abstract":"In this study, synoptic situations associated with extreme hourly precipitation over China are investigated using rain gauge data, weather maps, and composite radar reﬂectivity data. Seasonal variations of hourly precipitation (.0.1 mm h21) suggest complicated regional features in the occurrence frequency and intensity of rainfall. The 99.9th percentile is thus used as the threshold to deﬁne the extreme hourly rainfall for each station. The extreme rainfall is the most intense over the south coastal areas and the North China Plain. About 77% of the extreme rainfall records occur in summer with a peak in July (30.4%) during 1981–2013.","container-title":"Journal of Climate","DOI":"10.1175/JCLI-D-16-0057.1","ISSN":"0894-8755, 1520-0442","issue":"24","language":"en","note":"number: 24","page":"8703-8719","source":"DOI.org (Crossref)","title":"Synoptic Situations of Extreme Hourly Precipitation over China","volume":"29","author":[{"family":"Luo","given":"Yali"},{"family":"Wu","given":"Mengwen"},{"family":"Ren","given":"Fumin"},{"family":"Li","given":"Jian"},{"family":"Wong","given":"Wai-Kin"}],"issued":{"date-parts":[["2016",12,15]]}}},{"id":1048,"uris":["http://zotero.org/users/8730623/items/LK7RH6DZ"],"itemData":{"id":1048,"type":"article-journal","abstract":"The diurnal variation of precipitation reflects the influence of atmospheric heat and dynamic processes on the water cycle. Using multiple data sets, we carried out case studies and statistical analysis of the diurnal variation in Meiyu rainfall in atypical Meiyu years. Our results show that the morning precipitation was induced by strong southwesterly moisture transport and was mainly composed of stratiform pixels, whereas the precipitation occurring in the afternoon was mainly composed of convective pixels affected by updrafts. The diurnal variation in precipitation in the atypical Meiyu years appeared as a bimodal structure with peaks in early morning (06:30 LST) and afternoon (16:00 LST), which was different from the single morning peak (09:30 LST) in the normal Meiyu years and reported previously. Further research indicated that the morning peak is related to the low-level water vapor flux, whereas the afternoon peak is related to the local solar heating. In addition, the water vapor flux in the Yangtze Plain was characterized by strong morning and weak afternoon fluxes during both normal and atypical Meiyu periods. The diurnal variation in the low-level water vapor flux is thought to be influenced by the intensity of, and distance from, the subtropical high.","container-title":"Journal of Geophysical Research: Atmospheres","DOI":"10.1029/2019JD031742","ISSN":"2169-8996","issue":"1","language":"en","note":"number: 1\n_eprint: https://onlinelibrary.wiley.com/doi/pdf/10.1029/2019JD031742","page":"e2019JD031742","source":"Wiley Online Library","title":"Diurnal Variation of Meiyu Rainfall in the Yangtze Plain During Atypical Meiyu Years","volume":"125","author":[{"family":"Zhang","given":"A. Q."},{"family":"Chen","given":"Y. L."},{"family":"Zhou","given":"S. N."},{"family":"Cui","given":"C. G."},{"family":"Wan","given":"R."},{"family":"Fu","given":"Y. F."}],"issued":{"date-parts":[["2020"]]}}}],"schema":"https://github.com/citation-style-language/schema/raw/master/csl-citation.json"} </w:instrText>
      </w:r>
      <w:r w:rsidR="00293D5F">
        <w:fldChar w:fldCharType="separate"/>
      </w:r>
      <w:r w:rsidR="009B45C2" w:rsidRPr="009B45C2">
        <w:t>(Luo et al., 2016; Zhang et al., 2020)</w:t>
      </w:r>
      <w:r w:rsidR="00293D5F">
        <w:fldChar w:fldCharType="end"/>
      </w:r>
      <w:r w:rsidR="00293D5F">
        <w:t xml:space="preserve">. The mechanism for the late-night peak is complicated, which may </w:t>
      </w:r>
      <w:r w:rsidR="00F103E8">
        <w:t xml:space="preserve">result </w:t>
      </w:r>
      <w:r w:rsidR="00293D5F">
        <w:t xml:space="preserve">from instability due to nocturnal radiative cooling at </w:t>
      </w:r>
      <w:r w:rsidR="00F103E8">
        <w:t xml:space="preserve">the </w:t>
      </w:r>
      <w:r w:rsidR="00293D5F">
        <w:t xml:space="preserve">cloud top </w:t>
      </w:r>
      <w:r w:rsidR="00293D5F">
        <w:fldChar w:fldCharType="begin"/>
      </w:r>
      <w:r w:rsidR="009B45C2">
        <w:instrText xml:space="preserve"> ADDIN ZOTERO_ITEM CSL_CITATION {"citationID":"L0nHDbmg","properties":{"formattedCitation":"(Lin et al., 2000)","plainCitation":"(Lin et al., 2000)","noteIndex":0},"citationItems":[{"id":820,"uris":["http://zotero.org/users/8730623/items/TSCLR5GT"],"itemData":{"id":820,"type":"article-journal","abstract":"Abstract The simulated diurnal cycle is in many ways an ideal test bed for new physical parameterizations. The purpose of this paper is to compare observations from the Tropical Rainfall Measurement Mission, the Earth Radiation Budget Experiment, the International Satellite Cloud Climatology Project, the Clouds and the Earth’s Radiant Energy System Experiment, and the Anglo-Brazilian Amazonian Climate Observation Study with the diurnal variability of the Amazonian hydrologic cycle and radiative energy budget as simulated by the Colorado State University general circulation model, and to evaluate improvements and deficiencies of the model physics. The model uses a prognostic cumulus kinetic energy (CKE) to relax the quasi-equilibrium closure of the Arakawa–Schubert cumulus parameterization. A parameter, α, is used to relate the CKE to the cumulus mass flux. This parameter is expected to vary with cloud depth, mean shear, and the level of convective activity, but up to now a single constant value for all cloud types has been used. The results of the present study show clearly that this approach cannot yield realistic simulations of both the diurnal cycle and the monthly mean climate state. Improved results are obtained using a version of the model in which α is permitted to vary with cloud depth.","container-title":"Journal of Climate","DOI":"10.1175/1520-0442(2000)013&lt;4159:DVOTHC&gt;2.0.CO;2","ISSN":"0894-8755, 1520-0442","issue":"23","language":"EN","note":"number: 23\npublisher: American Meteorological Society\nsection: Journal of Climate","page":"4159-4179","source":"journals.ametsoc.org","title":"Diurnal Variability of the Hydrologic Cycle and Radiative Fluxes: Comparisons between Observations and a GCM","title-short":"Diurnal Variability of the Hydrologic Cycle and Radiative Fluxes","volume":"13","author":[{"family":"Lin","given":"Xin"},{"family":"Randall","given":"David A."},{"family":"Fowler","given":"Laura D."}],"issued":{"date-parts":[["2000",12,1]]}}}],"schema":"https://github.com/citation-style-language/schema/raw/master/csl-citation.json"} </w:instrText>
      </w:r>
      <w:r w:rsidR="00293D5F">
        <w:fldChar w:fldCharType="separate"/>
      </w:r>
      <w:r w:rsidR="009B45C2" w:rsidRPr="009B45C2">
        <w:t>(Lin et al., 2000)</w:t>
      </w:r>
      <w:r w:rsidR="00293D5F">
        <w:fldChar w:fldCharType="end"/>
      </w:r>
      <w:r w:rsidR="004B5887" w:rsidRPr="00E7031F">
        <w:t xml:space="preserve">, </w:t>
      </w:r>
      <w:r w:rsidR="00F103E8">
        <w:t xml:space="preserve">water </w:t>
      </w:r>
      <w:r w:rsidR="004B5887" w:rsidRPr="00E7031F">
        <w:t xml:space="preserve">vapor accumulation at low levels in the evening </w:t>
      </w:r>
      <w:r w:rsidR="00293D5F">
        <w:fldChar w:fldCharType="begin"/>
      </w:r>
      <w:r w:rsidR="009B45C2">
        <w:instrText xml:space="preserve"> ADDIN ZOTERO_ITEM CSL_CITATION {"citationID":"JixAPs9j","properties":{"formattedCitation":"(Kubota &amp; Nitta, 2001)","plainCitation":"(Kubota &amp; Nitta, 2001)","noteIndex":0},"citationItems":[{"id":1052,"uris":["http://zotero.org/users/8730623/items/ZCRBRVEV"],"itemData":{"id":1052,"type":"article-journal","abstract":"Diurnal variations of tropical convection in the western Pacific are examined by using the data observed during the Tropical Ocean and Global Atmosphere-Coupled Ocean Atmosphere Response Experiment (TOGA-COARE) Intensive Observing Period (IOP) (November 1992 to February 1993). High resolution data of satellite infrared histograms, MIT radar from the TOGA project at NASA/GSFC, upper-air soundings, and improved meteorological surface mooring (IMET) buoy data by the WHOI are utilized for analyses. Over tropical western Pacific, maximum convective activity occurs during the evening hours to midnight on large islands. On the other hand, in the vicinity of large islands, the Intertropical Convergence Zone (ITCZ) and the South Pacific Convergence Zone (SPCZ), the peak activity occurs during the morning hours to noon. The local time of peak activity varies depending on the focused cloud top height. Comparing the results in different regions, local time of peak convective events of different cloud top heights change little over large islands, but it varies among the surrounding ocean, ITCZ and SPCZ. Diurnal variations of precipitation tend to be more prominent in the case of heavy rainfall with a nocturnal maximum from the TOGA-COARE special data. Therefore, we focused on the days with nocturnal precipitation maxima and examined the diurnal variations of atmospheric vertical structures over the TOGA-COARE region. At the onset of convection in the evening, water vapor is increased in lower troposphere. During this time low-level clouds appear, and upward motion is observed in the lower layers. Convective activity reaches its peak around 00-03 LT, which coincides with the maximum precipitation. Large-scale upward motion, apparent heat source, and moisture sink are also observed at the peak of convective activity. While precipitation decreases gradually in the morning to noon, the activity of high-level clouds decay. It is suggested that the water vapor increase at low levels in the evening plays a role in the development of nocturnal convection. The maximum activity of convection over the TOGA-COARE region however, is observed about 6 hours prior to the peak of other convergence regions over the tropical western Pacific.","container-title":"Journal of the Meteorological Society of Japan. Ser. II","DOI":"10.2151/jmsj.79.815","issue":"3","note":"number: 3","page":"815-830","source":"J-Stage","title":"Diurnal Variations of Tropical Convection Observed during the TOGA-COARE","volume":"79","author":[{"family":"Kubota","given":"Hisayuki"},{"family":"Nitta","given":"Tsuyoshi"}],"issued":{"date-parts":[["2001"]]}}}],"schema":"https://github.com/citation-style-language/schema/raw/master/csl-citation.json"} </w:instrText>
      </w:r>
      <w:r w:rsidR="00293D5F">
        <w:fldChar w:fldCharType="separate"/>
      </w:r>
      <w:r w:rsidR="009B45C2" w:rsidRPr="009B45C2">
        <w:t>(Kubota &amp; Nitta, 2001)</w:t>
      </w:r>
      <w:r w:rsidR="00293D5F">
        <w:fldChar w:fldCharType="end"/>
      </w:r>
      <w:r w:rsidR="004B5887" w:rsidRPr="00E7031F">
        <w:t xml:space="preserve">, or diurnal variation </w:t>
      </w:r>
      <w:r w:rsidR="00F103E8">
        <w:t>in</w:t>
      </w:r>
      <w:r w:rsidR="004B5887" w:rsidRPr="00E7031F">
        <w:t xml:space="preserve"> local circulation forced by complex terrain </w:t>
      </w:r>
      <w:r w:rsidR="00293D5F">
        <w:fldChar w:fldCharType="begin"/>
      </w:r>
      <w:r w:rsidR="009B45C2">
        <w:instrText xml:space="preserve"> ADDIN ZOTERO_ITEM CSL_CITATION {"citationID":"q3O4ShWp","properties":{"formattedCitation":"(H. He &amp; Zhang, 2010; J. Li et al., 2005; Sun &amp; Zhang, 2012)","plainCitation":"(H. He &amp; Zhang, 2010; J. Li et al., 2005; Sun &amp; Zhang, 2012)","noteIndex":0},"citationItems":[{"id":785,"uris":["http://zotero.org/users/8730623/items/NPMU3HG6"],"itemData":{"id":785,"type":"article-journal","abstract":"Abstract This study examines the diurnal variations of the warm-season precipitation over northern China using the high-resolution precipitation products obtained from the Climate Prediction Center’s morphing technique (CMORPH) during May–August of 2003–09. The areas of focus are the Yanshan–Taihangshan Mountain ranges along the east peripheries of the Loess and Inner Mongolian Plateaus and the adjacent North China Plains. It is found that the averaged peak in local precipitation begins early in the afternoon near the top of the mountain ranges and propagates downslope and southeastward at a speed of </w:instrText>
      </w:r>
      <w:r w:rsidR="009B45C2">
        <w:rPr>
          <w:rFonts w:ascii="Cambria Math" w:hAnsi="Cambria Math" w:cs="Cambria Math"/>
        </w:rPr>
        <w:instrText>∼</w:instrText>
      </w:r>
      <w:r w:rsidR="009B45C2">
        <w:instrText xml:space="preserve">13 m s−1. The peak reaches the central North China Plains around midnight and the early morning hours resulting in a broad area of nocturnal precipitation maxima over the plains. The diurnal precipitation peak (minimum) is closely collocated with the upward (downward) branch of a mountain–plains solenoid (MPS) circulation. Both the MPS and a low-level southwesterly nocturnal jet are likely to be jointly responsible for the nighttime precipitation maxima over the plains.","container-title":"Monthly Weather Review","DOI":"10.1175/2010MWR3356.1","ISSN":"1520-0493, 0027-0644","issue":"4","language":"EN","note":"number: 4\npublisher: American Meteorological Society\nsection: Monthly Weather Review","page":"1017-1025","source":"journals.ametsoc.org","title":"Diurnal Variations of Warm-Season Precipitation over Northern China","volume":"138","author":[{"family":"He","given":"Huizhong"},{"family":"Zhang","given":"Fuqing"}],"issued":{"date-parts":[["2010",4,1]]}}},{"id":852,"uris":["http://zotero.org/users/8730623/items/3LNVH548"],"itemData":{"id":852,"type":"article-journal","abstract":"Abstract Convection-permitting numerical experiments using the Weather Research and Forecasting (WRF) model are performed to examine the impact of a thermally driven mountain–plains solenoid (MPS) on the diurnal variations of precipitation and mesoscale convective vortices along the mei-yu front over the east China plains during 1–10 July 2007. The focus of the analyses is a 10-day simulation that used the 10-day average of the global analysis at 0000 UTC as the initial condition and the 10-day averages every 6 h as lateral boundary conditions (with diurnal variations only). Despite differences in the rainfall intensity and location, this idealized experiment successfully simulated the observed diurnal variation and eastward propagation of rainfall and mesoscale convective vortices along the mei-yu front. It was found that the upward branch of the MPS, along with the attendant nocturnal low-level jet, is primarily responsible for the midnight-to-early-morning rainfall enhancement along the mei-yu front. The MPS is induced by differential heating between the high mountain ranges in central China and the low-lying plains in east China. Diabatic heating from moist convection initiated and/or enhanced by the solenoid circulation subsequently leads to the formation of a mesoscale convective vortex that further organizes and amplifies moist convection while propagating eastward along the mei-yu front. The downward branch of the MPS, on the other hand, leads to the suppression of precipitation over the plains during the daytime. The impacts of this regional MPS on the rainfall diurnal variations are further attested to by another idealized WRF simulation that uses fixed lateral boundary conditions.","container-title":"Monthly Weather Review","DOI":"10.1175/MWR-D-11-00041.1","ISSN":"1520-0493, 0027-0644","issue":"2","language":"EN","note":"number: 2\npublisher: American Meteorological Society\nsection: Monthly Weather Review","page":"379-397","source":"journals.ametsoc.org","title":"Impacts of Mountain–Plains Solenoid on Diurnal Variations of Rainfalls along the Mei-Yu Front over the East China Plains","volume":"140","author":[{"family":"Sun","given":"Jianhua"},{"family":"Zhang","given":"Fuqing"}],"issued":{"date-parts":[["2012",2,1]]}}},{"id":3221,"uris":["http://zotero.org/users/8730623/items/FLSQNRI5"],"itemData":{"id":3221,"type":"article-journal","abstract":"Abstract The temperature shift over the eastern flank of the Tibetan Plateau is examined using the last 50 yr of Chinese surface station observations. It was found that a strong cooling shift occurs in early spring (March and April) and late summer (July, August, and September) in contrast to the warming shift in other seasons. The cause of the March–April (MA) cooling is investigated in this study. The MA cooling shift on the lee side of the Tibetan Plateau is found to be not a local phenomenon, but rather it is associated with an eastward extension of a cooling signal originating from North Africa that is related to the North Atlantic Oscillation (NAO) in the previous winter. The midtropospheric westerlies over the North Atlantic and North Africa tend to intensify during positive NAO phases. The enhanced westerlies, after passing over the Tibetan Plateau, result in strengthened ascending motion against the lee side of the plateau, which favors the formation of midlevel stratiform clouds. The increased amount of stratus clouds induces a negative net cloud–radiative forcing, which thereby cools the surface air and triggers a positive cloud–temperature feedback. In this way, the cooling signal from the upstream could “jump” over the Tibetan Plateau and leave a footprint on its lee side. The continental stratiform cloud–climate feedback plays a significant role in the amplification of the cooling shift downstream of the Tibetan Plateau.","container-title":"Journal of Climate","DOI":"10.1175/JCLI3568.1","ISSN":"0894-8755, 1520-0442","issue":"22","language":"EN","note":"number: 22\npublisher: American Meteorological Society\nsection: Journal of Climate","page":"4660-4668","source":"journals.ametsoc.org","title":"Why Is There an Early Spring Cooling Shift Downstream of the Tibetan Plateau?","volume":"18","author":[{"family":"Li","given":"Jian"},{"family":"Yu","given":"Rucong"},{"family":"Zhou","given":"Tianjun"},{"family":"Wang","given":"Bin"}],"issued":{"date-parts":[["2005",11,15]]}}}],"schema":"https://github.com/citation-style-language/schema/raw/master/csl-citation.json"} </w:instrText>
      </w:r>
      <w:r w:rsidR="00293D5F">
        <w:fldChar w:fldCharType="separate"/>
      </w:r>
      <w:r w:rsidR="009B45C2" w:rsidRPr="009B45C2">
        <w:t>(He &amp; Zhang, 2010; Li et al., 2005; Sun &amp; Zhang, 2012; Zhang &amp; Sun, 2017)</w:t>
      </w:r>
      <w:r w:rsidR="00293D5F">
        <w:fldChar w:fldCharType="end"/>
      </w:r>
      <w:r w:rsidR="00293D5F">
        <w:t xml:space="preserve">. </w:t>
      </w:r>
      <w:r w:rsidR="00F103E8">
        <w:t xml:space="preserve">Regardless </w:t>
      </w:r>
      <w:r w:rsidR="00293D5F">
        <w:t xml:space="preserve">of the triggering mechanism, the late-night initiation peak of the OM MCS corresponds to the morning peak of precipitation in the typical </w:t>
      </w:r>
      <w:r w:rsidR="00C55BE4">
        <w:t>M</w:t>
      </w:r>
      <w:r w:rsidR="00293D5F">
        <w:t xml:space="preserve">ei-yu seasons </w:t>
      </w:r>
      <w:r w:rsidR="00293D5F">
        <w:fldChar w:fldCharType="begin"/>
      </w:r>
      <w:r w:rsidR="009B45C2">
        <w:instrText xml:space="preserve"> ADDIN ZOTERO_ITEM CSL_CITATION {"citationID":"XK05Zjk9","properties":{"formattedCitation":"(Luo et al., 2016; A. Q. Zhang et al., 2020)","plainCitation":"(Luo et al., 2016; A. Q. Zhang et al., 2020)","noteIndex":0},"citationItems":[{"id":355,"uris":["http://zotero.org/users/8730623/items/4GQK7RVW"],"itemData":{"id":355,"type":"article-journal","abstract":"In this study, synoptic situations associated with extreme hourly precipitation over China are investigated using rain gauge data, weather maps, and composite radar reﬂectivity data. Seasonal variations of hourly precipitation (.0.1 mm h21) suggest complicated regional features in the occurrence frequency and intensity of rainfall. The 99.9th percentile is thus used as the threshold to deﬁne the extreme hourly rainfall for each station. The extreme rainfall is the most intense over the south coastal areas and the North China Plain. About 77% of the extreme rainfall records occur in summer with a peak in July (30.4%) during 1981–2013.","container-title":"Journal of Climate","DOI":"10.1175/JCLI-D-16-0057.1","ISSN":"0894-8755, 1520-0442","issue":"24","language":"en","note":"number: 24","page":"8703-8719","source":"DOI.org (Crossref)","title":"Synoptic Situations of Extreme Hourly Precipitation over China","volume":"29","author":[{"family":"Luo","given":"Yali"},{"family":"Wu","given":"Mengwen"},{"family":"Ren","given":"Fumin"},{"family":"Li","given":"Jian"},{"family":"Wong","given":"Wai-Kin"}],"issued":{"date-parts":[["2016",12,15]]}}},{"id":1048,"uris":["http://zotero.org/users/8730623/items/LK7RH6DZ"],"itemData":{"id":1048,"type":"article-journal","abstract":"The diurnal variation of precipitation reflects the influence of atmospheric heat and dynamic processes on the water cycle. Using multiple data sets, we carried out case studies and statistical analysis of the diurnal variation in Meiyu rainfall in atypical Meiyu years. Our results show that the morning precipitation was induced by strong southwesterly moisture transport and was mainly composed of stratiform pixels, whereas the precipitation occurring in the afternoon was mainly composed of convective pixels affected by updrafts. The diurnal variation in precipitation in the atypical Meiyu years appeared as a bimodal structure with peaks in early morning (06:30 LST) and afternoon (16:00 LST), which was different from the single morning peak (09:30 LST) in the normal Meiyu years and reported previously. Further research indicated that the morning peak is related to the low-level water vapor flux, whereas the afternoon peak is related to the local solar heating. In addition, the water vapor flux in the Yangtze Plain was characterized by strong morning and weak afternoon fluxes during both normal and atypical Meiyu periods. The diurnal variation in the low-level water vapor flux is thought to be influenced by the intensity of, and distance from, the subtropical high.","container-title":"Journal of Geophysical Research: Atmospheres","DOI":"10.1029/2019JD031742","ISSN":"2169-8996","issue":"1","language":"en","note":"number: 1\n_eprint: https://onlinelibrary.wiley.com/doi/pdf/10.1029/2019JD031742","page":"e2019JD031742","source":"Wiley Online Library","title":"Diurnal Variation of Meiyu Rainfall in the Yangtze Plain During Atypical Meiyu Years","volume":"125","author":[{"family":"Zhang","given":"A. Q."},{"family":"Chen","given":"Y. L."},{"family":"Zhou","given":"S. N."},{"family":"Cui","given":"C. G."},{"family":"Wan","given":"R."},{"family":"Fu","given":"Y. F."}],"issued":{"date-parts":[["2020"]]}}}],"schema":"https://github.com/citation-style-language/schema/raw/master/csl-citation.json"} </w:instrText>
      </w:r>
      <w:r w:rsidR="00293D5F">
        <w:fldChar w:fldCharType="separate"/>
      </w:r>
      <w:r w:rsidR="009B45C2" w:rsidRPr="009B45C2">
        <w:t>(Luo et al., 2016; Zhang et al., 2020)</w:t>
      </w:r>
      <w:r w:rsidR="00293D5F">
        <w:fldChar w:fldCharType="end"/>
      </w:r>
      <w:r w:rsidR="004767AD" w:rsidRPr="00E7031F">
        <w:t>. In other months (except for September</w:t>
      </w:r>
      <w:r w:rsidR="00C55BE4">
        <w:t>, which has</w:t>
      </w:r>
      <w:r w:rsidR="004767AD" w:rsidRPr="00E7031F">
        <w:t xml:space="preserve"> only 4 MCSs), OM MCSs have only one peak in the afternoon (0600–0700 UTC), which is consistent with the QS type.</w:t>
      </w:r>
    </w:p>
    <w:p w14:paraId="233F4A55" w14:textId="4E135520" w:rsidR="00F2310E" w:rsidRDefault="00F103E8" w:rsidP="007D09AE">
      <w:pPr>
        <w:adjustRightInd w:val="0"/>
        <w:snapToGrid w:val="0"/>
        <w:spacing w:beforeLines="100" w:before="326"/>
        <w:ind w:firstLineChars="0" w:firstLine="0"/>
        <w:rPr>
          <w:rFonts w:cs="Times New Roman"/>
          <w:szCs w:val="24"/>
        </w:rPr>
      </w:pPr>
      <w:r>
        <w:rPr>
          <w:noProof/>
        </w:rPr>
        <w:lastRenderedPageBreak/>
        <w:drawing>
          <wp:inline distT="0" distB="0" distL="0" distR="0" wp14:anchorId="44C10747" wp14:editId="3C410808">
            <wp:extent cx="5274310" cy="4606925"/>
            <wp:effectExtent l="0" t="0" r="2540" b="3175"/>
            <wp:docPr id="9" name="图片 9" descr="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日历&#10;&#10;描述已自动生成"/>
                    <pic:cNvPicPr/>
                  </pic:nvPicPr>
                  <pic:blipFill>
                    <a:blip r:embed="rId12"/>
                    <a:stretch>
                      <a:fillRect/>
                    </a:stretch>
                  </pic:blipFill>
                  <pic:spPr>
                    <a:xfrm>
                      <a:off x="0" y="0"/>
                      <a:ext cx="5274310" cy="4606925"/>
                    </a:xfrm>
                    <a:prstGeom prst="rect">
                      <a:avLst/>
                    </a:prstGeom>
                  </pic:spPr>
                </pic:pic>
              </a:graphicData>
            </a:graphic>
          </wp:inline>
        </w:drawing>
      </w:r>
    </w:p>
    <w:p w14:paraId="55689EF6" w14:textId="02B3D9B7" w:rsidR="00046F34" w:rsidRPr="000838B6" w:rsidRDefault="00F2310E" w:rsidP="0086272D">
      <w:pPr>
        <w:pStyle w:val="21"/>
        <w:spacing w:before="163" w:after="326"/>
        <w:ind w:firstLineChars="0" w:firstLine="0"/>
      </w:pPr>
      <w:r w:rsidRPr="0086272D">
        <w:rPr>
          <w:b/>
          <w:bCs w:val="0"/>
        </w:rPr>
        <w:t xml:space="preserve">Figure 4. </w:t>
      </w:r>
      <w:r w:rsidR="00FA40EA">
        <w:t>Monthly and diurnal distributions of the QS MCS frequency (a) and the OM MCS frequency (b) in the middle reaches of the YRB during the warm seasons (April–September) of 2018–2021. The horizontal axis represents</w:t>
      </w:r>
      <w:r w:rsidR="00C55BE4">
        <w:t xml:space="preserve"> the</w:t>
      </w:r>
      <w:r w:rsidR="00FA40EA">
        <w:t xml:space="preserve"> initiation time (UTC). The color shading symbolizes the occurrence frequency of MCSs.</w:t>
      </w:r>
    </w:p>
    <w:p w14:paraId="7F5DBC83" w14:textId="2499E527" w:rsidR="009263A5" w:rsidRPr="00E7031F" w:rsidRDefault="00F103E8" w:rsidP="00652E9E">
      <w:pPr>
        <w:pStyle w:val="ParagraphText"/>
      </w:pPr>
      <w:r w:rsidRPr="00E7031F">
        <w:t xml:space="preserve">The spatial distributions of </w:t>
      </w:r>
      <w:r>
        <w:t xml:space="preserve">MCS </w:t>
      </w:r>
      <w:r w:rsidRPr="00E7031F">
        <w:t xml:space="preserve">initiation are shown in Fig. 5. Both the QS MCSs (Fig. 5a) and the OM MCSs (Fig. 5b) are initiated mainly in the </w:t>
      </w:r>
      <w:r>
        <w:t>southern</w:t>
      </w:r>
      <w:r w:rsidRPr="00E7031F">
        <w:t xml:space="preserve"> part of the YRB, which is consistent with </w:t>
      </w:r>
      <w:r>
        <w:t xml:space="preserve">a </w:t>
      </w:r>
      <w:r w:rsidRPr="00E7031F">
        <w:t xml:space="preserve">previous study </w:t>
      </w:r>
      <w:r w:rsidR="00097909">
        <w:fldChar w:fldCharType="begin"/>
      </w:r>
      <w:r w:rsidR="009B45C2">
        <w:instrText xml:space="preserve"> ADDIN ZOTERO_ITEM CSL_CITATION {"citationID":"70sMqP9b","properties":{"formattedCitation":"(Y. Zheng et al., 2008)","plainCitation":"(Y. Zheng et al., 2008)","noteIndex":0},"citationItems":[{"id":910,"uris":["http://zotero.org/users/8730623/items/NW6ZEA5C"],"itemData":{"id":910,"type":"article-journal","abstract":"The climatological distribution of mesoscale convective systems (MCSs) over China and its vicinity during summer is statistically analyzed, based on the 10-year (1996-2006, 2004 excluded) June-August infrared TBB (Temperature of black body) dataset. Comparing the results obtained in this paper with the distribution of thunderstorms from surface meteorological stations over China and the distribution of lightning from low-orbit satellites over China and its vicinity in the previous studies, we find that the statistic characteristics of TBB less than -52 degrees C can better represent the spatiotemporal distribution of MCSs over China and its vicinity during summer. The spreading pattern of the MCSs over this region shows three transmeridional bands of active MCSs, with obvious fluctuation of active MCSs in the band near 30 degrees N. It can be explained by the atmospheric circulation that the three bands of active MCSs are associated with each other by the summer monsoon over East Asia. We focus on the diurnal variations of MCSs over different underlying surfaces, and the result shows that there are two types of MCSs over China and its vicinity during summer. One type of MCSs has only one active period all day long (single-peak MCSs), and the other has multiple active periods (multi-peak MCSs). Single-peak MCSs occur more often over plateaus or mountains, and multi-peak MCSs are more common over plains or basins. Depending on lifetimes and active periods, single-peak MCSs can be classified as Tibetan Plateau MCSs, general mountain MCSs, Ryukyu MCSs, and so on. The diurnal variation of multi-peak MCSs is very similar to that of MCCs (mesoscale convective complexes), and it reveals that multi-peak MCSs has longer life cycle and larger horizontal scale, becomes weaker after sunset, and develops again after midnight. Tibetan Plateau MCSs and general mountain MCSs both usually develop in the afternoon, but Tibetan Plateau MCSs have longer life cycle and more active M(alpha)CSs. Ryukyu MCSs generally develop after midnight, last longer time, and also have more active M,CS. The abundant moisture and favorable large-scale environment over Indian monsoon surge areas lead to active MCSs and M(alpha)CSs almost at any hour all day during summer. Due to local mountain-valley breeze circulation over the Sichuan Basin, MCSs are developed remarkably more often during the nighttime, and again there are also more active M(alpha)CSs. Because of local prominent sea-land breeze circulation over Guangxi and Guangdong, the MCSs over this region propagate from sea to land in the afternoon and from land to sea after midnight. The statistic characteristics of TBB less than -52 degrees C clearly display the different climatological characteristics of MCSs owing to the thermal difference among water, land and rough terrain. Not only the large-scale atmospheric circulation but also the local atmospheric circulation caused by the thermal difference among water, land and rough terrain, to a great extent, determines the climatological distribution of MCSs over China and its vicinity during summer.","archive_location":"WOS:000255985900016","container-title":"Chinese Science Bulletin","DOI":"10.1007/s11434-008-0116-9","issue":"10","note":"number: 10","page":"1574-1586","title":"Climatological distribution and diurnal variation of mesoscale convective systems over China and its vicinity during summer","volume":"53","author":[{"family":"Zheng","given":"YongGuang"},{"family":"Chen","given":"Jiong"},{"family":"Zhu","given":"PeiJun"}],"issued":{"date-parts":[["2008",5]]}}}],"schema":"https://github.com/citation-style-language/schema/raw/master/csl-citation.json"} </w:instrText>
      </w:r>
      <w:r w:rsidR="00097909">
        <w:fldChar w:fldCharType="separate"/>
      </w:r>
      <w:r w:rsidR="009B45C2" w:rsidRPr="009B45C2">
        <w:t>(Zheng et al., 2008)</w:t>
      </w:r>
      <w:r w:rsidR="00097909">
        <w:fldChar w:fldCharType="end"/>
      </w:r>
      <w:r w:rsidR="00097909">
        <w:t xml:space="preserve">. Dividing the </w:t>
      </w:r>
      <w:r>
        <w:t>southern</w:t>
      </w:r>
      <w:r w:rsidR="00097909">
        <w:t xml:space="preserve"> part of the YRB from the north roughly by 30 °N, 343 QS MCSs</w:t>
      </w:r>
      <w:r>
        <w:t xml:space="preserve"> and</w:t>
      </w:r>
      <w:r w:rsidR="00097909">
        <w:t xml:space="preserve"> 195 OM MCSs are initiated in the </w:t>
      </w:r>
      <w:r>
        <w:t>southern part</w:t>
      </w:r>
      <w:r w:rsidR="00097909">
        <w:t xml:space="preserve"> of the YRB, accounting for 65.5% and 70.7% of their total amounts, respectively. The highest initiation frequency of QS MCSs is found over the western Hunan mountains, the Mu-Lian-Jiu Mountains and the Luo-Xiao Mountains, while that of </w:t>
      </w:r>
      <w:r w:rsidR="008C52B7">
        <w:t xml:space="preserve">the </w:t>
      </w:r>
      <w:r w:rsidR="00097909">
        <w:t>OM MCSs is over the Po-Yang Lake Plain. The convection in mountainous areas is mainly driven by</w:t>
      </w:r>
      <w:r w:rsidR="008C52B7">
        <w:t xml:space="preserve"> the</w:t>
      </w:r>
      <w:r w:rsidR="00097909">
        <w:t xml:space="preserve"> thermodynamic forcing </w:t>
      </w:r>
      <w:r w:rsidR="00097909">
        <w:fldChar w:fldCharType="begin"/>
      </w:r>
      <w:r w:rsidR="009B45C2">
        <w:instrText xml:space="preserve"> ADDIN ZOTERO_ITEM CSL_CITATION {"citationID":"02uo6AG0","properties":{"formattedCitation":"(Astling, 1984; Panosetti et al., 2016; Zhu et al., 2018)","plainCitation":"(Astling, 1984; Panosetti et al., 2016; Zhu et al., 2018)","noteIndex":0},"citationItems":[{"id":800,"uris":["http://zotero.org/users/8730623/items/GTDZJPBK"],"itemData":{"id":800,"type":"article-journal","abstract":"Abstract Diurnal signatures of precipitation at mountain stations in Utah have been studied and precipitation events in the Salt Lake Valley compared with local wind circulations. Results of harmonic analyses of hourly precipitation data show small-amplitude diurnal cycles in winter and large-amplitude cycles in summer. Frequencies of diurnal precipitation events in summer were dependent on elevation, with maximum frequencies peaking around 1430 MST at elevations above 2100 m and nearly three hours later below 1500 m. High rainfall intensities exhibited the largest diurnal modulations with maximum amplitudes occurring in the higher terrain. These results were based on over 25 years of data and have important implications for flash flood forecasting and mesoscale modeling of precipitation in complex terrain. A detailed objective analysis of hourly resultant winds for a 45×75 km area with a 5 km grid showed the influence of mountain-valley winds on the diurnal variation of precipitation in the Salt Lake Valley. Low-level divergence had well defined diurnal signatures and displayed marked differences between summer and winter. Influences of these local circulations on precipitation were evident when the timing of wind convergence was compared to the relatively high frequencies of precipitation events at the Salt Lake City Airport in the early morning in winter and late afternoon in summer.","container-title":"Journal of Applied Meteorology and Climatology","DOI":"10.1175/1520-0450(1984)023&lt;1635:OTRBDM&gt;2.0.CO;2","ISSN":"1520-0450","issue":"12","language":"EN","note":"number: 12\npublisher: American Meteorological Society\nsection: Journal of Applied Meteorology and Climatology","page":"1635-1644","source":"journals.ametsoc.org","title":"On the Relationship between Diurnal Mesoscale Circulations and Precipitation in a Mountain Valley","volume":"23","author":[{"family":"Astling","given":"E. G."}],"issued":{"date-parts":[["1984",12,1]]}}},{"id":806,"uris":["http://zotero.org/users/8730623/items/XJLS5KSM"],"itemData":{"id":806,"type":"article-journal","abstract":"Abstract On summertime fair-weather days, thermally driven wind systems play an important role in determining the initiation of convection and the occurrence of localized precipitation episodes over mountainous terrain. This study compares the mechanisms of convection initiation and precipitation development within a thermally driven flow over an idealized double-ridge system in large-eddy (LESs) and convection-resolving (CRM) simulations. First, LES at a horizontal grid spacing of 200 m is employed to analyze the developing circulations and associated clouds and precipitation. Second, CRM simulations at horizontal grid length of 1 km are conducted to evaluate the performance of a kilometer-scale model in reproducing the discussed mechanisms. Mass convergence and a weaker inhibition over the two ridges flanking the valley combine with water vapor advection by upslope winds to initiate deep convection. In the CRM simulations, the spatial distribution of clouds and precipitation is generally well captured. However, if the mountains are high enough to force the thermally driven flow into an elevated mixed layer, the transition to deep convection occurs faster, precipitation is generated earlier, and surface rainfall rates are higher compared to the LES. Vertical turbulent fluxes remain largely unresolved in the CRM simulations and are underestimated by the model, leading to stronger upslope winds and increased horizontal moisture advection toward the mountain summits. The choice of the turbulence scheme and the employment of a shallow convection parameterization in the CRM simulations change the strength of the upslope winds, thereby influencing the simulated timing and intensity of convective precipitation.","container-title":"Journal of the Atmospheric Sciences","DOI":"10.1175/JAS-D-15-0341.1","ISSN":"0022-4928, 1520-0469","issue":"10","language":"EN","note":"number: 10\npublisher: American Meteorological Society\nsection: Journal of the Atmospheric Sciences","page":"4021-4041","source":"journals.ametsoc.org","title":"Idealized Large-Eddy and Convection-Resolving Simulations of Moist Convection over Mountainous Terrain","volume":"73","author":[{"family":"Panosetti","given":"Davide"},{"family":"Böing","given":"Steven"},{"family":"Schlemmer","given":"Linda"},{"family":"Schmidli","given":"Jürg"}],"issued":{"date-parts":[["2016",10,1]]}}},{"id":779,"uris":["http://zotero.org/users/8730623/items/MACSHP5F"],"itemData":{"id":779,"type":"article-journal","abstract":"Abstract Diurnal rainfall variation plays an important role in the characterization of regional climate. Most existing research used predefined region boundaries to study the spatial differences of diurnal rainfall variation, which depends on experiential knowledge and is somewhat subjective. In this study, the k-means clustering algorithm was used to mine the spatial distribution of diurnal rainfall variation from gridded precipitation data over China. First, clustering was conducted according to the hourly rainfall frequency at each grid cell. A cluster number large enough to find the main types of diurnal rainfall variation was used. Then similar clusters were merged according to the peak time and amplitude of the diurnal rainfall variation. Each merged cluster corresponds to one type of diurnal variation, and the locations of grid cells in each merged cluster form the spatial distribution. Thus, the classification maps of diurnal rainfall variation can be obtained. From the spatial distribution maps, the conclusions of existing research (e.g., the distribution of well-known nocturnal rainfall in southwestern China, the prevailing afternoon rainfall regions) were confirmed. Some new findings were found, such as the spatial patterns of nocturnal rainfall regions along slopes of the macroterrain and the different types of diurnal rainfall variation in the North China Plain. The diurnal rainfall variation in some regions also shows a close relationship with land cover. The results of this study can provide valuable information for further mechanism studies, and the proposed approach can serve as a useful tool for studies on diurnal rainfall variation in other regions.","container-title":"Journal of Hydrometeorology","DOI":"10.1175/JHM-D-17-0176.1","ISSN":"1525-7541, 1525-755X","issue":"4","language":"EN","note":"number: 4\npublisher: American Meteorological Society\nsection: Journal of Hydrometeorology","page":"667-678","source":"journals.ametsoc.org","title":"Spatial Distribution of Diurnal Rainfall Variation in Summer over China","volume":"19","author":[{"family":"Zhu","given":"Liming"},{"family":"Liu","given":"Junzhi"},{"family":"Zhu","given":"A.-Xing"},{"family":"Sheng","given":"Meiling"},{"family":"Duan","given":"Zheng"}],"issued":{"date-parts":[["2018",4,1]]}}}],"schema":"https://github.com/citation-style-language/schema/raw/master/csl-citation.json"} </w:instrText>
      </w:r>
      <w:r w:rsidR="00097909">
        <w:fldChar w:fldCharType="separate"/>
      </w:r>
      <w:r w:rsidR="009B45C2" w:rsidRPr="009B45C2">
        <w:t>(Astling, 1984; Panosetti et al., 2016; Zhu et al., 2018)</w:t>
      </w:r>
      <w:r w:rsidR="00097909">
        <w:fldChar w:fldCharType="end"/>
      </w:r>
      <w:r w:rsidR="00097909">
        <w:t xml:space="preserve">, while in plain areas, due to the </w:t>
      </w:r>
      <w:r w:rsidR="00097909">
        <w:lastRenderedPageBreak/>
        <w:t xml:space="preserve">lack of dynamic forcing or diabatic heating </w:t>
      </w:r>
      <w:r>
        <w:t>resulting</w:t>
      </w:r>
      <w:r w:rsidR="00097909">
        <w:t xml:space="preserve"> from the complex terrain, the initiation of convection is mostly related to synoptic circulation systems </w:t>
      </w:r>
      <w:r w:rsidR="00097909">
        <w:fldChar w:fldCharType="begin"/>
      </w:r>
      <w:r w:rsidR="009B45C2">
        <w:instrText xml:space="preserve"> ADDIN ZOTERO_ITEM CSL_CITATION {"citationID":"zKzYRQUP","properties":{"formattedCitation":"(Reif &amp; Bluestein, 2017; Wilson &amp; Roberts, 2006)","plainCitation":"(Reif &amp; Bluestein, 2017; Wilson &amp; Roberts, 2006)","noteIndex":0},"citationItems":[{"id":931,"uris":["http://zotero.org/users/8730623/items/CH6QXE5K"],"itemData":{"id":931,"type":"article-journal","abstract":"Abstract\n            The data-rich International H2O Project (IHOP_2002) experiment is used to study convective storm initiation and subsequent evolution for all days of the experiment. Initiation episodes were almost evenly divided between those triggered along surface-based convergence lines and elevated initiation episodes that showed no associated surface convergence. The elevated episodes occurred mostly at night, and the surface-based episodes occurred during the afternoon and evening. Surface-based initiations were mostly associated with synoptic fronts and gust fronts and less so with drylines and bores. Elevated initiations were frequently associated with observable convergent or confluent features in the Rapid Update Cycle (RUC) wind analysis fields between 900 and 600 hPa. The RUC10 3-h forecast of the precipitation initiation episodes were correct 44% of the time, allowing a tolerance of 250 km in space and for the forecast being early by one period. However, the accuracy was closely tied to the scale of the initiation mechanism, being highest for synoptic frontal features and lowest for gust fronts.\n            Gust fronts were a primary feature influencing the evolution of the initiated storms. Almost one-half of the storm complexes associated with initiation episodes did not produce surface gust fronts. Storm systems that did not produce gust fronts most often lived 2–6 h while those that did frequently lived at least 8 h. The largest and longest-lived storm complexes had well-developed intense gust fronts that influenced the propagation of the storm system. The RUC10 was generally not successful in forecasting the evolution and motion of the larger, more intense storm complexes; presumably this was because it did not produce strong gust fronts.\n            Implications for forecasting convective storm initiation and evolution are discussed.","container-title":"Monthly Weather Review","DOI":"10.1175/MWR3069.1","ISSN":"1520-0493, 0027-0644","issue":"1","language":"en","note":"number: 1","page":"23-47","source":"DOI.org (Crossref)","title":"Summary of Convective Storm Initiation and Evolution during IHOP: Observational and Modeling Perspective","title-short":"Summary of Convective Storm Initiation and Evolution during IHOP","volume":"134","author":[{"family":"Wilson","given":"James W."},{"family":"Roberts","given":"Rita D."}],"issued":{"date-parts":[["2006",1,1]]}}},{"id":797,"uris":["http://zotero.org/users/8730623/items/5D8CNIL9"],"itemData":{"id":797,"type":"article-journal","abstract":"Abstract A nocturnal maximum in rainfall and thunderstorm activity over the central Great Plains has been widely documented, but the mechanisms for the development of thunderstorms over that region at night are still not well understood. Elevated convection above a surface frontal boundary is one explanation, but this study shows that many thunderstorms form at night without the presence of an elevated frontal inversion or nearby surface boundary. This study documents convection initiation (CI) events at night over the central Great Plains from 1996 to 2015 during the months of April–July. Storm characteristics such as storm type, linear system orientation, initiation time and location, and others were documented. Once all of the cases were documented, surface data were examined to locate any nearby surface boundaries. The event’s initiation location relative to these boundaries (if a boundary existed) was documented. Two main initiation locations relative to a surface boundary were identified: on a surface boundary and on the cold side of a surface boundary; CI events also occur without any nearby surface boundary. There are many differences among the different nocturnal CI modes. For example, there appear to be two main peaks of initiation time at night: one early at night and one later at night. The later peak is likely due to the events that form without a nearby surface boundary. Finally, a case study of three nocturnal CI events that occurred during the Plains Elevated Convection At Night (PECAN) field project when there was no nearby surface boundary is discussed.","container-title":"Monthly Weather Review","DOI":"10.1175/MWR-D-16-0340.1","ISSN":"1520-0493, 0027-0644","issue":"5","language":"EN","note":"number: 5\npublisher: American Meteorological Society\nsection: Monthly Weather Review","page":"1615-1639","source":"journals.ametsoc.org","title":"A 20-Year Climatology of Nocturnal Convection Initiation over the Central and Southern Great Plains during the Warm Season","volume":"145","author":[{"family":"Reif","given":"Dylan W."},{"family":"Bluestein","given":"Howard B."}],"issued":{"date-parts":[["2017",5,1]]}}}],"schema":"https://github.com/citation-style-language/schema/raw/master/csl-citation.json"} </w:instrText>
      </w:r>
      <w:r w:rsidR="00097909">
        <w:fldChar w:fldCharType="separate"/>
      </w:r>
      <w:r w:rsidR="009B45C2" w:rsidRPr="009B45C2">
        <w:t>(Reif &amp; Bluestein, 2017; Wilson &amp; Roberts, 2006)</w:t>
      </w:r>
      <w:r w:rsidR="00097909">
        <w:fldChar w:fldCharType="end"/>
      </w:r>
      <w:r w:rsidR="00EE2643" w:rsidRPr="00E7031F">
        <w:t xml:space="preserve">, which explains </w:t>
      </w:r>
      <w:r>
        <w:t xml:space="preserve">why </w:t>
      </w:r>
      <w:r w:rsidR="00EE2643" w:rsidRPr="00E7031F">
        <w:t>QS MCSs are more likely to be initiated over mountainous areas</w:t>
      </w:r>
      <w:r>
        <w:t>,</w:t>
      </w:r>
      <w:r w:rsidR="00EE2643" w:rsidRPr="00E7031F">
        <w:t xml:space="preserve"> while OM MCSs tend to be initiated over plain areas.</w:t>
      </w:r>
    </w:p>
    <w:p w14:paraId="454E71E8" w14:textId="21D4E640" w:rsidR="00107158" w:rsidRDefault="002734C2" w:rsidP="00652E9E">
      <w:pPr>
        <w:pStyle w:val="ParagraphText"/>
      </w:pPr>
      <w:r w:rsidRPr="00E7031F">
        <w:t xml:space="preserve">To better illustrate the spatial distributions of MCS initiation, July and August (June and July) are chosen as the high occurrence period for QS (OM) MCSs. For QS MCSs, the spatial distribution of initiation in July and August (Fig. 5c) </w:t>
      </w:r>
      <w:r w:rsidR="00F103E8">
        <w:t>is</w:t>
      </w:r>
      <w:r w:rsidRPr="00E7031F">
        <w:t xml:space="preserve"> basically the same as in the entire warm season (Fig. 5a), and the highest initiation frequency is also over the western Hunan mountains, the Mu-Lian-Jiu Mountains and the Luo-Xiao Mountains, with the highest probability density </w:t>
      </w:r>
      <w:r w:rsidR="00F103E8">
        <w:t xml:space="preserve">of </w:t>
      </w:r>
      <w:r w:rsidRPr="00E7031F">
        <w:t xml:space="preserve">0.015 (0.014 for the entire warm season). This consistency further indicates that the initiation of QS MCSs in the middle reaches of the YRB is mainly caused by local thermodynamic effects and varies little in different </w:t>
      </w:r>
      <w:r w:rsidR="00F103E8">
        <w:t>months</w:t>
      </w:r>
      <w:r w:rsidRPr="00E7031F">
        <w:t xml:space="preserve">. For the OM MCSs, the spatial distribution of initiation in June and July (Fig. 5d) exhibits some differences compared with that of the entire warm season (Fig. 5b). Over </w:t>
      </w:r>
      <w:r w:rsidR="00F103E8">
        <w:t xml:space="preserve">the </w:t>
      </w:r>
      <w:r w:rsidRPr="00E7031F">
        <w:t>Po-Yang Lake Plain, the maximum probability density increases from 0.017 to 0.022, indicating that in June and July, OM MCSs are more likely to be initiated over the plain areas. In addition, the probability density contours extend from the maximum over Po-Yang Lake to the southwest along the Luo-Xiao Mountains and to the southeast along the Wu-Yi Mountains in the entire warm season, showing close relations</w:t>
      </w:r>
      <w:r w:rsidR="008C52B7">
        <w:t>hips</w:t>
      </w:r>
      <w:r w:rsidRPr="00E7031F">
        <w:t xml:space="preserve"> to orographic effects, but in June and July, the probability density contours show </w:t>
      </w:r>
      <w:r w:rsidR="00F103E8">
        <w:t>fewer</w:t>
      </w:r>
      <w:r w:rsidRPr="00E7031F">
        <w:t xml:space="preserve"> extensions outward from the maximum center, indicating that the initiation of OM MCSs is less related to the terrain in June and July.</w:t>
      </w:r>
    </w:p>
    <w:p w14:paraId="03965117" w14:textId="4E34E2B5" w:rsidR="00F2310E" w:rsidRDefault="00F103E8" w:rsidP="007D09AE">
      <w:pPr>
        <w:adjustRightInd w:val="0"/>
        <w:snapToGrid w:val="0"/>
        <w:spacing w:beforeLines="100" w:before="326"/>
        <w:ind w:firstLineChars="0" w:firstLine="0"/>
        <w:rPr>
          <w:rFonts w:cs="Times New Roman"/>
          <w:szCs w:val="24"/>
        </w:rPr>
      </w:pPr>
      <w:r>
        <w:rPr>
          <w:noProof/>
        </w:rPr>
        <w:lastRenderedPageBreak/>
        <w:drawing>
          <wp:inline distT="0" distB="0" distL="0" distR="0" wp14:anchorId="25DE018F" wp14:editId="50EE9EF1">
            <wp:extent cx="5274310" cy="4653280"/>
            <wp:effectExtent l="0" t="0" r="2540" b="0"/>
            <wp:docPr id="5" name="图片 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描述已自动生成"/>
                    <pic:cNvPicPr/>
                  </pic:nvPicPr>
                  <pic:blipFill>
                    <a:blip r:embed="rId13"/>
                    <a:stretch>
                      <a:fillRect/>
                    </a:stretch>
                  </pic:blipFill>
                  <pic:spPr>
                    <a:xfrm>
                      <a:off x="0" y="0"/>
                      <a:ext cx="5274310" cy="4653280"/>
                    </a:xfrm>
                    <a:prstGeom prst="rect">
                      <a:avLst/>
                    </a:prstGeom>
                  </pic:spPr>
                </pic:pic>
              </a:graphicData>
            </a:graphic>
          </wp:inline>
        </w:drawing>
      </w:r>
    </w:p>
    <w:p w14:paraId="0710070A" w14:textId="443FACCA" w:rsidR="003C5723" w:rsidRPr="00E7031F" w:rsidRDefault="00F103E8" w:rsidP="00C36005">
      <w:pPr>
        <w:pStyle w:val="21"/>
        <w:spacing w:before="163" w:after="326"/>
        <w:ind w:firstLineChars="0" w:firstLine="0"/>
      </w:pPr>
      <w:r w:rsidRPr="00C36005">
        <w:rPr>
          <w:rFonts w:hint="eastAsia"/>
          <w:b/>
          <w:bCs w:val="0"/>
        </w:rPr>
        <w:t>F</w:t>
      </w:r>
      <w:r w:rsidRPr="00C36005">
        <w:rPr>
          <w:b/>
          <w:bCs w:val="0"/>
        </w:rPr>
        <w:t>igure 5.</w:t>
      </w:r>
      <w:r w:rsidR="00D665A0" w:rsidRPr="00D665A0">
        <w:t xml:space="preserve"> The spatial distribution of initiation locations of QS MCSs during the entire warm season (a) and in July and August (c) and OM MCSs during the entire warm season (b) and in June and July (d). </w:t>
      </w:r>
      <w:r w:rsidRPr="00D665A0">
        <w:rPr>
          <w:rFonts w:hint="eastAsia"/>
        </w:rPr>
        <w:t>T</w:t>
      </w:r>
      <w:r w:rsidR="00D665A0" w:rsidRPr="00D665A0">
        <w:t>he blue dots represent initiation locations, from which the spatial probability density is calculated and exhibited by the black contours. The red rectangle marks the middle reaches of the YRB. The gray shading represents terrain height (m).</w:t>
      </w:r>
    </w:p>
    <w:p w14:paraId="52172250" w14:textId="7D135575" w:rsidR="002734C2" w:rsidRPr="0057682F" w:rsidRDefault="00F103E8" w:rsidP="00652E9E">
      <w:pPr>
        <w:pStyle w:val="af0"/>
      </w:pPr>
      <w:r w:rsidRPr="0057682F">
        <w:t xml:space="preserve">3.3 </w:t>
      </w:r>
      <w:r w:rsidR="00050C01">
        <w:t xml:space="preserve">Features of </w:t>
      </w:r>
      <w:r w:rsidRPr="0057682F">
        <w:t>MCS</w:t>
      </w:r>
      <w:r w:rsidR="00050C01">
        <w:t>s’</w:t>
      </w:r>
      <w:r w:rsidRPr="0057682F">
        <w:t xml:space="preserve"> movement</w:t>
      </w:r>
    </w:p>
    <w:p w14:paraId="704DAF68" w14:textId="1B8A56A8" w:rsidR="002734C2" w:rsidRDefault="0057682F" w:rsidP="00652E9E">
      <w:pPr>
        <w:pStyle w:val="ParagraphText"/>
      </w:pPr>
      <w:r>
        <w:t>The moving velocity of an MCS between two consecutive times is calculated based on the centroid locations and the time interval. The average moving velocity of all times in the entire life cycle of an MCS is considered</w:t>
      </w:r>
      <w:r w:rsidR="008C52B7">
        <w:t xml:space="preserve"> to be</w:t>
      </w:r>
      <w:r>
        <w:t xml:space="preserve"> the bulk moving velocity of the MCS. In general, the speeds of OM MCSs are faster than those of QS MCSs (Fig. 6a). The movement of </w:t>
      </w:r>
      <w:r w:rsidR="00F103E8">
        <w:t xml:space="preserve">the </w:t>
      </w:r>
      <w:r>
        <w:t xml:space="preserve">MCS is regulated by the steering wind in the mid-lower troposphere </w:t>
      </w:r>
      <w:r>
        <w:fldChar w:fldCharType="begin"/>
      </w:r>
      <w:r w:rsidR="009B45C2">
        <w:instrText xml:space="preserve"> ADDIN ZOTERO_ITEM CSL_CITATION {"citationID":"1qGI4zm9","properties":{"formattedCitation":"(Rehbein et al., 2018)","plainCitation":"(Rehbein et al., 2018)","noteIndex":0},"citationItems":[{"id":585,"uris":["http://zotero.org/users/8730623/items/PLAW3HQ8"],"itemData":{"id":585,"type":"article-journal","abstract":"Mesoscale convective systems (MCSs) over the Amazon basin provide a large contribution to regional precipitation, which strongly influences the maintenance of unique ecosystems. Despite the importance of these MCSs, their characteristics are not well described in the literature. The present study uses a 14-year long (2000-2013) data set of high-resolution (4km; 30min) infrared satellite images to compile a climatology of MCSs that during the period of analysis were within the borders of the Amazon basin at some point in their lifespan. MCSs that originated over the continent and the ocean are considered separately. It is found that on average about 7200 continental and 50 oceanic MCSs occurred per year in the Amazon basin. The majority (minority) of continental (oceanic) MCSs completed their lifecycles between 3 and 5.5h. These MCSs are studied separately from those with lifespan longer than 6h. Continental and oceanic MCSs over the Amazon occurred primarily during austral summer and autumn-winter, respectively. The preferred regions and time for genesis of continental and oceanic MCSs are identified. The average area, propagation speed and direction of displacement for MCSs in the different stages of their lifecycle are also examined.","archive_location":"WOS:000419093600016","container-title":"INTERNATIONAL JOURNAL OF CLIMATOLOGY","DOI":"10.1002/joc.5171","ISSN":"0899-8418","issue":"1","note":"number: 1","page":"215-229","title":"Mesoscale convective systems over the Amazon basin. Part I: climatological aspects","volume":"38","author":[{"family":"Rehbein","given":"Amanda"},{"family":"Ambrizzi","given":"Tercio"},{"family":"Mechoso","given":"Carlos Roberto"}],"issued":{"date-parts":[["2018",1]]}}}],"schema":"https://github.com/citation-style-language/schema/raw/master/csl-citation.json"} </w:instrText>
      </w:r>
      <w:r>
        <w:fldChar w:fldCharType="separate"/>
      </w:r>
      <w:r w:rsidR="009B45C2" w:rsidRPr="009B45C2">
        <w:t>(Rehbein et al., 2018)</w:t>
      </w:r>
      <w:r>
        <w:fldChar w:fldCharType="end"/>
      </w:r>
      <w:r w:rsidR="00F103E8">
        <w:t>;</w:t>
      </w:r>
      <w:r w:rsidR="001F322C" w:rsidRPr="00E7031F">
        <w:t xml:space="preserve"> therefore</w:t>
      </w:r>
      <w:r w:rsidR="00F103E8">
        <w:t>,</w:t>
      </w:r>
      <w:r w:rsidR="001F322C" w:rsidRPr="00E7031F">
        <w:t xml:space="preserve"> both the QS and OM MCSs move faster in April and May and slower in June, July and August. The speeds of the QS (OM) </w:t>
      </w:r>
      <w:r w:rsidR="001F322C" w:rsidRPr="00E7031F">
        <w:lastRenderedPageBreak/>
        <w:t xml:space="preserve">MCSs are basically the same in July and August (June and July), indicating that the selection of </w:t>
      </w:r>
      <w:r w:rsidR="00F103E8">
        <w:t xml:space="preserve">a </w:t>
      </w:r>
      <w:r w:rsidR="001F322C" w:rsidRPr="00E7031F">
        <w:t xml:space="preserve">high occurrence period is reasonable. The speeds and directions of QS MCSs and OM MCSs in their high occurrence period are shown in Figs. 6 b and c. More than 80% of QS MCSs move at </w:t>
      </w:r>
      <w:r w:rsidR="00F103E8">
        <w:t xml:space="preserve">speeds </w:t>
      </w:r>
      <w:r w:rsidR="001F322C" w:rsidRPr="00E7031F">
        <w:t>of 0–45 km h</w:t>
      </w:r>
      <w:r w:rsidRPr="0057682F">
        <w:rPr>
          <w:vertAlign w:val="superscript"/>
        </w:rPr>
        <w:t>−1</w:t>
      </w:r>
      <w:r w:rsidRPr="00E7031F">
        <w:t xml:space="preserve">, and the highest proportion </w:t>
      </w:r>
      <w:r w:rsidR="00F103E8">
        <w:t>is located in</w:t>
      </w:r>
      <w:r w:rsidRPr="00E7031F">
        <w:t xml:space="preserve"> the range of 15–30 km h</w:t>
      </w:r>
      <w:r w:rsidRPr="0057682F">
        <w:rPr>
          <w:vertAlign w:val="superscript"/>
        </w:rPr>
        <w:t>−1</w:t>
      </w:r>
      <w:r w:rsidRPr="00E7031F">
        <w:t xml:space="preserve">, accounting for 44% of all QS MCSs. Most (more than 70%) OM MCSs move at </w:t>
      </w:r>
      <w:r w:rsidR="00F103E8">
        <w:t xml:space="preserve">speeds </w:t>
      </w:r>
      <w:r w:rsidRPr="00E7031F">
        <w:t>of 15–60 km h</w:t>
      </w:r>
      <w:r w:rsidRPr="0057682F">
        <w:rPr>
          <w:vertAlign w:val="superscript"/>
        </w:rPr>
        <w:t>−1</w:t>
      </w:r>
      <w:r w:rsidRPr="00E7031F">
        <w:t xml:space="preserve">, with the highest proportion </w:t>
      </w:r>
      <w:r w:rsidR="00F103E8">
        <w:t>in</w:t>
      </w:r>
      <w:r w:rsidRPr="00E7031F">
        <w:t xml:space="preserve"> the range of 30–45 km h</w:t>
      </w:r>
      <w:r w:rsidRPr="0057682F">
        <w:rPr>
          <w:vertAlign w:val="superscript"/>
        </w:rPr>
        <w:t>−1</w:t>
      </w:r>
      <w:r>
        <w:t>, accounting for 32%. The moving directions of the QS MCSs are relatively evenly distributed in all 8 directions in July and August with roughly similar proportions, which also indicates that the QS MCSs in July and August are less related to the activities of synoptic systems. The synoptic systems in the middle reaches of the YRB generally move east</w:t>
      </w:r>
      <w:r w:rsidR="008C52B7">
        <w:t>ward</w:t>
      </w:r>
      <w:r>
        <w:t xml:space="preserve"> </w:t>
      </w:r>
      <w:r>
        <w:fldChar w:fldCharType="begin"/>
      </w:r>
      <w:r w:rsidR="009B45C2">
        <w:instrText xml:space="preserve"> ADDIN ZOTERO_ITEM CSL_CITATION {"citationID":"c04lZBXn","properties":{"formattedCitation":"(Fu et al., 2011; Y. Zhang et al., 2018; Y. Zhang &amp; Sun, 2017)","plainCitation":"(Fu et al., 2011; Y. Zhang et al., 2018; Y. Zhang &amp; Sun, 2017)","noteIndex":0},"citationItems":[{"id":1799,"uris":["http://zotero.org/users/8730623/items/8QACQTM8"],"itemData":{"id":1799,"type":"article-journal","abstract":"Energy budgets were analyzed to study the development of an eastward propagating southwest vortex (SWV) associated with heavy rainfall over southern China (11–13 June 2008). The results show that kinetic energy (KE) generation and advection were the most important KE sources, while friction and sub-grid processes were the main KE sinks. There was downward conversion from divergent to rotational wind KE consistent with the downward stretching of SWVs. The Coriolis force was important for the formation and maintenance of the SWV. Convergence was also an important factor for maintenance, as was vertical motion during the mature stage of the SWV and the formation stage of a newly formed vortex (vortex B). The conversion from available potential energy (APE) to KE of divergent wind can lead to strong convection. Vertical motion influenced APE by dynamical and thermal processes which had opposite effects. The variation of APE was related to the heavy rainfall and convection; in this case, vertical motion with direct thermal circulation was the most important way in which APE was released, while latent heat release and vertical temperature advection were important for APE generation.","container-title":"Advances in Atmospheric Sciences","DOI":"10.1007/s00376-010-0026-z","ISSN":"1861-9533","issue":"3","journalAbbreviation":"Adv. Atmos. Sci.","language":"en","note":"number: 3","page":"709-724","source":"Springer Link","title":"The energy budget of a southwest vortex with heavy rainfall over south China","volume":"28","author":[{"family":"Fu","given":"Shenming"},{"family":"Sun","given":"Jianhua"},{"family":"Zhao","given":"Sixiong"},{"family":"Li","given":"Wanli"}],"issued":{"date-parts":[["2011",5,1]]}}},{"id":1947,"uris":["http://zotero.org/users/8730623/items/MW8KLFAN"],"itemData":{"id":1947,"type":"article-journal","abstract":"This study divides the Meiyu period (15 June–15 July) into three sub-periods according to the consecutive Meiyu precipitation days: TMY (typical Meiyu days; TMY), pre-TMY and post-TMY. It is shown that the eastward propagation and diurnal variations of precipitation during the three sub-periods are obviously different. The similar phase delay of precipitation from the eastern part of the Tibetan Plateau (TP) to the “second step” terrain during the three sub-periods is possibly caused by the propagation of precipitation systems originating from the eastern part of the TP, but the phase speed during the pre-TMY period is fastest due to the prevailing zonal wind speed. The precipitation continues to propagate eastward from the east of the “second step” terrain to the central Yangtze River valley during the pre-TMY and TMY periods, but the phase speed during the pre-TMY period is faster. During the post-TMY period, precipitation east of the “second step” terrain mainly appears in the afternoon. The diurnal variation of the horizontal wind anomaly and mountain–plain solenoid (MPS) circulations east of 110°E during the TMY period is more obvious than in the other two sub-periods. MPS circulations due to different terrain distributions are mainly responsible for forcing the diurnal cycles of precipitation over the TP and Sichuan Basin (SCB), but for the diurnal variation of precipitation over the Yangtze-Huai River Valley, MPS circulations coupled with the favorable synoptic patterns (Meiyu front) could intensify the precipitation and its diurnal cycles.","container-title":"Meteorology and Atmospheric Physics","DOI":"10.1007/s00703-016-0484-7","ISSN":"1436-5065","issue":"5","journalAbbreviation":"Meteorol Atmos Phys","language":"en","note":"number: 5","page":"539-554","source":"Springer Link","title":"Comparison of the diurnal variations of precipitation east of the Tibetan Plateau among sub-periods of Meiyu season","volume":"129","author":[{"family":"Zhang","given":"Yuanchun"},{"family":"Sun","given":"Jianhua"}],"issued":{"date-parts":[["2017",10,1]]}}},{"id":3205,"uris":["http://zotero.org/users/8730623/items/X3C9JXLV"],"itemData":{"id":3205,"type":"article-journal","abstract":"Abstract The structure and diurnal evolution of long-lived, eastward-propagating mesoscale convective vortices (MCVs) along typical summertime mei-yu fronts over the east China plains are investigated through composite analysis of a 30-day semi-idealized simulation. The simulation uses lateral boundary conditions that vary only diurnally in time using analyses of recurring MCV events during 1–10 July 2007. Hence, the behavior of convection and vorticity follows a closely repeating diurnal cycle for each day during the simulation. Assisted by the eastward extension of enhanced vorticity anomalies from the Sichuan basin, the incipient MCV forms in the morning hours over the immediate lee (east) of the central China mountain ranges (stage 1). From local afternoon to early evening, as the MCV moves over the plains, convection weakens in the daytime downward branch of the mountain–plains solenoid. This allows the upper-level and lower-level portions of the vortex to partially decouple, and for convection to shift to the east-southeast side of the surface vortex (stage 2). Immediately after sunset, convection reinvigorates above the low-level MCV center as a result of moistening and destabilization from a combination of radiative forcing and an intensified low-level jet. This intensifies the MCV to maturity (stage 3). The mature MCV eventually evolves into an occluding subsynoptic cyclone with strong convection across all sectors of the low-level vorticity center during the subsequent day’s morning hours along the east China coastal plains before it moves offshore (stage 4).","container-title":"Journal of the Atmospheric Sciences","DOI":"10.1175/JAS-D-17-0197.1","ISSN":"0022-4928, 1520-0469","issue":"3","language":"EN","note":"number: 3\npublisher: American Meteorological Society\nsection: Journal of the Atmospheric Sciences","page":"1005-1025","source":"journals.ametsoc.org","title":"Diurnal Evolution and Structure of Long-Lived Mesoscale Convective Vortices along the Mei-Yu Front over the East China Plains","volume":"75","author":[{"family":"Zhang","given":"Yuanchun"},{"family":"Zhang","given":"Fuqing"},{"family":"Davis","given":"Christopher A."},{"family":"Sun","given":"Jianhua"}],"issued":{"date-parts":[["2018",3,1]]}}}],"schema":"https://github.com/citation-style-language/schema/raw/master/csl-citation.json"} </w:instrText>
      </w:r>
      <w:r>
        <w:fldChar w:fldCharType="separate"/>
      </w:r>
      <w:r w:rsidR="009B45C2" w:rsidRPr="009B45C2">
        <w:t>(Fu et al., 2011a; Zhang et al., 2018; Zhang &amp; Sun, 2017)</w:t>
      </w:r>
      <w:r>
        <w:fldChar w:fldCharType="end"/>
      </w:r>
      <w:r w:rsidR="00A157FA" w:rsidRPr="00E7031F">
        <w:t xml:space="preserve">, resulting </w:t>
      </w:r>
      <w:r w:rsidR="00F103E8">
        <w:t>in</w:t>
      </w:r>
      <w:r w:rsidR="00A157FA" w:rsidRPr="00E7031F">
        <w:t xml:space="preserve"> more than 50% of OM MCSs </w:t>
      </w:r>
      <w:r w:rsidR="00F103E8">
        <w:t>moving</w:t>
      </w:r>
      <w:r w:rsidR="00A157FA" w:rsidRPr="00E7031F">
        <w:t xml:space="preserve"> </w:t>
      </w:r>
      <w:r w:rsidR="008C52B7">
        <w:t>eastward</w:t>
      </w:r>
      <w:r w:rsidR="00A157FA" w:rsidRPr="00E7031F">
        <w:t xml:space="preserve"> and no OM MCS </w:t>
      </w:r>
      <w:r w:rsidR="00F103E8">
        <w:t>moving</w:t>
      </w:r>
      <w:r w:rsidR="00A157FA" w:rsidRPr="00E7031F">
        <w:t xml:space="preserve"> north or northwest</w:t>
      </w:r>
      <w:r w:rsidR="008C52B7">
        <w:t>ward</w:t>
      </w:r>
      <w:r w:rsidR="00A157FA" w:rsidRPr="00E7031F">
        <w:t>.</w:t>
      </w:r>
    </w:p>
    <w:p w14:paraId="14FE26CA" w14:textId="49327A73" w:rsidR="00F2310E" w:rsidRDefault="00F103E8" w:rsidP="007D09AE">
      <w:pPr>
        <w:adjustRightInd w:val="0"/>
        <w:snapToGrid w:val="0"/>
        <w:spacing w:beforeLines="100" w:before="326"/>
        <w:ind w:firstLineChars="0" w:firstLine="0"/>
        <w:rPr>
          <w:rFonts w:cs="Times New Roman"/>
          <w:szCs w:val="24"/>
        </w:rPr>
      </w:pPr>
      <w:r>
        <w:rPr>
          <w:noProof/>
        </w:rPr>
        <w:drawing>
          <wp:inline distT="0" distB="0" distL="0" distR="0" wp14:anchorId="6D547524" wp14:editId="5C1ECE01">
            <wp:extent cx="5274310" cy="2082996"/>
            <wp:effectExtent l="0" t="0" r="2540" b="0"/>
            <wp:docPr id="7" name="图片 7"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直方图&#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b="11127"/>
                    <a:stretch>
                      <a:fillRect/>
                    </a:stretch>
                  </pic:blipFill>
                  <pic:spPr bwMode="auto">
                    <a:xfrm>
                      <a:off x="0" y="0"/>
                      <a:ext cx="5274310" cy="2082996"/>
                    </a:xfrm>
                    <a:prstGeom prst="rect">
                      <a:avLst/>
                    </a:prstGeom>
                    <a:noFill/>
                    <a:ln>
                      <a:noFill/>
                    </a:ln>
                    <a:extLst>
                      <a:ext uri="{53640926-AAD7-44D8-BBD7-CCE9431645EC}">
                        <a14:shadowObscured xmlns:a14="http://schemas.microsoft.com/office/drawing/2010/main"/>
                      </a:ext>
                    </a:extLst>
                  </pic:spPr>
                </pic:pic>
              </a:graphicData>
            </a:graphic>
          </wp:inline>
        </w:drawing>
      </w:r>
    </w:p>
    <w:p w14:paraId="54D51040" w14:textId="5B863CB1" w:rsidR="00077834" w:rsidRPr="00091230" w:rsidRDefault="00F103E8" w:rsidP="00843ADA">
      <w:pPr>
        <w:pStyle w:val="21"/>
        <w:spacing w:before="163" w:after="326"/>
        <w:ind w:firstLineChars="0" w:firstLine="0"/>
      </w:pPr>
      <w:r w:rsidRPr="00843ADA">
        <w:rPr>
          <w:rFonts w:hint="eastAsia"/>
          <w:b/>
          <w:bCs w:val="0"/>
        </w:rPr>
        <w:t>F</w:t>
      </w:r>
      <w:r w:rsidRPr="00843ADA">
        <w:rPr>
          <w:b/>
          <w:bCs w:val="0"/>
        </w:rPr>
        <w:t>igure 6</w:t>
      </w:r>
      <w:r>
        <w:t>. Box</w:t>
      </w:r>
      <w:r w:rsidR="00FC47AB" w:rsidRPr="00091230">
        <w:t>-and-whisker plot of MCS speed (a, km h</w:t>
      </w:r>
      <w:r w:rsidR="00FC47AB" w:rsidRPr="00091230">
        <w:rPr>
          <w:vertAlign w:val="superscript"/>
        </w:rPr>
        <w:t>−1</w:t>
      </w:r>
      <w:r w:rsidR="00091230" w:rsidRPr="00091230">
        <w:t xml:space="preserve">) during the warm seasons of 2018–2021 (a). The upper and lower edges (caps) of the boxes (whiskers) in the box-and-whisker plot represent the 3rd and 1st quartiles (95th and 5th percentiles), respectively. The black (blue) dashes inside boxes represent the medians (mean </w:t>
      </w:r>
      <w:r w:rsidR="00091230" w:rsidRPr="00091230">
        <w:rPr>
          <w:rFonts w:hint="eastAsia"/>
        </w:rPr>
        <w:t>value</w:t>
      </w:r>
      <w:r w:rsidR="0046110D" w:rsidRPr="00091230">
        <w:t xml:space="preserve">s). </w:t>
      </w:r>
      <w:r w:rsidR="008C52B7">
        <w:t>H</w:t>
      </w:r>
      <w:r w:rsidR="0046110D" w:rsidRPr="00091230">
        <w:t>istograms of MCS mov</w:t>
      </w:r>
      <w:r w:rsidR="008C52B7">
        <w:t>ement</w:t>
      </w:r>
      <w:r w:rsidR="0046110D" w:rsidRPr="00091230">
        <w:t xml:space="preserve"> speed</w:t>
      </w:r>
      <w:r w:rsidR="008C52B7">
        <w:t>s</w:t>
      </w:r>
      <w:r w:rsidR="0046110D" w:rsidRPr="00091230">
        <w:t xml:space="preserve"> (b, km h</w:t>
      </w:r>
      <w:r w:rsidR="0046110D" w:rsidRPr="00091230">
        <w:rPr>
          <w:vertAlign w:val="superscript"/>
        </w:rPr>
        <w:t>−1</w:t>
      </w:r>
      <w:r w:rsidR="0046110D" w:rsidRPr="00091230">
        <w:t>) and direction</w:t>
      </w:r>
      <w:r w:rsidR="008C52B7">
        <w:t>s</w:t>
      </w:r>
      <w:r w:rsidR="0046110D" w:rsidRPr="00091230">
        <w:t xml:space="preserve"> (c) in the high occurrence period.</w:t>
      </w:r>
    </w:p>
    <w:p w14:paraId="610324F6" w14:textId="38E8AE95" w:rsidR="00A157FA" w:rsidRPr="0057682F" w:rsidRDefault="00F103E8" w:rsidP="00652E9E">
      <w:pPr>
        <w:pStyle w:val="af0"/>
      </w:pPr>
      <w:r w:rsidRPr="0057682F">
        <w:t>3.4 Duration, maximum extent and lowest temperature of MCSs</w:t>
      </w:r>
    </w:p>
    <w:p w14:paraId="6BB9F7BA" w14:textId="0B934FC7" w:rsidR="00A157FA" w:rsidRPr="00E7031F" w:rsidRDefault="002245D3" w:rsidP="00652E9E">
      <w:pPr>
        <w:pStyle w:val="ParagraphText"/>
      </w:pPr>
      <w:r w:rsidRPr="00E7031F">
        <w:t xml:space="preserve">The duration and maximum extent represent the temporal-spatial scale of an MCS, and the lowest brightness temperature may reflect the intensity of the strongest convection in the MCS. In this section, box-and-whisker plots are applied to examine </w:t>
      </w:r>
      <w:r w:rsidRPr="00E7031F">
        <w:lastRenderedPageBreak/>
        <w:t>the distributions of the three features in the entire warm season (Figs. 7 a, d and g). Then</w:t>
      </w:r>
      <w:r w:rsidR="00F103E8">
        <w:t>,</w:t>
      </w:r>
      <w:r w:rsidRPr="00E7031F">
        <w:t xml:space="preserve"> the proportion distributions (Figs. 7 b, e and h) and the pairwise relationships (Figs. 7 c, f and i) of these features in </w:t>
      </w:r>
      <w:r w:rsidR="00F103E8">
        <w:t xml:space="preserve">the </w:t>
      </w:r>
      <w:r w:rsidRPr="00E7031F">
        <w:t>high occurrence period (July and August for the QS MCSs and June and July for the OM MCSs) are analyzed.</w:t>
      </w:r>
    </w:p>
    <w:p w14:paraId="6B51B215" w14:textId="2BF48C7E" w:rsidR="000C5044" w:rsidRPr="00E7031F" w:rsidRDefault="00B24F7C" w:rsidP="00652E9E">
      <w:pPr>
        <w:pStyle w:val="ParagraphText"/>
      </w:pPr>
      <w:r w:rsidRPr="00B24F7C">
        <w:t>Basically, the OM MCSs last longer than the QS MCSs (Fig. 7 a). The QS MCSs mainly last for 5–10 h, with no significant variations between different months. The OM MCSs in June last longer than those in other months, with an average duration of ~20 h. The maximum extents of QS MCSs are mainly smaller than 5×10</w:t>
      </w:r>
      <w:r w:rsidRPr="00B24F7C">
        <w:rPr>
          <w:vertAlign w:val="superscript"/>
        </w:rPr>
        <w:t>4</w:t>
      </w:r>
      <w:r w:rsidR="00F103E8" w:rsidRPr="00B24F7C">
        <w:t xml:space="preserve"> km</w:t>
      </w:r>
      <w:r w:rsidR="00F103E8" w:rsidRPr="00B24F7C">
        <w:rPr>
          <w:vertAlign w:val="superscript"/>
        </w:rPr>
        <w:t>2</w:t>
      </w:r>
      <w:r w:rsidRPr="00B24F7C">
        <w:t>, while those of OM MCSs are mostly between 2×10</w:t>
      </w:r>
      <w:r w:rsidRPr="00B24F7C">
        <w:rPr>
          <w:vertAlign w:val="superscript"/>
        </w:rPr>
        <w:t>4</w:t>
      </w:r>
      <w:r w:rsidRPr="00B24F7C">
        <w:t xml:space="preserve"> km</w:t>
      </w:r>
      <w:r w:rsidRPr="00B24F7C">
        <w:rPr>
          <w:vertAlign w:val="superscript"/>
        </w:rPr>
        <w:t>2</w:t>
      </w:r>
      <w:r w:rsidRPr="00B24F7C">
        <w:t xml:space="preserve"> and 1.5×10</w:t>
      </w:r>
      <w:r>
        <w:rPr>
          <w:vertAlign w:val="superscript"/>
        </w:rPr>
        <w:t>5</w:t>
      </w:r>
      <w:r w:rsidRPr="00B24F7C">
        <w:t xml:space="preserve"> km</w:t>
      </w:r>
      <w:r w:rsidRPr="00B24F7C">
        <w:rPr>
          <w:vertAlign w:val="superscript"/>
        </w:rPr>
        <w:t>2</w:t>
      </w:r>
      <w:r w:rsidR="00CF07C7">
        <w:t xml:space="preserve"> and vary from month to month. The lowest temperature shows </w:t>
      </w:r>
      <w:r w:rsidR="00F103E8">
        <w:t xml:space="preserve">a </w:t>
      </w:r>
      <w:r w:rsidR="00CF07C7">
        <w:t xml:space="preserve">similar distribution between the QS MCSs and the OM MCSs with an average value </w:t>
      </w:r>
      <w:r w:rsidR="00F103E8">
        <w:t>of approximately</w:t>
      </w:r>
      <w:r w:rsidR="00CF07C7">
        <w:t xml:space="preserve"> 190 K. The mechanisms of initiation and development of QS MCSs are related to the local thermodynamic effects, resulting </w:t>
      </w:r>
      <w:r w:rsidR="00F103E8">
        <w:t xml:space="preserve">in </w:t>
      </w:r>
      <w:r w:rsidR="00CF07C7">
        <w:t xml:space="preserve">little difference </w:t>
      </w:r>
      <w:r w:rsidR="00F103E8">
        <w:t>in</w:t>
      </w:r>
      <w:r w:rsidR="00CF07C7">
        <w:t xml:space="preserve"> duration and maximum extent between months. However, OM MCSs are mainly caused by synoptic systems </w:t>
      </w:r>
      <w:r w:rsidR="00F103E8">
        <w:t>that</w:t>
      </w:r>
      <w:r w:rsidR="00CF07C7">
        <w:t xml:space="preserve"> vary in different months in the middle reaches of the YRB </w:t>
      </w:r>
      <w:r w:rsidR="00CF07C7">
        <w:fldChar w:fldCharType="begin"/>
      </w:r>
      <w:r w:rsidR="009B45C2">
        <w:instrText xml:space="preserve"> ADDIN ZOTERO_ITEM CSL_CITATION {"citationID":"JC1eJi3t","properties":{"formattedCitation":"(Wang et al., 2021b; \\uc0\\u23385{} et al., 2018)","plainCitation":"(Wang et al., 2021b; </w:instrText>
      </w:r>
      <w:r w:rsidR="009B45C2">
        <w:rPr>
          <w:rFonts w:ascii="宋体" w:eastAsia="宋体" w:hAnsi="宋体" w:cs="宋体" w:hint="eastAsia"/>
        </w:rPr>
        <w:instrText>孙</w:instrText>
      </w:r>
      <w:r w:rsidR="009B45C2">
        <w:instrText xml:space="preserve"> et al., 2018)","noteIndex":0},"citationItems":[{"id":180,"uris":["http://zotero.org/users/8730623/items/MZ2PUEZ2"],"itemData":{"id":180,"type":"article-journal","abstract":"</w:instrText>
      </w:r>
      <w:r w:rsidR="009B45C2">
        <w:rPr>
          <w:rFonts w:ascii="宋体" w:eastAsia="宋体" w:hAnsi="宋体" w:cs="宋体" w:hint="eastAsia"/>
        </w:rPr>
        <w:instrText>本文对江淮流域持续性暴雨事件</w:instrText>
      </w:r>
      <w:r w:rsidR="009B45C2">
        <w:instrText>(PHREs)</w:instrText>
      </w:r>
      <w:r w:rsidR="009B45C2">
        <w:rPr>
          <w:rFonts w:ascii="宋体" w:eastAsia="宋体" w:hAnsi="宋体" w:cs="宋体" w:hint="eastAsia"/>
        </w:rPr>
        <w:instrText>的多尺度物理模型和能量转换特征以及青藏高原东部对流系统东移影响下游地区降水的研究成果进行了总结。从欧亚大陆</w:instrText>
      </w:r>
      <w:r w:rsidR="009B45C2">
        <w:instrText>Rossby</w:instrText>
      </w:r>
      <w:r w:rsidR="009B45C2">
        <w:rPr>
          <w:rFonts w:ascii="宋体" w:eastAsia="宋体" w:hAnsi="宋体" w:cs="宋体" w:hint="eastAsia"/>
        </w:rPr>
        <w:instrText>波列能量频散的角度揭示了江淮流域</w:instrText>
      </w:r>
      <w:r w:rsidR="009B45C2">
        <w:instrText>PHREs</w:instrText>
      </w:r>
      <w:r w:rsidR="009B45C2">
        <w:rPr>
          <w:rFonts w:ascii="宋体" w:eastAsia="宋体" w:hAnsi="宋体" w:cs="宋体" w:hint="eastAsia"/>
        </w:rPr>
        <w:instrText>中纬度系统槽脊稳定的机制</w:instrText>
      </w:r>
      <w:r w:rsidR="009B45C2">
        <w:instrText>,</w:instrText>
      </w:r>
      <w:r w:rsidR="009B45C2">
        <w:rPr>
          <w:rFonts w:ascii="宋体" w:eastAsia="宋体" w:hAnsi="宋体" w:cs="宋体" w:hint="eastAsia"/>
        </w:rPr>
        <w:instrText>定量分析了冷暖空气的源地和输送路径</w:instrText>
      </w:r>
      <w:r w:rsidR="009B45C2">
        <w:instrText>,</w:instrText>
      </w:r>
      <w:r w:rsidR="009B45C2">
        <w:rPr>
          <w:rFonts w:ascii="宋体" w:eastAsia="宋体" w:hAnsi="宋体" w:cs="宋体" w:hint="eastAsia"/>
        </w:rPr>
        <w:instrText>提出了江南型和江北型</w:instrText>
      </w:r>
      <w:r w:rsidR="009B45C2">
        <w:instrText>PHREs</w:instrText>
      </w:r>
      <w:r w:rsidR="009B45C2">
        <w:rPr>
          <w:rFonts w:ascii="宋体" w:eastAsia="宋体" w:hAnsi="宋体" w:cs="宋体" w:hint="eastAsia"/>
        </w:rPr>
        <w:instrText>的多尺度物理模型。从天气尺度和次天气尺度之间的能量转换角度呈现了不同尺度系统相互作用的物理图像</w:instrText>
      </w:r>
      <w:r w:rsidR="009B45C2">
        <w:instrText>,</w:instrText>
      </w:r>
      <w:r w:rsidR="009B45C2">
        <w:rPr>
          <w:rFonts w:ascii="宋体" w:eastAsia="宋体" w:hAnsi="宋体" w:cs="宋体" w:hint="eastAsia"/>
        </w:rPr>
        <w:instrText>指出背景场的能量供给是直接触发暴雨的次天气尺度系统维持的最重要因子</w:instrText>
      </w:r>
      <w:r w:rsidR="009B45C2">
        <w:instrText>,</w:instrText>
      </w:r>
      <w:r w:rsidR="009B45C2">
        <w:rPr>
          <w:rFonts w:ascii="宋体" w:eastAsia="宋体" w:hAnsi="宋体" w:cs="宋体" w:hint="eastAsia"/>
        </w:rPr>
        <w:instrText>尤其是在对流层的低层</w:instrText>
      </w:r>
      <w:r w:rsidR="009B45C2">
        <w:instrText>,</w:instrText>
      </w:r>
      <w:r w:rsidR="009B45C2">
        <w:rPr>
          <w:rFonts w:ascii="宋体" w:eastAsia="宋体" w:hAnsi="宋体" w:cs="宋体" w:hint="eastAsia"/>
        </w:rPr>
        <w:instrText>动能的降尺度级串</w:instrText>
      </w:r>
      <w:r w:rsidR="009B45C2">
        <w:instrText>(</w:instrText>
      </w:r>
      <w:r w:rsidR="009B45C2">
        <w:rPr>
          <w:rFonts w:ascii="宋体" w:eastAsia="宋体" w:hAnsi="宋体" w:cs="宋体" w:hint="eastAsia"/>
        </w:rPr>
        <w:instrText>即能量由背景场传递给次天气尺度系统</w:instrText>
      </w:r>
      <w:r w:rsidR="009B45C2">
        <w:instrText>)</w:instrText>
      </w:r>
      <w:r w:rsidR="009B45C2">
        <w:rPr>
          <w:rFonts w:ascii="宋体" w:eastAsia="宋体" w:hAnsi="宋体" w:cs="宋体" w:hint="eastAsia"/>
        </w:rPr>
        <w:instrText>最强。研究表明青藏高原东部对流系统东移影响江淮流域的降水是一系列天气系统配合和活跃的结果</w:instrText>
      </w:r>
      <w:r w:rsidR="009B45C2">
        <w:instrText>,</w:instrText>
      </w:r>
      <w:r w:rsidR="009B45C2">
        <w:rPr>
          <w:rFonts w:ascii="宋体" w:eastAsia="宋体" w:hAnsi="宋体" w:cs="宋体" w:hint="eastAsia"/>
        </w:rPr>
        <w:instrText>主要由青藏高原和四川盆地、二级地形和东部平原之间的热力环流、西南涡、二级地形以东中尺度涡旋和对流系统的共同影响。除了本文总结的内容</w:instrText>
      </w:r>
      <w:r w:rsidR="009B45C2">
        <w:instrText>,</w:instrText>
      </w:r>
      <w:r w:rsidR="009B45C2">
        <w:rPr>
          <w:rFonts w:ascii="宋体" w:eastAsia="宋体" w:hAnsi="宋体" w:cs="宋体" w:hint="eastAsia"/>
        </w:rPr>
        <w:instrText>还有一些影响</w:instrText>
      </w:r>
      <w:r w:rsidR="009B45C2">
        <w:instrText>PHREs</w:instrText>
      </w:r>
      <w:r w:rsidR="009B45C2">
        <w:rPr>
          <w:rFonts w:ascii="宋体" w:eastAsia="宋体" w:hAnsi="宋体" w:cs="宋体" w:hint="eastAsia"/>
        </w:rPr>
        <w:instrText>的因子值得深入研究</w:instrText>
      </w:r>
      <w:r w:rsidR="009B45C2">
        <w:instrText>,</w:instrText>
      </w:r>
      <w:r w:rsidR="009B45C2">
        <w:rPr>
          <w:rFonts w:ascii="宋体" w:eastAsia="宋体" w:hAnsi="宋体" w:cs="宋体" w:hint="eastAsia"/>
        </w:rPr>
        <w:instrText>多尺度相互作用中的</w:instrText>
      </w:r>
      <w:r w:rsidR="009B45C2">
        <w:instrText>Rossby</w:instrText>
      </w:r>
      <w:r w:rsidR="009B45C2">
        <w:rPr>
          <w:rFonts w:ascii="宋体" w:eastAsia="宋体" w:hAnsi="宋体" w:cs="宋体" w:hint="eastAsia"/>
        </w:rPr>
        <w:instrText>波源及其波列如何影响天气系统</w:instrText>
      </w:r>
      <w:r w:rsidR="009B45C2">
        <w:instrText>,</w:instrText>
      </w:r>
      <w:r w:rsidR="009B45C2">
        <w:rPr>
          <w:rFonts w:ascii="宋体" w:eastAsia="宋体" w:hAnsi="宋体" w:cs="宋体" w:hint="eastAsia"/>
        </w:rPr>
        <w:instrText>中尺度系统对其背景场的能量反馈等。</w:instrText>
      </w:r>
      <w:r w:rsidR="009B45C2">
        <w:instrText>","container-title":"</w:instrText>
      </w:r>
      <w:r w:rsidR="009B45C2">
        <w:rPr>
          <w:rFonts w:ascii="宋体" w:eastAsia="宋体" w:hAnsi="宋体" w:cs="宋体" w:hint="eastAsia"/>
        </w:rPr>
        <w:instrText>大气科学</w:instrText>
      </w:r>
      <w:r w:rsidR="009B45C2">
        <w:instrText>","ISSN":"1006-9895","issue":"04","language":"</w:instrText>
      </w:r>
      <w:r w:rsidR="009B45C2">
        <w:rPr>
          <w:rFonts w:ascii="宋体" w:eastAsia="宋体" w:hAnsi="宋体" w:cs="宋体" w:hint="eastAsia"/>
        </w:rPr>
        <w:instrText>中文</w:instrText>
      </w:r>
      <w:r w:rsidR="009B45C2">
        <w:instrText>;","note":"number: 04\n11 citations(CNKI)[2022-1-7]&lt;</w:instrText>
      </w:r>
      <w:r w:rsidR="009B45C2">
        <w:rPr>
          <w:rFonts w:ascii="宋体" w:eastAsia="宋体" w:hAnsi="宋体" w:cs="宋体" w:hint="eastAsia"/>
        </w:rPr>
        <w:instrText>北大核心</w:instrText>
      </w:r>
      <w:r w:rsidR="009B45C2">
        <w:instrText>, CSCD&gt;","page":"741-754","source":"CNKI","title":"</w:instrText>
      </w:r>
      <w:r w:rsidR="009B45C2">
        <w:rPr>
          <w:rFonts w:ascii="宋体" w:eastAsia="宋体" w:hAnsi="宋体" w:cs="宋体" w:hint="eastAsia"/>
        </w:rPr>
        <w:instrText>江淮流域持续性强降水过程的多尺度物理模型</w:instrText>
      </w:r>
      <w:r w:rsidR="009B45C2">
        <w:instrText>","volume":"42","author":[{"family":"</w:instrText>
      </w:r>
      <w:r w:rsidR="009B45C2">
        <w:rPr>
          <w:rFonts w:ascii="宋体" w:eastAsia="宋体" w:hAnsi="宋体" w:cs="宋体" w:hint="eastAsia"/>
        </w:rPr>
        <w:instrText>孙</w:instrText>
      </w:r>
      <w:r w:rsidR="009B45C2">
        <w:instrText>","given":"</w:instrText>
      </w:r>
      <w:r w:rsidR="009B45C2">
        <w:rPr>
          <w:rFonts w:ascii="宋体" w:eastAsia="宋体" w:hAnsi="宋体" w:cs="宋体" w:hint="eastAsia"/>
        </w:rPr>
        <w:instrText>建华</w:instrText>
      </w:r>
      <w:r w:rsidR="009B45C2">
        <w:instrText>"},{"family":"</w:instrText>
      </w:r>
      <w:r w:rsidR="009B45C2">
        <w:rPr>
          <w:rFonts w:ascii="宋体" w:eastAsia="宋体" w:hAnsi="宋体" w:cs="宋体" w:hint="eastAsia"/>
        </w:rPr>
        <w:instrText>卫</w:instrText>
      </w:r>
      <w:r w:rsidR="009B45C2">
        <w:instrText>","given":"</w:instrText>
      </w:r>
      <w:r w:rsidR="009B45C2">
        <w:rPr>
          <w:rFonts w:ascii="宋体" w:eastAsia="宋体" w:hAnsi="宋体" w:cs="宋体" w:hint="eastAsia"/>
        </w:rPr>
        <w:instrText>捷</w:instrText>
      </w:r>
      <w:r w:rsidR="009B45C2">
        <w:instrText>"},{"family":"</w:instrText>
      </w:r>
      <w:r w:rsidR="009B45C2">
        <w:rPr>
          <w:rFonts w:ascii="宋体" w:eastAsia="宋体" w:hAnsi="宋体" w:cs="宋体" w:hint="eastAsia"/>
        </w:rPr>
        <w:instrText>傅</w:instrText>
      </w:r>
      <w:r w:rsidR="009B45C2">
        <w:instrText>","given":"</w:instrText>
      </w:r>
      <w:r w:rsidR="009B45C2">
        <w:rPr>
          <w:rFonts w:ascii="宋体" w:eastAsia="宋体" w:hAnsi="宋体" w:cs="宋体" w:hint="eastAsia"/>
        </w:rPr>
        <w:instrText>慎明</w:instrText>
      </w:r>
      <w:r w:rsidR="009B45C2">
        <w:instrText>"},{"family":"</w:instrText>
      </w:r>
      <w:r w:rsidR="009B45C2">
        <w:rPr>
          <w:rFonts w:ascii="宋体" w:eastAsia="宋体" w:hAnsi="宋体" w:cs="宋体" w:hint="eastAsia"/>
        </w:rPr>
        <w:instrText>张</w:instrText>
      </w:r>
      <w:r w:rsidR="009B45C2">
        <w:instrText>","given":"</w:instrText>
      </w:r>
      <w:r w:rsidR="009B45C2">
        <w:rPr>
          <w:rFonts w:ascii="宋体" w:eastAsia="宋体" w:hAnsi="宋体" w:cs="宋体" w:hint="eastAsia"/>
        </w:rPr>
        <w:instrText>元春</w:instrText>
      </w:r>
      <w:r w:rsidR="009B45C2">
        <w:instrText>"},{"family":"</w:instrText>
      </w:r>
      <w:r w:rsidR="009B45C2">
        <w:rPr>
          <w:rFonts w:ascii="宋体" w:eastAsia="宋体" w:hAnsi="宋体" w:cs="宋体" w:hint="eastAsia"/>
        </w:rPr>
        <w:instrText>汪</w:instrText>
      </w:r>
      <w:r w:rsidR="009B45C2">
        <w:instrText>","given":"</w:instrText>
      </w:r>
      <w:r w:rsidR="009B45C2">
        <w:rPr>
          <w:rFonts w:ascii="宋体" w:eastAsia="宋体" w:hAnsi="宋体" w:cs="宋体" w:hint="eastAsia"/>
        </w:rPr>
        <w:instrText>汇洁</w:instrText>
      </w:r>
      <w:r w:rsidR="009B45C2">
        <w:instrText xml:space="preserve">"}],"issued":{"date-parts":[["2018"]]}},"label":"page"},{"id":1638,"uris":["http://zotero.org/users/8730623/items/UCQX5LQY"],"itemData":{"id":1638,"type":"article-journal","abstract":"Persistent heavy rainfall events (PHREs) over the Yangtze–Huaihe River Valley (YHRV) during 1981–2020 are classified into three types (type-A, type-B and type-C) according to pattern correlation. The characteristics of the synoptic systems for the PHREs and their possible development mechanisms are investigated. The anomalous cyclonic disturbance over the southern part of the YHRV during type-A events is primarily maintained and intensified by the propagation of Rossby wave energy originating from the northeast Atlantic in the mid–upper troposphere and the northward propagation of Rossby wave packets from the western Pacific in the mid–lower troposphere. The zonal propagation of Rossby wave packets and the northward propagation of Rossby wave packets during type-B events are more coherent than those for type-A events, which induces eastward propagation of stronger anomaly centers of geopotential height from the northeast Atlantic Ocean to the YHRV and a meridional anomaly in geopotential height over the Asian continent. Type-C events have “two ridges and one trough” in the high latitudes of the Eurasian continent, but the anomalous intensity of the western Pacific subtropical high (WPSH) and the trough of the YHRV region are weaker than those for type-A and type-B events. The composite synoptic circulation of four PHREs in 2020 is basically consistent with that of the corresponding PHRE type. The location of the South Asian high (SAH) in three of the PHREs in 2020 moves eastward as in the composite of the three types, but the position of the WPSH of the four PHREs is clearly westward and northward. Two water vapor conveyor belts and two cold air conveyor belts are tracked during the four PHREs in 2020, but the water vapor path from the western Pacific is not seen, which may be caused by the westward extension of the WPSH.","container-title":"Advances in Atmospheric Sciences","DOI":"10.1007/s00376-021-1194-8","ISSN":"1861-9533","issue":"12","journalAbbreviation":"Adv. Atmos. Sci.","language":"en","note":"number: 12","page":"2167-2182","source":"Springer Link","title":"Typical Circulation Patterns and Associated Mechanisms for Persistent Heavy Rainfall Events over Yangtze-Huaihe River Valley during 1981–2020","volume":"38","author":[{"family":"Wang","given":"Huijie"},{"family":"Sun","given":"Jianhua"},{"family":"Fu","given":"Shenming"},{"family":"Zhang","given":"Yuanchun"}],"issued":{"date-parts":[["2021",12,1]]}},"label":"page"}],"schema":"https://github.com/citation-style-language/schema/raw/master/csl-citation.json"} </w:instrText>
      </w:r>
      <w:r w:rsidR="00CF07C7">
        <w:fldChar w:fldCharType="separate"/>
      </w:r>
      <w:r w:rsidR="009B45C2" w:rsidRPr="009B45C2">
        <w:rPr>
          <w:szCs w:val="24"/>
        </w:rPr>
        <w:t>(Wang et al., 2021; Sun et al., 2018)</w:t>
      </w:r>
      <w:r w:rsidR="00CF07C7">
        <w:fldChar w:fldCharType="end"/>
      </w:r>
      <w:r w:rsidR="007A43D9" w:rsidRPr="00E7031F">
        <w:t xml:space="preserve">, leading to complexity in </w:t>
      </w:r>
      <w:r w:rsidR="00F103E8">
        <w:t xml:space="preserve">the </w:t>
      </w:r>
      <w:r w:rsidR="007A43D9" w:rsidRPr="00E7031F">
        <w:t>mechanisms of the initiation and development of OM MCSs</w:t>
      </w:r>
      <w:r w:rsidR="0018153E">
        <w:t>,</w:t>
      </w:r>
      <w:r w:rsidR="007A43D9" w:rsidRPr="00E7031F">
        <w:t xml:space="preserve"> further resulting in differences in duration and maximum extent between months.</w:t>
      </w:r>
    </w:p>
    <w:p w14:paraId="4CCD87BE" w14:textId="1051DCD7" w:rsidR="007A43D9" w:rsidRPr="00E7031F" w:rsidRDefault="00CF07C7" w:rsidP="00652E9E">
      <w:pPr>
        <w:pStyle w:val="ParagraphText"/>
      </w:pPr>
      <w:r w:rsidRPr="00B24F7C">
        <w:t>In July and August, nearly 40% of QS MCSs last 6–9 h and 30% last 3–6 h. In June and July, more than 60% of OM MCSs last 6–15 h, with ~20% of each 3-h interval. The maximum extents of QS MCSs in July and August are mainly 5×10</w:t>
      </w:r>
      <w:r>
        <w:rPr>
          <w:vertAlign w:val="superscript"/>
        </w:rPr>
        <w:t>3</w:t>
      </w:r>
      <w:r w:rsidRPr="00B24F7C">
        <w:t>–3×10</w:t>
      </w:r>
      <w:r w:rsidRPr="00B24F7C">
        <w:rPr>
          <w:vertAlign w:val="superscript"/>
        </w:rPr>
        <w:t>4</w:t>
      </w:r>
      <w:r w:rsidRPr="00B24F7C">
        <w:t xml:space="preserve"> km</w:t>
      </w:r>
      <w:r w:rsidRPr="00B24F7C">
        <w:rPr>
          <w:vertAlign w:val="superscript"/>
        </w:rPr>
        <w:t>2</w:t>
      </w:r>
      <w:r w:rsidRPr="00B24F7C">
        <w:t xml:space="preserve">, accounting for more than 60%, while the maximum extents of the OM MCSs in June and July </w:t>
      </w:r>
      <w:r w:rsidR="00F103E8">
        <w:t>are distributed</w:t>
      </w:r>
      <w:r w:rsidRPr="00B24F7C">
        <w:t xml:space="preserve"> evenly in the 5×10</w:t>
      </w:r>
      <w:r>
        <w:rPr>
          <w:vertAlign w:val="superscript"/>
        </w:rPr>
        <w:t>3</w:t>
      </w:r>
      <w:r w:rsidRPr="00B24F7C">
        <w:t>–3×10</w:t>
      </w:r>
      <w:r w:rsidRPr="00B24F7C">
        <w:rPr>
          <w:vertAlign w:val="superscript"/>
        </w:rPr>
        <w:t>4</w:t>
      </w:r>
      <w:r w:rsidRPr="00B24F7C">
        <w:t xml:space="preserve"> km</w:t>
      </w:r>
      <w:r w:rsidRPr="00B24F7C">
        <w:rPr>
          <w:vertAlign w:val="superscript"/>
        </w:rPr>
        <w:t>2</w:t>
      </w:r>
      <w:r w:rsidRPr="00B24F7C">
        <w:t>, 3×10</w:t>
      </w:r>
      <w:r w:rsidRPr="00B24F7C">
        <w:rPr>
          <w:vertAlign w:val="superscript"/>
        </w:rPr>
        <w:t>4</w:t>
      </w:r>
      <w:r w:rsidRPr="00B24F7C">
        <w:t>–5.5×10</w:t>
      </w:r>
      <w:r w:rsidRPr="00B24F7C">
        <w:rPr>
          <w:vertAlign w:val="superscript"/>
        </w:rPr>
        <w:t>4</w:t>
      </w:r>
      <w:r w:rsidR="0015449E" w:rsidRPr="00E7031F">
        <w:t xml:space="preserve"> km</w:t>
      </w:r>
      <w:r w:rsidR="0015449E" w:rsidRPr="00CF07C7">
        <w:rPr>
          <w:vertAlign w:val="superscript"/>
        </w:rPr>
        <w:t>2</w:t>
      </w:r>
      <w:r w:rsidRPr="00B24F7C">
        <w:t xml:space="preserve"> and 5.5×10</w:t>
      </w:r>
      <w:r w:rsidRPr="00B24F7C">
        <w:rPr>
          <w:vertAlign w:val="superscript"/>
        </w:rPr>
        <w:t>4</w:t>
      </w:r>
      <w:r w:rsidRPr="00B24F7C">
        <w:t>–8×10</w:t>
      </w:r>
      <w:r w:rsidRPr="00B24F7C">
        <w:rPr>
          <w:vertAlign w:val="superscript"/>
        </w:rPr>
        <w:t>4</w:t>
      </w:r>
      <w:r w:rsidR="0015449E" w:rsidRPr="00E7031F">
        <w:t xml:space="preserve"> km</w:t>
      </w:r>
      <w:r w:rsidR="0015449E" w:rsidRPr="00CF07C7">
        <w:rPr>
          <w:vertAlign w:val="superscript"/>
        </w:rPr>
        <w:t>2</w:t>
      </w:r>
      <w:r w:rsidR="0015449E" w:rsidRPr="00E7031F">
        <w:t xml:space="preserve"> intervals, with each accounting for ~20%. </w:t>
      </w:r>
      <w:r w:rsidR="00F103E8">
        <w:t xml:space="preserve">For </w:t>
      </w:r>
      <w:r w:rsidR="0015449E" w:rsidRPr="00E7031F">
        <w:t>the lowest temperature, half of the QS (OM) MCSs are 184–196 K (190–202 K) in July and August (June and July).</w:t>
      </w:r>
    </w:p>
    <w:p w14:paraId="3B1A99EB" w14:textId="5BC54A64" w:rsidR="0015449E" w:rsidRDefault="0018153E" w:rsidP="00652E9E">
      <w:pPr>
        <w:pStyle w:val="ParagraphText"/>
      </w:pPr>
      <w:r>
        <w:t>Based on</w:t>
      </w:r>
      <w:r w:rsidRPr="00E7031F">
        <w:t xml:space="preserve"> </w:t>
      </w:r>
      <w:r w:rsidR="00F97ECB" w:rsidRPr="00E7031F">
        <w:t xml:space="preserve">the above analysis, there are certain connections among the duration, maximum extent and lowest temperature of MCSs. The pairwise correlations of the three features in </w:t>
      </w:r>
      <w:r w:rsidR="00F103E8">
        <w:t xml:space="preserve">the </w:t>
      </w:r>
      <w:r w:rsidR="00F97ECB" w:rsidRPr="00E7031F">
        <w:t>high occurrence period are shown in Figs. 7 c, f and i. In general, the longer the durations of the MCSs</w:t>
      </w:r>
      <w:r w:rsidR="00F103E8">
        <w:t xml:space="preserve"> are</w:t>
      </w:r>
      <w:r w:rsidR="00F97ECB" w:rsidRPr="00E7031F">
        <w:t xml:space="preserve">, the larger the maximum extents and the colder the cloud tops. With the extension of duration, the maximum extent shows an enlarging trend (Fig. 7c), which is consistent between the QS type and the OM type. With the </w:t>
      </w:r>
      <w:r w:rsidR="00F103E8">
        <w:t>increase in</w:t>
      </w:r>
      <w:r w:rsidR="00F97ECB" w:rsidRPr="00E7031F">
        <w:t xml:space="preserve"> the maximum extent, the lowest temperature decreases (Fig. 7f), and that of </w:t>
      </w:r>
      <w:r w:rsidR="00F97ECB" w:rsidRPr="00E7031F">
        <w:lastRenderedPageBreak/>
        <w:t>the QS type decreases faster than that of the OM type. With increasing duration, the lowest temperature shows a deceasing trend (Fig. 7i), and that of the QS MCSs also decreases faster.</w:t>
      </w:r>
    </w:p>
    <w:p w14:paraId="10699A8D" w14:textId="3E5ABA43" w:rsidR="00F2310E" w:rsidRPr="00E7031F" w:rsidRDefault="00F103E8" w:rsidP="007D09AE">
      <w:pPr>
        <w:adjustRightInd w:val="0"/>
        <w:snapToGrid w:val="0"/>
        <w:spacing w:beforeLines="100" w:before="326"/>
        <w:ind w:firstLineChars="0" w:firstLine="0"/>
        <w:rPr>
          <w:rFonts w:cs="Times New Roman"/>
          <w:szCs w:val="24"/>
        </w:rPr>
      </w:pPr>
      <w:r>
        <w:rPr>
          <w:noProof/>
        </w:rPr>
        <w:drawing>
          <wp:inline distT="0" distB="0" distL="0" distR="0" wp14:anchorId="24D1D3CE" wp14:editId="20B75EB4">
            <wp:extent cx="5274310" cy="5859780"/>
            <wp:effectExtent l="0" t="0" r="2540" b="7620"/>
            <wp:docPr id="121322629"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2629" name="图片 1" descr="图表&#10;&#10;描述已自动生成"/>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274310" cy="5859780"/>
                    </a:xfrm>
                    <a:prstGeom prst="rect">
                      <a:avLst/>
                    </a:prstGeom>
                    <a:noFill/>
                    <a:ln>
                      <a:noFill/>
                    </a:ln>
                  </pic:spPr>
                </pic:pic>
              </a:graphicData>
            </a:graphic>
          </wp:inline>
        </w:drawing>
      </w:r>
    </w:p>
    <w:p w14:paraId="244889E9" w14:textId="02D60BC7" w:rsidR="00F9015B" w:rsidRPr="00E7031F" w:rsidRDefault="00F2310E" w:rsidP="001028E0">
      <w:pPr>
        <w:pStyle w:val="21"/>
        <w:spacing w:before="163" w:after="326"/>
        <w:ind w:firstLineChars="0" w:firstLine="0"/>
      </w:pPr>
      <w:r w:rsidRPr="001028E0">
        <w:rPr>
          <w:b/>
          <w:bCs w:val="0"/>
        </w:rPr>
        <w:t>Figure 7.</w:t>
      </w:r>
      <w:r w:rsidR="007766E7">
        <w:t xml:space="preserve"> </w:t>
      </w:r>
      <w:r w:rsidR="00825171" w:rsidRPr="007766E7">
        <w:rPr>
          <w:rFonts w:hint="eastAsia"/>
        </w:rPr>
        <w:t>T</w:t>
      </w:r>
      <w:r w:rsidR="005A5DA5" w:rsidRPr="00091230">
        <w:t xml:space="preserve">he box-and-whisker plots on the left are the duration (a), the maximum extent (d) and the lowest temperature (g) of MCSs during the entire warm seasons of 2018–2021. The upper and lower edges (caps) of the boxes (whiskers) in the box-and-whisker plot represent the 3rd and 1st quartiles (95th and 5th percentiles), respectively. The black (blue) dashes inside boxes represent the medians (mean </w:t>
      </w:r>
      <w:r w:rsidR="005A5DA5" w:rsidRPr="00091230">
        <w:rPr>
          <w:rFonts w:hint="eastAsia"/>
        </w:rPr>
        <w:t>value</w:t>
      </w:r>
      <w:r w:rsidR="007766E7" w:rsidRPr="007766E7">
        <w:t>s). The histograms of the central column are the proportion of the duration (b), the maximum extent (e) and the lowest temperature (h) of MCSs in high occurrence periods of 2018–</w:t>
      </w:r>
      <w:r w:rsidR="007766E7" w:rsidRPr="007766E7">
        <w:lastRenderedPageBreak/>
        <w:t>2021. The scatter plots on the right are the pairwise relationships between the duration and the maximum extent (c), the maximum extent and the lowest temperature (f), and the duration and the lowest temperature (i) in high occurrence periods of 2018–2021.</w:t>
      </w:r>
    </w:p>
    <w:p w14:paraId="4F8386C4" w14:textId="688E8883" w:rsidR="00F97ECB" w:rsidRPr="00B86079" w:rsidRDefault="00F103E8" w:rsidP="00652E9E">
      <w:pPr>
        <w:pStyle w:val="af0"/>
      </w:pPr>
      <w:r w:rsidRPr="00B86079">
        <w:t xml:space="preserve">3.5 Diurnal variation </w:t>
      </w:r>
      <w:r>
        <w:t>in</w:t>
      </w:r>
      <w:r w:rsidRPr="00B86079">
        <w:t xml:space="preserve"> maximum extent and lowest temperature</w:t>
      </w:r>
    </w:p>
    <w:p w14:paraId="3DB95046" w14:textId="53CBDEFF" w:rsidR="00F97ECB" w:rsidRPr="00E7031F" w:rsidRDefault="00A57381" w:rsidP="00652E9E">
      <w:pPr>
        <w:pStyle w:val="ParagraphText"/>
      </w:pPr>
      <w:r w:rsidRPr="00E7031F">
        <w:t xml:space="preserve">To investigate the diurnal variation </w:t>
      </w:r>
      <w:r w:rsidR="00F103E8">
        <w:t>in</w:t>
      </w:r>
      <w:r w:rsidRPr="00E7031F">
        <w:t xml:space="preserve"> the MCSs in the middle reaches of the YRB, the time when the maximum extent (lowest temperature) appears and the time span between MCS initiation and the maximum extent (lowest temperature) appearance are further examined. Since 58% of QS MCSs are initiated in July and August and 62% of OM </w:t>
      </w:r>
      <w:r w:rsidR="00F103E8">
        <w:t>MCSs</w:t>
      </w:r>
      <w:r w:rsidRPr="00E7031F">
        <w:t xml:space="preserve"> occur in June and July,</w:t>
      </w:r>
      <w:r w:rsidR="00F103E8">
        <w:t xml:space="preserve"> </w:t>
      </w:r>
      <w:r w:rsidRPr="00E7031F">
        <w:t xml:space="preserve">to highlight the difference between QS MCSs and OM MCSs, </w:t>
      </w:r>
      <w:r w:rsidR="00F103E8">
        <w:t xml:space="preserve">only </w:t>
      </w:r>
      <w:r w:rsidRPr="00E7031F">
        <w:t xml:space="preserve">MCSs in high occurrence </w:t>
      </w:r>
      <w:r w:rsidR="00F103E8">
        <w:t>periods</w:t>
      </w:r>
      <w:r w:rsidRPr="00E7031F">
        <w:t xml:space="preserve"> are analyzed</w:t>
      </w:r>
      <w:r w:rsidR="00F103E8">
        <w:t>,</w:t>
      </w:r>
      <w:r w:rsidRPr="00E7031F">
        <w:t xml:space="preserve"> and the results are shown in Fig. 8.</w:t>
      </w:r>
    </w:p>
    <w:p w14:paraId="6B449481" w14:textId="0E85B4E2" w:rsidR="00FA1EB1" w:rsidRDefault="00A67460" w:rsidP="00652E9E">
      <w:pPr>
        <w:pStyle w:val="ParagraphText"/>
      </w:pPr>
      <w:r w:rsidRPr="00E7031F">
        <w:t xml:space="preserve">In July and August, the initiation frequency of QS MCSs peaks in the afternoon (0600–0700 UTC, Fig. 8a, upper subplot), </w:t>
      </w:r>
      <w:r w:rsidR="00F103E8">
        <w:t xml:space="preserve">which is the </w:t>
      </w:r>
      <w:r w:rsidRPr="00E7031F">
        <w:t>same as the result from the entire warm season (Fig. 3a). In June and July, the initiation frequency of OM MCSs has two peaks, namely</w:t>
      </w:r>
      <w:r w:rsidR="00F103E8">
        <w:t>,</w:t>
      </w:r>
      <w:r w:rsidRPr="00E7031F">
        <w:t xml:space="preserve"> noon peak (0300–0500 UTC) and late-night peak (1800–2000 UTC, Fig. 8b, upper subplot). For the OM MCSs, compared with the result from the entire warm season (Fig. 3b), the proportions of MCS initiation during the noon peak (0300–0500 UTC) and the late-night peak (1800–2000 UTC) increase</w:t>
      </w:r>
      <w:r w:rsidR="00F103E8">
        <w:t>,</w:t>
      </w:r>
      <w:r w:rsidRPr="00E7031F">
        <w:t xml:space="preserve"> but that during </w:t>
      </w:r>
      <w:r w:rsidR="00F103E8">
        <w:t xml:space="preserve">the </w:t>
      </w:r>
      <w:r w:rsidRPr="00E7031F">
        <w:t>afternoon peak (0600–0700 UTC) decreases.</w:t>
      </w:r>
    </w:p>
    <w:p w14:paraId="08B5102B" w14:textId="2E17584C" w:rsidR="005D6721" w:rsidRPr="00E7031F" w:rsidRDefault="00F103E8" w:rsidP="00652E9E">
      <w:pPr>
        <w:pStyle w:val="ParagraphText"/>
      </w:pPr>
      <w:r w:rsidRPr="00E7031F">
        <w:t>In July and August, the lowest temperatures of QS MCSs mainly appear in the afternoon (0700–1100 UTC)</w:t>
      </w:r>
      <w:r>
        <w:t>,</w:t>
      </w:r>
      <w:r w:rsidRPr="00E7031F">
        <w:t xml:space="preserve"> with </w:t>
      </w:r>
      <w:r>
        <w:t>a</w:t>
      </w:r>
      <w:r w:rsidRPr="00E7031F">
        <w:t xml:space="preserve"> peak at 0800–0900 UTC (Fig. 8a, the main plot and the subplot on the right-hand</w:t>
      </w:r>
      <w:r>
        <w:t xml:space="preserve"> </w:t>
      </w:r>
      <w:r w:rsidRPr="00E7031F">
        <w:t>side). The surface solar heating is the strongest in the afternoon</w:t>
      </w:r>
      <w:r>
        <w:t>;</w:t>
      </w:r>
      <w:r w:rsidRPr="00E7031F">
        <w:t xml:space="preserve"> therefore</w:t>
      </w:r>
      <w:r>
        <w:t>,</w:t>
      </w:r>
      <w:r w:rsidRPr="00E7031F">
        <w:t xml:space="preserve"> convective activities are most vigorous during this time period. In June and July, the lowest temperatures of OM MCSs mainly appear in the afternoon and the evening, </w:t>
      </w:r>
      <w:r>
        <w:t>distributed</w:t>
      </w:r>
      <w:r w:rsidRPr="00E7031F">
        <w:t xml:space="preserve"> evenly during this time period without any obvious peak (Fig. 8b, the main plot and the subplot on the right-hand</w:t>
      </w:r>
      <w:r>
        <w:t xml:space="preserve"> </w:t>
      </w:r>
      <w:r w:rsidRPr="00E7031F">
        <w:t>side). As mentioned before, OM MCSs are mainly associated with synoptic circulation systems</w:t>
      </w:r>
      <w:r>
        <w:t>,</w:t>
      </w:r>
      <w:r w:rsidRPr="00E7031F">
        <w:t xml:space="preserve"> and the mechanisms for convection development are complicated, resulting </w:t>
      </w:r>
      <w:r>
        <w:t xml:space="preserve">in </w:t>
      </w:r>
      <w:r w:rsidRPr="00E7031F">
        <w:t>no obvious peak for the lowest temperature appearance. In July and August, the maximum extents of QS MCSs mainly appear in the evening (0900–1200 UTC, Fig. 8c, the main plot and the subplot on the right-hand</w:t>
      </w:r>
      <w:r>
        <w:t xml:space="preserve"> </w:t>
      </w:r>
      <w:r w:rsidRPr="00E7031F">
        <w:t xml:space="preserve">side), 1–2 h later </w:t>
      </w:r>
      <w:r>
        <w:t xml:space="preserve">than </w:t>
      </w:r>
      <w:r w:rsidRPr="00E7031F">
        <w:t xml:space="preserve">the appearance of the lowest temperature. In June and July, the maximum extents of OM MCSs mainly appear in the </w:t>
      </w:r>
      <w:r w:rsidRPr="00E7031F">
        <w:lastRenderedPageBreak/>
        <w:t>evening (0900–1100 UTC) (Fig. 8d, the main plot and the subplot on the right-hand</w:t>
      </w:r>
      <w:r>
        <w:t xml:space="preserve"> </w:t>
      </w:r>
      <w:r w:rsidRPr="00E7031F">
        <w:t>side).</w:t>
      </w:r>
    </w:p>
    <w:p w14:paraId="1F15558D" w14:textId="1037FD75" w:rsidR="006355FF" w:rsidRDefault="002860AB" w:rsidP="00652E9E">
      <w:pPr>
        <w:pStyle w:val="ParagraphText"/>
      </w:pPr>
      <w:r w:rsidRPr="00E7031F">
        <w:t xml:space="preserve">In July and August, the lowest temperatures (the maximum extents) of the QS MCSs appear 4.43 h (6.03 h) after initiation. The QS MCSs initiated </w:t>
      </w:r>
      <w:r w:rsidR="00F103E8">
        <w:t xml:space="preserve">at </w:t>
      </w:r>
      <w:r w:rsidRPr="00E7031F">
        <w:t xml:space="preserve">noon or in the afternoon (0500–1000 UTC) </w:t>
      </w:r>
      <w:r w:rsidR="0018153E">
        <w:t>reach</w:t>
      </w:r>
      <w:r w:rsidR="0018153E" w:rsidRPr="00E7031F">
        <w:t xml:space="preserve"> </w:t>
      </w:r>
      <w:r w:rsidRPr="00E7031F">
        <w:t xml:space="preserve">the lowest temperature ~3 h after initiation (Fig. 8a, lower subplot), which indicates that the QS MCSs caused by local thermodynamic effects in this time period develop at </w:t>
      </w:r>
      <w:r w:rsidR="0018153E" w:rsidRPr="00E7031F">
        <w:t xml:space="preserve">roughly </w:t>
      </w:r>
      <w:r w:rsidRPr="00E7031F">
        <w:t xml:space="preserve">the same pace. The QS MCSs in July and August mainly achieve the maximum extent 4–7 h after initiation (Fig. 8c, lower subplot). In June and July, the lowest temperatures (maximum extents) of the OM MCSs appear 6.8 h (9.21 h) after initiation (lower subplots in Figs. 8 b and d). The </w:t>
      </w:r>
      <w:r w:rsidR="00F103E8">
        <w:t>development</w:t>
      </w:r>
      <w:r w:rsidRPr="00E7031F">
        <w:t xml:space="preserve"> of OM MCSs </w:t>
      </w:r>
      <w:r w:rsidR="00F103E8">
        <w:t>is</w:t>
      </w:r>
      <w:r w:rsidRPr="00E7031F">
        <w:t xml:space="preserve"> associated with many factors (i.e., synoptic systems, orography, </w:t>
      </w:r>
      <w:r w:rsidR="00F103E8">
        <w:t xml:space="preserve">and </w:t>
      </w:r>
      <w:r w:rsidRPr="00E7031F">
        <w:t>underlying surface) and interactions between these factors</w:t>
      </w:r>
      <w:r w:rsidR="00F103E8">
        <w:t>;</w:t>
      </w:r>
      <w:r w:rsidRPr="00E7031F">
        <w:t xml:space="preserve"> therefore, the diurnal variations follow no obvious pattern.</w:t>
      </w:r>
    </w:p>
    <w:p w14:paraId="37FD1E9F" w14:textId="1F7F5C9F" w:rsidR="00F2310E" w:rsidRPr="00E7031F" w:rsidRDefault="00F103E8" w:rsidP="007D09AE">
      <w:pPr>
        <w:adjustRightInd w:val="0"/>
        <w:snapToGrid w:val="0"/>
        <w:spacing w:beforeLines="100" w:before="326"/>
        <w:ind w:firstLineChars="0" w:firstLine="0"/>
        <w:rPr>
          <w:rFonts w:cs="Times New Roman"/>
          <w:szCs w:val="24"/>
        </w:rPr>
      </w:pPr>
      <w:r w:rsidRPr="00937165">
        <w:rPr>
          <w:noProof/>
        </w:rPr>
        <w:t xml:space="preserve"> </w:t>
      </w:r>
      <w:r>
        <w:rPr>
          <w:noProof/>
        </w:rPr>
        <w:lastRenderedPageBreak/>
        <w:drawing>
          <wp:inline distT="0" distB="0" distL="0" distR="0" wp14:anchorId="35B8E334" wp14:editId="10F10421">
            <wp:extent cx="5274310" cy="6718300"/>
            <wp:effectExtent l="0" t="0" r="2540" b="6350"/>
            <wp:docPr id="12" name="图片 12" descr="图表, 地图,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表, 地图, 散点图&#10;&#10;描述已自动生成"/>
                    <pic:cNvPicPr/>
                  </pic:nvPicPr>
                  <pic:blipFill>
                    <a:blip r:embed="rId16"/>
                    <a:stretch>
                      <a:fillRect/>
                    </a:stretch>
                  </pic:blipFill>
                  <pic:spPr>
                    <a:xfrm>
                      <a:off x="0" y="0"/>
                      <a:ext cx="5274310" cy="6718300"/>
                    </a:xfrm>
                    <a:prstGeom prst="rect">
                      <a:avLst/>
                    </a:prstGeom>
                  </pic:spPr>
                </pic:pic>
              </a:graphicData>
            </a:graphic>
          </wp:inline>
        </w:drawing>
      </w:r>
    </w:p>
    <w:p w14:paraId="57EA3CFC" w14:textId="2A3139DA" w:rsidR="00530671" w:rsidRPr="002E6B47" w:rsidRDefault="00F2310E" w:rsidP="008527F6">
      <w:pPr>
        <w:pStyle w:val="21"/>
        <w:spacing w:before="163" w:after="326"/>
        <w:ind w:firstLineChars="0" w:firstLine="0"/>
      </w:pPr>
      <w:r w:rsidRPr="008527F6">
        <w:rPr>
          <w:b/>
          <w:bCs w:val="0"/>
        </w:rPr>
        <w:t xml:space="preserve">Figure 8. </w:t>
      </w:r>
      <w:r w:rsidR="00F103E8" w:rsidRPr="002E6B47">
        <w:rPr>
          <w:rFonts w:hint="eastAsia"/>
        </w:rPr>
        <w:t>T</w:t>
      </w:r>
      <w:r w:rsidR="00475976" w:rsidRPr="00D9595D">
        <w:t xml:space="preserve">he two-dimensional histogram for the diurnal variation </w:t>
      </w:r>
      <w:r w:rsidR="00F103E8">
        <w:t>in</w:t>
      </w:r>
      <w:r w:rsidR="00475976" w:rsidRPr="00D9595D">
        <w:t xml:space="preserve"> the lowest temperature appearance of QS MCSs (a) and OM MCSs (b) and the maximum extent appearance of QS MCSs (c) and OM MCSs (d) in the high occurrence period of 2018–2021. </w:t>
      </w:r>
      <w:r w:rsidR="00F103E8">
        <w:t>The main</w:t>
      </w:r>
      <w:r w:rsidR="00475976" w:rsidRPr="00D9595D">
        <w:t xml:space="preserve"> body of each plot exhibits the frequency of MCS initiation and the lowest temperature (maximum extent) in every hourly interval. The upper histogram exhibits the proportion of MCS initiation. The left histogram exhibits the proportion of the lowest temperature (maximum extent) appearance. The lower plot exhibits the time </w:t>
      </w:r>
      <w:r w:rsidR="00475976" w:rsidRPr="00D9595D">
        <w:lastRenderedPageBreak/>
        <w:t>span between the lowest temperature (maximum extent) appearance and MCS initiation</w:t>
      </w:r>
      <w:r w:rsidR="00F103E8">
        <w:t>,</w:t>
      </w:r>
      <w:r w:rsidR="00475976" w:rsidRPr="00D9595D">
        <w:t xml:space="preserve"> with the solid line representing the mean time span and the light (dark) shading representing</w:t>
      </w:r>
      <w:r w:rsidR="00F103E8">
        <w:t xml:space="preserve"> the</w:t>
      </w:r>
      <w:r w:rsidR="00475976" w:rsidRPr="00D9595D">
        <w:t xml:space="preserve"> 5%–95% (25%–75%) percentile interval. The blue dot indicates that the time span is longer than 24 h.</w:t>
      </w:r>
    </w:p>
    <w:p w14:paraId="139004E6" w14:textId="3689D110" w:rsidR="004A3DC4" w:rsidRPr="002D1345" w:rsidRDefault="002D1345" w:rsidP="00652E9E">
      <w:pPr>
        <w:pStyle w:val="ae"/>
      </w:pPr>
      <w:r w:rsidRPr="002D1345">
        <w:t xml:space="preserve">4 </w:t>
      </w:r>
      <w:r w:rsidR="00F103E8">
        <w:t>Circulation</w:t>
      </w:r>
      <w:r w:rsidRPr="002D1345">
        <w:t xml:space="preserve"> patterns and environmental conditions </w:t>
      </w:r>
      <w:r w:rsidR="0018153E">
        <w:t>for</w:t>
      </w:r>
      <w:r w:rsidR="0018153E" w:rsidRPr="002D1345">
        <w:t xml:space="preserve"> </w:t>
      </w:r>
      <w:r w:rsidRPr="002D1345">
        <w:t>MCS initiation</w:t>
      </w:r>
    </w:p>
    <w:p w14:paraId="7981077D" w14:textId="60261100" w:rsidR="004A3DC4" w:rsidRPr="00E7031F" w:rsidRDefault="00F103E8" w:rsidP="00652E9E">
      <w:pPr>
        <w:pStyle w:val="ParagraphText"/>
      </w:pPr>
      <w:r>
        <w:t xml:space="preserve">To </w:t>
      </w:r>
      <w:r w:rsidR="002D1345">
        <w:t>investigate the circulation patterns favorable for MCS initiation, the daily circulations at 0000 UTC in JJA of 2018−2021 are objectively classified into 3 patterns by adopting the</w:t>
      </w:r>
      <w:r w:rsidRPr="002D1345">
        <w:rPr>
          <w:i/>
          <w:iCs/>
        </w:rPr>
        <w:t xml:space="preserve"> k-means</w:t>
      </w:r>
      <w:r w:rsidRPr="00E7031F">
        <w:t xml:space="preserve"> algorithm</w:t>
      </w:r>
      <w:r>
        <w:t>,</w:t>
      </w:r>
      <w:r w:rsidRPr="00E7031F">
        <w:t xml:space="preserve"> and the environmental parameters under different circulation patterns are further analyzed.</w:t>
      </w:r>
    </w:p>
    <w:p w14:paraId="3E821F29" w14:textId="1145FDB8" w:rsidR="009916CF" w:rsidRPr="002D1345" w:rsidRDefault="007325AC" w:rsidP="00652E9E">
      <w:pPr>
        <w:pStyle w:val="af0"/>
      </w:pPr>
      <w:r w:rsidRPr="002D1345">
        <w:t>4.1 Objective classification of circulation patterns</w:t>
      </w:r>
    </w:p>
    <w:p w14:paraId="02471D0A" w14:textId="3E649668" w:rsidR="007325AC" w:rsidRPr="00E7031F" w:rsidRDefault="00F103E8" w:rsidP="00652E9E">
      <w:pPr>
        <w:pStyle w:val="ParagraphText"/>
      </w:pPr>
      <w:r w:rsidRPr="00E7031F">
        <w:t xml:space="preserve">Circulations of 285 </w:t>
      </w:r>
      <w:r w:rsidR="000B55FC">
        <w:rPr>
          <w:szCs w:val="24"/>
        </w:rPr>
        <w:t xml:space="preserve">days without direct influencings from tropical cyclones </w:t>
      </w:r>
      <w:r w:rsidRPr="00E7031F">
        <w:t xml:space="preserve">in JJA of 2018−2021 are classified into 3 patterns according to the evaluation based on the silhouette coefficient, with 128, 66 and 91 days in each pattern, respectively, and the composite fields of geopotential height at 700 hPa are shown in Fig. 9. </w:t>
      </w:r>
      <w:r w:rsidR="006B0D84" w:rsidRPr="00E7031F">
        <w:t>Pattern</w:t>
      </w:r>
      <w:r w:rsidR="006B0D84">
        <w:t>-</w:t>
      </w:r>
      <w:r w:rsidRPr="00E7031F">
        <w:t xml:space="preserve">I (P1) is the typical circulation of the </w:t>
      </w:r>
      <w:r w:rsidR="0018153E">
        <w:t>M</w:t>
      </w:r>
      <w:r w:rsidRPr="00E7031F">
        <w:t>ei-yu front (Fig. 9a). With a shallow trough in northeast China and</w:t>
      </w:r>
      <w:r>
        <w:t xml:space="preserve"> the</w:t>
      </w:r>
      <w:r w:rsidRPr="00E7031F">
        <w:t xml:space="preserve"> Indo-China Peninsula, the middle reaches of the YRB are in a </w:t>
      </w:r>
      <w:r>
        <w:t>large-scale</w:t>
      </w:r>
      <w:r w:rsidRPr="00E7031F">
        <w:t xml:space="preserve"> convergence zone formed by the </w:t>
      </w:r>
      <w:r>
        <w:t>northwesterlies</w:t>
      </w:r>
      <w:r w:rsidRPr="00E7031F">
        <w:t xml:space="preserve"> from the high latitudes and the </w:t>
      </w:r>
      <w:r>
        <w:t>southwesterlies</w:t>
      </w:r>
      <w:r w:rsidRPr="00E7031F">
        <w:t xml:space="preserve"> from the low latitudes, which is consistent with the shear line and the strong equivalent potential temperature gradient. In </w:t>
      </w:r>
      <w:r w:rsidR="00C50534">
        <w:t>P</w:t>
      </w:r>
      <w:r w:rsidR="00B43E04" w:rsidRPr="00E7031F">
        <w:t>attern</w:t>
      </w:r>
      <w:r w:rsidR="00B43E04">
        <w:t>-</w:t>
      </w:r>
      <w:r w:rsidRPr="00E7031F">
        <w:t>II (P2), the middle reaches of the YRB are basically under the control of the northwesterly, to the east of which is a deep trough (Fig. 9b). Although the equivalent potential temperature field also shows a strong gradient in P2, the thermodynamic characteristics of circulations in P1 and P2 are different. In P1, a warm humid air flow</w:t>
      </w:r>
      <w:r w:rsidR="0018153E">
        <w:t xml:space="preserve"> is</w:t>
      </w:r>
      <w:r w:rsidRPr="00E7031F">
        <w:t xml:space="preserve"> dominated by the strong southwesterly, with a warm tongue extending from southwest to northeast. </w:t>
      </w:r>
      <w:r>
        <w:t>In</w:t>
      </w:r>
      <w:r w:rsidRPr="00E7031F">
        <w:t xml:space="preserve"> P2, the northwesterly is the dominant wind, steering a cold tongue extending from north to south. The equivalent potential temperature field in P1 (336–348 K) is higher than </w:t>
      </w:r>
      <w:r>
        <w:t>that</w:t>
      </w:r>
      <w:r w:rsidRPr="00E7031F">
        <w:t xml:space="preserve"> in P2 (332–340 K), indicating that the air mass in P1 is warmer or wetter than </w:t>
      </w:r>
      <w:r>
        <w:t>that</w:t>
      </w:r>
      <w:r w:rsidRPr="00E7031F">
        <w:t xml:space="preserve"> in P2. In </w:t>
      </w:r>
      <w:r w:rsidR="00C50534" w:rsidRPr="00E7031F">
        <w:t>Pattern</w:t>
      </w:r>
      <w:r w:rsidR="00C50534">
        <w:t>-</w:t>
      </w:r>
      <w:r w:rsidRPr="00E7031F">
        <w:t>III (P3), the middle reaches of the YRB are under the control of the weak southerly to the east of the Western Pacific Subtropical High.</w:t>
      </w:r>
    </w:p>
    <w:p w14:paraId="0F6CF294" w14:textId="5275393E" w:rsidR="00F2310E" w:rsidRDefault="00F103E8" w:rsidP="00255C53">
      <w:pPr>
        <w:pStyle w:val="ParagraphText"/>
        <w:rPr>
          <w:rFonts w:eastAsiaTheme="minorEastAsia"/>
          <w:szCs w:val="24"/>
        </w:rPr>
      </w:pPr>
      <w:r>
        <w:t xml:space="preserve">A total of </w:t>
      </w:r>
      <w:r w:rsidR="00DB1112" w:rsidRPr="00E7031F">
        <w:t>330 QS MCSs and 187 OM MCSs are initiated during JJA of 2018–2021.</w:t>
      </w:r>
      <w:r>
        <w:t xml:space="preserve"> Fifty percent</w:t>
      </w:r>
      <w:r w:rsidR="00DB1112" w:rsidRPr="00E7031F">
        <w:t xml:space="preserve"> of QS MCSs and 59.9% of OM MCSs are initiated in P1, suggesting that P1 is favorable for both QS and OM </w:t>
      </w:r>
      <w:r>
        <w:t>MCS</w:t>
      </w:r>
      <w:r w:rsidR="00DB1112" w:rsidRPr="00E7031F">
        <w:t xml:space="preserve"> initiation.</w:t>
      </w:r>
      <w:r>
        <w:t xml:space="preserve"> Thirteen percent</w:t>
      </w:r>
      <w:r w:rsidR="00DB1112" w:rsidRPr="00E7031F">
        <w:t xml:space="preserve"> (36.1%) of </w:t>
      </w:r>
      <w:r w:rsidR="00DB1112" w:rsidRPr="00E7031F">
        <w:lastRenderedPageBreak/>
        <w:t xml:space="preserve">the QS MCSs and 25.7% (14.4%) of the OM MCSs are initiated in P2 (P3). The daily average initiation frequencies of QS MCSs in the three patterns are 1.31, 0.65 and 1.31, and those of the OM MCSs </w:t>
      </w:r>
      <w:r>
        <w:t>are</w:t>
      </w:r>
      <w:r w:rsidR="00DB1112" w:rsidRPr="00E7031F">
        <w:t xml:space="preserve"> 0.88, 0.72 and 0.3</w:t>
      </w:r>
      <w:r>
        <w:t>,</w:t>
      </w:r>
      <w:r w:rsidR="00DB1112" w:rsidRPr="00E7031F">
        <w:t xml:space="preserve"> respectively. In general, the QS MCS initiation in P1 and P3 is the same and in P2 is the least, while the OM MCSs are initiated the most in P1, followed by P2 and the least in P3.</w:t>
      </w:r>
    </w:p>
    <w:p w14:paraId="434FF612" w14:textId="33EAD9C4" w:rsidR="009F471D" w:rsidRPr="00255C53" w:rsidRDefault="00CA6791" w:rsidP="007D09AE">
      <w:pPr>
        <w:adjustRightInd w:val="0"/>
        <w:snapToGrid w:val="0"/>
        <w:spacing w:beforeLines="100" w:before="326"/>
        <w:ind w:firstLineChars="0" w:firstLine="0"/>
        <w:rPr>
          <w:rFonts w:eastAsiaTheme="minorEastAsia" w:cs="Times New Roman"/>
          <w:szCs w:val="24"/>
        </w:rPr>
      </w:pPr>
      <w:r w:rsidRPr="00CA6791">
        <w:rPr>
          <w:noProof/>
        </w:rPr>
        <w:t xml:space="preserve"> </w:t>
      </w:r>
      <w:r>
        <w:rPr>
          <w:noProof/>
        </w:rPr>
        <w:drawing>
          <wp:inline distT="0" distB="0" distL="0" distR="0" wp14:anchorId="2FCF09A6" wp14:editId="69B9CAFD">
            <wp:extent cx="5274310" cy="455866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4558665"/>
                    </a:xfrm>
                    <a:prstGeom prst="rect">
                      <a:avLst/>
                    </a:prstGeom>
                  </pic:spPr>
                </pic:pic>
              </a:graphicData>
            </a:graphic>
          </wp:inline>
        </w:drawing>
      </w:r>
    </w:p>
    <w:p w14:paraId="4E45E2BB" w14:textId="52CD8B7F" w:rsidR="0039308D" w:rsidRPr="00E7031F" w:rsidRDefault="00F103E8" w:rsidP="00C816F5">
      <w:pPr>
        <w:pStyle w:val="21"/>
        <w:spacing w:before="163" w:after="326"/>
        <w:ind w:firstLineChars="0" w:firstLine="0"/>
      </w:pPr>
      <w:r w:rsidRPr="00C816F5">
        <w:rPr>
          <w:b/>
          <w:bCs w:val="0"/>
        </w:rPr>
        <w:t xml:space="preserve">Figure 9. </w:t>
      </w:r>
      <w:r w:rsidRPr="0039308D">
        <w:rPr>
          <w:rFonts w:hint="eastAsia"/>
        </w:rPr>
        <w:t>T</w:t>
      </w:r>
      <w:r w:rsidRPr="0039308D">
        <w:t>he composite geopotential fields (blue contours, gpm), equivalent potential temperature fields (red contours, K) and wind fields (wind barbs, m s</w:t>
      </w:r>
      <w:r w:rsidRPr="0039308D">
        <w:rPr>
          <w:vertAlign w:val="superscript"/>
        </w:rPr>
        <w:t>−1</w:t>
      </w:r>
      <w:r w:rsidRPr="0039308D">
        <w:t xml:space="preserve">) at 700 hPa of </w:t>
      </w:r>
      <w:r w:rsidR="00042B8F" w:rsidRPr="0039308D">
        <w:t>Pattern</w:t>
      </w:r>
      <w:r w:rsidR="00042B8F">
        <w:t>-</w:t>
      </w:r>
      <w:r w:rsidRPr="0039308D">
        <w:t xml:space="preserve">I (a), </w:t>
      </w:r>
      <w:r w:rsidR="00042B8F" w:rsidRPr="0039308D">
        <w:t>Pattern</w:t>
      </w:r>
      <w:r w:rsidR="00042B8F">
        <w:t>-</w:t>
      </w:r>
      <w:r w:rsidRPr="0039308D">
        <w:t xml:space="preserve">II (b) and </w:t>
      </w:r>
      <w:r w:rsidR="00042B8F" w:rsidRPr="0039308D">
        <w:t>Pattern</w:t>
      </w:r>
      <w:r w:rsidR="00042B8F">
        <w:t>-</w:t>
      </w:r>
      <w:r w:rsidRPr="0039308D">
        <w:t>III (c)</w:t>
      </w:r>
      <w:r>
        <w:t>,</w:t>
      </w:r>
      <w:r w:rsidRPr="0039308D">
        <w:t xml:space="preserve"> respectively. A half (full) barb represents 2 m s</w:t>
      </w:r>
      <w:r w:rsidRPr="0039308D">
        <w:rPr>
          <w:vertAlign w:val="superscript"/>
        </w:rPr>
        <w:t>−1</w:t>
      </w:r>
      <w:r w:rsidRPr="0039308D">
        <w:t xml:space="preserve"> (4 m s</w:t>
      </w:r>
      <w:r w:rsidRPr="0039308D">
        <w:rPr>
          <w:vertAlign w:val="superscript"/>
        </w:rPr>
        <w:t>−1</w:t>
      </w:r>
      <w:r w:rsidRPr="0039308D">
        <w:t>). The green rectangle marks the middle reaches of the YRB. The gray shading represents terrain heights (m).</w:t>
      </w:r>
    </w:p>
    <w:p w14:paraId="19811D73" w14:textId="68A31FF6" w:rsidR="00DB1112" w:rsidRPr="002042A7" w:rsidRDefault="00F103E8" w:rsidP="00652E9E">
      <w:pPr>
        <w:pStyle w:val="af0"/>
      </w:pPr>
      <w:r w:rsidRPr="002042A7">
        <w:t>4.2. Environmental parameters</w:t>
      </w:r>
    </w:p>
    <w:p w14:paraId="643E477F" w14:textId="7621E81F" w:rsidR="00DB1112" w:rsidRPr="00E7031F" w:rsidRDefault="00F103E8" w:rsidP="00652E9E">
      <w:pPr>
        <w:pStyle w:val="ParagraphText"/>
      </w:pPr>
      <w:r w:rsidRPr="00E7031F">
        <w:t xml:space="preserve">To investigate the dynamic and thermodynamic conditions for </w:t>
      </w:r>
      <w:r>
        <w:t xml:space="preserve">MCS </w:t>
      </w:r>
      <w:r w:rsidRPr="00E7031F">
        <w:t xml:space="preserve">initiation under the three circulation patterns, ten environmental parameters are statistically </w:t>
      </w:r>
      <w:r w:rsidRPr="00E7031F">
        <w:lastRenderedPageBreak/>
        <w:t>analyzed, and the results are shown in Fig. 10.</w:t>
      </w:r>
    </w:p>
    <w:p w14:paraId="1C277BD0" w14:textId="0DD2DCFC" w:rsidR="00F33650" w:rsidRPr="00E7031F" w:rsidRDefault="00F103E8" w:rsidP="00652E9E">
      <w:pPr>
        <w:pStyle w:val="ParagraphText"/>
      </w:pPr>
      <w:r w:rsidRPr="00E7031F">
        <w:t>The mean value of SBCAPE in P1 (Fig. 10 a) is 2363 J kg</w:t>
      </w:r>
      <w:r w:rsidRPr="00FF48B8">
        <w:rPr>
          <w:vertAlign w:val="superscript"/>
        </w:rPr>
        <w:t>−1</w:t>
      </w:r>
      <w:r w:rsidRPr="00E7031F">
        <w:t xml:space="preserve"> and that of MUCAPE is 2491 J kg</w:t>
      </w:r>
      <w:r w:rsidR="00FF48B8" w:rsidRPr="00FF48B8">
        <w:rPr>
          <w:vertAlign w:val="superscript"/>
        </w:rPr>
        <w:t>−1</w:t>
      </w:r>
      <w:r w:rsidRPr="00E7031F">
        <w:t>, both the lowest in the three patterns. A low CAPE often implies a high LFC height or a small environmental lapse rate, yet the LFC height in P1 is the lowest in the three patterns (Fig. 10g) with a mean value of 743 m, which suggests that the lapse rate of</w:t>
      </w:r>
      <w:r>
        <w:t xml:space="preserve"> the</w:t>
      </w:r>
      <w:r w:rsidRPr="00E7031F">
        <w:t xml:space="preserve"> mid-low troposphere in P1 is small. The mean value of LI in P1 (Fig. 10e) is −4.4 K, the highest in the three patterns, which also confirms this conclusion. The mean PW in P1 (Fig. 10h) is 65 mm, which is significantly higher than those in P2 and P3. The contribution to the local water vapor growth in the YRB often came from the southwesterly and southeasterly originating from</w:t>
      </w:r>
      <w:r w:rsidR="00A532A4">
        <w:t xml:space="preserve"> the</w:t>
      </w:r>
      <w:r w:rsidRPr="00E7031F">
        <w:t xml:space="preserve"> oceans (Li et al., 2014; Shi et al., 2020; Wang et al., 2021), which is consistent with the synoptic circulation in P1.</w:t>
      </w:r>
    </w:p>
    <w:p w14:paraId="473B058D" w14:textId="7B743B79" w:rsidR="00F33650" w:rsidRPr="00E7031F" w:rsidRDefault="00F103E8" w:rsidP="00652E9E">
      <w:pPr>
        <w:pStyle w:val="ParagraphText"/>
      </w:pPr>
      <w:r w:rsidRPr="00E7031F">
        <w:t>The mean SHR3 (Fig. 10i) and SHR6 (Fig. 10j) in P1 are 9 m s</w:t>
      </w:r>
      <w:r w:rsidR="00FF48B8" w:rsidRPr="00FF48B8">
        <w:rPr>
          <w:vertAlign w:val="superscript"/>
        </w:rPr>
        <w:t>−1</w:t>
      </w:r>
      <w:r w:rsidRPr="00E7031F">
        <w:t xml:space="preserve"> and 8.9 m s</w:t>
      </w:r>
      <w:r w:rsidR="00FF48B8" w:rsidRPr="00FF48B8">
        <w:rPr>
          <w:vertAlign w:val="superscript"/>
        </w:rPr>
        <w:t>−1</w:t>
      </w:r>
      <w:r>
        <w:rPr>
          <w:vertAlign w:val="superscript"/>
        </w:rPr>
        <w:t>,</w:t>
      </w:r>
      <w:r w:rsidR="003366CD" w:rsidRPr="00E7031F">
        <w:t xml:space="preserve"> respectively, which </w:t>
      </w:r>
      <w:r>
        <w:t xml:space="preserve">are </w:t>
      </w:r>
      <w:r w:rsidR="003366CD" w:rsidRPr="00E7031F">
        <w:t>both significantly higher than those in P2 and P3. In P2 and P3, the SHR6s are basically 1 m s</w:t>
      </w:r>
      <w:r w:rsidR="00FF48B8" w:rsidRPr="00FF48B8">
        <w:rPr>
          <w:vertAlign w:val="superscript"/>
        </w:rPr>
        <w:t>−1</w:t>
      </w:r>
      <w:r w:rsidR="00FF48B8">
        <w:t xml:space="preserve"> higher than the SHR3s (both the median and mean value). However, in P1, the medians of SHR6 and SHR3 are basically equal</w:t>
      </w:r>
      <w:r>
        <w:t>,</w:t>
      </w:r>
      <w:r w:rsidR="00FF48B8">
        <w:t xml:space="preserve"> and the mean values of SHR6 are even lower than </w:t>
      </w:r>
      <w:r>
        <w:t>those</w:t>
      </w:r>
      <w:r w:rsidR="00FF48B8">
        <w:t xml:space="preserve"> of SHR3.</w:t>
      </w:r>
      <w:r>
        <w:t xml:space="preserve"> </w:t>
      </w:r>
      <w:r w:rsidR="00FF48B8">
        <w:t xml:space="preserve">There is little difference between SHR3 and SHR6 in P1, but the SHR6s in P2 and P3 are higher than </w:t>
      </w:r>
      <w:r>
        <w:t xml:space="preserve">the </w:t>
      </w:r>
      <w:r w:rsidR="00FF48B8">
        <w:t xml:space="preserve">SHR3s, which suggests that the wind speed </w:t>
      </w:r>
      <w:r>
        <w:t>in</w:t>
      </w:r>
      <w:r w:rsidR="00FF48B8">
        <w:t xml:space="preserve"> the low troposphere in P1 is high or that MCS initiation in P1 may often</w:t>
      </w:r>
      <w:r>
        <w:t xml:space="preserve"> be</w:t>
      </w:r>
      <w:r w:rsidR="00FF48B8">
        <w:t xml:space="preserve"> accompanied by low-level jets. Higher vertical wind shears in P1 may be the reason why OM MCSs </w:t>
      </w:r>
      <w:r>
        <w:t>tend</w:t>
      </w:r>
      <w:r w:rsidR="00FF48B8">
        <w:t xml:space="preserve"> to occur in P1 </w:t>
      </w:r>
      <w:r w:rsidR="00FF48B8">
        <w:fldChar w:fldCharType="begin"/>
      </w:r>
      <w:r w:rsidR="009B45C2">
        <w:instrText xml:space="preserve"> ADDIN ZOTERO_ITEM CSL_CITATION {"citationID":"RwX17Tvo","properties":{"formattedCitation":"(Cohen et al., 2007)","plainCitation":"(Cohen et al., 2007)","noteIndex":0},"citationItems":[{"id":423,"uris":["http://zotero.org/users/8730623/items/L3BHMHBU"],"itemData":{"id":423,"type":"article-journal","abstract":"The prediction of the strength of mesoscale convective systems (MCSs) is a major concern to operational meteorologists and the public. To address this forecast problem, this study examines meteorological variables derived from sounding observations taken in the environment of quasi-linear MCSs. A set of 186 soundings that sampled the beginning and mature stages of the MCSs are categorized by their production of severe surface winds into weak, severe, and derecho-producing MCSs. Differences in the variables among these three MCS categories are identified and discussed. Mean low- to upper-level wind speeds and deep-layer vertical wind shear, especially the component perpendicular to the convective line, are excellent discriminators among all three categories. Low-level inflow relative to the system is found to be an excellent discriminator, largely because of the strong relationship of system severity to system speed. Examination of the mean wind and shear vectors relative to MCS motion suggests that cell propagation along the direction of cell advection is a trait that separates severe, long-lived MCSs from the slower-moving, nonsevere variety and that this is favored when both the deep-layer shear vector and the mean deep-layer wind are large and nearly parallel. Midlevel environmental lapse rates are found to be very good discriminators among all three MCS categories, while vertical differences in equivalent potential temperature and CAPE only discriminate well between weak and severe/derecho MCS environments. Knowledge of these variables and their distribution among the different categories of MCS intensity can be used to improve forecasts and convective watches for organized convective wind events.","archive_location":"WOS:000250413300008","container-title":"WEATHER AND FORECASTING","DOI":"10.1175/WAF1040.1","issue":"5","note":"number: 5","page":"1045-1062","title":"Discrimination of mesoscale convective system environments using sounding observations","volume":"22","author":[{"family":"Cohen","given":"Ariel E."},{"family":"Coniglio","given":"Michael C."},{"family":"Corfidi","given":"Stephen F."},{"family":"Corfidi","given":"Sarah J."}],"issued":{"date-parts":[["2007",10]]}}}],"schema":"https://github.com/citation-style-language/schema/raw/master/csl-citation.json"} </w:instrText>
      </w:r>
      <w:r w:rsidR="00FF48B8">
        <w:fldChar w:fldCharType="separate"/>
      </w:r>
      <w:r w:rsidR="009B45C2" w:rsidRPr="009B45C2">
        <w:t>(Cohen et al., 2007)</w:t>
      </w:r>
      <w:r w:rsidR="00FF48B8">
        <w:fldChar w:fldCharType="end"/>
      </w:r>
      <w:r w:rsidR="005D377F" w:rsidRPr="00E7031F">
        <w:t>.</w:t>
      </w:r>
    </w:p>
    <w:p w14:paraId="3D716C04" w14:textId="73C3A22C" w:rsidR="005D377F" w:rsidRPr="00E7031F" w:rsidRDefault="00F103E8" w:rsidP="00652E9E">
      <w:pPr>
        <w:pStyle w:val="ParagraphText"/>
      </w:pPr>
      <w:r w:rsidRPr="00E7031F">
        <w:t>The mean SBCAPE (MUCAPE) in P2 is 2366 J kg</w:t>
      </w:r>
      <w:r w:rsidR="00FF48B8" w:rsidRPr="00FF48B8">
        <w:rPr>
          <w:vertAlign w:val="superscript"/>
        </w:rPr>
        <w:t>−1</w:t>
      </w:r>
      <w:r w:rsidRPr="00E7031F">
        <w:t xml:space="preserve"> (2650 J kg</w:t>
      </w:r>
      <w:r w:rsidR="00FF48B8" w:rsidRPr="00FF48B8">
        <w:rPr>
          <w:vertAlign w:val="superscript"/>
        </w:rPr>
        <w:t>−1</w:t>
      </w:r>
      <w:r w:rsidR="00101DF7" w:rsidRPr="00E7031F">
        <w:t xml:space="preserve">). The difference between MUCAPE and SBCAPE in P2 is the largest among </w:t>
      </w:r>
      <w:r>
        <w:t xml:space="preserve">the </w:t>
      </w:r>
      <w:r w:rsidR="00101DF7" w:rsidRPr="00E7031F">
        <w:t xml:space="preserve">three patterns, indicating that the atmosphere in the boundary layer in P2 is more stable than those in P1 and P3, which is consistent with the composite circulation in P2, dominated by </w:t>
      </w:r>
      <w:r>
        <w:t>northerlies</w:t>
      </w:r>
      <w:r w:rsidR="00101DF7" w:rsidRPr="00E7031F">
        <w:t>. In operational forecasts, a stable boundary layer and a low CAPE can be misleading and cause the possible elevated convections</w:t>
      </w:r>
      <w:r w:rsidR="00A532A4">
        <w:t xml:space="preserve"> to be ignored</w:t>
      </w:r>
      <w:r w:rsidR="00101DF7" w:rsidRPr="00E7031F">
        <w:t>. The mean SBCIN in P2 is 30 J kg</w:t>
      </w:r>
      <w:r w:rsidR="00FF48B8" w:rsidRPr="00FF48B8">
        <w:rPr>
          <w:vertAlign w:val="superscript"/>
        </w:rPr>
        <w:t>−1</w:t>
      </w:r>
      <w:r w:rsidR="00101DF7" w:rsidRPr="00E7031F">
        <w:t xml:space="preserve"> (Fig. 10b)</w:t>
      </w:r>
      <w:r>
        <w:t>,</w:t>
      </w:r>
      <w:r w:rsidR="00101DF7" w:rsidRPr="00E7031F">
        <w:t xml:space="preserve"> and the mean MUCIN in P2 is 11.9 J kg</w:t>
      </w:r>
      <w:r w:rsidR="00FF48B8" w:rsidRPr="00FF48B8">
        <w:rPr>
          <w:vertAlign w:val="superscript"/>
        </w:rPr>
        <w:t>−1</w:t>
      </w:r>
      <w:r w:rsidR="00101DF7" w:rsidRPr="00E7031F">
        <w:t xml:space="preserve"> (Fig. 10d), and both SBCIN and MUCIN </w:t>
      </w:r>
      <w:r>
        <w:t>were</w:t>
      </w:r>
      <w:r w:rsidR="00101DF7" w:rsidRPr="00E7031F">
        <w:t xml:space="preserve"> significantly higher than those in P1 and P3. In P2, 25% of MCSs are initiated in the environment with SBCIN greater than 34 J kg</w:t>
      </w:r>
      <w:r w:rsidR="00FF48B8" w:rsidRPr="00FF48B8">
        <w:rPr>
          <w:vertAlign w:val="superscript"/>
        </w:rPr>
        <w:t>−1</w:t>
      </w:r>
      <w:r w:rsidR="003F3D24" w:rsidRPr="00E7031F">
        <w:t xml:space="preserve"> (Fig. 10b). The large SBCIN in P2 confirms the aforementioned conclusion that the low-level atmosphere in P2 is more stable than those in P1 and P3. The mean LCL height in P2 (Fig. 10f) is 356 m, which is the lowest among the three patterns, and the mean LFC </w:t>
      </w:r>
      <w:r w:rsidR="003F3D24" w:rsidRPr="00E7031F">
        <w:lastRenderedPageBreak/>
        <w:t xml:space="preserve">height (Fig. 10g) is 864 m. The lowest LCL height in P2 </w:t>
      </w:r>
      <w:r>
        <w:t>indicates</w:t>
      </w:r>
      <w:r w:rsidR="003F3D24" w:rsidRPr="00E7031F">
        <w:t xml:space="preserve"> a high relative humidity at the surface, which may be caused by the cold invasion related to the northerly.</w:t>
      </w:r>
    </w:p>
    <w:p w14:paraId="2949FC3A" w14:textId="2AEFF398" w:rsidR="00857546" w:rsidRDefault="00F103E8" w:rsidP="00652E9E">
      <w:pPr>
        <w:pStyle w:val="ParagraphText"/>
      </w:pPr>
      <w:r w:rsidRPr="00E7031F">
        <w:t>Both the mean SBCAPE (Fig. 10a) and the mean MUCAPE (Fig. 10c) in P3 are 3132 J kg</w:t>
      </w:r>
      <w:r w:rsidR="00FF48B8" w:rsidRPr="00FF48B8">
        <w:rPr>
          <w:vertAlign w:val="superscript"/>
        </w:rPr>
        <w:t>−1</w:t>
      </w:r>
      <w:r w:rsidRPr="00E7031F">
        <w:t xml:space="preserve"> and are significantly higher than those in P1 and P2. More than 25% of MCSs are initiated in the environment with SBCAPE over 4000 J kg</w:t>
      </w:r>
      <w:r w:rsidR="00FF48B8" w:rsidRPr="00FF48B8">
        <w:rPr>
          <w:vertAlign w:val="superscript"/>
        </w:rPr>
        <w:t>−1</w:t>
      </w:r>
      <w:r w:rsidRPr="00E7031F">
        <w:t>. The mean PW in P3 (Fig. 10h) is 61 mm, the mean SHR3 (Fig. 10i) is 6.2 m s</w:t>
      </w:r>
      <w:r w:rsidR="00FF48B8" w:rsidRPr="00FF48B8">
        <w:rPr>
          <w:vertAlign w:val="superscript"/>
        </w:rPr>
        <w:t>−1</w:t>
      </w:r>
      <w:r w:rsidRPr="00E7031F">
        <w:t>, and the mean SHR6 (Fig. 10j) is 7.3 m s</w:t>
      </w:r>
      <w:r w:rsidR="00FF48B8" w:rsidRPr="00FF48B8">
        <w:rPr>
          <w:vertAlign w:val="superscript"/>
        </w:rPr>
        <w:t>−1</w:t>
      </w:r>
      <w:r w:rsidR="0091002A">
        <w:t xml:space="preserve">. Although different environmental parameters are not simply compensated for each other </w:t>
      </w:r>
      <w:r w:rsidR="005D73A8" w:rsidRPr="00885FBE">
        <w:fldChar w:fldCharType="begin"/>
      </w:r>
      <w:r w:rsidR="005D73A8" w:rsidRPr="00885FBE">
        <w:instrText xml:space="preserve"> ADDIN ZOTERO_ITEM CSL_CITATION {"citationID":"G5F3ewmL","properties":{"formattedCitation":"(J. C. Kirkpatrick et al., 2007)","plainCitation":"(J. C. Kirkpatrick et al., 2007)","noteIndex":0},"citationItems":[{"id":1376,"uris":["http://zotero.org/users/8730623/items/844S38GW"],"itemData":{"id":1376,"type":"article-journal","abstract":"Abstract Based on results from a three-dimensional cloud-resolving model, it is shown that simulated convective storm motions are affected by thermodynamic as well as kinematic properties of the environment. In addition to the mean wind and its vertical shear, the effect on isolated storm motion of parameters such as bulk convective available potential energy (CAPE), the vertical distribution of buoyancy in the profile, the heights of the lifting condensation level (LCL) and level of free convection (LFC), and cloud-base temperature is considered. Storm motions show at least some sensitivity to all input parameters. Consistent with previous studies, hodograph radius has the most pronounced effect, but the vertical distribution of shear (which also influences the mean wind) affects storm evolution and propagation, even when the effective hodograph radius is unchanged. Among the thermodynamic parameters, the most significant variations occur when the LCL–LFC configuration is modified or when cloud-base temperature is changed. The effects of increases in bulk CAPE act mainly to increase the temporal variability of storm motions. This temporal variability is found to consist both of oscillations about a mean state and trends (accelerations) and is related to increases in the complexity of storm evolution with increasing CAPE. The results point to the importance of environmental factors that enhance storm intensity and rotation, which play a key role in determining storm deviate motion.","container-title":"Monthly Weather Review","DOI":"10.1175/MWR3447.1","ISSN":"1520-0493, 0027-0644","issue":"9","language":"EN","note":"number: 9\npublisher: American Meteorological Society\nsection: Monthly Weather Review","page":"3033-3051","source":"journals.ametsoc.org","title":"The Motion of Simulated Convective Storms as a Function of Basic Environmental Parameters","volume":"135","author":[{"family":"Kirkpatrick","given":"J. Cody"},{"family":"McCaul","given":"Eugene W."},{"family":"Cohen","given":"Charles"}],"issued":{"date-parts":[["2007",9,1]]}}}],"schema":"https://github.com/citation-style-language/schema/raw/master/csl-citation.json"} </w:instrText>
      </w:r>
      <w:r w:rsidR="005D73A8" w:rsidRPr="00885FBE">
        <w:fldChar w:fldCharType="separate"/>
      </w:r>
      <w:r w:rsidR="005D73A8" w:rsidRPr="00885FBE">
        <w:t>(Kirkpatrick et al., 2007)</w:t>
      </w:r>
      <w:r w:rsidR="005D73A8" w:rsidRPr="00885FBE">
        <w:fldChar w:fldCharType="end"/>
      </w:r>
      <w:r w:rsidR="00FF48B8">
        <w:t>, considering the lack of synoptic forcing and the lowest PW (Fig. 10j) in P3,</w:t>
      </w:r>
      <w:r>
        <w:t xml:space="preserve"> a</w:t>
      </w:r>
      <w:r w:rsidR="00FF48B8">
        <w:t xml:space="preserve"> higher CAPE may be required during MCS initiation </w:t>
      </w:r>
      <w:r w:rsidR="00FF48B8">
        <w:fldChar w:fldCharType="begin"/>
      </w:r>
      <w:r w:rsidR="009B45C2">
        <w:instrText xml:space="preserve"> ADDIN ZOTERO_ITEM CSL_CITATION {"citationID":"dbfjt8gF","properties":{"formattedCitation":"(C. Kirkpatrick et al., 2009; McCaul &amp; Weisman, 2001)","plainCitation":"(C. Kirkpatrick et al., 2009; McCaul &amp; Weisman, 2001)","noteIndex":0},"citationItems":[{"id":3106,"uris":["http://zotero.org/users/8730623/items/ENFWZ74E"],"itemData":{"id":3106,"type":"article-journal","abstract":"Abstract Convective storm simulations are conducted using varying thermal and wind profile shapes, subject to the constraints of strict conservation of convective available potential energy (CAPE) and hodograph trace. Small and large CAPE regimes and straight and curved hodographs are studied, each with a matrix of systematically varying thermal and wind profile shapes having identical levels of free convection and bulk Richardson numbers favorable to supercell development. Differences in storm intensity and morphology resulting from changes in the profile shapes can be profound, especially in the small CAPE regime, where, for the moderate shears studied here, storms are generally weak except when the buoyancy is concentrated at low levels. In stronger CAPE regimes, less dramatic relative enhancements of storm updraft intensity are found when both the buoyancy and shear are concentrated at low levels. Peak midlevel vertical vorticity correlates roughly with peak updraft speed in the small CAPE regime, but it shows less sensitivity to buoyancy and shear stratification at larger CAPE. Although peak low-level vertical vorticity can be large in either CAPE regime, it is generally larger in the large CAPE regime, where evaporation of rain leads to the formation of stronger surface cold pools, zones of enhanced horizontal shear, and baroclinic production of horizontal vorticity that can be tilted onto the vertical by storm updrafts. The present parameter space study strongly suggests that, while bulk CAPE and shear are important determinants of gross storm morphology and intensity, significant modulation is possible within a given bulk CAPE and shear class by changing only the shapes of the profiles of buoyancy and shear, either alone or in combination.","container-title":"Monthly Weather Review","DOI":"10.1175/1520-0493(2001)129&lt;0664:TSOSSS&gt;2.0.CO;2","ISSN":"1520-0493, 0027-0644","issue":"4","language":"EN","note":"number: 4\npublisher: American Meteorological Society\nsection: Monthly Weather Review","page":"664-687","source":"journals.ametsoc.org","title":"The Sensitivity of Simulated Supercell Structure and Intensity to Variations in the Shapes of Environmental Buoyancy and Shear Profiles","volume":"129","author":[{"family":"McCaul","given":"Eugene W."},{"family":"Weisman","given":"Morris L."}],"issued":{"date-parts":[["2001",4,1]]}}},{"id":1459,"uris":["http://zotero.org/users/8730623/items/JPRXF3HQ"],"itemData":{"id":1459,"type":"article-journal","abstract":"Abstract Over 200 convective storm simulations are analyzed to examine the variability in storm vertical velocity and updraft area characteristics as a function of basic environmental parameters. While it is known that bulk properties of the troposphere such as convective available potential energy (CAPE) and deep-layer wind shear exert significant influence over updraft intensity and area, additional parameters such as the temperature at the cloud base, the height of the level of free convection (LFC), and the vertical distribution of buoyancy also have an effect. For example, at low CAPE, updraft strength is strongly related to the vertical distribution of buoyancy, and also to the bulk environmental wind shear. More generally, updraft area and its temporal variability both tend to increase in environments where the LFC is raised. Additionally, in environments with persistent storms, downdraft strength is sensitive to the bulk shear, environmental temperature, and LFC height. Using multiple linear regression methods, the best combinations of environmental parameters explain up to 81% of the interexperiment variance in second-hour mean peak updraft velocity, 74% for midlevel updraft area, and 64% for downdraft velocity. Downdraft variability is explained even less well (49%) when only persistent storms are considered. These idealized simulation results show that it is easier to predict storm updraft characteristics than those of the downdraft.","container-title":"Monthly Weather Review","DOI":"10.1175/2008MWR2703.1","ISSN":"1520-0493, 0027-0644","issue":"5","language":"EN","note":"number: 5\npublisher: American Meteorological Society\nsection: Monthly Weather Review","page":"1550-1561","source":"journals.ametsoc.org","title":"Variability of Updraft and Downdraft Characteristics in a Large Parameter Space Study of Convective Storms","volume":"137","author":[{"family":"Kirkpatrick","given":"Cody"},{"family":"McCaul","given":"Eugene W."},{"family":"Cohen","given":"Charles"}],"issued":{"date-parts":[["2009",5,1]]}}}],"schema":"https://github.com/citation-style-language/schema/raw/master/csl-citation.json"} </w:instrText>
      </w:r>
      <w:r w:rsidR="00FF48B8">
        <w:fldChar w:fldCharType="separate"/>
      </w:r>
      <w:r w:rsidR="009B45C2" w:rsidRPr="009B45C2">
        <w:t>(Kirkpatrick et al., 2009; McCaul &amp; Weisman, 2001)</w:t>
      </w:r>
      <w:r w:rsidR="00FF48B8">
        <w:fldChar w:fldCharType="end"/>
      </w:r>
      <w:r w:rsidR="002B6658">
        <w:t>,</w:t>
      </w:r>
      <w:r>
        <w:t xml:space="preserve"> </w:t>
      </w:r>
      <w:r w:rsidR="002B6658">
        <w:t xml:space="preserve">and it is suggested that in </w:t>
      </w:r>
      <w:r>
        <w:t>an</w:t>
      </w:r>
      <w:r w:rsidR="002B6658">
        <w:t xml:space="preserve"> environment with </w:t>
      </w:r>
      <w:r>
        <w:t xml:space="preserve">a </w:t>
      </w:r>
      <w:r w:rsidR="002B6658">
        <w:t xml:space="preserve">large CAPE, </w:t>
      </w:r>
      <w:r>
        <w:t>a</w:t>
      </w:r>
      <w:r w:rsidR="002B6658">
        <w:t xml:space="preserve"> higher LFC height and </w:t>
      </w:r>
      <w:r>
        <w:t>a</w:t>
      </w:r>
      <w:r w:rsidR="002B6658">
        <w:t xml:space="preserve"> lower PW are beneficial for updrafts </w:t>
      </w:r>
      <w:r w:rsidR="002B6658">
        <w:fldChar w:fldCharType="begin"/>
      </w:r>
      <w:r w:rsidR="002B6658">
        <w:instrText xml:space="preserve"> ADDIN ZOTERO_ITEM CSL_CITATION {"citationID":"AtbLUs4s","properties":{"formattedCitation":"(C. Kirkpatrick et al., 2011)","plainCitation":"(C. Kirkpatrick et al., 2011)","noteIndex":0},"citationItems":[{"id":1399,"uris":["http://zotero.org/users/8730623/items/ZMYWLZID"],"itemData":{"id":1399,"type":"article-journal","abstract":"Abstract A set of 225 idealized three-dimensional cloud-resolving simulations is used to explore convective storm behavior in environments with various values of CAPE (450, 800, 2000, and 3200 J kg−1). The simulations show that when CAPE = 2000 J kg−1 or greater, numerous combinations of other environmental parameters can support updrafts of at least 10 m s−1 throughout an entire 2-h simulation. At CAPE = 450 J kg−1, it is very difficult to obtain strong storms, although one case featuring a supercell is found. For CAPE = 800 J kg−1, mature storm updraft speeds correlate positively with strong low-level lapse rates and reduced precipitable water. In some cases, updrafts at this CAPE value can reach speeds that rival predictions of parcel theory, but such efficient conversion of CAPE to kinetic energy does not extend to all storms at CAPE = 800 J kg−1, nor to any storms in simulations at lower or higher CAPE. In simulations with CAPE = 2000 or 3200 J kg−1, the strongest time-averaged mature updrafts, while supercellular in character, feature generally less than 60% of the speeds expected from parcel theory, and even the strongest updraft found at CAPE = 450 J kg−1 fails to reach that relative strength. When CAPE = 2000 J kg−1 or more, updrafts benefit from enhanced shear, higher levels of free convection, and reduced precipitable water. Strong low-level shear and a reduced height of the level of free convection correlate closely with low-level storm vertical vorticity when CAPE is at least 2000 J kg−1, consistent with previous findings. However, at CAPE = 800 J kg−1, low-level vorticity shares the same correlations with the environment as updraft strength. With respect to storm precipitation, in simulations initiated with only 30 mm of precipitable water (PW), all of the storms that last for an entire 2-h simulation tend to produce liquid precipitation at roughly similar rates, regardless of their CAPE. In environments where PW is increased to 60 mm, storms tend to produce the most rainfall at CAPE = 2000 J kg−1, with somewhat lesser rainfall rates at lower and higher CAPE. Nevertheless, over the simulation domain, the ground area that receives at least 10 mm of rainfall tends to increase as CAPE increases, owing to a greater number and size of precipitating updrafts in the domain.","container-title":"Monthly Weather Review","DOI":"10.1175/2011MWR3631.1","ISSN":"1520-0493, 0027-0644","issue":"11","language":"EN","note":"number: 11\npublisher: American Meteorological Society\nsection: Monthly Weather Review","page":"3514-3532","source":"journals.ametsoc.org","title":"Sensitivities of Simulated Convective Storms to Environmental CAPE","volume":"139","author":[{"family":"Kirkpatrick","given":"Cody"},{"family":"McCaul","given":"Eugene W."},{"family":"Cohen","given":"Charles"}],"issued":{"date-parts":[["2011",11,1]]}}}],"schema":"https://github.com/citation-style-language/schema/raw/master/csl-citation.json"} </w:instrText>
      </w:r>
      <w:r w:rsidR="002B6658">
        <w:fldChar w:fldCharType="separate"/>
      </w:r>
      <w:r w:rsidR="002B6658" w:rsidRPr="009B45C2">
        <w:t>(Kirkpatrick et al., 2011)</w:t>
      </w:r>
      <w:r w:rsidR="002B6658">
        <w:fldChar w:fldCharType="end"/>
      </w:r>
      <w:r w:rsidR="00975A0A">
        <w:t xml:space="preserve">, which is similar to the configuration in P3. The mean LCL height (Fig. 10f) is 716 m and is significantly higher than those in P1 and P2. The highest LCL height in P3 suggests a relatively dry boundary layer </w:t>
      </w:r>
      <w:r w:rsidR="00975A0A">
        <w:fldChar w:fldCharType="begin"/>
      </w:r>
      <w:r w:rsidR="009B45C2">
        <w:instrText xml:space="preserve"> ADDIN ZOTERO_ITEM CSL_CITATION {"citationID":"27BlXfIP","properties":{"formattedCitation":"(Rasmussen &amp; Blanchard, 1998)","plainCitation":"(Rasmussen &amp; Blanchard, 1998)","noteIndex":0},"citationItems":[{"id":1537,"uris":["http://zotero.org/users/8730623/items/FCI5AIFI"],"itemData":{"id":1537,"type":"article-journal","abstract":"Abstract All of the 0000 UTC soundings from the United States made during the year 1992 that have nonzero convective available potential energy (CAPE) are examined. Soundings are classified as being associated with nonsupercell thunderstorms, supercells without significant tornadoes, and supercells with significant tornadoes. This classification is made by attempting to pair, based on the low-level sounding winds, an upstream sounding with each occurrence of a significant tornado, large hail, and/or 10 or more cloud-to-ground lightning flashes. Severe weather wind parameters (mean shear, 0–6-km shear, storm-relative helicity, and storm-relative anvil-level flow) and CAPE parameters (total CAPE and CAPE in the lowest 3000 m with buoyancy) are shown to discriminate weakly between the environments of the three classified types of storms. Combined parameters (energy–helicity index and vorticity generation parameter) discriminate strongly between the environments. The height of the lifting condensation level also appears to be generally lower for supercells with significant tornadoes than those without. The causes for the very large false alarm rates in the tornadic/nontornadic supercell forecast, even with the best discriminators, are discussed.","container-title":"Weather and Forecasting","DOI":"10.1175/1520-0434(1998)013&lt;1148:ABCOSD&gt;2.0.CO;2","ISSN":"1520-0434, 0882-8156","issue":"4","language":"EN","note":"number: 4\npublisher: American Meteorological Society\nsection: Weather and Forecasting","page":"1148-1164","source":"journals.ametsoc.org","title":"A Baseline Climatology of Sounding-Derived Supercell andTornado Forecast Parameters","volume":"13","author":[{"family":"Rasmussen","given":"Erik N."},{"family":"Blanchard","given":"David O."}],"issued":{"date-parts":[["1998",12,1]]}}}],"schema":"https://github.com/citation-style-language/schema/raw/master/csl-citation.json"} </w:instrText>
      </w:r>
      <w:r w:rsidR="00975A0A">
        <w:fldChar w:fldCharType="separate"/>
      </w:r>
      <w:r w:rsidR="009B45C2" w:rsidRPr="009B45C2">
        <w:t>(Rasmussen &amp; Blanchard, 1998)</w:t>
      </w:r>
      <w:r w:rsidR="00975A0A">
        <w:fldChar w:fldCharType="end"/>
      </w:r>
      <w:r w:rsidR="00975A0A">
        <w:t xml:space="preserve">, causing stronger evaporation and colder outflow from the downdrafts </w:t>
      </w:r>
      <w:r w:rsidR="00975A0A">
        <w:fldChar w:fldCharType="begin"/>
      </w:r>
      <w:r w:rsidR="009B45C2">
        <w:instrText xml:space="preserve"> ADDIN ZOTERO_ITEM CSL_CITATION {"citationID":"Zsv5TscJ","properties":{"formattedCitation":"(Kuchera &amp; Parker, 2006)","plainCitation":"(Kuchera &amp; Parker, 2006)","noteIndex":0},"citationItems":[{"id":1530,"uris":["http://zotero.org/users/8730623/items/YPW9D8V4"],"itemData":{"id":1530,"type":"article-journal","abstract":"Abstract Nontornadic thunderstorm winds from long-lived, widespread convective windstorms can have a tremendous impact on human lives and property. To examine environments that support damaging wind producing convection, sounding parameters from Rapid Update Cycle model analyses (at 3-hourly intervals) from 2003 were compared with 7055 reports of damaging winds and 377 081 occurrences of lightning. Ground-relative wind velocity was the most effective at discriminating between damaging and nondamaging wind convective environments. Steep surface-based lapse rates (a traditional damaging wind parameter) generally did not discriminate between damaging and nondamaging wind convective environments. Other parameters, such as convective available potential energy, humidity aloft, and lapse rates aloft were moderately discriminating. This paper presents a composite damaging wind algorithm in which the two most discriminatory parameters were combined, yielding more skill than any individual parameter. Damaging wind environments are then examined further through a selection of cases that highlight common severe wind ingredients and failure modes. A primary result is that, even in seemingly favorable environments, when the winds at the top of the inflow layer were either parallel to the convective line or blowing from warm to cold over a front, damaging winds were less likely. In the former case, it appears that the downdraft winds and the cold pool’s gust-front-normal flow are not additive. In the latter case, it appears that convection becomes elevated and does not produce downdrafts that reach the surface. Combining the most discriminatory severe wind parameters with knowledge of these severe wind failure modes may help to improve the situational awareness of forecasters.","container-title":"Weather and Forecasting","DOI":"10.1175/WAF931.1","ISSN":"1520-0434, 0882-8156","issue":"4","language":"EN","note":"number: 4\npublisher: American Meteorological Society\nsection: Weather and Forecasting","page":"595-612","source":"journals.ametsoc.org","title":"Severe Convective Wind Environments","volume":"21","author":[{"family":"Kuchera","given":"Evan L."},{"family":"Parker","given":"Matthew D."}],"issued":{"date-parts":[["2006",8,1]]}}}],"schema":"https://github.com/citation-style-language/schema/raw/master/csl-citation.json"} </w:instrText>
      </w:r>
      <w:r w:rsidR="00975A0A">
        <w:fldChar w:fldCharType="separate"/>
      </w:r>
      <w:r w:rsidR="009B45C2" w:rsidRPr="009B45C2">
        <w:t>(Kuchera &amp; Parker, 2006)</w:t>
      </w:r>
      <w:r w:rsidR="00975A0A">
        <w:fldChar w:fldCharType="end"/>
      </w:r>
      <w:r w:rsidR="00975A0A">
        <w:t xml:space="preserve"> and further </w:t>
      </w:r>
      <w:r>
        <w:t>resulting</w:t>
      </w:r>
      <w:r w:rsidR="00975A0A">
        <w:t xml:space="preserve"> in </w:t>
      </w:r>
      <w:r>
        <w:t>severe</w:t>
      </w:r>
      <w:r w:rsidR="00975A0A">
        <w:t xml:space="preserve"> wind on the surface ground </w:t>
      </w:r>
      <w:r w:rsidR="00975A0A">
        <w:fldChar w:fldCharType="begin"/>
      </w:r>
      <w:r w:rsidR="009B45C2">
        <w:instrText xml:space="preserve"> ADDIN ZOTERO_ITEM CSL_CITATION {"citationID":"k9porN0g","properties":{"formattedCitation":"(Evans &amp; Doswell, 2001; Kaltenb\\uc0\\u246{}ck et al., 2009)","plainCitation":"(Evans &amp; Doswell, 2001; Kaltenböck et al., 2009)","noteIndex":0},"citationItems":[{"id":1517,"uris":["http://zotero.org/users/8730623/items/6ASNP5KP"],"itemData":{"id":1517,"type":"article-journal","abstract":"Observed upper air soundings that occurred within 2 h and 167 km of derechos were collected and analyzed to document atmospheric stability and wind shear conditions associated with long-lived convective windstorms. Sixty-seven derechos, accompanied by 113 proximity soundings, were identiﬁed during the years 1983–93. Owing to the large variability of the synoptic-scale environments associated with derechos, each derecho was further divided into categories based on the strength of synoptic-scale forcing associated with each event.","container-title":"Weather and Forecasting","DOI":"10.1175/1520-0434(2001)016&lt;0329:EODEUP&gt;2.0.CO;2","ISSN":"0882-8156, 1520-0434","issue":"3","journalAbbreviation":"Wea. Forecasting","language":"en","note":"number: 3","page":"329-342","source":"DOI.org (Crossref)","title":"Examination of Derecho Environments Using Proximity Soundings","volume":"16","author":[{"family":"Evans","given":"Jeffry S."},{"family":"Doswell","given":"Charles A."}],"issued":{"date-parts":[["2001",6]]}}},{"id":1524,"uris":["http://zotero.org/users/8730623/items/UHMFJE2U"],"itemData":{"id":1524,"type":"article-journal","abstract":"This study describes the environmental atmospheric characteristics in the vicinity of different types of severe convective storms in Europe during the warm seasons in 2006 and 2007. 3406 severe weather events from the European Severe Weather Database ESWD were investigated to get information about different types of severe local storms, such as significant or weak tornadoes, large hail, damaging winds, and heavy precipitation. These data were combined with EUCLID (European Cooperation for Lightning Detection) lightning data to distinguish and classify thunderstorm activity on a European scale into seven categories: none, weak and 5 types of severe thunderstorms. Sounding parameters in close proximity to reported events were derived from daily high-resolution T799 ECMWF (European Centre for Medium-range Weather Forecasts) analyses. We found from the sounding-derived parameters in Europe: 1) Instability indices and CAPE have considerable skill to predict the occurrence of thunderstorms and the probability of severe events. 2) Low level moisture can be used as a predictor to distinguish between significant tornadoes or non-severe convection. 3) Most of the events associated with wind gusts during strong synoptic flow situations reveal the downward transport of momentum as a very important factor. 4) While deep-layer shear discriminates well between severe and non-severe events, the storm-relative helicity in the 0–1 km and especially in the 0–3 km layer adjacent to the ground has more skill in distinguishing between environments favouring significant tornadoes and wind gusts versus other severe events. Additionally, composite parameters that combine measurements of buoyancy, vertical shear and low level moisture have been tested to discriminate between severe events.","collection-title":"4th European Conference on Severe Storms","container-title":"Atmospheric Research","DOI":"10.1016/j.atmosres.2008.11.005","ISSN":"0169-8095","issue":"1","journalAbbreviation":"Atmospheric Research","language":"en","note":"number: 1","page":"381-396","source":"ScienceDirect","title":"Evaluation of thunderstorm indices from ECMWF analyses, lightning data and severe storm reports","volume":"93","author":[{"family":"Kaltenböck","given":"Rudolf"},{"family":"Diendorfer","given":"Gerhard"},{"family":"Dotzek","given":"Nikolai"}],"issued":{"date-parts":[["2009",7,1]]}}}],"schema":"https://github.com/citation-style-language/schema/raw/master/csl-citation.json"} </w:instrText>
      </w:r>
      <w:r w:rsidR="00975A0A">
        <w:fldChar w:fldCharType="separate"/>
      </w:r>
      <w:r w:rsidR="009B45C2" w:rsidRPr="009B45C2">
        <w:rPr>
          <w:szCs w:val="24"/>
        </w:rPr>
        <w:t>(Evans &amp; Doswell, 2001; Kaltenböck et al., 2009)</w:t>
      </w:r>
      <w:r w:rsidR="00975A0A">
        <w:fldChar w:fldCharType="end"/>
      </w:r>
      <w:r w:rsidR="00DB41A3" w:rsidRPr="00E7031F">
        <w:t>. The difference between the mean LFC height and the mean LCL height is smallest in P3. A high LCL height suggests a dry low-level environment</w:t>
      </w:r>
      <w:r>
        <w:t>,</w:t>
      </w:r>
      <w:r w:rsidR="00DB41A3" w:rsidRPr="00E7031F">
        <w:t xml:space="preserve"> and a low LFC height represents a large lapse rate, which indicates that the impact of the southerly in P3 is greater on warming than on </w:t>
      </w:r>
      <w:r>
        <w:t>humidification</w:t>
      </w:r>
      <w:r w:rsidR="00DB41A3" w:rsidRPr="00E7031F">
        <w:t>. This conclusion can also be confirmed by the lowest PW (Fig. 10h) in P3. The mean SBCIN (Fig. 10b) is 13 J kg</w:t>
      </w:r>
      <w:r w:rsidR="00975A0A" w:rsidRPr="00FF48B8">
        <w:rPr>
          <w:vertAlign w:val="superscript"/>
        </w:rPr>
        <w:t>−1</w:t>
      </w:r>
      <w:r>
        <w:rPr>
          <w:vertAlign w:val="superscript"/>
        </w:rPr>
        <w:t>,</w:t>
      </w:r>
      <w:r w:rsidR="00DB41A3" w:rsidRPr="00E7031F">
        <w:t xml:space="preserve"> and the mean MUCIN (Fig. 10d) is 7.3 J kg</w:t>
      </w:r>
      <w:r w:rsidR="00975A0A" w:rsidRPr="00FF48B8">
        <w:rPr>
          <w:vertAlign w:val="superscript"/>
        </w:rPr>
        <w:t>−1</w:t>
      </w:r>
      <w:r w:rsidR="009E4E3A" w:rsidRPr="00E7031F">
        <w:t>, and both are the minimum in the 3 patterns. Note that the medians of the SBCIN and the MUCIN in P3 are both 0 J kg</w:t>
      </w:r>
      <w:r w:rsidR="00975A0A" w:rsidRPr="00FF48B8">
        <w:rPr>
          <w:vertAlign w:val="superscript"/>
        </w:rPr>
        <w:t>−1</w:t>
      </w:r>
      <w:r w:rsidR="000C0DA0" w:rsidRPr="00E7031F">
        <w:t xml:space="preserve">, which suggests that more than half of the MCSs in P3 are triggered in the environment with no CIN. However, the mean LFC height in P3 is the highest, combined with the minimum CIN, </w:t>
      </w:r>
      <w:r>
        <w:t>representing</w:t>
      </w:r>
      <w:r w:rsidR="000C0DA0" w:rsidRPr="00E7031F">
        <w:t xml:space="preserve"> a dry-adiabatic or even superadiabatic low-level atmosphere, which confirms the conclusion that the southerly in P3 is more favorable for warming than </w:t>
      </w:r>
      <w:r w:rsidR="00E53B83">
        <w:t xml:space="preserve">for </w:t>
      </w:r>
      <w:r w:rsidR="000C0DA0" w:rsidRPr="00E7031F">
        <w:t>humidifying.</w:t>
      </w:r>
    </w:p>
    <w:p w14:paraId="740A0F54" w14:textId="5260D3AD" w:rsidR="00F2310E" w:rsidRDefault="00F2310E" w:rsidP="00887C39">
      <w:pPr>
        <w:adjustRightInd w:val="0"/>
        <w:snapToGrid w:val="0"/>
        <w:spacing w:beforeLines="100" w:before="326"/>
        <w:ind w:firstLineChars="0" w:firstLine="0"/>
        <w:jc w:val="center"/>
        <w:rPr>
          <w:noProof/>
        </w:rPr>
      </w:pPr>
    </w:p>
    <w:p w14:paraId="7ED81838" w14:textId="326D7B20" w:rsidR="00C478A4" w:rsidRPr="00E7031F" w:rsidRDefault="00FA5108" w:rsidP="00887C39">
      <w:pPr>
        <w:adjustRightInd w:val="0"/>
        <w:snapToGrid w:val="0"/>
        <w:spacing w:beforeLines="100" w:before="326"/>
        <w:ind w:firstLineChars="0" w:firstLine="0"/>
        <w:jc w:val="center"/>
        <w:rPr>
          <w:rFonts w:cs="Times New Roman"/>
          <w:szCs w:val="24"/>
        </w:rPr>
      </w:pPr>
      <w:r w:rsidRPr="00FA5108">
        <w:rPr>
          <w:noProof/>
        </w:rPr>
        <w:t xml:space="preserve"> </w:t>
      </w:r>
      <w:r>
        <w:rPr>
          <w:noProof/>
        </w:rPr>
        <w:lastRenderedPageBreak/>
        <w:drawing>
          <wp:inline distT="0" distB="0" distL="0" distR="0" wp14:anchorId="729E050A" wp14:editId="528DAC72">
            <wp:extent cx="5274310" cy="640842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6408420"/>
                    </a:xfrm>
                    <a:prstGeom prst="rect">
                      <a:avLst/>
                    </a:prstGeom>
                  </pic:spPr>
                </pic:pic>
              </a:graphicData>
            </a:graphic>
          </wp:inline>
        </w:drawing>
      </w:r>
    </w:p>
    <w:p w14:paraId="34174D03" w14:textId="3194B7B3" w:rsidR="00634419" w:rsidRPr="005B0A56" w:rsidRDefault="00F2310E" w:rsidP="00EC40E3">
      <w:pPr>
        <w:pStyle w:val="21"/>
        <w:spacing w:before="163" w:after="326"/>
        <w:ind w:firstLineChars="0" w:firstLine="0"/>
      </w:pPr>
      <w:r w:rsidRPr="00EC40E3">
        <w:rPr>
          <w:b/>
          <w:bCs w:val="0"/>
        </w:rPr>
        <w:t xml:space="preserve">Figure 10. </w:t>
      </w:r>
      <w:r w:rsidR="00F103E8">
        <w:t>Violin</w:t>
      </w:r>
      <w:r w:rsidR="00AE50F3" w:rsidRPr="00634419">
        <w:t xml:space="preserve"> plots of environmental parameters. From (a) to (j) are SBCAPE (J kg</w:t>
      </w:r>
      <w:r w:rsidR="00AE50F3" w:rsidRPr="00634419">
        <w:rPr>
          <w:vertAlign w:val="superscript"/>
        </w:rPr>
        <w:t>−1</w:t>
      </w:r>
      <w:r w:rsidR="00AE50F3" w:rsidRPr="00634419">
        <w:t>), SBCIN (J kg</w:t>
      </w:r>
      <w:r w:rsidR="00AE50F3" w:rsidRPr="00634419">
        <w:rPr>
          <w:vertAlign w:val="superscript"/>
        </w:rPr>
        <w:t>−1</w:t>
      </w:r>
      <w:r w:rsidR="00AE50F3" w:rsidRPr="00634419">
        <w:t>), MUCAPE (J kg</w:t>
      </w:r>
      <w:r w:rsidR="00AE50F3" w:rsidRPr="00634419">
        <w:rPr>
          <w:vertAlign w:val="superscript"/>
        </w:rPr>
        <w:t>−1</w:t>
      </w:r>
      <w:r w:rsidR="00AE50F3" w:rsidRPr="00634419">
        <w:t>), MUCIN (J kg</w:t>
      </w:r>
      <w:r w:rsidR="00AE50F3" w:rsidRPr="00634419">
        <w:rPr>
          <w:vertAlign w:val="superscript"/>
        </w:rPr>
        <w:t>−1</w:t>
      </w:r>
      <w:r w:rsidR="00AE50F3" w:rsidRPr="00634419">
        <w:t>), LI (K), LCL (m), LFC (m), PW (mm), SHR3 (m s</w:t>
      </w:r>
      <w:r w:rsidR="00AE50F3" w:rsidRPr="00634419">
        <w:rPr>
          <w:vertAlign w:val="superscript"/>
        </w:rPr>
        <w:t>−1</w:t>
      </w:r>
      <w:r w:rsidR="00AE50F3" w:rsidRPr="00634419">
        <w:t xml:space="preserve">), </w:t>
      </w:r>
      <w:r w:rsidR="00F047E5">
        <w:t xml:space="preserve">and </w:t>
      </w:r>
      <w:r w:rsidR="00AE50F3" w:rsidRPr="00634419">
        <w:t>SHR6 (m s</w:t>
      </w:r>
      <w:r w:rsidR="00AE50F3" w:rsidRPr="00634419">
        <w:rPr>
          <w:vertAlign w:val="superscript"/>
        </w:rPr>
        <w:t>−1</w:t>
      </w:r>
      <w:r w:rsidR="00F103E8" w:rsidRPr="00634419">
        <w:t xml:space="preserve">). The outline of </w:t>
      </w:r>
      <w:r w:rsidR="00F103E8">
        <w:t xml:space="preserve">the </w:t>
      </w:r>
      <w:r w:rsidR="00F103E8" w:rsidRPr="00634419">
        <w:t xml:space="preserve">violin represents </w:t>
      </w:r>
      <w:r w:rsidR="00F103E8">
        <w:t xml:space="preserve">the </w:t>
      </w:r>
      <w:r w:rsidR="00F103E8" w:rsidRPr="00634419">
        <w:t xml:space="preserve">probability density. </w:t>
      </w:r>
      <w:r w:rsidR="00F103E8">
        <w:rPr>
          <w:rFonts w:hint="eastAsia"/>
        </w:rPr>
        <w:t>T</w:t>
      </w:r>
      <w:r w:rsidR="00704F3C" w:rsidRPr="00704F3C">
        <w:t>he upper and lower edges (caps) of the box (whiskers) inside the violin represent the 3rd and 1st quartiles (95th and 5th percentiles), respectively, which are marked on the right side of the violin. The white dot (lemon dash) inside the box represents the median (mean value)</w:t>
      </w:r>
      <w:r w:rsidR="00F103E8">
        <w:t>,</w:t>
      </w:r>
      <w:r w:rsidR="00704F3C" w:rsidRPr="00704F3C">
        <w:t xml:space="preserve"> which is marked in bold italics on the right (left). The pattern label marked blue indicates that the mean value of the parameter in this </w:t>
      </w:r>
      <w:r w:rsidR="00704F3C" w:rsidRPr="00704F3C">
        <w:lastRenderedPageBreak/>
        <w:t xml:space="preserve">pattern is significantly (above the 95% level </w:t>
      </w:r>
      <w:r w:rsidR="00F047E5">
        <w:t>based on a</w:t>
      </w:r>
      <w:r w:rsidR="00F047E5" w:rsidRPr="00704F3C">
        <w:t xml:space="preserve"> </w:t>
      </w:r>
      <w:r w:rsidR="00704F3C" w:rsidRPr="00704F3C">
        <w:t>two-tailed Welch’s</w:t>
      </w:r>
      <w:r w:rsidR="00704F3C" w:rsidRPr="00AB7484">
        <w:rPr>
          <w:i/>
          <w:iCs/>
        </w:rPr>
        <w:t xml:space="preserve"> t</w:t>
      </w:r>
      <w:r w:rsidR="00F103E8">
        <w:t xml:space="preserve"> test) different from those in the other two patterns.</w:t>
      </w:r>
    </w:p>
    <w:p w14:paraId="0ADFA9DC" w14:textId="49FF7CF5" w:rsidR="000C0DA0" w:rsidRPr="00975A0A" w:rsidRDefault="00F103E8" w:rsidP="00652E9E">
      <w:pPr>
        <w:pStyle w:val="ae"/>
      </w:pPr>
      <w:r w:rsidRPr="00975A0A">
        <w:t>5 Summary and conclusions</w:t>
      </w:r>
    </w:p>
    <w:p w14:paraId="2C976D80" w14:textId="32944AB1" w:rsidR="000C0DA0" w:rsidRPr="00E7031F" w:rsidRDefault="005244E0" w:rsidP="00652E9E">
      <w:pPr>
        <w:pStyle w:val="ParagraphText"/>
      </w:pPr>
      <w:r w:rsidRPr="00E7031F">
        <w:t xml:space="preserve">Based on the BT data from the Advanced Geosynchronous Radiation Imager onboard </w:t>
      </w:r>
      <w:r w:rsidR="00F103E8">
        <w:t xml:space="preserve">the </w:t>
      </w:r>
      <w:r w:rsidRPr="00E7031F">
        <w:t xml:space="preserve">FY-4A satellite during the warm seasons (April–September) of 2018–2021, the combination of areal overlapping and optical flow is adopted to identify and track the MCSs in the middle reaches of the YRB, which are categorized into the quasistationary (QS) type and the outward-moving (OM) type and are statistically analyzed. The daily circulations of JJA, during which MCSs occur most frequently, are objectively classified into three patterns using the </w:t>
      </w:r>
      <w:r w:rsidRPr="00975A0A">
        <w:rPr>
          <w:i/>
          <w:iCs/>
        </w:rPr>
        <w:t>k-means</w:t>
      </w:r>
      <w:r w:rsidR="00B10B6B" w:rsidRPr="00E7031F">
        <w:t xml:space="preserve"> algorithm</w:t>
      </w:r>
      <w:r w:rsidR="00F103E8">
        <w:t>,</w:t>
      </w:r>
      <w:r w:rsidR="00B10B6B" w:rsidRPr="00E7031F">
        <w:t xml:space="preserve"> and</w:t>
      </w:r>
      <w:r w:rsidR="00F103E8">
        <w:t xml:space="preserve"> the</w:t>
      </w:r>
      <w:r w:rsidR="00B10B6B" w:rsidRPr="00E7031F">
        <w:t xml:space="preserve"> environmental conditions of MCS initiation are further compared and analyzed. The main conclusions are</w:t>
      </w:r>
      <w:r w:rsidR="00FC5EB2">
        <w:t xml:space="preserve"> described</w:t>
      </w:r>
      <w:r w:rsidR="00B10B6B" w:rsidRPr="00E7031F">
        <w:t xml:space="preserve"> as follows:</w:t>
      </w:r>
    </w:p>
    <w:p w14:paraId="7481CDC8" w14:textId="5139F53A" w:rsidR="005244E0" w:rsidRPr="00E7031F" w:rsidRDefault="00F103E8" w:rsidP="00652E9E">
      <w:pPr>
        <w:pStyle w:val="ParagraphText"/>
      </w:pPr>
      <w:r w:rsidRPr="00E7031F">
        <w:t>(1) During the warm seasons of 2018–2021, 524 QS MCSs and 276 OM MCSs are identified in the middle reaches of the YRB. Among the four main moving paths (i.e., northeast path, southeast path, northwest path and southwest path) of QS MCSs, the occurrence frequency in the southeast path is the highest. The QS MCSs are mostly initiated over mountainous areas and then propagate to the plains. The moving trajectories of OM MCSs are classified into three paths, namely, the northeast path, the southeast path and the southwest path, among which the southeast path has the largest amount of OM MCSs.</w:t>
      </w:r>
    </w:p>
    <w:p w14:paraId="5EB5BD99" w14:textId="7D03E009" w:rsidR="005244E0" w:rsidRPr="00E7031F" w:rsidRDefault="00C70F66" w:rsidP="00652E9E">
      <w:pPr>
        <w:pStyle w:val="ParagraphText"/>
      </w:pPr>
      <w:r w:rsidRPr="00E7031F">
        <w:t xml:space="preserve">(2) The QS MCSs primarily occur in July and August and are mainly initiated in the afternoon (0600–0700 UTC). The OM MCSs mostly occur in June and July with two initiation peaks </w:t>
      </w:r>
      <w:r w:rsidR="00F103E8">
        <w:t xml:space="preserve">at </w:t>
      </w:r>
      <w:r w:rsidRPr="00E7031F">
        <w:t xml:space="preserve">noon (0300–0500 UTC) and late night (1800–1900 UTC), respectively, corresponding to the afternoon peak and morning peak of the typical precipitation associated with </w:t>
      </w:r>
      <w:r w:rsidR="0059378B">
        <w:t>M</w:t>
      </w:r>
      <w:r w:rsidRPr="00E7031F">
        <w:t>ei-yu fronts. QS MCSs are mainly initiated in mountainous areas and caused by local thermal effects, while OM MCSs are mostly triggered in plain areas, which is related to synoptic circulation forcings.</w:t>
      </w:r>
    </w:p>
    <w:p w14:paraId="054579C5" w14:textId="18B6A3BF" w:rsidR="005244E0" w:rsidRPr="00E7031F" w:rsidRDefault="00021F8D" w:rsidP="00652E9E">
      <w:pPr>
        <w:pStyle w:val="ParagraphText"/>
      </w:pPr>
      <w:r w:rsidRPr="00E7031F">
        <w:t xml:space="preserve">(3) The OM MCSs move faster than the QS MCSs and mostly propagate eastward. The durations and maximum extents of QS MCSs show no obvious differences among different months, while those of OM MCSs vary among different months. The lowest brightness temperatures of QS MCSs mostly appear in the afternoon (0800–0900 UTC), but those of the OM MCSs exhibit no obvious diurnal </w:t>
      </w:r>
      <w:r w:rsidRPr="00E7031F">
        <w:lastRenderedPageBreak/>
        <w:t>variation.</w:t>
      </w:r>
    </w:p>
    <w:p w14:paraId="76CE93C7" w14:textId="1E96D209" w:rsidR="00F33650" w:rsidRPr="00E7031F" w:rsidRDefault="00C679BC" w:rsidP="00652E9E">
      <w:pPr>
        <w:pStyle w:val="ParagraphText"/>
      </w:pPr>
      <w:r>
        <w:t xml:space="preserve">(4) Circulations at 0000 UTC of 285 </w:t>
      </w:r>
      <w:r w:rsidR="001A0732" w:rsidRPr="009472E1">
        <w:t>MCS</w:t>
      </w:r>
      <w:r w:rsidR="001A0732">
        <w:t xml:space="preserve"> </w:t>
      </w:r>
      <w:r>
        <w:t>days</w:t>
      </w:r>
      <w:r w:rsidR="00C12ED8">
        <w:t>,</w:t>
      </w:r>
      <w:r>
        <w:t xml:space="preserve"> </w:t>
      </w:r>
      <w:r w:rsidR="00C12ED8" w:rsidRPr="00C12ED8">
        <w:t xml:space="preserve">without direct influencings from tropical cyclones, </w:t>
      </w:r>
      <w:r>
        <w:t xml:space="preserve">are classified into 3 patterns using the </w:t>
      </w:r>
      <w:r w:rsidR="00F103E8" w:rsidRPr="009472E1">
        <w:t xml:space="preserve">k-means </w:t>
      </w:r>
      <w:r w:rsidR="00DC2155" w:rsidRPr="00E7031F">
        <w:t xml:space="preserve">algorithm. The composite circulation of P1 is consistent with the typical circulation of </w:t>
      </w:r>
      <w:r w:rsidR="00F103E8">
        <w:t xml:space="preserve">the </w:t>
      </w:r>
      <w:r w:rsidR="005E5631">
        <w:t>M</w:t>
      </w:r>
      <w:r w:rsidR="00DC2155" w:rsidRPr="00E7031F">
        <w:t xml:space="preserve">ei-yu front, and those of P2 and P3 are dominated by the northwesterly and the weak southerly, respectively. The mean initiation frequencies of the QS MCSs in P1 and P3 are the same and that in P2 is the </w:t>
      </w:r>
      <w:r w:rsidR="00F103E8">
        <w:t xml:space="preserve">lowest. The </w:t>
      </w:r>
      <w:r w:rsidR="00DC2155" w:rsidRPr="00E7031F">
        <w:t>OM MCSs are initiated the most in P1, followed by P2</w:t>
      </w:r>
      <w:r w:rsidR="00F103E8">
        <w:t>,</w:t>
      </w:r>
      <w:r w:rsidR="00DC2155" w:rsidRPr="00E7031F">
        <w:t xml:space="preserve"> and the</w:t>
      </w:r>
      <w:r w:rsidR="009E3CE6">
        <w:t>y are initiated the</w:t>
      </w:r>
      <w:r w:rsidR="00DC2155" w:rsidRPr="00E7031F">
        <w:t xml:space="preserve"> least in P3.</w:t>
      </w:r>
    </w:p>
    <w:p w14:paraId="6D77486C" w14:textId="032F4399" w:rsidR="00F66BF4" w:rsidRPr="00E7031F" w:rsidRDefault="008D66D5" w:rsidP="00652E9E">
      <w:pPr>
        <w:pStyle w:val="ParagraphText"/>
      </w:pPr>
      <w:r>
        <w:t xml:space="preserve">(5) </w:t>
      </w:r>
      <w:r w:rsidR="00C134DB">
        <w:t>A</w:t>
      </w:r>
      <w:r>
        <w:t>nalysis of the environmental conditions favorable for MCS initiation in the three circulation patterns suggests that a) the low-level wind speed in P1 is relatively high</w:t>
      </w:r>
      <w:r w:rsidR="00F103E8">
        <w:t>,</w:t>
      </w:r>
      <w:r>
        <w:t xml:space="preserve"> and the </w:t>
      </w:r>
      <w:r w:rsidR="00F103E8">
        <w:t>MCS</w:t>
      </w:r>
      <w:r>
        <w:t xml:space="preserve"> initiations in P1 may be accompanied by low-level jets, which is more favorable for OM </w:t>
      </w:r>
      <w:r w:rsidR="00F103E8">
        <w:t>MCS</w:t>
      </w:r>
      <w:r>
        <w:t xml:space="preserve"> initiation and propagation; b) the circulation in P2 is dominated by </w:t>
      </w:r>
      <w:r w:rsidR="00F103E8">
        <w:t xml:space="preserve">northwesterlies </w:t>
      </w:r>
      <w:r>
        <w:t xml:space="preserve">with a relatively stable layer in </w:t>
      </w:r>
      <w:r w:rsidR="00F103E8">
        <w:t xml:space="preserve">the </w:t>
      </w:r>
      <w:r>
        <w:t>low-level troposphere;</w:t>
      </w:r>
      <w:r w:rsidR="00F103E8">
        <w:t xml:space="preserve"> and</w:t>
      </w:r>
      <w:r>
        <w:t xml:space="preserve"> c) the southerly in P3 accompanied by adiabatic warming establishes a dry-adiabatic or even a superadiabatic layer and further lowers the stability.</w:t>
      </w:r>
    </w:p>
    <w:p w14:paraId="5DD13E3D" w14:textId="4743718E" w:rsidR="00C679BC" w:rsidRDefault="00C134DB" w:rsidP="00652E9E">
      <w:pPr>
        <w:pStyle w:val="ParagraphText"/>
      </w:pPr>
      <w:r>
        <w:t>In the</w:t>
      </w:r>
      <w:r w:rsidRPr="00E7031F">
        <w:t xml:space="preserve"> </w:t>
      </w:r>
      <w:r w:rsidR="00FD16B0" w:rsidRPr="00E7031F">
        <w:t>present work</w:t>
      </w:r>
      <w:r>
        <w:t>,</w:t>
      </w:r>
      <w:r w:rsidR="00FD16B0" w:rsidRPr="00E7031F">
        <w:t xml:space="preserve"> a comprehensive analysis </w:t>
      </w:r>
      <w:r>
        <w:t xml:space="preserve">was </w:t>
      </w:r>
      <w:r w:rsidRPr="00E7031F">
        <w:t xml:space="preserve">conducted </w:t>
      </w:r>
      <w:r w:rsidR="00FD16B0" w:rsidRPr="00E7031F">
        <w:t>on the MCSs in the middle reaches of the YRB during the warm seasons of 2018–2021, focusing mainly on the statistical characteristics, circulation patterns, and environmental conditions favorable for MCS initiation</w:t>
      </w:r>
      <w:r>
        <w:t>,</w:t>
      </w:r>
      <w:r w:rsidR="00FD16B0" w:rsidRPr="00E7031F">
        <w:t xml:space="preserve"> and some conclusions with scientific significance and utility value</w:t>
      </w:r>
      <w:r>
        <w:t xml:space="preserve"> were</w:t>
      </w:r>
      <w:r w:rsidRPr="00C134DB">
        <w:t xml:space="preserve"> </w:t>
      </w:r>
      <w:r w:rsidRPr="00E7031F">
        <w:t>obtained</w:t>
      </w:r>
      <w:r w:rsidR="00FD16B0" w:rsidRPr="00E7031F">
        <w:t xml:space="preserve">. However, some problems remain unsolved. For example, the late-night triggering peak of OM MCSs </w:t>
      </w:r>
      <w:r w:rsidR="00F103E8">
        <w:t>is</w:t>
      </w:r>
      <w:r w:rsidR="00FD16B0" w:rsidRPr="00E7031F">
        <w:t xml:space="preserve"> not well understood, and the impacts of orography on MCSs in the middle reaches of the YRB </w:t>
      </w:r>
      <w:r w:rsidR="00F103E8">
        <w:t>need</w:t>
      </w:r>
      <w:r w:rsidR="00FD16B0" w:rsidRPr="00E7031F">
        <w:t xml:space="preserve"> further exploration. Further work will focus on these issues.</w:t>
      </w:r>
    </w:p>
    <w:p w14:paraId="3FBF56D9" w14:textId="77777777" w:rsidR="005F61F6" w:rsidRPr="00F019AD" w:rsidRDefault="005F61F6" w:rsidP="005F61F6">
      <w:pPr>
        <w:pStyle w:val="ae"/>
      </w:pPr>
      <w:r w:rsidRPr="00F019AD">
        <w:t>Acknowledgments</w:t>
      </w:r>
    </w:p>
    <w:p w14:paraId="2A739DB9" w14:textId="77777777" w:rsidR="005F61F6" w:rsidRPr="00F019AD" w:rsidRDefault="005F61F6" w:rsidP="005F61F6">
      <w:pPr>
        <w:pStyle w:val="ParagraphText"/>
      </w:pPr>
      <w:r w:rsidRPr="00297869">
        <w:rPr>
          <w:szCs w:val="24"/>
        </w:rPr>
        <w:t xml:space="preserve">This research was supported by the National Natural Science Foundation of China (Grant U2142202, </w:t>
      </w:r>
      <w:r w:rsidRPr="00565ECC">
        <w:rPr>
          <w:szCs w:val="24"/>
        </w:rPr>
        <w:t>41975056 and 4197505</w:t>
      </w:r>
      <w:r>
        <w:rPr>
          <w:szCs w:val="24"/>
        </w:rPr>
        <w:t>7</w:t>
      </w:r>
      <w:r w:rsidRPr="00297869">
        <w:rPr>
          <w:szCs w:val="24"/>
        </w:rPr>
        <w:t>).</w:t>
      </w:r>
    </w:p>
    <w:p w14:paraId="30768259" w14:textId="77777777" w:rsidR="005F61F6" w:rsidRDefault="005F61F6" w:rsidP="005F61F6">
      <w:pPr>
        <w:pStyle w:val="ae"/>
      </w:pPr>
      <w:r w:rsidRPr="00F019AD">
        <w:t>Data Availability Statement</w:t>
      </w:r>
    </w:p>
    <w:p w14:paraId="4D735664" w14:textId="77777777" w:rsidR="005F61F6" w:rsidRPr="007139F6" w:rsidRDefault="005F61F6" w:rsidP="005F61F6">
      <w:pPr>
        <w:pStyle w:val="ParagraphText"/>
      </w:pPr>
      <w:r w:rsidRPr="00161ACF">
        <w:t xml:space="preserve">The </w:t>
      </w:r>
      <w:r>
        <w:t>FY-4A BT data</w:t>
      </w:r>
      <w:r w:rsidRPr="00161ACF">
        <w:t xml:space="preserve"> can be downloaded from </w:t>
      </w:r>
      <w:hyperlink r:id="rId19" w:history="1">
        <w:r w:rsidRPr="00161ACF">
          <w:rPr>
            <w:rStyle w:val="ab"/>
            <w:szCs w:val="21"/>
          </w:rPr>
          <w:t>http://data.cma.cn/</w:t>
        </w:r>
      </w:hyperlink>
      <w:r w:rsidRPr="00161ACF">
        <w:t xml:space="preserve"> with approval of </w:t>
      </w:r>
      <w:r w:rsidRPr="0021284E">
        <w:t>China Meteorological Administration</w:t>
      </w:r>
      <w:r w:rsidRPr="00161ACF">
        <w:t xml:space="preserve">. The ERA5 dataset can be downloaded freely from </w:t>
      </w:r>
      <w:hyperlink r:id="rId20" w:anchor="!/home" w:history="1">
        <w:r w:rsidRPr="00161ACF">
          <w:rPr>
            <w:rStyle w:val="ab"/>
            <w:szCs w:val="21"/>
          </w:rPr>
          <w:t>https://cds.climate.copernicus.eu/cdsapp#!/home</w:t>
        </w:r>
      </w:hyperlink>
      <w:r w:rsidRPr="00161ACF">
        <w:t xml:space="preserve">. The TC best-track dataset can be downloaded freely from </w:t>
      </w:r>
      <w:hyperlink r:id="rId21" w:history="1">
        <w:r w:rsidRPr="00E33AF6">
          <w:rPr>
            <w:rStyle w:val="ab"/>
            <w:szCs w:val="21"/>
          </w:rPr>
          <w:t>https://tcdata.typhoon.org.cn/ zjljsjj_zlhq.html</w:t>
        </w:r>
      </w:hyperlink>
      <w:r w:rsidRPr="00CB5C0F">
        <w:rPr>
          <w:rStyle w:val="ab"/>
          <w:color w:val="auto"/>
          <w:szCs w:val="21"/>
          <w:u w:val="none"/>
        </w:rPr>
        <w:t>.</w:t>
      </w:r>
    </w:p>
    <w:p w14:paraId="5CC60DCC" w14:textId="77777777" w:rsidR="005F61F6" w:rsidRPr="00E7031F" w:rsidRDefault="005F61F6" w:rsidP="005F61F6">
      <w:pPr>
        <w:pStyle w:val="ae"/>
      </w:pPr>
      <w:r>
        <w:lastRenderedPageBreak/>
        <w:t>References</w:t>
      </w:r>
    </w:p>
    <w:p w14:paraId="350C324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Astling, E. G. (1984). On the </w:t>
      </w:r>
      <w:r>
        <w:rPr>
          <w:rFonts w:cs="Times New Roman"/>
          <w:szCs w:val="24"/>
        </w:rPr>
        <w:t>r</w:t>
      </w:r>
      <w:r w:rsidRPr="009B45C2">
        <w:rPr>
          <w:rFonts w:cs="Times New Roman"/>
          <w:szCs w:val="24"/>
        </w:rPr>
        <w:t xml:space="preserve">elationship between </w:t>
      </w:r>
      <w:r>
        <w:rPr>
          <w:rFonts w:cs="Times New Roman"/>
          <w:szCs w:val="24"/>
        </w:rPr>
        <w:t>d</w:t>
      </w:r>
      <w:r w:rsidRPr="009B45C2">
        <w:rPr>
          <w:rFonts w:cs="Times New Roman"/>
          <w:szCs w:val="24"/>
        </w:rPr>
        <w:t xml:space="preserve">iurnal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irculations and </w:t>
      </w:r>
      <w:r>
        <w:rPr>
          <w:rFonts w:cs="Times New Roman"/>
          <w:szCs w:val="24"/>
        </w:rPr>
        <w:t>p</w:t>
      </w:r>
      <w:r w:rsidRPr="009B45C2">
        <w:rPr>
          <w:rFonts w:cs="Times New Roman"/>
          <w:szCs w:val="24"/>
        </w:rPr>
        <w:t xml:space="preserve">recipitation in a </w:t>
      </w:r>
      <w:r>
        <w:rPr>
          <w:rFonts w:cs="Times New Roman"/>
          <w:szCs w:val="24"/>
        </w:rPr>
        <w:t>m</w:t>
      </w:r>
      <w:r w:rsidRPr="009B45C2">
        <w:rPr>
          <w:rFonts w:cs="Times New Roman"/>
          <w:szCs w:val="24"/>
        </w:rPr>
        <w:t xml:space="preserve">ountain </w:t>
      </w:r>
      <w:r>
        <w:rPr>
          <w:rFonts w:cs="Times New Roman"/>
          <w:szCs w:val="24"/>
        </w:rPr>
        <w:t>v</w:t>
      </w:r>
      <w:r w:rsidRPr="009B45C2">
        <w:rPr>
          <w:rFonts w:cs="Times New Roman"/>
          <w:szCs w:val="24"/>
        </w:rPr>
        <w:t xml:space="preserve">alley.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23</w:t>
      </w:r>
      <w:r w:rsidRPr="009B45C2">
        <w:rPr>
          <w:rFonts w:cs="Times New Roman"/>
          <w:szCs w:val="24"/>
        </w:rPr>
        <w:t xml:space="preserve">(12), 1635–1644. </w:t>
      </w:r>
      <w:hyperlink r:id="rId22" w:history="1">
        <w:r w:rsidRPr="005741C7">
          <w:rPr>
            <w:rStyle w:val="ab"/>
          </w:rPr>
          <w:t>https://doi.org/10.1175/1520-0450(1984)023&lt;1635: OTRBDM&gt;2.0.CO;2</w:t>
        </w:r>
      </w:hyperlink>
    </w:p>
    <w:p w14:paraId="2FF1F8EE" w14:textId="77777777" w:rsidR="005F61F6" w:rsidRDefault="005F61F6" w:rsidP="005F61F6">
      <w:pPr>
        <w:pStyle w:val="aa"/>
        <w:adjustRightInd w:val="0"/>
        <w:snapToGrid w:val="0"/>
        <w:spacing w:beforeLines="0" w:before="240" w:after="120" w:line="360" w:lineRule="auto"/>
        <w:ind w:left="360" w:hangingChars="150" w:hanging="360"/>
        <w:rPr>
          <w:rStyle w:val="ab"/>
        </w:rPr>
      </w:pPr>
      <w:r w:rsidRPr="009B45C2">
        <w:rPr>
          <w:rFonts w:cs="Times New Roman"/>
          <w:szCs w:val="24"/>
        </w:rPr>
        <w:t xml:space="preserve">Augustine, J. A., &amp; Howard, K. W. (1988). Mesoscale </w:t>
      </w:r>
      <w:r>
        <w:rPr>
          <w:rFonts w:cs="Times New Roman"/>
          <w:szCs w:val="24"/>
        </w:rPr>
        <w:t>c</w:t>
      </w:r>
      <w:r w:rsidRPr="009B45C2">
        <w:rPr>
          <w:rFonts w:cs="Times New Roman"/>
          <w:szCs w:val="24"/>
        </w:rPr>
        <w:t xml:space="preserve">onvective </w:t>
      </w:r>
      <w:r>
        <w:rPr>
          <w:rFonts w:cs="Times New Roman"/>
          <w:szCs w:val="24"/>
        </w:rPr>
        <w:t>c</w:t>
      </w:r>
      <w:r w:rsidRPr="009B45C2">
        <w:rPr>
          <w:rFonts w:cs="Times New Roman"/>
          <w:szCs w:val="24"/>
        </w:rPr>
        <w:t xml:space="preserve">omplexes over the United States during 1985.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116</w:t>
      </w:r>
      <w:r w:rsidRPr="009B45C2">
        <w:rPr>
          <w:rFonts w:cs="Times New Roman"/>
          <w:szCs w:val="24"/>
        </w:rPr>
        <w:t xml:space="preserve">(3), 685–701. </w:t>
      </w:r>
      <w:hyperlink r:id="rId23" w:history="1">
        <w:r w:rsidRPr="00C75784">
          <w:rPr>
            <w:rStyle w:val="ab"/>
          </w:rPr>
          <w:t>https://doi.org/10.1175/1520-0493(1988)116&lt;0685:MCCOTU&gt;2.0.CO;2</w:t>
        </w:r>
      </w:hyperlink>
    </w:p>
    <w:p w14:paraId="70E79734" w14:textId="77777777" w:rsidR="005F61F6" w:rsidRPr="00885FBE" w:rsidRDefault="005F61F6" w:rsidP="005F61F6">
      <w:pPr>
        <w:pStyle w:val="aa"/>
        <w:adjustRightInd w:val="0"/>
        <w:snapToGrid w:val="0"/>
        <w:spacing w:beforeLines="0" w:before="240" w:after="120" w:line="360" w:lineRule="auto"/>
        <w:ind w:left="360" w:hangingChars="150" w:hanging="360"/>
        <w:rPr>
          <w:rFonts w:cs="Times New Roman"/>
          <w:szCs w:val="24"/>
        </w:rPr>
      </w:pPr>
      <w:r w:rsidRPr="00885FBE">
        <w:rPr>
          <w:rFonts w:cs="Times New Roman"/>
          <w:szCs w:val="24"/>
        </w:rPr>
        <w:t xml:space="preserve">Bai, L., Chen, G., &amp; Huang, L. (2020). Convection initiation in monsoon coastal areas (South China). </w:t>
      </w:r>
      <w:r w:rsidRPr="00885FBE">
        <w:rPr>
          <w:rFonts w:cs="Times New Roman"/>
          <w:i/>
          <w:iCs/>
          <w:szCs w:val="24"/>
        </w:rPr>
        <w:t>Geophysical Research Letters</w:t>
      </w:r>
      <w:r w:rsidRPr="00885FBE">
        <w:rPr>
          <w:rFonts w:cs="Times New Roman"/>
          <w:szCs w:val="24"/>
        </w:rPr>
        <w:t xml:space="preserve">, </w:t>
      </w:r>
      <w:r w:rsidRPr="00885FBE">
        <w:rPr>
          <w:rFonts w:cs="Times New Roman"/>
          <w:i/>
          <w:iCs/>
          <w:szCs w:val="24"/>
        </w:rPr>
        <w:t>47</w:t>
      </w:r>
      <w:r w:rsidRPr="00885FBE">
        <w:rPr>
          <w:rFonts w:cs="Times New Roman"/>
          <w:szCs w:val="24"/>
        </w:rPr>
        <w:t>(11), e2020GL087035. https://doi.org/10.1029/2020GL087035</w:t>
      </w:r>
    </w:p>
    <w:p w14:paraId="7FA0906F"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Bao, X., Zhang, F., &amp; Sun, J. (2011). Diurnal </w:t>
      </w:r>
      <w:r>
        <w:rPr>
          <w:rFonts w:cs="Times New Roman"/>
          <w:szCs w:val="24"/>
        </w:rPr>
        <w:t>v</w:t>
      </w:r>
      <w:r w:rsidRPr="009B45C2">
        <w:rPr>
          <w:rFonts w:cs="Times New Roman"/>
          <w:szCs w:val="24"/>
        </w:rPr>
        <w:t xml:space="preserve">ariations of </w:t>
      </w:r>
      <w:r>
        <w:rPr>
          <w:rFonts w:cs="Times New Roman"/>
          <w:szCs w:val="24"/>
        </w:rPr>
        <w:t>w</w:t>
      </w:r>
      <w:r w:rsidRPr="009B45C2">
        <w:rPr>
          <w:rFonts w:cs="Times New Roman"/>
          <w:szCs w:val="24"/>
        </w:rPr>
        <w:t>arm-</w:t>
      </w:r>
      <w:r>
        <w:rPr>
          <w:rFonts w:cs="Times New Roman"/>
          <w:szCs w:val="24"/>
        </w:rPr>
        <w:t>s</w:t>
      </w:r>
      <w:r w:rsidRPr="009B45C2">
        <w:rPr>
          <w:rFonts w:cs="Times New Roman"/>
          <w:szCs w:val="24"/>
        </w:rPr>
        <w:t xml:space="preserve">eason </w:t>
      </w:r>
      <w:r>
        <w:rPr>
          <w:rFonts w:cs="Times New Roman"/>
          <w:szCs w:val="24"/>
        </w:rPr>
        <w:t>p</w:t>
      </w:r>
      <w:r w:rsidRPr="009B45C2">
        <w:rPr>
          <w:rFonts w:cs="Times New Roman"/>
          <w:szCs w:val="24"/>
        </w:rPr>
        <w:t xml:space="preserve">recipitation </w:t>
      </w:r>
      <w:r>
        <w:rPr>
          <w:rFonts w:cs="Times New Roman"/>
          <w:szCs w:val="24"/>
        </w:rPr>
        <w:t>e</w:t>
      </w:r>
      <w:r w:rsidRPr="009B45C2">
        <w:rPr>
          <w:rFonts w:cs="Times New Roman"/>
          <w:szCs w:val="24"/>
        </w:rPr>
        <w:t xml:space="preserve">ast of the Tibetan Plateau over China.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139</w:t>
      </w:r>
      <w:r w:rsidRPr="009B45C2">
        <w:rPr>
          <w:rFonts w:cs="Times New Roman"/>
          <w:szCs w:val="24"/>
        </w:rPr>
        <w:t xml:space="preserve">(9), 2790–2810. </w:t>
      </w:r>
      <w:hyperlink r:id="rId24" w:history="1">
        <w:r w:rsidRPr="00C75784">
          <w:rPr>
            <w:rStyle w:val="ab"/>
          </w:rPr>
          <w:t>https://doi.org/10.1175/MWR-D-11-00006.1</w:t>
        </w:r>
      </w:hyperlink>
    </w:p>
    <w:p w14:paraId="4DD1FDEA"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Bechini, R., &amp; Chandrasekar, V. (2017). An </w:t>
      </w:r>
      <w:r>
        <w:rPr>
          <w:rFonts w:cs="Times New Roman"/>
          <w:szCs w:val="24"/>
        </w:rPr>
        <w:t>e</w:t>
      </w:r>
      <w:r w:rsidRPr="009B45C2">
        <w:rPr>
          <w:rFonts w:cs="Times New Roman"/>
          <w:szCs w:val="24"/>
        </w:rPr>
        <w:t xml:space="preserve">nhanced </w:t>
      </w:r>
      <w:r>
        <w:rPr>
          <w:rFonts w:cs="Times New Roman"/>
          <w:szCs w:val="24"/>
        </w:rPr>
        <w:t>o</w:t>
      </w:r>
      <w:r w:rsidRPr="009B45C2">
        <w:rPr>
          <w:rFonts w:cs="Times New Roman"/>
          <w:szCs w:val="24"/>
        </w:rPr>
        <w:t xml:space="preserve">ptical </w:t>
      </w:r>
      <w:r>
        <w:rPr>
          <w:rFonts w:cs="Times New Roman"/>
          <w:szCs w:val="24"/>
        </w:rPr>
        <w:t>f</w:t>
      </w:r>
      <w:r w:rsidRPr="009B45C2">
        <w:rPr>
          <w:rFonts w:cs="Times New Roman"/>
          <w:szCs w:val="24"/>
        </w:rPr>
        <w:t xml:space="preserve">low </w:t>
      </w:r>
      <w:r>
        <w:rPr>
          <w:rFonts w:cs="Times New Roman"/>
          <w:szCs w:val="24"/>
        </w:rPr>
        <w:t>t</w:t>
      </w:r>
      <w:r w:rsidRPr="009B45C2">
        <w:rPr>
          <w:rFonts w:cs="Times New Roman"/>
          <w:szCs w:val="24"/>
        </w:rPr>
        <w:t xml:space="preserve">echnique for </w:t>
      </w:r>
      <w:r>
        <w:rPr>
          <w:rFonts w:cs="Times New Roman"/>
          <w:szCs w:val="24"/>
        </w:rPr>
        <w:t>r</w:t>
      </w:r>
      <w:r w:rsidRPr="009B45C2">
        <w:rPr>
          <w:rFonts w:cs="Times New Roman"/>
          <w:szCs w:val="24"/>
        </w:rPr>
        <w:t xml:space="preserve">adar </w:t>
      </w:r>
      <w:r>
        <w:rPr>
          <w:rFonts w:cs="Times New Roman"/>
          <w:szCs w:val="24"/>
        </w:rPr>
        <w:t>n</w:t>
      </w:r>
      <w:r w:rsidRPr="009B45C2">
        <w:rPr>
          <w:rFonts w:cs="Times New Roman"/>
          <w:szCs w:val="24"/>
        </w:rPr>
        <w:t xml:space="preserve">owcasting of </w:t>
      </w:r>
      <w:r>
        <w:rPr>
          <w:rFonts w:cs="Times New Roman"/>
          <w:szCs w:val="24"/>
        </w:rPr>
        <w:t>p</w:t>
      </w:r>
      <w:r w:rsidRPr="009B45C2">
        <w:rPr>
          <w:rFonts w:cs="Times New Roman"/>
          <w:szCs w:val="24"/>
        </w:rPr>
        <w:t xml:space="preserve">recipitation and </w:t>
      </w:r>
      <w:r>
        <w:rPr>
          <w:rFonts w:cs="Times New Roman"/>
          <w:szCs w:val="24"/>
        </w:rPr>
        <w:t>w</w:t>
      </w:r>
      <w:r w:rsidRPr="009B45C2">
        <w:rPr>
          <w:rFonts w:cs="Times New Roman"/>
          <w:szCs w:val="24"/>
        </w:rPr>
        <w:t xml:space="preserve">inds. </w:t>
      </w:r>
      <w:r w:rsidRPr="009B45C2">
        <w:rPr>
          <w:rFonts w:cs="Times New Roman"/>
          <w:i/>
          <w:iCs/>
          <w:szCs w:val="24"/>
        </w:rPr>
        <w:t>Journal of Atmospheric and Oceanic Technology</w:t>
      </w:r>
      <w:r w:rsidRPr="009B45C2">
        <w:rPr>
          <w:rFonts w:cs="Times New Roman"/>
          <w:szCs w:val="24"/>
        </w:rPr>
        <w:t xml:space="preserve">, </w:t>
      </w:r>
      <w:r w:rsidRPr="009B45C2">
        <w:rPr>
          <w:rFonts w:cs="Times New Roman"/>
          <w:i/>
          <w:iCs/>
          <w:szCs w:val="24"/>
        </w:rPr>
        <w:t>34</w:t>
      </w:r>
      <w:r w:rsidRPr="009B45C2">
        <w:rPr>
          <w:rFonts w:cs="Times New Roman"/>
          <w:szCs w:val="24"/>
        </w:rPr>
        <w:t xml:space="preserve">(12), 2637–2658. </w:t>
      </w:r>
      <w:hyperlink r:id="rId25" w:history="1">
        <w:r w:rsidRPr="00C75784">
          <w:rPr>
            <w:rStyle w:val="ab"/>
          </w:rPr>
          <w:t>https://doi.org/10.1175/JTECH-D-17-0110.1</w:t>
        </w:r>
      </w:hyperlink>
    </w:p>
    <w:p w14:paraId="0C06E32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Bernard, E., Naveau, P., Vrac, M., &amp; Mestre, O. (2013). Clustering of </w:t>
      </w:r>
      <w:r>
        <w:rPr>
          <w:rFonts w:cs="Times New Roman"/>
          <w:szCs w:val="24"/>
        </w:rPr>
        <w:t>m</w:t>
      </w:r>
      <w:r w:rsidRPr="009B45C2">
        <w:rPr>
          <w:rFonts w:cs="Times New Roman"/>
          <w:szCs w:val="24"/>
        </w:rPr>
        <w:t xml:space="preserve">axima: </w:t>
      </w:r>
      <w:r>
        <w:rPr>
          <w:rFonts w:cs="Times New Roman"/>
          <w:szCs w:val="24"/>
        </w:rPr>
        <w:t>s</w:t>
      </w:r>
      <w:r w:rsidRPr="009B45C2">
        <w:rPr>
          <w:rFonts w:cs="Times New Roman"/>
          <w:szCs w:val="24"/>
        </w:rPr>
        <w:t xml:space="preserve">patial </w:t>
      </w:r>
      <w:r>
        <w:rPr>
          <w:rFonts w:cs="Times New Roman"/>
          <w:szCs w:val="24"/>
        </w:rPr>
        <w:t>d</w:t>
      </w:r>
      <w:r w:rsidRPr="009B45C2">
        <w:rPr>
          <w:rFonts w:cs="Times New Roman"/>
          <w:szCs w:val="24"/>
        </w:rPr>
        <w:t xml:space="preserve">ependencies among </w:t>
      </w:r>
      <w:r>
        <w:rPr>
          <w:rFonts w:cs="Times New Roman"/>
          <w:szCs w:val="24"/>
        </w:rPr>
        <w:t>h</w:t>
      </w:r>
      <w:r w:rsidRPr="009B45C2">
        <w:rPr>
          <w:rFonts w:cs="Times New Roman"/>
          <w:szCs w:val="24"/>
        </w:rPr>
        <w:t xml:space="preserve">eavy </w:t>
      </w:r>
      <w:r>
        <w:rPr>
          <w:rFonts w:cs="Times New Roman"/>
          <w:szCs w:val="24"/>
        </w:rPr>
        <w:t>r</w:t>
      </w:r>
      <w:r w:rsidRPr="009B45C2">
        <w:rPr>
          <w:rFonts w:cs="Times New Roman"/>
          <w:szCs w:val="24"/>
        </w:rPr>
        <w:t xml:space="preserve">ainfall in France.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26</w:t>
      </w:r>
      <w:r w:rsidRPr="009B45C2">
        <w:rPr>
          <w:rFonts w:cs="Times New Roman"/>
          <w:szCs w:val="24"/>
        </w:rPr>
        <w:t xml:space="preserve">(20), 7929–7937. </w:t>
      </w:r>
      <w:hyperlink r:id="rId26" w:history="1">
        <w:r w:rsidRPr="00C75784">
          <w:rPr>
            <w:rStyle w:val="ab"/>
          </w:rPr>
          <w:t>https://doi.org/10.1175/JCLI-D-12-00836.1</w:t>
        </w:r>
      </w:hyperlink>
    </w:p>
    <w:p w14:paraId="7F44631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Bister, M. (2001). Effect of </w:t>
      </w:r>
      <w:r>
        <w:rPr>
          <w:rFonts w:cs="Times New Roman"/>
          <w:szCs w:val="24"/>
        </w:rPr>
        <w:t>p</w:t>
      </w:r>
      <w:r w:rsidRPr="009B45C2">
        <w:rPr>
          <w:rFonts w:cs="Times New Roman"/>
          <w:szCs w:val="24"/>
        </w:rPr>
        <w:t xml:space="preserve">eripheral </w:t>
      </w:r>
      <w:r>
        <w:rPr>
          <w:rFonts w:cs="Times New Roman"/>
          <w:szCs w:val="24"/>
        </w:rPr>
        <w:t>c</w:t>
      </w:r>
      <w:r w:rsidRPr="009B45C2">
        <w:rPr>
          <w:rFonts w:cs="Times New Roman"/>
          <w:szCs w:val="24"/>
        </w:rPr>
        <w:t xml:space="preserve">onvection on </w:t>
      </w:r>
      <w:r>
        <w:rPr>
          <w:rFonts w:cs="Times New Roman"/>
          <w:szCs w:val="24"/>
        </w:rPr>
        <w:t>t</w:t>
      </w:r>
      <w:r w:rsidRPr="009B45C2">
        <w:rPr>
          <w:rFonts w:cs="Times New Roman"/>
          <w:szCs w:val="24"/>
        </w:rPr>
        <w:t xml:space="preserve">ropical </w:t>
      </w:r>
      <w:r>
        <w:rPr>
          <w:rFonts w:cs="Times New Roman"/>
          <w:szCs w:val="24"/>
        </w:rPr>
        <w:t>c</w:t>
      </w:r>
      <w:r w:rsidRPr="009B45C2">
        <w:rPr>
          <w:rFonts w:cs="Times New Roman"/>
          <w:szCs w:val="24"/>
        </w:rPr>
        <w:t xml:space="preserve">yclone </w:t>
      </w:r>
      <w:r>
        <w:rPr>
          <w:rFonts w:cs="Times New Roman"/>
          <w:szCs w:val="24"/>
        </w:rPr>
        <w:t>f</w:t>
      </w:r>
      <w:r w:rsidRPr="009B45C2">
        <w:rPr>
          <w:rFonts w:cs="Times New Roman"/>
          <w:szCs w:val="24"/>
        </w:rPr>
        <w:t xml:space="preserve">ormation. </w:t>
      </w:r>
      <w:r w:rsidRPr="009B45C2">
        <w:rPr>
          <w:rFonts w:cs="Times New Roman"/>
          <w:i/>
          <w:iCs/>
          <w:szCs w:val="24"/>
        </w:rPr>
        <w:t>Journal of the Atmospheric Sciences</w:t>
      </w:r>
      <w:r w:rsidRPr="009B45C2">
        <w:rPr>
          <w:rFonts w:cs="Times New Roman"/>
          <w:szCs w:val="24"/>
        </w:rPr>
        <w:t xml:space="preserve">, </w:t>
      </w:r>
      <w:r w:rsidRPr="009B45C2">
        <w:rPr>
          <w:rFonts w:cs="Times New Roman"/>
          <w:i/>
          <w:iCs/>
          <w:szCs w:val="24"/>
        </w:rPr>
        <w:t>58</w:t>
      </w:r>
      <w:r w:rsidRPr="009B45C2">
        <w:rPr>
          <w:rFonts w:cs="Times New Roman"/>
          <w:szCs w:val="24"/>
        </w:rPr>
        <w:t xml:space="preserve">(22), 3463–3476. </w:t>
      </w:r>
      <w:hyperlink r:id="rId27" w:history="1">
        <w:r w:rsidRPr="00C75784">
          <w:rPr>
            <w:rStyle w:val="ab"/>
          </w:rPr>
          <w:t>https://doi.org/10.1175/1520-0469(2001)058&lt;3463:EOPCOT&gt;2.0.CO;2</w:t>
        </w:r>
      </w:hyperlink>
    </w:p>
    <w:p w14:paraId="7D9B78F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Bowler, N. E. H., Pierce, C. E., &amp; Seed, A. (2004). Development of a precipitation nowcasting algorithm based upon optical flow techniques. </w:t>
      </w:r>
      <w:r w:rsidRPr="009B45C2">
        <w:rPr>
          <w:rFonts w:cs="Times New Roman"/>
          <w:i/>
          <w:iCs/>
          <w:szCs w:val="24"/>
        </w:rPr>
        <w:t>Journal of Hydrology</w:t>
      </w:r>
      <w:r w:rsidRPr="009B45C2">
        <w:rPr>
          <w:rFonts w:cs="Times New Roman"/>
          <w:szCs w:val="24"/>
        </w:rPr>
        <w:t xml:space="preserve">, </w:t>
      </w:r>
      <w:r w:rsidRPr="009B45C2">
        <w:rPr>
          <w:rFonts w:cs="Times New Roman"/>
          <w:i/>
          <w:iCs/>
          <w:szCs w:val="24"/>
        </w:rPr>
        <w:t>288</w:t>
      </w:r>
      <w:r w:rsidRPr="009B45C2">
        <w:rPr>
          <w:rFonts w:cs="Times New Roman"/>
          <w:szCs w:val="24"/>
        </w:rPr>
        <w:t xml:space="preserve">(1–2), 74–91. </w:t>
      </w:r>
      <w:hyperlink r:id="rId28" w:history="1">
        <w:r w:rsidRPr="00C75784">
          <w:rPr>
            <w:rStyle w:val="ab"/>
          </w:rPr>
          <w:t>https://doi.org/10.1016/j.jhydrol.2003.11.011</w:t>
        </w:r>
      </w:hyperlink>
    </w:p>
    <w:p w14:paraId="507BD047"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Brooks, H. E., Lee, J. W., &amp; Craven, J. P. (2003). The spatial distribution of severe thunderstorm and tornado environments from global reanalysis data. </w:t>
      </w:r>
      <w:r w:rsidRPr="009B45C2">
        <w:rPr>
          <w:rFonts w:cs="Times New Roman"/>
          <w:i/>
          <w:iCs/>
          <w:szCs w:val="24"/>
        </w:rPr>
        <w:t xml:space="preserve">Atmospheric </w:t>
      </w:r>
      <w:r w:rsidRPr="009B45C2">
        <w:rPr>
          <w:rFonts w:cs="Times New Roman"/>
          <w:i/>
          <w:iCs/>
          <w:szCs w:val="24"/>
        </w:rPr>
        <w:lastRenderedPageBreak/>
        <w:t>Research</w:t>
      </w:r>
      <w:r w:rsidRPr="009B45C2">
        <w:rPr>
          <w:rFonts w:cs="Times New Roman"/>
          <w:szCs w:val="24"/>
        </w:rPr>
        <w:t xml:space="preserve">, </w:t>
      </w:r>
      <w:r w:rsidRPr="009B45C2">
        <w:rPr>
          <w:rFonts w:cs="Times New Roman"/>
          <w:i/>
          <w:iCs/>
          <w:szCs w:val="24"/>
        </w:rPr>
        <w:t>67–68</w:t>
      </w:r>
      <w:r w:rsidRPr="009B45C2">
        <w:rPr>
          <w:rFonts w:cs="Times New Roman"/>
          <w:szCs w:val="24"/>
        </w:rPr>
        <w:t xml:space="preserve">, 73–94. </w:t>
      </w:r>
      <w:hyperlink r:id="rId29" w:history="1">
        <w:r w:rsidRPr="00C75784">
          <w:rPr>
            <w:rStyle w:val="ab"/>
          </w:rPr>
          <w:t>https://doi.org/10.1016/S0169-8095(03)00045-0</w:t>
        </w:r>
      </w:hyperlink>
    </w:p>
    <w:p w14:paraId="38F21114"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Brotzge, J. A., Nelson, S. E., Thompson, R. L., &amp; Smith, B. T. (2013). Tornado </w:t>
      </w:r>
      <w:r>
        <w:rPr>
          <w:rFonts w:cs="Times New Roman"/>
          <w:szCs w:val="24"/>
        </w:rPr>
        <w:t>p</w:t>
      </w:r>
      <w:r w:rsidRPr="009B45C2">
        <w:rPr>
          <w:rFonts w:cs="Times New Roman"/>
          <w:szCs w:val="24"/>
        </w:rPr>
        <w:t xml:space="preserve">robability of </w:t>
      </w:r>
      <w:r>
        <w:rPr>
          <w:rFonts w:cs="Times New Roman"/>
          <w:szCs w:val="24"/>
        </w:rPr>
        <w:t>d</w:t>
      </w:r>
      <w:r w:rsidRPr="009B45C2">
        <w:rPr>
          <w:rFonts w:cs="Times New Roman"/>
          <w:szCs w:val="24"/>
        </w:rPr>
        <w:t xml:space="preserve">etection and </w:t>
      </w:r>
      <w:r>
        <w:rPr>
          <w:rFonts w:cs="Times New Roman"/>
          <w:szCs w:val="24"/>
        </w:rPr>
        <w:t>l</w:t>
      </w:r>
      <w:r w:rsidRPr="009B45C2">
        <w:rPr>
          <w:rFonts w:cs="Times New Roman"/>
          <w:szCs w:val="24"/>
        </w:rPr>
        <w:t xml:space="preserve">ead </w:t>
      </w:r>
      <w:r>
        <w:rPr>
          <w:rFonts w:cs="Times New Roman"/>
          <w:szCs w:val="24"/>
        </w:rPr>
        <w:t>t</w:t>
      </w:r>
      <w:r w:rsidRPr="009B45C2">
        <w:rPr>
          <w:rFonts w:cs="Times New Roman"/>
          <w:szCs w:val="24"/>
        </w:rPr>
        <w:t xml:space="preserve">ime as a </w:t>
      </w:r>
      <w:r>
        <w:rPr>
          <w:rFonts w:cs="Times New Roman"/>
          <w:szCs w:val="24"/>
        </w:rPr>
        <w:t>f</w:t>
      </w:r>
      <w:r w:rsidRPr="009B45C2">
        <w:rPr>
          <w:rFonts w:cs="Times New Roman"/>
          <w:szCs w:val="24"/>
        </w:rPr>
        <w:t xml:space="preserve">unction of </w:t>
      </w:r>
      <w:r>
        <w:rPr>
          <w:rFonts w:cs="Times New Roman"/>
          <w:szCs w:val="24"/>
        </w:rPr>
        <w:t>c</w:t>
      </w:r>
      <w:r w:rsidRPr="009B45C2">
        <w:rPr>
          <w:rFonts w:cs="Times New Roman"/>
          <w:szCs w:val="24"/>
        </w:rPr>
        <w:t xml:space="preserve">onvective </w:t>
      </w:r>
      <w:r>
        <w:rPr>
          <w:rFonts w:cs="Times New Roman"/>
          <w:szCs w:val="24"/>
        </w:rPr>
        <w:t>m</w:t>
      </w:r>
      <w:r w:rsidRPr="009B45C2">
        <w:rPr>
          <w:rFonts w:cs="Times New Roman"/>
          <w:szCs w:val="24"/>
        </w:rPr>
        <w:t xml:space="preserve">ode and </w:t>
      </w:r>
      <w:r>
        <w:rPr>
          <w:rFonts w:cs="Times New Roman"/>
          <w:szCs w:val="24"/>
        </w:rPr>
        <w:t>e</w:t>
      </w:r>
      <w:r w:rsidRPr="009B45C2">
        <w:rPr>
          <w:rFonts w:cs="Times New Roman"/>
          <w:szCs w:val="24"/>
        </w:rPr>
        <w:t xml:space="preserve">nvironmental </w:t>
      </w:r>
      <w:r>
        <w:rPr>
          <w:rFonts w:cs="Times New Roman"/>
          <w:szCs w:val="24"/>
        </w:rPr>
        <w:t>p</w:t>
      </w:r>
      <w:r w:rsidRPr="009B45C2">
        <w:rPr>
          <w:rFonts w:cs="Times New Roman"/>
          <w:szCs w:val="24"/>
        </w:rPr>
        <w:t xml:space="preserve">arameters.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28</w:t>
      </w:r>
      <w:r w:rsidRPr="009B45C2">
        <w:rPr>
          <w:rFonts w:cs="Times New Roman"/>
          <w:szCs w:val="24"/>
        </w:rPr>
        <w:t xml:space="preserve">(5), 1261–1276. </w:t>
      </w:r>
      <w:hyperlink r:id="rId30" w:history="1">
        <w:r w:rsidRPr="00C75784">
          <w:rPr>
            <w:rStyle w:val="ab"/>
          </w:rPr>
          <w:t>https://doi.org/10.1175/WAF-D-12-00119.1</w:t>
        </w:r>
      </w:hyperlink>
    </w:p>
    <w:p w14:paraId="39860B9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Burton, R. R., Blyth, A. M., Cui, Z., Groves, J., Lamptey, B. L., Fletcher, J. K., </w:t>
      </w:r>
      <w:r>
        <w:rPr>
          <w:rFonts w:cs="Times New Roman"/>
          <w:szCs w:val="24"/>
        </w:rPr>
        <w:t>Marsham, J.H., Parker, D.J. &amp; Roberts, A.</w:t>
      </w:r>
      <w:r w:rsidRPr="009B45C2">
        <w:rPr>
          <w:rFonts w:cs="Times New Roman"/>
          <w:szCs w:val="24"/>
        </w:rPr>
        <w:t xml:space="preserve"> (2022). Satellite-</w:t>
      </w:r>
      <w:r>
        <w:rPr>
          <w:rFonts w:cs="Times New Roman"/>
          <w:szCs w:val="24"/>
        </w:rPr>
        <w:t>b</w:t>
      </w:r>
      <w:r w:rsidRPr="009B45C2">
        <w:rPr>
          <w:rFonts w:cs="Times New Roman"/>
          <w:szCs w:val="24"/>
        </w:rPr>
        <w:t xml:space="preserve">ased </w:t>
      </w:r>
      <w:r>
        <w:rPr>
          <w:rFonts w:cs="Times New Roman"/>
          <w:szCs w:val="24"/>
        </w:rPr>
        <w:t>n</w:t>
      </w:r>
      <w:r w:rsidRPr="009B45C2">
        <w:rPr>
          <w:rFonts w:cs="Times New Roman"/>
          <w:szCs w:val="24"/>
        </w:rPr>
        <w:t xml:space="preserve">owcasting of </w:t>
      </w:r>
      <w:r>
        <w:rPr>
          <w:rFonts w:cs="Times New Roman"/>
          <w:szCs w:val="24"/>
        </w:rPr>
        <w:t>w</w:t>
      </w:r>
      <w:r w:rsidRPr="009B45C2">
        <w:rPr>
          <w:rFonts w:cs="Times New Roman"/>
          <w:szCs w:val="24"/>
        </w:rPr>
        <w:t xml:space="preserve">est African </w:t>
      </w:r>
      <w:r>
        <w:rPr>
          <w:rFonts w:cs="Times New Roman"/>
          <w:szCs w:val="24"/>
        </w:rPr>
        <w:t>m</w:t>
      </w:r>
      <w:r w:rsidRPr="009B45C2">
        <w:rPr>
          <w:rFonts w:cs="Times New Roman"/>
          <w:szCs w:val="24"/>
        </w:rPr>
        <w:t xml:space="preserve">esoscale </w:t>
      </w:r>
      <w:r>
        <w:rPr>
          <w:rFonts w:cs="Times New Roman"/>
          <w:szCs w:val="24"/>
        </w:rPr>
        <w:t>s</w:t>
      </w:r>
      <w:r w:rsidRPr="009B45C2">
        <w:rPr>
          <w:rFonts w:cs="Times New Roman"/>
          <w:szCs w:val="24"/>
        </w:rPr>
        <w:t xml:space="preserve">torms </w:t>
      </w:r>
      <w:r>
        <w:rPr>
          <w:rFonts w:cs="Times New Roman"/>
          <w:szCs w:val="24"/>
        </w:rPr>
        <w:t>h</w:t>
      </w:r>
      <w:r w:rsidRPr="009B45C2">
        <w:rPr>
          <w:rFonts w:cs="Times New Roman"/>
          <w:szCs w:val="24"/>
        </w:rPr>
        <w:t xml:space="preserve">as </w:t>
      </w:r>
      <w:r>
        <w:rPr>
          <w:rFonts w:cs="Times New Roman"/>
          <w:szCs w:val="24"/>
        </w:rPr>
        <w:t>s</w:t>
      </w:r>
      <w:r w:rsidRPr="009B45C2">
        <w:rPr>
          <w:rFonts w:cs="Times New Roman"/>
          <w:szCs w:val="24"/>
        </w:rPr>
        <w:t xml:space="preserve">kill at up to 4-h </w:t>
      </w:r>
      <w:r>
        <w:rPr>
          <w:rFonts w:cs="Times New Roman"/>
          <w:szCs w:val="24"/>
        </w:rPr>
        <w:t>l</w:t>
      </w:r>
      <w:r w:rsidRPr="009B45C2">
        <w:rPr>
          <w:rFonts w:cs="Times New Roman"/>
          <w:szCs w:val="24"/>
        </w:rPr>
        <w:t xml:space="preserve">ead </w:t>
      </w:r>
      <w:r>
        <w:rPr>
          <w:rFonts w:cs="Times New Roman"/>
          <w:szCs w:val="24"/>
        </w:rPr>
        <w:t>t</w:t>
      </w:r>
      <w:r w:rsidRPr="009B45C2">
        <w:rPr>
          <w:rFonts w:cs="Times New Roman"/>
          <w:szCs w:val="24"/>
        </w:rPr>
        <w:t xml:space="preserve">ime.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37</w:t>
      </w:r>
      <w:r w:rsidRPr="009B45C2">
        <w:rPr>
          <w:rFonts w:cs="Times New Roman"/>
          <w:szCs w:val="24"/>
        </w:rPr>
        <w:t xml:space="preserve">(4), 445–455. </w:t>
      </w:r>
      <w:hyperlink r:id="rId31" w:history="1">
        <w:r w:rsidRPr="00C75784">
          <w:rPr>
            <w:rStyle w:val="ab"/>
          </w:rPr>
          <w:t>https://doi.org/10.1175/WAF-D-21-0051.1</w:t>
        </w:r>
      </w:hyperlink>
    </w:p>
    <w:p w14:paraId="6676E20A"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Carbone, R. E., Tuttle, J. D., Ahijevych, D. A., &amp; Trier, S. B. (2002). Inferences of </w:t>
      </w:r>
      <w:r>
        <w:rPr>
          <w:rFonts w:cs="Times New Roman"/>
          <w:szCs w:val="24"/>
        </w:rPr>
        <w:t>p</w:t>
      </w:r>
      <w:r w:rsidRPr="009B45C2">
        <w:rPr>
          <w:rFonts w:cs="Times New Roman"/>
          <w:szCs w:val="24"/>
        </w:rPr>
        <w:t xml:space="preserve">redictability </w:t>
      </w:r>
      <w:r>
        <w:rPr>
          <w:rFonts w:cs="Times New Roman"/>
          <w:szCs w:val="24"/>
        </w:rPr>
        <w:t>a</w:t>
      </w:r>
      <w:r w:rsidRPr="009B45C2">
        <w:rPr>
          <w:rFonts w:cs="Times New Roman"/>
          <w:szCs w:val="24"/>
        </w:rPr>
        <w:t xml:space="preserve">ssociated with </w:t>
      </w:r>
      <w:r>
        <w:rPr>
          <w:rFonts w:cs="Times New Roman"/>
          <w:szCs w:val="24"/>
        </w:rPr>
        <w:t>w</w:t>
      </w:r>
      <w:r w:rsidRPr="009B45C2">
        <w:rPr>
          <w:rFonts w:cs="Times New Roman"/>
          <w:szCs w:val="24"/>
        </w:rPr>
        <w:t xml:space="preserve">arm </w:t>
      </w:r>
      <w:r>
        <w:rPr>
          <w:rFonts w:cs="Times New Roman"/>
          <w:szCs w:val="24"/>
        </w:rPr>
        <w:t>s</w:t>
      </w:r>
      <w:r w:rsidRPr="009B45C2">
        <w:rPr>
          <w:rFonts w:cs="Times New Roman"/>
          <w:szCs w:val="24"/>
        </w:rPr>
        <w:t xml:space="preserve">eason </w:t>
      </w:r>
      <w:r>
        <w:rPr>
          <w:rFonts w:cs="Times New Roman"/>
          <w:szCs w:val="24"/>
        </w:rPr>
        <w:t>p</w:t>
      </w:r>
      <w:r w:rsidRPr="009B45C2">
        <w:rPr>
          <w:rFonts w:cs="Times New Roman"/>
          <w:szCs w:val="24"/>
        </w:rPr>
        <w:t xml:space="preserve">recipitation </w:t>
      </w:r>
      <w:r>
        <w:rPr>
          <w:rFonts w:cs="Times New Roman"/>
          <w:szCs w:val="24"/>
        </w:rPr>
        <w:t>e</w:t>
      </w:r>
      <w:r w:rsidRPr="009B45C2">
        <w:rPr>
          <w:rFonts w:cs="Times New Roman"/>
          <w:szCs w:val="24"/>
        </w:rPr>
        <w:t xml:space="preserve">pisodes. </w:t>
      </w:r>
      <w:r w:rsidRPr="009B45C2">
        <w:rPr>
          <w:rFonts w:cs="Times New Roman"/>
          <w:i/>
          <w:iCs/>
          <w:szCs w:val="24"/>
        </w:rPr>
        <w:t>Journal of the Atmospheric Sciences</w:t>
      </w:r>
      <w:r w:rsidRPr="009B45C2">
        <w:rPr>
          <w:rFonts w:cs="Times New Roman"/>
          <w:szCs w:val="24"/>
        </w:rPr>
        <w:t xml:space="preserve">, </w:t>
      </w:r>
      <w:r w:rsidRPr="009B45C2">
        <w:rPr>
          <w:rFonts w:cs="Times New Roman"/>
          <w:i/>
          <w:iCs/>
          <w:szCs w:val="24"/>
        </w:rPr>
        <w:t>59</w:t>
      </w:r>
      <w:r w:rsidRPr="009B45C2">
        <w:rPr>
          <w:rFonts w:cs="Times New Roman"/>
          <w:szCs w:val="24"/>
        </w:rPr>
        <w:t xml:space="preserve">(13), 2033–2056. </w:t>
      </w:r>
      <w:hyperlink r:id="rId32" w:history="1">
        <w:r w:rsidRPr="00C75784">
          <w:rPr>
            <w:rStyle w:val="ab"/>
          </w:rPr>
          <w:t>https://doi.org/10.1175/1520-0469(2002)059&lt;2033:IOPAWW&gt;2.0.CO;2</w:t>
        </w:r>
      </w:hyperlink>
    </w:p>
    <w:p w14:paraId="79CA7917"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Cohen, A. E., Coniglio, M. C., Corfidi, S. F., &amp; Corfidi, S. J. (2007). Discrimination of mesoscale convective system environments using sounding observations. </w:t>
      </w:r>
      <w:r>
        <w:rPr>
          <w:rFonts w:cs="Times New Roman"/>
          <w:i/>
          <w:iCs/>
          <w:szCs w:val="24"/>
        </w:rPr>
        <w:t>Weather and Forecasting</w:t>
      </w:r>
      <w:r w:rsidRPr="009B45C2">
        <w:rPr>
          <w:rFonts w:cs="Times New Roman"/>
          <w:szCs w:val="24"/>
        </w:rPr>
        <w:t xml:space="preserve">, </w:t>
      </w:r>
      <w:r w:rsidRPr="009B45C2">
        <w:rPr>
          <w:rFonts w:cs="Times New Roman"/>
          <w:i/>
          <w:iCs/>
          <w:szCs w:val="24"/>
        </w:rPr>
        <w:t>22</w:t>
      </w:r>
      <w:r w:rsidRPr="009B45C2">
        <w:rPr>
          <w:rFonts w:cs="Times New Roman"/>
          <w:szCs w:val="24"/>
        </w:rPr>
        <w:t xml:space="preserve">(5), 1045–1062. </w:t>
      </w:r>
      <w:hyperlink r:id="rId33" w:history="1">
        <w:r w:rsidRPr="00C75784">
          <w:rPr>
            <w:rStyle w:val="ab"/>
          </w:rPr>
          <w:t>https://doi.org/10.1175/WAF1040.1</w:t>
        </w:r>
      </w:hyperlink>
    </w:p>
    <w:p w14:paraId="679450E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Dong, Y., Li, J., Guo, J., Jiang, Z., Chu, Y., Chang, L., </w:t>
      </w:r>
      <w:r>
        <w:rPr>
          <w:rFonts w:cs="Times New Roman"/>
          <w:szCs w:val="24"/>
        </w:rPr>
        <w:t>Yang, Y. &amp; Liao, H.</w:t>
      </w:r>
      <w:r w:rsidRPr="009B45C2">
        <w:rPr>
          <w:rFonts w:cs="Times New Roman"/>
          <w:szCs w:val="24"/>
        </w:rPr>
        <w:t xml:space="preserve"> (2020). The impact of synoptic patterns on summertime ozone pollution in the North China Plain. </w:t>
      </w:r>
      <w:r w:rsidRPr="009B45C2">
        <w:rPr>
          <w:rFonts w:cs="Times New Roman"/>
          <w:i/>
          <w:iCs/>
          <w:szCs w:val="24"/>
        </w:rPr>
        <w:t>Science of The Total Environment</w:t>
      </w:r>
      <w:r w:rsidRPr="009B45C2">
        <w:rPr>
          <w:rFonts w:cs="Times New Roman"/>
          <w:szCs w:val="24"/>
        </w:rPr>
        <w:t xml:space="preserve">, </w:t>
      </w:r>
      <w:r w:rsidRPr="009B45C2">
        <w:rPr>
          <w:rFonts w:cs="Times New Roman"/>
          <w:i/>
          <w:iCs/>
          <w:szCs w:val="24"/>
        </w:rPr>
        <w:t>735</w:t>
      </w:r>
      <w:r w:rsidRPr="009B45C2">
        <w:rPr>
          <w:rFonts w:cs="Times New Roman"/>
          <w:szCs w:val="24"/>
        </w:rPr>
        <w:t xml:space="preserve">, 139559. </w:t>
      </w:r>
      <w:hyperlink r:id="rId34" w:history="1">
        <w:r w:rsidRPr="00C75784">
          <w:rPr>
            <w:rStyle w:val="ab"/>
          </w:rPr>
          <w:t>https://doi.org/10.1016/j.scitotenv.2020.139559</w:t>
        </w:r>
      </w:hyperlink>
    </w:p>
    <w:p w14:paraId="3FF191C1"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Evans, J. S., &amp; Doswell, C. A. (2001). Examination of </w:t>
      </w:r>
      <w:r>
        <w:rPr>
          <w:rFonts w:cs="Times New Roman"/>
          <w:szCs w:val="24"/>
        </w:rPr>
        <w:t>d</w:t>
      </w:r>
      <w:r w:rsidRPr="009B45C2">
        <w:rPr>
          <w:rFonts w:cs="Times New Roman"/>
          <w:szCs w:val="24"/>
        </w:rPr>
        <w:t xml:space="preserve">erecho </w:t>
      </w:r>
      <w:r>
        <w:rPr>
          <w:rFonts w:cs="Times New Roman"/>
          <w:szCs w:val="24"/>
        </w:rPr>
        <w:t>e</w:t>
      </w:r>
      <w:r w:rsidRPr="009B45C2">
        <w:rPr>
          <w:rFonts w:cs="Times New Roman"/>
          <w:szCs w:val="24"/>
        </w:rPr>
        <w:t xml:space="preserve">nvironments </w:t>
      </w:r>
      <w:r>
        <w:rPr>
          <w:rFonts w:cs="Times New Roman"/>
          <w:szCs w:val="24"/>
        </w:rPr>
        <w:t>u</w:t>
      </w:r>
      <w:r w:rsidRPr="009B45C2">
        <w:rPr>
          <w:rFonts w:cs="Times New Roman"/>
          <w:szCs w:val="24"/>
        </w:rPr>
        <w:t xml:space="preserve">sing </w:t>
      </w:r>
      <w:r>
        <w:rPr>
          <w:rFonts w:cs="Times New Roman"/>
          <w:szCs w:val="24"/>
        </w:rPr>
        <w:t>p</w:t>
      </w:r>
      <w:r w:rsidRPr="009B45C2">
        <w:rPr>
          <w:rFonts w:cs="Times New Roman"/>
          <w:szCs w:val="24"/>
        </w:rPr>
        <w:t xml:space="preserve">roximity </w:t>
      </w:r>
      <w:r>
        <w:rPr>
          <w:rFonts w:cs="Times New Roman"/>
          <w:szCs w:val="24"/>
        </w:rPr>
        <w:t>s</w:t>
      </w:r>
      <w:r w:rsidRPr="009B45C2">
        <w:rPr>
          <w:rFonts w:cs="Times New Roman"/>
          <w:szCs w:val="24"/>
        </w:rPr>
        <w:t xml:space="preserve">oundings.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16</w:t>
      </w:r>
      <w:r w:rsidRPr="009B45C2">
        <w:rPr>
          <w:rFonts w:cs="Times New Roman"/>
          <w:szCs w:val="24"/>
        </w:rPr>
        <w:t xml:space="preserve">(3), 329–342. </w:t>
      </w:r>
      <w:hyperlink r:id="rId35" w:history="1">
        <w:r w:rsidRPr="00C75784">
          <w:rPr>
            <w:rStyle w:val="ab"/>
          </w:rPr>
          <w:t>https://doi.org/10.1175/1520-0434(2001)016&lt;0329:EODEUP&gt;2.0.CO;2</w:t>
        </w:r>
      </w:hyperlink>
    </w:p>
    <w:p w14:paraId="3171640B"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Feng, Z., Leung, L. R., Houze, R. A., Hagos, S., Hardin, J., Yang, Q., </w:t>
      </w:r>
      <w:r>
        <w:rPr>
          <w:rFonts w:cs="Times New Roman"/>
          <w:szCs w:val="24"/>
        </w:rPr>
        <w:t>Han, B. &amp; Fan, J</w:t>
      </w:r>
      <w:r w:rsidRPr="009B45C2">
        <w:rPr>
          <w:rFonts w:cs="Times New Roman"/>
          <w:szCs w:val="24"/>
        </w:rPr>
        <w:t xml:space="preserve">. (2018). Structure and </w:t>
      </w:r>
      <w:r>
        <w:rPr>
          <w:rFonts w:cs="Times New Roman"/>
          <w:szCs w:val="24"/>
        </w:rPr>
        <w:t>e</w:t>
      </w:r>
      <w:r w:rsidRPr="009B45C2">
        <w:rPr>
          <w:rFonts w:cs="Times New Roman"/>
          <w:szCs w:val="24"/>
        </w:rPr>
        <w:t xml:space="preserve">volution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w:t>
      </w:r>
      <w:r>
        <w:rPr>
          <w:rFonts w:cs="Times New Roman"/>
          <w:szCs w:val="24"/>
        </w:rPr>
        <w:t>s</w:t>
      </w:r>
      <w:r w:rsidRPr="009B45C2">
        <w:rPr>
          <w:rFonts w:cs="Times New Roman"/>
          <w:szCs w:val="24"/>
        </w:rPr>
        <w:t xml:space="preserve">ensitivity to </w:t>
      </w:r>
      <w:r>
        <w:rPr>
          <w:rFonts w:cs="Times New Roman"/>
          <w:szCs w:val="24"/>
        </w:rPr>
        <w:t>c</w:t>
      </w:r>
      <w:r w:rsidRPr="009B45C2">
        <w:rPr>
          <w:rFonts w:cs="Times New Roman"/>
          <w:szCs w:val="24"/>
        </w:rPr>
        <w:t xml:space="preserve">loud </w:t>
      </w:r>
      <w:r>
        <w:rPr>
          <w:rFonts w:cs="Times New Roman"/>
          <w:szCs w:val="24"/>
        </w:rPr>
        <w:t>m</w:t>
      </w:r>
      <w:r w:rsidRPr="009B45C2">
        <w:rPr>
          <w:rFonts w:cs="Times New Roman"/>
          <w:szCs w:val="24"/>
        </w:rPr>
        <w:t xml:space="preserve">icrophysics in </w:t>
      </w:r>
      <w:r>
        <w:rPr>
          <w:rFonts w:cs="Times New Roman"/>
          <w:szCs w:val="24"/>
        </w:rPr>
        <w:t>c</w:t>
      </w:r>
      <w:r w:rsidRPr="009B45C2">
        <w:rPr>
          <w:rFonts w:cs="Times New Roman"/>
          <w:szCs w:val="24"/>
        </w:rPr>
        <w:t>onvection-</w:t>
      </w:r>
      <w:r>
        <w:rPr>
          <w:rFonts w:cs="Times New Roman"/>
          <w:szCs w:val="24"/>
        </w:rPr>
        <w:t>p</w:t>
      </w:r>
      <w:r w:rsidRPr="009B45C2">
        <w:rPr>
          <w:rFonts w:cs="Times New Roman"/>
          <w:szCs w:val="24"/>
        </w:rPr>
        <w:t xml:space="preserve">ermitting </w:t>
      </w:r>
      <w:r>
        <w:rPr>
          <w:rFonts w:cs="Times New Roman"/>
          <w:szCs w:val="24"/>
        </w:rPr>
        <w:t>s</w:t>
      </w:r>
      <w:r w:rsidRPr="009B45C2">
        <w:rPr>
          <w:rFonts w:cs="Times New Roman"/>
          <w:szCs w:val="24"/>
        </w:rPr>
        <w:t xml:space="preserve">imulations </w:t>
      </w:r>
      <w:r>
        <w:rPr>
          <w:rFonts w:cs="Times New Roman"/>
          <w:szCs w:val="24"/>
        </w:rPr>
        <w:t>o</w:t>
      </w:r>
      <w:r w:rsidRPr="009B45C2">
        <w:rPr>
          <w:rFonts w:cs="Times New Roman"/>
          <w:szCs w:val="24"/>
        </w:rPr>
        <w:t xml:space="preserve">ver the United States. </w:t>
      </w:r>
      <w:r>
        <w:rPr>
          <w:rFonts w:cs="Times New Roman"/>
          <w:i/>
          <w:iCs/>
          <w:szCs w:val="24"/>
        </w:rPr>
        <w:t>Journal of Advances in Modeling Earth Systems</w:t>
      </w:r>
      <w:r w:rsidRPr="009B45C2">
        <w:rPr>
          <w:rFonts w:cs="Times New Roman"/>
          <w:szCs w:val="24"/>
        </w:rPr>
        <w:t xml:space="preserve">, </w:t>
      </w:r>
      <w:r w:rsidRPr="009B45C2">
        <w:rPr>
          <w:rFonts w:cs="Times New Roman"/>
          <w:i/>
          <w:iCs/>
          <w:szCs w:val="24"/>
        </w:rPr>
        <w:t>10</w:t>
      </w:r>
      <w:r w:rsidRPr="009B45C2">
        <w:rPr>
          <w:rFonts w:cs="Times New Roman"/>
          <w:szCs w:val="24"/>
        </w:rPr>
        <w:t xml:space="preserve">(7), 1470–1494. </w:t>
      </w:r>
      <w:hyperlink r:id="rId36" w:history="1">
        <w:r w:rsidRPr="00C75784">
          <w:rPr>
            <w:rStyle w:val="ab"/>
          </w:rPr>
          <w:t>https://doi.org/10.1029/2018MS001305</w:t>
        </w:r>
      </w:hyperlink>
    </w:p>
    <w:p w14:paraId="6617C60C"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Feng, Z., Houze, R. A., Leung, L. R., Song, F., Hardin, J. C., Wang, J., </w:t>
      </w:r>
      <w:r>
        <w:rPr>
          <w:rFonts w:cs="Times New Roman"/>
          <w:szCs w:val="24"/>
        </w:rPr>
        <w:t xml:space="preserve">Gustafson, W. I. </w:t>
      </w:r>
      <w:r>
        <w:rPr>
          <w:rFonts w:cs="Times New Roman"/>
          <w:szCs w:val="24"/>
        </w:rPr>
        <w:lastRenderedPageBreak/>
        <w:t>&amp; Homeyer, C. R.</w:t>
      </w:r>
      <w:r w:rsidRPr="009B45C2">
        <w:rPr>
          <w:rFonts w:cs="Times New Roman"/>
          <w:szCs w:val="24"/>
        </w:rPr>
        <w:t xml:space="preserve"> (2019). Spatiotemporal </w:t>
      </w:r>
      <w:r>
        <w:rPr>
          <w:rFonts w:cs="Times New Roman"/>
          <w:szCs w:val="24"/>
        </w:rPr>
        <w:t>c</w:t>
      </w:r>
      <w:r w:rsidRPr="009B45C2">
        <w:rPr>
          <w:rFonts w:cs="Times New Roman"/>
          <w:szCs w:val="24"/>
        </w:rPr>
        <w:t xml:space="preserve">haracteristics and </w:t>
      </w:r>
      <w:r>
        <w:rPr>
          <w:rFonts w:cs="Times New Roman"/>
          <w:szCs w:val="24"/>
        </w:rPr>
        <w:t>l</w:t>
      </w:r>
      <w:r w:rsidRPr="009B45C2">
        <w:rPr>
          <w:rFonts w:cs="Times New Roman"/>
          <w:szCs w:val="24"/>
        </w:rPr>
        <w:t>arge-</w:t>
      </w:r>
      <w:r>
        <w:rPr>
          <w:rFonts w:cs="Times New Roman"/>
          <w:szCs w:val="24"/>
        </w:rPr>
        <w:t>s</w:t>
      </w:r>
      <w:r w:rsidRPr="009B45C2">
        <w:rPr>
          <w:rFonts w:cs="Times New Roman"/>
          <w:szCs w:val="24"/>
        </w:rPr>
        <w:t xml:space="preserve">cale </w:t>
      </w:r>
      <w:r>
        <w:rPr>
          <w:rFonts w:cs="Times New Roman"/>
          <w:szCs w:val="24"/>
        </w:rPr>
        <w:t>e</w:t>
      </w:r>
      <w:r w:rsidRPr="009B45C2">
        <w:rPr>
          <w:rFonts w:cs="Times New Roman"/>
          <w:szCs w:val="24"/>
        </w:rPr>
        <w:t xml:space="preserve">nvironments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w:t>
      </w:r>
      <w:r>
        <w:rPr>
          <w:rFonts w:cs="Times New Roman"/>
          <w:szCs w:val="24"/>
        </w:rPr>
        <w:t>e</w:t>
      </w:r>
      <w:r w:rsidRPr="009B45C2">
        <w:rPr>
          <w:rFonts w:cs="Times New Roman"/>
          <w:szCs w:val="24"/>
        </w:rPr>
        <w:t xml:space="preserve">ast of the Rocky Mountains.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32</w:t>
      </w:r>
      <w:r w:rsidRPr="009B45C2">
        <w:rPr>
          <w:rFonts w:cs="Times New Roman"/>
          <w:szCs w:val="24"/>
        </w:rPr>
        <w:t xml:space="preserve">(21), 7303–7328. </w:t>
      </w:r>
      <w:hyperlink r:id="rId37" w:history="1">
        <w:r w:rsidRPr="00C75784">
          <w:rPr>
            <w:rStyle w:val="ab"/>
          </w:rPr>
          <w:t>https://doi.org/10.1175/JCLI-D-19-0137.1</w:t>
        </w:r>
      </w:hyperlink>
    </w:p>
    <w:p w14:paraId="3915A23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Fu, S., Sun, J., Zhao, S., &amp; Li, W. (201</w:t>
      </w:r>
      <w:r>
        <w:rPr>
          <w:rFonts w:cs="Times New Roman"/>
          <w:szCs w:val="24"/>
        </w:rPr>
        <w:t>1a</w:t>
      </w:r>
      <w:r w:rsidRPr="009B45C2">
        <w:rPr>
          <w:rFonts w:cs="Times New Roman"/>
          <w:szCs w:val="24"/>
        </w:rPr>
        <w:t xml:space="preserve">). The energy budget of a southwest vortex with heavy rainfall over south China. </w:t>
      </w:r>
      <w:r w:rsidRPr="009B45C2">
        <w:rPr>
          <w:rFonts w:cs="Times New Roman"/>
          <w:i/>
          <w:iCs/>
          <w:szCs w:val="24"/>
        </w:rPr>
        <w:t>Advances in Atmospheric Sciences</w:t>
      </w:r>
      <w:r w:rsidRPr="009B45C2">
        <w:rPr>
          <w:rFonts w:cs="Times New Roman"/>
          <w:szCs w:val="24"/>
        </w:rPr>
        <w:t xml:space="preserve">, </w:t>
      </w:r>
      <w:r w:rsidRPr="009B45C2">
        <w:rPr>
          <w:rFonts w:cs="Times New Roman"/>
          <w:i/>
          <w:iCs/>
          <w:szCs w:val="24"/>
        </w:rPr>
        <w:t>28</w:t>
      </w:r>
      <w:r w:rsidRPr="009B45C2">
        <w:rPr>
          <w:rFonts w:cs="Times New Roman"/>
          <w:szCs w:val="24"/>
        </w:rPr>
        <w:t xml:space="preserve">(3), 709–724. </w:t>
      </w:r>
      <w:hyperlink r:id="rId38" w:history="1">
        <w:r w:rsidRPr="00C75784">
          <w:rPr>
            <w:rStyle w:val="ab"/>
          </w:rPr>
          <w:t>https://doi.org/10.1007/s00376-010-0026-z</w:t>
        </w:r>
      </w:hyperlink>
    </w:p>
    <w:p w14:paraId="0DFCC205" w14:textId="77777777" w:rsidR="005F61F6" w:rsidRDefault="005F61F6" w:rsidP="005F61F6">
      <w:pPr>
        <w:adjustRightInd w:val="0"/>
        <w:snapToGrid w:val="0"/>
        <w:spacing w:beforeLines="0" w:before="240" w:after="120"/>
        <w:ind w:left="360" w:hangingChars="150" w:hanging="360"/>
        <w:rPr>
          <w:rFonts w:cs="Times New Roman"/>
          <w:szCs w:val="24"/>
        </w:rPr>
      </w:pPr>
      <w:r w:rsidRPr="00142410">
        <w:rPr>
          <w:rFonts w:cs="Times New Roman"/>
          <w:szCs w:val="24"/>
        </w:rPr>
        <w:t>Fu</w:t>
      </w:r>
      <w:r>
        <w:rPr>
          <w:rFonts w:cs="Times New Roman"/>
          <w:szCs w:val="24"/>
        </w:rPr>
        <w:t>,</w:t>
      </w:r>
      <w:r w:rsidRPr="00142410">
        <w:rPr>
          <w:rFonts w:cs="Times New Roman"/>
          <w:szCs w:val="24"/>
        </w:rPr>
        <w:t xml:space="preserve"> S., Sun,</w:t>
      </w:r>
      <w:r>
        <w:rPr>
          <w:rFonts w:cs="Times New Roman"/>
          <w:szCs w:val="24"/>
        </w:rPr>
        <w:t xml:space="preserve"> J.,</w:t>
      </w:r>
      <w:r w:rsidRPr="00142410">
        <w:rPr>
          <w:rFonts w:cs="Times New Roman"/>
          <w:szCs w:val="24"/>
        </w:rPr>
        <w:t xml:space="preserve"> Zhao</w:t>
      </w:r>
      <w:r>
        <w:rPr>
          <w:rFonts w:cs="Times New Roman"/>
          <w:szCs w:val="24"/>
        </w:rPr>
        <w:t>, S.</w:t>
      </w:r>
      <w:r w:rsidRPr="00142410">
        <w:rPr>
          <w:rFonts w:cs="Times New Roman"/>
          <w:szCs w:val="24"/>
        </w:rPr>
        <w:t>, Li</w:t>
      </w:r>
      <w:r>
        <w:rPr>
          <w:rFonts w:cs="Times New Roman"/>
          <w:szCs w:val="24"/>
        </w:rPr>
        <w:t>, W.</w:t>
      </w:r>
      <w:r w:rsidRPr="00142410">
        <w:rPr>
          <w:rFonts w:cs="Times New Roman"/>
          <w:szCs w:val="24"/>
        </w:rPr>
        <w:t xml:space="preserve"> </w:t>
      </w:r>
      <w:r>
        <w:rPr>
          <w:rFonts w:cs="Times New Roman"/>
          <w:szCs w:val="24"/>
        </w:rPr>
        <w:t>&amp;</w:t>
      </w:r>
      <w:r w:rsidRPr="00142410">
        <w:rPr>
          <w:rFonts w:cs="Times New Roman"/>
          <w:szCs w:val="24"/>
        </w:rPr>
        <w:t xml:space="preserve"> Li</w:t>
      </w:r>
      <w:r>
        <w:rPr>
          <w:rFonts w:cs="Times New Roman"/>
          <w:szCs w:val="24"/>
        </w:rPr>
        <w:t>, B.</w:t>
      </w:r>
      <w:r w:rsidRPr="00142410">
        <w:rPr>
          <w:rFonts w:cs="Times New Roman"/>
          <w:szCs w:val="24"/>
        </w:rPr>
        <w:t xml:space="preserve"> </w:t>
      </w:r>
      <w:r>
        <w:rPr>
          <w:rFonts w:cs="Times New Roman"/>
          <w:szCs w:val="24"/>
        </w:rPr>
        <w:t>(</w:t>
      </w:r>
      <w:r w:rsidRPr="00142410">
        <w:rPr>
          <w:rFonts w:cs="Times New Roman"/>
          <w:szCs w:val="24"/>
        </w:rPr>
        <w:t>2011</w:t>
      </w:r>
      <w:r>
        <w:rPr>
          <w:rFonts w:cs="Times New Roman"/>
          <w:szCs w:val="24"/>
        </w:rPr>
        <w:t>b).</w:t>
      </w:r>
      <w:r w:rsidRPr="00142410">
        <w:rPr>
          <w:rFonts w:cs="Times New Roman"/>
          <w:szCs w:val="24"/>
        </w:rPr>
        <w:t xml:space="preserve"> A study of the impacts of the eastward propagation of convective cloud systems over the Tibetan Plateau on the rainfall of the Yangtze-Huai River basin. </w:t>
      </w:r>
      <w:r w:rsidRPr="007022B8">
        <w:rPr>
          <w:rFonts w:cs="Times New Roman"/>
          <w:i/>
          <w:szCs w:val="24"/>
        </w:rPr>
        <w:t>Acta Meteo</w:t>
      </w:r>
      <w:r>
        <w:rPr>
          <w:rFonts w:cs="Times New Roman"/>
          <w:i/>
          <w:szCs w:val="24"/>
        </w:rPr>
        <w:t>rologica Sin</w:t>
      </w:r>
      <w:r w:rsidRPr="005A08A5">
        <w:rPr>
          <w:rFonts w:cs="Times New Roman"/>
          <w:i/>
          <w:szCs w:val="24"/>
        </w:rPr>
        <w:t>ica</w:t>
      </w:r>
      <w:r w:rsidRPr="005A08A5">
        <w:rPr>
          <w:rFonts w:cs="Times New Roman"/>
          <w:szCs w:val="24"/>
        </w:rPr>
        <w:t xml:space="preserve">, </w:t>
      </w:r>
      <w:r w:rsidRPr="005A08A5">
        <w:rPr>
          <w:rFonts w:cs="Times New Roman"/>
          <w:i/>
          <w:iCs/>
          <w:szCs w:val="24"/>
        </w:rPr>
        <w:t>69</w:t>
      </w:r>
      <w:r w:rsidRPr="005A08A5">
        <w:rPr>
          <w:rFonts w:cs="Times New Roman"/>
          <w:szCs w:val="24"/>
        </w:rPr>
        <w:t>(4),</w:t>
      </w:r>
      <w:r w:rsidRPr="00142410">
        <w:rPr>
          <w:rFonts w:cs="Times New Roman"/>
          <w:szCs w:val="24"/>
        </w:rPr>
        <w:t xml:space="preserve"> 581–600, </w:t>
      </w:r>
      <w:hyperlink r:id="rId39" w:history="1">
        <w:r w:rsidRPr="00A97A6C">
          <w:rPr>
            <w:rStyle w:val="ab"/>
          </w:rPr>
          <w:t>http://doi.org/10.11676/qxxb2011.051</w:t>
        </w:r>
      </w:hyperlink>
      <w:r>
        <w:rPr>
          <w:rFonts w:cs="Times New Roman"/>
          <w:szCs w:val="24"/>
        </w:rPr>
        <w:t>. (in Chinese)</w:t>
      </w:r>
    </w:p>
    <w:p w14:paraId="34ABE979" w14:textId="77777777" w:rsidR="005F61F6" w:rsidRDefault="005F61F6" w:rsidP="005F61F6">
      <w:pPr>
        <w:adjustRightInd w:val="0"/>
        <w:snapToGrid w:val="0"/>
        <w:spacing w:beforeLines="0" w:before="240" w:after="120"/>
        <w:ind w:left="360" w:hangingChars="150" w:hanging="360"/>
        <w:rPr>
          <w:rFonts w:cs="Times New Roman"/>
          <w:szCs w:val="24"/>
        </w:rPr>
      </w:pPr>
      <w:r w:rsidRPr="00A07557">
        <w:rPr>
          <w:rFonts w:cs="Times New Roman"/>
          <w:szCs w:val="24"/>
        </w:rPr>
        <w:t xml:space="preserve">Gallus, W. A., Snook, N. A., &amp; Johnson, E. V. (2008). Spring and summer severe weather reports over the Midwest as a function of convective mode: a preliminary study. </w:t>
      </w:r>
      <w:r w:rsidRPr="00885FBE">
        <w:rPr>
          <w:rFonts w:cs="Times New Roman"/>
          <w:i/>
          <w:iCs/>
          <w:szCs w:val="24"/>
        </w:rPr>
        <w:t>Weather and Forecasting</w:t>
      </w:r>
      <w:r w:rsidRPr="00A07557">
        <w:rPr>
          <w:rFonts w:cs="Times New Roman"/>
          <w:szCs w:val="24"/>
        </w:rPr>
        <w:t xml:space="preserve">, </w:t>
      </w:r>
      <w:r w:rsidRPr="00885FBE">
        <w:rPr>
          <w:rFonts w:cs="Times New Roman"/>
          <w:i/>
          <w:iCs/>
          <w:szCs w:val="24"/>
        </w:rPr>
        <w:t>23</w:t>
      </w:r>
      <w:r w:rsidRPr="00A07557">
        <w:rPr>
          <w:rFonts w:cs="Times New Roman"/>
          <w:szCs w:val="24"/>
        </w:rPr>
        <w:t>(1), 101–113. https://doi.org/10.1175/2007WAF2006120.1</w:t>
      </w:r>
    </w:p>
    <w:p w14:paraId="42288E84"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Gensini, V. A., Mote, T. L., &amp; Brooks, H. E. (2014). Severe-</w:t>
      </w:r>
      <w:r>
        <w:rPr>
          <w:rFonts w:cs="Times New Roman"/>
          <w:szCs w:val="24"/>
        </w:rPr>
        <w:t>t</w:t>
      </w:r>
      <w:r w:rsidRPr="009B45C2">
        <w:rPr>
          <w:rFonts w:cs="Times New Roman"/>
          <w:szCs w:val="24"/>
        </w:rPr>
        <w:t xml:space="preserve">hunderstorm </w:t>
      </w:r>
      <w:r>
        <w:rPr>
          <w:rFonts w:cs="Times New Roman"/>
          <w:szCs w:val="24"/>
        </w:rPr>
        <w:t>r</w:t>
      </w:r>
      <w:r w:rsidRPr="009B45C2">
        <w:rPr>
          <w:rFonts w:cs="Times New Roman"/>
          <w:szCs w:val="24"/>
        </w:rPr>
        <w:t xml:space="preserve">eanalysis </w:t>
      </w:r>
      <w:r>
        <w:rPr>
          <w:rFonts w:cs="Times New Roman"/>
          <w:szCs w:val="24"/>
        </w:rPr>
        <w:t>e</w:t>
      </w:r>
      <w:r w:rsidRPr="009B45C2">
        <w:rPr>
          <w:rFonts w:cs="Times New Roman"/>
          <w:szCs w:val="24"/>
        </w:rPr>
        <w:t xml:space="preserve">nvironments and </w:t>
      </w:r>
      <w:r>
        <w:rPr>
          <w:rFonts w:cs="Times New Roman"/>
          <w:szCs w:val="24"/>
        </w:rPr>
        <w:t>c</w:t>
      </w:r>
      <w:r w:rsidRPr="009B45C2">
        <w:rPr>
          <w:rFonts w:cs="Times New Roman"/>
          <w:szCs w:val="24"/>
        </w:rPr>
        <w:t xml:space="preserve">ollocated </w:t>
      </w:r>
      <w:r>
        <w:rPr>
          <w:rFonts w:cs="Times New Roman"/>
          <w:szCs w:val="24"/>
        </w:rPr>
        <w:t>r</w:t>
      </w:r>
      <w:r w:rsidRPr="009B45C2">
        <w:rPr>
          <w:rFonts w:cs="Times New Roman"/>
          <w:szCs w:val="24"/>
        </w:rPr>
        <w:t xml:space="preserve">adiosonde </w:t>
      </w:r>
      <w:r>
        <w:rPr>
          <w:rFonts w:cs="Times New Roman"/>
          <w:szCs w:val="24"/>
        </w:rPr>
        <w:t>o</w:t>
      </w:r>
      <w:r w:rsidRPr="009B45C2">
        <w:rPr>
          <w:rFonts w:cs="Times New Roman"/>
          <w:szCs w:val="24"/>
        </w:rPr>
        <w:t xml:space="preserve">bservations.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53</w:t>
      </w:r>
      <w:r w:rsidRPr="009B45C2">
        <w:rPr>
          <w:rFonts w:cs="Times New Roman"/>
          <w:szCs w:val="24"/>
        </w:rPr>
        <w:t xml:space="preserve">(3), 742–751. </w:t>
      </w:r>
      <w:hyperlink r:id="rId40" w:history="1">
        <w:r w:rsidRPr="00C75784">
          <w:rPr>
            <w:rStyle w:val="ab"/>
          </w:rPr>
          <w:t>https://doi.org/10.1175/JAMC-D-13-0263.1</w:t>
        </w:r>
      </w:hyperlink>
    </w:p>
    <w:p w14:paraId="28F02357"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Grams, J. S., Thompson, R. L., Snively, D. V., Prentice, J. A., Hodges, G. M., &amp; Reames, L. J. (2012). A </w:t>
      </w:r>
      <w:r>
        <w:rPr>
          <w:rFonts w:cs="Times New Roman"/>
          <w:szCs w:val="24"/>
        </w:rPr>
        <w:t>c</w:t>
      </w:r>
      <w:r w:rsidRPr="009B45C2">
        <w:rPr>
          <w:rFonts w:cs="Times New Roman"/>
          <w:szCs w:val="24"/>
        </w:rPr>
        <w:t xml:space="preserve">limatology and </w:t>
      </w:r>
      <w:r>
        <w:rPr>
          <w:rFonts w:cs="Times New Roman"/>
          <w:szCs w:val="24"/>
        </w:rPr>
        <w:t>c</w:t>
      </w:r>
      <w:r w:rsidRPr="009B45C2">
        <w:rPr>
          <w:rFonts w:cs="Times New Roman"/>
          <w:szCs w:val="24"/>
        </w:rPr>
        <w:t xml:space="preserve">omparison of </w:t>
      </w:r>
      <w:r>
        <w:rPr>
          <w:rFonts w:cs="Times New Roman"/>
          <w:szCs w:val="24"/>
        </w:rPr>
        <w:t>p</w:t>
      </w:r>
      <w:r w:rsidRPr="009B45C2">
        <w:rPr>
          <w:rFonts w:cs="Times New Roman"/>
          <w:szCs w:val="24"/>
        </w:rPr>
        <w:t xml:space="preserve">arameters for </w:t>
      </w:r>
      <w:r>
        <w:rPr>
          <w:rFonts w:cs="Times New Roman"/>
          <w:szCs w:val="24"/>
        </w:rPr>
        <w:t>s</w:t>
      </w:r>
      <w:r w:rsidRPr="009B45C2">
        <w:rPr>
          <w:rFonts w:cs="Times New Roman"/>
          <w:szCs w:val="24"/>
        </w:rPr>
        <w:t xml:space="preserve">ignificant </w:t>
      </w:r>
      <w:r>
        <w:rPr>
          <w:rFonts w:cs="Times New Roman"/>
          <w:szCs w:val="24"/>
        </w:rPr>
        <w:t>t</w:t>
      </w:r>
      <w:r w:rsidRPr="009B45C2">
        <w:rPr>
          <w:rFonts w:cs="Times New Roman"/>
          <w:szCs w:val="24"/>
        </w:rPr>
        <w:t xml:space="preserve">ornado </w:t>
      </w:r>
      <w:r>
        <w:rPr>
          <w:rFonts w:cs="Times New Roman"/>
          <w:szCs w:val="24"/>
        </w:rPr>
        <w:t>e</w:t>
      </w:r>
      <w:r w:rsidRPr="009B45C2">
        <w:rPr>
          <w:rFonts w:cs="Times New Roman"/>
          <w:szCs w:val="24"/>
        </w:rPr>
        <w:t xml:space="preserve">vents in the United States.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27</w:t>
      </w:r>
      <w:r w:rsidRPr="009B45C2">
        <w:rPr>
          <w:rFonts w:cs="Times New Roman"/>
          <w:szCs w:val="24"/>
        </w:rPr>
        <w:t xml:space="preserve">(1), 106–123. </w:t>
      </w:r>
      <w:hyperlink r:id="rId41" w:history="1">
        <w:r w:rsidRPr="00C75784">
          <w:rPr>
            <w:rStyle w:val="ab"/>
          </w:rPr>
          <w:t>https://doi.org/10.1175/WAF-D-11-00008.1</w:t>
        </w:r>
      </w:hyperlink>
    </w:p>
    <w:p w14:paraId="1F887BBA"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He, H., &amp; Zhang, F. (2010). Diurnal </w:t>
      </w:r>
      <w:r>
        <w:rPr>
          <w:rFonts w:cs="Times New Roman"/>
          <w:szCs w:val="24"/>
        </w:rPr>
        <w:t>v</w:t>
      </w:r>
      <w:r w:rsidRPr="009B45C2">
        <w:rPr>
          <w:rFonts w:cs="Times New Roman"/>
          <w:szCs w:val="24"/>
        </w:rPr>
        <w:t xml:space="preserve">ariations of </w:t>
      </w:r>
      <w:r>
        <w:rPr>
          <w:rFonts w:cs="Times New Roman"/>
          <w:szCs w:val="24"/>
        </w:rPr>
        <w:t>w</w:t>
      </w:r>
      <w:r w:rsidRPr="009B45C2">
        <w:rPr>
          <w:rFonts w:cs="Times New Roman"/>
          <w:szCs w:val="24"/>
        </w:rPr>
        <w:t>arm-</w:t>
      </w:r>
      <w:r>
        <w:rPr>
          <w:rFonts w:cs="Times New Roman"/>
          <w:szCs w:val="24"/>
        </w:rPr>
        <w:t>s</w:t>
      </w:r>
      <w:r w:rsidRPr="009B45C2">
        <w:rPr>
          <w:rFonts w:cs="Times New Roman"/>
          <w:szCs w:val="24"/>
        </w:rPr>
        <w:t xml:space="preserve">eason </w:t>
      </w:r>
      <w:r>
        <w:rPr>
          <w:rFonts w:cs="Times New Roman"/>
          <w:szCs w:val="24"/>
        </w:rPr>
        <w:t>p</w:t>
      </w:r>
      <w:r w:rsidRPr="009B45C2">
        <w:rPr>
          <w:rFonts w:cs="Times New Roman"/>
          <w:szCs w:val="24"/>
        </w:rPr>
        <w:t xml:space="preserve">recipitation over </w:t>
      </w:r>
      <w:r>
        <w:rPr>
          <w:rFonts w:cs="Times New Roman"/>
          <w:szCs w:val="24"/>
        </w:rPr>
        <w:t>n</w:t>
      </w:r>
      <w:r w:rsidRPr="009B45C2">
        <w:rPr>
          <w:rFonts w:cs="Times New Roman"/>
          <w:szCs w:val="24"/>
        </w:rPr>
        <w:t xml:space="preserve">orthern China.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138</w:t>
      </w:r>
      <w:r w:rsidRPr="009B45C2">
        <w:rPr>
          <w:rFonts w:cs="Times New Roman"/>
          <w:szCs w:val="24"/>
        </w:rPr>
        <w:t xml:space="preserve">(4), 1017–1025. </w:t>
      </w:r>
      <w:hyperlink r:id="rId42" w:history="1">
        <w:r w:rsidRPr="00C75784">
          <w:rPr>
            <w:rStyle w:val="ab"/>
          </w:rPr>
          <w:t>https://doi.org/10.1175/2010MWR3356.1</w:t>
        </w:r>
      </w:hyperlink>
    </w:p>
    <w:p w14:paraId="51FF4E1C"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He, Z., Zhang, Q., Bai, L., &amp; Meng, Z. (2017). Characteristics of mesoscale convective systems in central East China and their reliance on atmospheric circulation patterns. </w:t>
      </w:r>
      <w:r w:rsidRPr="009B45C2">
        <w:rPr>
          <w:rFonts w:cs="Times New Roman"/>
          <w:i/>
          <w:iCs/>
          <w:szCs w:val="24"/>
        </w:rPr>
        <w:t>International Journal of Climatology</w:t>
      </w:r>
      <w:r w:rsidRPr="009B45C2">
        <w:rPr>
          <w:rFonts w:cs="Times New Roman"/>
          <w:szCs w:val="24"/>
        </w:rPr>
        <w:t xml:space="preserve">, </w:t>
      </w:r>
      <w:r w:rsidRPr="009B45C2">
        <w:rPr>
          <w:rFonts w:cs="Times New Roman"/>
          <w:i/>
          <w:iCs/>
          <w:szCs w:val="24"/>
        </w:rPr>
        <w:t>37</w:t>
      </w:r>
      <w:r w:rsidRPr="009B45C2">
        <w:rPr>
          <w:rFonts w:cs="Times New Roman"/>
          <w:szCs w:val="24"/>
        </w:rPr>
        <w:t xml:space="preserve">(7), 3276–3290. </w:t>
      </w:r>
      <w:hyperlink r:id="rId43" w:history="1">
        <w:r w:rsidRPr="00C75784">
          <w:rPr>
            <w:rStyle w:val="ab"/>
          </w:rPr>
          <w:t>https://doi.org/10.1002/joc.4917</w:t>
        </w:r>
      </w:hyperlink>
    </w:p>
    <w:p w14:paraId="4A64633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lastRenderedPageBreak/>
        <w:t xml:space="preserve">Hendricks, E. A., &amp; Montgomery, M. T. (2006). Rapid </w:t>
      </w:r>
      <w:r>
        <w:rPr>
          <w:rFonts w:cs="Times New Roman"/>
          <w:szCs w:val="24"/>
        </w:rPr>
        <w:t>s</w:t>
      </w:r>
      <w:r w:rsidRPr="009B45C2">
        <w:rPr>
          <w:rFonts w:cs="Times New Roman"/>
          <w:szCs w:val="24"/>
        </w:rPr>
        <w:t xml:space="preserve">can </w:t>
      </w:r>
      <w:r>
        <w:rPr>
          <w:rFonts w:cs="Times New Roman"/>
          <w:szCs w:val="24"/>
        </w:rPr>
        <w:t>v</w:t>
      </w:r>
      <w:r w:rsidRPr="009B45C2">
        <w:rPr>
          <w:rFonts w:cs="Times New Roman"/>
          <w:szCs w:val="24"/>
        </w:rPr>
        <w:t xml:space="preserve">iews of </w:t>
      </w:r>
      <w:r>
        <w:rPr>
          <w:rFonts w:cs="Times New Roman"/>
          <w:szCs w:val="24"/>
        </w:rPr>
        <w:t>c</w:t>
      </w:r>
      <w:r w:rsidRPr="009B45C2">
        <w:rPr>
          <w:rFonts w:cs="Times New Roman"/>
          <w:szCs w:val="24"/>
        </w:rPr>
        <w:t xml:space="preserve">onvectively </w:t>
      </w:r>
      <w:r>
        <w:rPr>
          <w:rFonts w:cs="Times New Roman"/>
          <w:szCs w:val="24"/>
        </w:rPr>
        <w:t>g</w:t>
      </w:r>
      <w:r w:rsidRPr="009B45C2">
        <w:rPr>
          <w:rFonts w:cs="Times New Roman"/>
          <w:szCs w:val="24"/>
        </w:rPr>
        <w:t xml:space="preserve">enerated </w:t>
      </w:r>
      <w:r>
        <w:rPr>
          <w:rFonts w:cs="Times New Roman"/>
          <w:szCs w:val="24"/>
        </w:rPr>
        <w:t>m</w:t>
      </w:r>
      <w:r w:rsidRPr="009B45C2">
        <w:rPr>
          <w:rFonts w:cs="Times New Roman"/>
          <w:szCs w:val="24"/>
        </w:rPr>
        <w:t xml:space="preserve">esovortices in </w:t>
      </w:r>
      <w:r>
        <w:rPr>
          <w:rFonts w:cs="Times New Roman"/>
          <w:szCs w:val="24"/>
        </w:rPr>
        <w:t>s</w:t>
      </w:r>
      <w:r w:rsidRPr="009B45C2">
        <w:rPr>
          <w:rFonts w:cs="Times New Roman"/>
          <w:szCs w:val="24"/>
        </w:rPr>
        <w:t xml:space="preserve">heared </w:t>
      </w:r>
      <w:r>
        <w:rPr>
          <w:rFonts w:cs="Times New Roman"/>
          <w:szCs w:val="24"/>
        </w:rPr>
        <w:t>t</w:t>
      </w:r>
      <w:r w:rsidRPr="009B45C2">
        <w:rPr>
          <w:rFonts w:cs="Times New Roman"/>
          <w:szCs w:val="24"/>
        </w:rPr>
        <w:t xml:space="preserve">ropical </w:t>
      </w:r>
      <w:r>
        <w:rPr>
          <w:rFonts w:cs="Times New Roman"/>
          <w:szCs w:val="24"/>
        </w:rPr>
        <w:t>c</w:t>
      </w:r>
      <w:r w:rsidRPr="009B45C2">
        <w:rPr>
          <w:rFonts w:cs="Times New Roman"/>
          <w:szCs w:val="24"/>
        </w:rPr>
        <w:t xml:space="preserve">yclone Gustav (2002).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21</w:t>
      </w:r>
      <w:r w:rsidRPr="009B45C2">
        <w:rPr>
          <w:rFonts w:cs="Times New Roman"/>
          <w:szCs w:val="24"/>
        </w:rPr>
        <w:t xml:space="preserve">(6), 1041–1050. </w:t>
      </w:r>
      <w:hyperlink r:id="rId44" w:history="1">
        <w:r w:rsidRPr="00C75784">
          <w:rPr>
            <w:rStyle w:val="ab"/>
          </w:rPr>
          <w:t>https://doi.org/10.1175/WAF950.1</w:t>
        </w:r>
      </w:hyperlink>
    </w:p>
    <w:p w14:paraId="083EDCB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Hersbach, H., Bell, B., Berrisford, P., Hirahara, S., Horányi, A., Muñoz‐Sabater, J., et al. (2020). The ERA5 global reanalysis. </w:t>
      </w:r>
      <w:r w:rsidRPr="009B45C2">
        <w:rPr>
          <w:rFonts w:cs="Times New Roman"/>
          <w:i/>
          <w:iCs/>
          <w:szCs w:val="24"/>
        </w:rPr>
        <w:t>Quarterly Journal of the Royal Meteorological Society</w:t>
      </w:r>
      <w:r w:rsidRPr="009B45C2">
        <w:rPr>
          <w:rFonts w:cs="Times New Roman"/>
          <w:szCs w:val="24"/>
        </w:rPr>
        <w:t xml:space="preserve">, </w:t>
      </w:r>
      <w:r w:rsidRPr="009B45C2">
        <w:rPr>
          <w:rFonts w:cs="Times New Roman"/>
          <w:i/>
          <w:iCs/>
          <w:szCs w:val="24"/>
        </w:rPr>
        <w:t>146</w:t>
      </w:r>
      <w:r w:rsidRPr="009B45C2">
        <w:rPr>
          <w:rFonts w:cs="Times New Roman"/>
          <w:szCs w:val="24"/>
        </w:rPr>
        <w:t xml:space="preserve">(730), 1999–2049. </w:t>
      </w:r>
      <w:hyperlink r:id="rId45" w:history="1">
        <w:r w:rsidRPr="00C75784">
          <w:rPr>
            <w:rStyle w:val="ab"/>
          </w:rPr>
          <w:t>https://doi.org/10.1002/qj.3803</w:t>
        </w:r>
      </w:hyperlink>
    </w:p>
    <w:p w14:paraId="6EA5567A"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Hoffmann, P., &amp; Schlünzen, K. H. (2013). Weather </w:t>
      </w:r>
      <w:r>
        <w:rPr>
          <w:rFonts w:cs="Times New Roman"/>
          <w:szCs w:val="24"/>
        </w:rPr>
        <w:t>p</w:t>
      </w:r>
      <w:r w:rsidRPr="009B45C2">
        <w:rPr>
          <w:rFonts w:cs="Times New Roman"/>
          <w:szCs w:val="24"/>
        </w:rPr>
        <w:t xml:space="preserve">attern </w:t>
      </w:r>
      <w:r>
        <w:rPr>
          <w:rFonts w:cs="Times New Roman"/>
          <w:szCs w:val="24"/>
        </w:rPr>
        <w:t>c</w:t>
      </w:r>
      <w:r w:rsidRPr="009B45C2">
        <w:rPr>
          <w:rFonts w:cs="Times New Roman"/>
          <w:szCs w:val="24"/>
        </w:rPr>
        <w:t xml:space="preserve">lassification to </w:t>
      </w:r>
      <w:r>
        <w:rPr>
          <w:rFonts w:cs="Times New Roman"/>
          <w:szCs w:val="24"/>
        </w:rPr>
        <w:t>r</w:t>
      </w:r>
      <w:r w:rsidRPr="009B45C2">
        <w:rPr>
          <w:rFonts w:cs="Times New Roman"/>
          <w:szCs w:val="24"/>
        </w:rPr>
        <w:t xml:space="preserve">epresent the </w:t>
      </w:r>
      <w:r>
        <w:rPr>
          <w:rFonts w:cs="Times New Roman"/>
          <w:szCs w:val="24"/>
        </w:rPr>
        <w:t>u</w:t>
      </w:r>
      <w:r w:rsidRPr="009B45C2">
        <w:rPr>
          <w:rFonts w:cs="Times New Roman"/>
          <w:szCs w:val="24"/>
        </w:rPr>
        <w:t xml:space="preserve">rban </w:t>
      </w:r>
      <w:r>
        <w:rPr>
          <w:rFonts w:cs="Times New Roman"/>
          <w:szCs w:val="24"/>
        </w:rPr>
        <w:t>h</w:t>
      </w:r>
      <w:r w:rsidRPr="009B45C2">
        <w:rPr>
          <w:rFonts w:cs="Times New Roman"/>
          <w:szCs w:val="24"/>
        </w:rPr>
        <w:t xml:space="preserve">eat </w:t>
      </w:r>
      <w:r>
        <w:rPr>
          <w:rFonts w:cs="Times New Roman"/>
          <w:szCs w:val="24"/>
        </w:rPr>
        <w:t>i</w:t>
      </w:r>
      <w:r w:rsidRPr="009B45C2">
        <w:rPr>
          <w:rFonts w:cs="Times New Roman"/>
          <w:szCs w:val="24"/>
        </w:rPr>
        <w:t xml:space="preserve">sland in </w:t>
      </w:r>
      <w:r>
        <w:rPr>
          <w:rFonts w:cs="Times New Roman"/>
          <w:szCs w:val="24"/>
        </w:rPr>
        <w:t>p</w:t>
      </w:r>
      <w:r w:rsidRPr="009B45C2">
        <w:rPr>
          <w:rFonts w:cs="Times New Roman"/>
          <w:szCs w:val="24"/>
        </w:rPr>
        <w:t xml:space="preserve">resent and </w:t>
      </w:r>
      <w:r>
        <w:rPr>
          <w:rFonts w:cs="Times New Roman"/>
          <w:szCs w:val="24"/>
        </w:rPr>
        <w:t>f</w:t>
      </w:r>
      <w:r w:rsidRPr="009B45C2">
        <w:rPr>
          <w:rFonts w:cs="Times New Roman"/>
          <w:szCs w:val="24"/>
        </w:rPr>
        <w:t xml:space="preserve">uture </w:t>
      </w:r>
      <w:r>
        <w:rPr>
          <w:rFonts w:cs="Times New Roman"/>
          <w:szCs w:val="24"/>
        </w:rPr>
        <w:t>c</w:t>
      </w:r>
      <w:r w:rsidRPr="009B45C2">
        <w:rPr>
          <w:rFonts w:cs="Times New Roman"/>
          <w:szCs w:val="24"/>
        </w:rPr>
        <w:t xml:space="preserve">limate.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52</w:t>
      </w:r>
      <w:r w:rsidRPr="009B45C2">
        <w:rPr>
          <w:rFonts w:cs="Times New Roman"/>
          <w:szCs w:val="24"/>
        </w:rPr>
        <w:t xml:space="preserve">(12), 2699–2714. </w:t>
      </w:r>
      <w:hyperlink r:id="rId46" w:history="1">
        <w:r w:rsidRPr="00C75784">
          <w:rPr>
            <w:rStyle w:val="ab"/>
          </w:rPr>
          <w:t>https://doi.org/10.1175/JAMC-D-12-065.1</w:t>
        </w:r>
      </w:hyperlink>
    </w:p>
    <w:p w14:paraId="57F380E7"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Houze, R. A. (2004). Mesoscale convective systems. </w:t>
      </w:r>
      <w:r w:rsidRPr="009B45C2">
        <w:rPr>
          <w:rFonts w:cs="Times New Roman"/>
          <w:i/>
          <w:iCs/>
          <w:szCs w:val="24"/>
        </w:rPr>
        <w:t>Reviews of Geophysics</w:t>
      </w:r>
      <w:r w:rsidRPr="009B45C2">
        <w:rPr>
          <w:rFonts w:cs="Times New Roman"/>
          <w:szCs w:val="24"/>
        </w:rPr>
        <w:t xml:space="preserve">, </w:t>
      </w:r>
      <w:r w:rsidRPr="009B45C2">
        <w:rPr>
          <w:rFonts w:cs="Times New Roman"/>
          <w:i/>
          <w:iCs/>
          <w:szCs w:val="24"/>
        </w:rPr>
        <w:t>42</w:t>
      </w:r>
      <w:r w:rsidRPr="009B45C2">
        <w:rPr>
          <w:rFonts w:cs="Times New Roman"/>
          <w:szCs w:val="24"/>
        </w:rPr>
        <w:t xml:space="preserve">(4). </w:t>
      </w:r>
      <w:hyperlink r:id="rId47" w:history="1">
        <w:r w:rsidRPr="00C75784">
          <w:rPr>
            <w:rStyle w:val="ab"/>
          </w:rPr>
          <w:t>https://doi.org/10.1029/2004RG000150</w:t>
        </w:r>
      </w:hyperlink>
    </w:p>
    <w:p w14:paraId="33A4FE0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Huth, R., Beck, C., Philipp, A., Demuzere, M., Ustrnul, Z., Cahynová, M., et al. (2008). Classifications of </w:t>
      </w:r>
      <w:r>
        <w:rPr>
          <w:rFonts w:cs="Times New Roman"/>
          <w:szCs w:val="24"/>
        </w:rPr>
        <w:t>a</w:t>
      </w:r>
      <w:r w:rsidRPr="009B45C2">
        <w:rPr>
          <w:rFonts w:cs="Times New Roman"/>
          <w:szCs w:val="24"/>
        </w:rPr>
        <w:t xml:space="preserve">tmospheric </w:t>
      </w:r>
      <w:r>
        <w:rPr>
          <w:rFonts w:cs="Times New Roman"/>
          <w:szCs w:val="24"/>
        </w:rPr>
        <w:t>c</w:t>
      </w:r>
      <w:r w:rsidRPr="009B45C2">
        <w:rPr>
          <w:rFonts w:cs="Times New Roman"/>
          <w:szCs w:val="24"/>
        </w:rPr>
        <w:t xml:space="preserve">irculation </w:t>
      </w:r>
      <w:r>
        <w:rPr>
          <w:rFonts w:cs="Times New Roman"/>
          <w:szCs w:val="24"/>
        </w:rPr>
        <w:t>p</w:t>
      </w:r>
      <w:r w:rsidRPr="009B45C2">
        <w:rPr>
          <w:rFonts w:cs="Times New Roman"/>
          <w:szCs w:val="24"/>
        </w:rPr>
        <w:t xml:space="preserve">atterns. </w:t>
      </w:r>
      <w:r w:rsidRPr="009B45C2">
        <w:rPr>
          <w:rFonts w:cs="Times New Roman"/>
          <w:i/>
          <w:iCs/>
          <w:szCs w:val="24"/>
        </w:rPr>
        <w:t>Annals of the New York Academy of Sciences</w:t>
      </w:r>
      <w:r w:rsidRPr="009B45C2">
        <w:rPr>
          <w:rFonts w:cs="Times New Roman"/>
          <w:szCs w:val="24"/>
        </w:rPr>
        <w:t xml:space="preserve">, </w:t>
      </w:r>
      <w:r w:rsidRPr="009B45C2">
        <w:rPr>
          <w:rFonts w:cs="Times New Roman"/>
          <w:i/>
          <w:iCs/>
          <w:szCs w:val="24"/>
        </w:rPr>
        <w:t>1146</w:t>
      </w:r>
      <w:r w:rsidRPr="009B45C2">
        <w:rPr>
          <w:rFonts w:cs="Times New Roman"/>
          <w:szCs w:val="24"/>
        </w:rPr>
        <w:t xml:space="preserve">(1), 105–152. </w:t>
      </w:r>
      <w:hyperlink r:id="rId48" w:history="1">
        <w:r w:rsidRPr="00C75784">
          <w:rPr>
            <w:rStyle w:val="ab"/>
          </w:rPr>
          <w:t>https://doi.org/10.1196/annals.1446.019</w:t>
        </w:r>
      </w:hyperlink>
    </w:p>
    <w:p w14:paraId="5BB31449" w14:textId="77777777" w:rsidR="005F61F6" w:rsidRDefault="005F61F6" w:rsidP="005F61F6">
      <w:pPr>
        <w:adjustRightInd w:val="0"/>
        <w:snapToGrid w:val="0"/>
        <w:spacing w:beforeLines="0" w:before="240" w:after="120"/>
        <w:ind w:left="360" w:hangingChars="150" w:hanging="360"/>
        <w:rPr>
          <w:rFonts w:cs="Times New Roman"/>
          <w:szCs w:val="24"/>
        </w:rPr>
      </w:pPr>
      <w:r w:rsidRPr="00142410">
        <w:rPr>
          <w:rFonts w:cs="Times New Roman"/>
          <w:szCs w:val="24"/>
        </w:rPr>
        <w:t>Jiang</w:t>
      </w:r>
      <w:r>
        <w:rPr>
          <w:rFonts w:cs="Times New Roman"/>
          <w:szCs w:val="24"/>
        </w:rPr>
        <w:t>,</w:t>
      </w:r>
      <w:r w:rsidRPr="00142410">
        <w:rPr>
          <w:rFonts w:cs="Times New Roman"/>
          <w:szCs w:val="24"/>
        </w:rPr>
        <w:t xml:space="preserve"> J.</w:t>
      </w:r>
      <w:r w:rsidRPr="00757ECE">
        <w:rPr>
          <w:rFonts w:cs="Times New Roman"/>
          <w:szCs w:val="24"/>
        </w:rPr>
        <w:t xml:space="preserve"> </w:t>
      </w:r>
      <w:r w:rsidRPr="00757ECE">
        <w:rPr>
          <w:rFonts w:eastAsiaTheme="minorEastAsia" w:cs="Times New Roman"/>
          <w:szCs w:val="24"/>
        </w:rPr>
        <w:t xml:space="preserve">&amp; </w:t>
      </w:r>
      <w:r w:rsidRPr="00142410">
        <w:rPr>
          <w:rFonts w:cs="Times New Roman"/>
          <w:szCs w:val="24"/>
        </w:rPr>
        <w:t>Fan</w:t>
      </w:r>
      <w:r>
        <w:rPr>
          <w:rFonts w:cs="Times New Roman"/>
          <w:szCs w:val="24"/>
        </w:rPr>
        <w:t xml:space="preserve">, </w:t>
      </w:r>
      <w:r w:rsidRPr="00142410">
        <w:rPr>
          <w:rFonts w:cs="Times New Roman"/>
          <w:szCs w:val="24"/>
        </w:rPr>
        <w:t>M.</w:t>
      </w:r>
      <w:r>
        <w:rPr>
          <w:rFonts w:cs="Times New Roman"/>
          <w:szCs w:val="24"/>
        </w:rPr>
        <w:t xml:space="preserve"> (</w:t>
      </w:r>
      <w:r w:rsidRPr="00142410">
        <w:rPr>
          <w:rFonts w:cs="Times New Roman"/>
          <w:szCs w:val="24"/>
        </w:rPr>
        <w:t>2022</w:t>
      </w:r>
      <w:r>
        <w:rPr>
          <w:rFonts w:cs="Times New Roman"/>
          <w:szCs w:val="24"/>
        </w:rPr>
        <w:t xml:space="preserve">). </w:t>
      </w:r>
      <w:r w:rsidRPr="00142410">
        <w:rPr>
          <w:rFonts w:cs="Times New Roman"/>
          <w:szCs w:val="24"/>
        </w:rPr>
        <w:t xml:space="preserve">Convective clouds and mesoscale convective systems over the Tibetan Plateau in summer. </w:t>
      </w:r>
      <w:r w:rsidRPr="005A08A5">
        <w:rPr>
          <w:rFonts w:cs="Times New Roman"/>
          <w:i/>
          <w:iCs/>
          <w:szCs w:val="24"/>
        </w:rPr>
        <w:t>Chinese Journal of Atmospheric Sciences</w:t>
      </w:r>
      <w:r w:rsidRPr="005A08A5">
        <w:rPr>
          <w:rFonts w:cs="Times New Roman"/>
          <w:szCs w:val="24"/>
        </w:rPr>
        <w:t>,</w:t>
      </w:r>
      <w:r w:rsidRPr="005A08A5">
        <w:rPr>
          <w:rFonts w:cs="Times New Roman"/>
          <w:i/>
          <w:iCs/>
          <w:szCs w:val="24"/>
        </w:rPr>
        <w:t xml:space="preserve"> 26</w:t>
      </w:r>
      <w:r w:rsidRPr="005A08A5">
        <w:rPr>
          <w:rFonts w:cs="Times New Roman"/>
          <w:szCs w:val="24"/>
        </w:rPr>
        <w:t xml:space="preserve">(2), </w:t>
      </w:r>
      <w:r w:rsidRPr="00142410">
        <w:rPr>
          <w:rFonts w:cs="Times New Roman"/>
          <w:szCs w:val="24"/>
        </w:rPr>
        <w:t xml:space="preserve">263–270, </w:t>
      </w:r>
      <w:hyperlink r:id="rId49" w:history="1">
        <w:r w:rsidRPr="00A97A6C">
          <w:rPr>
            <w:rStyle w:val="ab"/>
          </w:rPr>
          <w:t>http://doi.org/10.3878/j.issn.1006-9895.2002.02.12</w:t>
        </w:r>
      </w:hyperlink>
      <w:r>
        <w:rPr>
          <w:rFonts w:cs="Times New Roman"/>
          <w:szCs w:val="24"/>
        </w:rPr>
        <w:t>. (in Chinese)</w:t>
      </w:r>
    </w:p>
    <w:p w14:paraId="001E0D04"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Kaltenböck, R., Diendorfer, G., &amp; Dotzek, N. (2009). Evaluation of thunderstorm indices from ECMWF analyses, lightning data and severe storm reports. </w:t>
      </w:r>
      <w:r w:rsidRPr="009B45C2">
        <w:rPr>
          <w:rFonts w:cs="Times New Roman"/>
          <w:i/>
          <w:iCs/>
          <w:szCs w:val="24"/>
        </w:rPr>
        <w:t>Atmospheric Research</w:t>
      </w:r>
      <w:r w:rsidRPr="009B45C2">
        <w:rPr>
          <w:rFonts w:cs="Times New Roman"/>
          <w:szCs w:val="24"/>
        </w:rPr>
        <w:t xml:space="preserve">, </w:t>
      </w:r>
      <w:r w:rsidRPr="009B45C2">
        <w:rPr>
          <w:rFonts w:cs="Times New Roman"/>
          <w:i/>
          <w:iCs/>
          <w:szCs w:val="24"/>
        </w:rPr>
        <w:t>93</w:t>
      </w:r>
      <w:r w:rsidRPr="009B45C2">
        <w:rPr>
          <w:rFonts w:cs="Times New Roman"/>
          <w:szCs w:val="24"/>
        </w:rPr>
        <w:t xml:space="preserve">(1), 381–396. </w:t>
      </w:r>
      <w:hyperlink r:id="rId50" w:history="1">
        <w:r w:rsidRPr="005741C7">
          <w:rPr>
            <w:rStyle w:val="ab"/>
          </w:rPr>
          <w:t>https://doi.org/10.1016/ j.atmosres.2008.11.005</w:t>
        </w:r>
      </w:hyperlink>
    </w:p>
    <w:p w14:paraId="1BE5F36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Kanungo, T., Mount, D. M., Netanyahu, N. S., Piatko, C. D., Silverman, R., &amp; Wu, A. Y. (2002). An efficient k-means clustering algorithm: analysis and implementation. </w:t>
      </w:r>
      <w:r w:rsidRPr="009B45C2">
        <w:rPr>
          <w:rFonts w:cs="Times New Roman"/>
          <w:i/>
          <w:iCs/>
          <w:szCs w:val="24"/>
        </w:rPr>
        <w:t>IEEE Transactions on Pattern Analysis and Machine Intelligence</w:t>
      </w:r>
      <w:r w:rsidRPr="009B45C2">
        <w:rPr>
          <w:rFonts w:cs="Times New Roman"/>
          <w:szCs w:val="24"/>
        </w:rPr>
        <w:t xml:space="preserve">, </w:t>
      </w:r>
      <w:r w:rsidRPr="009B45C2">
        <w:rPr>
          <w:rFonts w:cs="Times New Roman"/>
          <w:i/>
          <w:iCs/>
          <w:szCs w:val="24"/>
        </w:rPr>
        <w:t>24</w:t>
      </w:r>
      <w:r w:rsidRPr="009B45C2">
        <w:rPr>
          <w:rFonts w:cs="Times New Roman"/>
          <w:szCs w:val="24"/>
        </w:rPr>
        <w:t xml:space="preserve">(7), 881–892. </w:t>
      </w:r>
      <w:hyperlink r:id="rId51" w:history="1">
        <w:r w:rsidRPr="00C75784">
          <w:rPr>
            <w:rStyle w:val="ab"/>
          </w:rPr>
          <w:t>https://doi.org/10.1109/TPAMI.2002.1017616</w:t>
        </w:r>
      </w:hyperlink>
    </w:p>
    <w:p w14:paraId="5FB84D1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King, A. T., &amp; Kennedy, A. D. (2019). North American </w:t>
      </w:r>
      <w:r>
        <w:rPr>
          <w:rFonts w:cs="Times New Roman"/>
          <w:szCs w:val="24"/>
        </w:rPr>
        <w:t>s</w:t>
      </w:r>
      <w:r w:rsidRPr="009B45C2">
        <w:rPr>
          <w:rFonts w:cs="Times New Roman"/>
          <w:szCs w:val="24"/>
        </w:rPr>
        <w:t xml:space="preserve">upercell </w:t>
      </w:r>
      <w:r>
        <w:rPr>
          <w:rFonts w:cs="Times New Roman"/>
          <w:szCs w:val="24"/>
        </w:rPr>
        <w:t>e</w:t>
      </w:r>
      <w:r w:rsidRPr="009B45C2">
        <w:rPr>
          <w:rFonts w:cs="Times New Roman"/>
          <w:szCs w:val="24"/>
        </w:rPr>
        <w:t xml:space="preserve">nvironments in </w:t>
      </w:r>
      <w:r>
        <w:rPr>
          <w:rFonts w:cs="Times New Roman"/>
          <w:szCs w:val="24"/>
        </w:rPr>
        <w:t>a</w:t>
      </w:r>
      <w:r w:rsidRPr="009B45C2">
        <w:rPr>
          <w:rFonts w:cs="Times New Roman"/>
          <w:szCs w:val="24"/>
        </w:rPr>
        <w:t xml:space="preserve">tmospheric </w:t>
      </w:r>
      <w:r>
        <w:rPr>
          <w:rFonts w:cs="Times New Roman"/>
          <w:szCs w:val="24"/>
        </w:rPr>
        <w:t>r</w:t>
      </w:r>
      <w:r w:rsidRPr="009B45C2">
        <w:rPr>
          <w:rFonts w:cs="Times New Roman"/>
          <w:szCs w:val="24"/>
        </w:rPr>
        <w:t xml:space="preserve">eanalyses and RUC-2.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58</w:t>
      </w:r>
      <w:r w:rsidRPr="009B45C2">
        <w:rPr>
          <w:rFonts w:cs="Times New Roman"/>
          <w:szCs w:val="24"/>
        </w:rPr>
        <w:t xml:space="preserve">(1), 71–92. </w:t>
      </w:r>
      <w:hyperlink r:id="rId52" w:history="1">
        <w:r w:rsidRPr="00C75784">
          <w:rPr>
            <w:rStyle w:val="ab"/>
          </w:rPr>
          <w:t>https://doi.org/10.1175/JAMC-D-18-0015.1</w:t>
        </w:r>
      </w:hyperlink>
    </w:p>
    <w:p w14:paraId="3C71CE2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lastRenderedPageBreak/>
        <w:t>Kirkpatrick,</w:t>
      </w:r>
      <w:r>
        <w:rPr>
          <w:rFonts w:cs="Times New Roman"/>
          <w:szCs w:val="24"/>
        </w:rPr>
        <w:t xml:space="preserve"> J.</w:t>
      </w:r>
      <w:r w:rsidRPr="009B45C2">
        <w:rPr>
          <w:rFonts w:cs="Times New Roman"/>
          <w:szCs w:val="24"/>
        </w:rPr>
        <w:t xml:space="preserve"> C., McCaul, E. W., &amp; Cohen, C. (2007). The </w:t>
      </w:r>
      <w:r>
        <w:rPr>
          <w:rFonts w:cs="Times New Roman"/>
          <w:szCs w:val="24"/>
        </w:rPr>
        <w:t>m</w:t>
      </w:r>
      <w:r w:rsidRPr="009B45C2">
        <w:rPr>
          <w:rFonts w:cs="Times New Roman"/>
          <w:szCs w:val="24"/>
        </w:rPr>
        <w:t xml:space="preserve">otion of </w:t>
      </w:r>
      <w:r>
        <w:rPr>
          <w:rFonts w:cs="Times New Roman"/>
          <w:szCs w:val="24"/>
        </w:rPr>
        <w:t>s</w:t>
      </w:r>
      <w:r w:rsidRPr="009B45C2">
        <w:rPr>
          <w:rFonts w:cs="Times New Roman"/>
          <w:szCs w:val="24"/>
        </w:rPr>
        <w:t xml:space="preserve">imulated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torms as a </w:t>
      </w:r>
      <w:r>
        <w:rPr>
          <w:rFonts w:cs="Times New Roman"/>
          <w:szCs w:val="24"/>
        </w:rPr>
        <w:t>f</w:t>
      </w:r>
      <w:r w:rsidRPr="009B45C2">
        <w:rPr>
          <w:rFonts w:cs="Times New Roman"/>
          <w:szCs w:val="24"/>
        </w:rPr>
        <w:t xml:space="preserve">unction of </w:t>
      </w:r>
      <w:r>
        <w:rPr>
          <w:rFonts w:cs="Times New Roman"/>
          <w:szCs w:val="24"/>
        </w:rPr>
        <w:t>b</w:t>
      </w:r>
      <w:r w:rsidRPr="009B45C2">
        <w:rPr>
          <w:rFonts w:cs="Times New Roman"/>
          <w:szCs w:val="24"/>
        </w:rPr>
        <w:t xml:space="preserve">asic </w:t>
      </w:r>
      <w:r>
        <w:rPr>
          <w:rFonts w:cs="Times New Roman"/>
          <w:szCs w:val="24"/>
        </w:rPr>
        <w:t>e</w:t>
      </w:r>
      <w:r w:rsidRPr="009B45C2">
        <w:rPr>
          <w:rFonts w:cs="Times New Roman"/>
          <w:szCs w:val="24"/>
        </w:rPr>
        <w:t xml:space="preserve">nvironmental </w:t>
      </w:r>
      <w:r>
        <w:rPr>
          <w:rFonts w:cs="Times New Roman"/>
          <w:szCs w:val="24"/>
        </w:rPr>
        <w:t>p</w:t>
      </w:r>
      <w:r w:rsidRPr="009B45C2">
        <w:rPr>
          <w:rFonts w:cs="Times New Roman"/>
          <w:szCs w:val="24"/>
        </w:rPr>
        <w:t xml:space="preserve">arameters.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135</w:t>
      </w:r>
      <w:r w:rsidRPr="009B45C2">
        <w:rPr>
          <w:rFonts w:cs="Times New Roman"/>
          <w:szCs w:val="24"/>
        </w:rPr>
        <w:t xml:space="preserve">(9), 3033–3051. </w:t>
      </w:r>
      <w:hyperlink r:id="rId53" w:history="1">
        <w:r w:rsidRPr="00C75784">
          <w:rPr>
            <w:rStyle w:val="ab"/>
          </w:rPr>
          <w:t>https://doi.org/10.1175/MWR3447.1</w:t>
        </w:r>
      </w:hyperlink>
    </w:p>
    <w:p w14:paraId="74FDCE55"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Kirkpatrick, </w:t>
      </w:r>
      <w:r>
        <w:rPr>
          <w:rFonts w:cs="Times New Roman"/>
          <w:szCs w:val="24"/>
        </w:rPr>
        <w:t xml:space="preserve">J. </w:t>
      </w:r>
      <w:r w:rsidRPr="009B45C2">
        <w:rPr>
          <w:rFonts w:cs="Times New Roman"/>
          <w:szCs w:val="24"/>
        </w:rPr>
        <w:t xml:space="preserve">C., McCaul, E. W., &amp; Cohen, C. (2009). Variability of </w:t>
      </w:r>
      <w:r>
        <w:rPr>
          <w:rFonts w:cs="Times New Roman"/>
          <w:szCs w:val="24"/>
        </w:rPr>
        <w:t>u</w:t>
      </w:r>
      <w:r w:rsidRPr="009B45C2">
        <w:rPr>
          <w:rFonts w:cs="Times New Roman"/>
          <w:szCs w:val="24"/>
        </w:rPr>
        <w:t xml:space="preserve">pdraft and </w:t>
      </w:r>
      <w:r>
        <w:rPr>
          <w:rFonts w:cs="Times New Roman"/>
          <w:szCs w:val="24"/>
        </w:rPr>
        <w:t>d</w:t>
      </w:r>
      <w:r w:rsidRPr="009B45C2">
        <w:rPr>
          <w:rFonts w:cs="Times New Roman"/>
          <w:szCs w:val="24"/>
        </w:rPr>
        <w:t xml:space="preserve">owndraft </w:t>
      </w:r>
      <w:r>
        <w:rPr>
          <w:rFonts w:cs="Times New Roman"/>
          <w:szCs w:val="24"/>
        </w:rPr>
        <w:t>c</w:t>
      </w:r>
      <w:r w:rsidRPr="009B45C2">
        <w:rPr>
          <w:rFonts w:cs="Times New Roman"/>
          <w:szCs w:val="24"/>
        </w:rPr>
        <w:t xml:space="preserve">haracteristics in a </w:t>
      </w:r>
      <w:r>
        <w:rPr>
          <w:rFonts w:cs="Times New Roman"/>
          <w:szCs w:val="24"/>
        </w:rPr>
        <w:t>l</w:t>
      </w:r>
      <w:r w:rsidRPr="009B45C2">
        <w:rPr>
          <w:rFonts w:cs="Times New Roman"/>
          <w:szCs w:val="24"/>
        </w:rPr>
        <w:t xml:space="preserve">arge </w:t>
      </w:r>
      <w:r>
        <w:rPr>
          <w:rFonts w:cs="Times New Roman"/>
          <w:szCs w:val="24"/>
        </w:rPr>
        <w:t>p</w:t>
      </w:r>
      <w:r w:rsidRPr="009B45C2">
        <w:rPr>
          <w:rFonts w:cs="Times New Roman"/>
          <w:szCs w:val="24"/>
        </w:rPr>
        <w:t xml:space="preserve">arameter </w:t>
      </w:r>
      <w:r>
        <w:rPr>
          <w:rFonts w:cs="Times New Roman"/>
          <w:szCs w:val="24"/>
        </w:rPr>
        <w:t>s</w:t>
      </w:r>
      <w:r w:rsidRPr="009B45C2">
        <w:rPr>
          <w:rFonts w:cs="Times New Roman"/>
          <w:szCs w:val="24"/>
        </w:rPr>
        <w:t xml:space="preserve">pace </w:t>
      </w:r>
      <w:r>
        <w:rPr>
          <w:rFonts w:cs="Times New Roman"/>
          <w:szCs w:val="24"/>
        </w:rPr>
        <w:t>s</w:t>
      </w:r>
      <w:r w:rsidRPr="009B45C2">
        <w:rPr>
          <w:rFonts w:cs="Times New Roman"/>
          <w:szCs w:val="24"/>
        </w:rPr>
        <w:t xml:space="preserve">tudy of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torms.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137</w:t>
      </w:r>
      <w:r w:rsidRPr="009B45C2">
        <w:rPr>
          <w:rFonts w:cs="Times New Roman"/>
          <w:szCs w:val="24"/>
        </w:rPr>
        <w:t xml:space="preserve">(5), 1550–1561. </w:t>
      </w:r>
      <w:hyperlink r:id="rId54" w:history="1">
        <w:r w:rsidRPr="003816EC">
          <w:rPr>
            <w:rStyle w:val="ab"/>
          </w:rPr>
          <w:t>https://doi.org/10.1175/ 2008MWR2703.1</w:t>
        </w:r>
      </w:hyperlink>
    </w:p>
    <w:p w14:paraId="47E186D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Kirkpatrick,</w:t>
      </w:r>
      <w:r>
        <w:rPr>
          <w:rFonts w:cs="Times New Roman"/>
          <w:szCs w:val="24"/>
        </w:rPr>
        <w:t xml:space="preserve"> J.</w:t>
      </w:r>
      <w:r w:rsidRPr="009B45C2">
        <w:rPr>
          <w:rFonts w:cs="Times New Roman"/>
          <w:szCs w:val="24"/>
        </w:rPr>
        <w:t xml:space="preserve"> C., McCaul, E. W., &amp; Cohen, C. (2011). Sensitivities of </w:t>
      </w:r>
      <w:r>
        <w:rPr>
          <w:rFonts w:cs="Times New Roman"/>
          <w:szCs w:val="24"/>
        </w:rPr>
        <w:t>s</w:t>
      </w:r>
      <w:r w:rsidRPr="009B45C2">
        <w:rPr>
          <w:rFonts w:cs="Times New Roman"/>
          <w:szCs w:val="24"/>
        </w:rPr>
        <w:t xml:space="preserve">imulated </w:t>
      </w:r>
      <w:r>
        <w:rPr>
          <w:rFonts w:cs="Times New Roman"/>
          <w:szCs w:val="24"/>
        </w:rPr>
        <w:t>c</w:t>
      </w:r>
      <w:r w:rsidRPr="009B45C2">
        <w:rPr>
          <w:rFonts w:cs="Times New Roman"/>
          <w:szCs w:val="24"/>
        </w:rPr>
        <w:t>onvective</w:t>
      </w:r>
      <w:r>
        <w:rPr>
          <w:rFonts w:cs="Times New Roman"/>
          <w:szCs w:val="24"/>
        </w:rPr>
        <w:t xml:space="preserve"> s</w:t>
      </w:r>
      <w:r w:rsidRPr="009B45C2">
        <w:rPr>
          <w:rFonts w:cs="Times New Roman"/>
          <w:szCs w:val="24"/>
        </w:rPr>
        <w:t xml:space="preserve">torms to </w:t>
      </w:r>
      <w:r>
        <w:rPr>
          <w:rFonts w:cs="Times New Roman"/>
          <w:szCs w:val="24"/>
        </w:rPr>
        <w:t>e</w:t>
      </w:r>
      <w:r w:rsidRPr="009B45C2">
        <w:rPr>
          <w:rFonts w:cs="Times New Roman"/>
          <w:szCs w:val="24"/>
        </w:rPr>
        <w:t xml:space="preserve">nvironmental CAPE.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139</w:t>
      </w:r>
      <w:r w:rsidRPr="009B45C2">
        <w:rPr>
          <w:rFonts w:cs="Times New Roman"/>
          <w:szCs w:val="24"/>
        </w:rPr>
        <w:t xml:space="preserve">(11), 3514–3532. </w:t>
      </w:r>
      <w:hyperlink r:id="rId55" w:history="1">
        <w:r w:rsidRPr="00C75784">
          <w:rPr>
            <w:rStyle w:val="ab"/>
          </w:rPr>
          <w:t>https://doi.org/10.1175/2011MWR3631.1</w:t>
        </w:r>
      </w:hyperlink>
    </w:p>
    <w:p w14:paraId="31FFD36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Kolios, S., &amp; Feidas, H. (2010). A warm season climatology of mesoscale convective systems in the Mediterranean basin using satellite data. </w:t>
      </w:r>
      <w:r>
        <w:rPr>
          <w:rFonts w:cs="Times New Roman"/>
          <w:i/>
          <w:iCs/>
          <w:szCs w:val="24"/>
        </w:rPr>
        <w:t>Theoretical and Applied Climatology</w:t>
      </w:r>
      <w:r w:rsidRPr="009B45C2">
        <w:rPr>
          <w:rFonts w:cs="Times New Roman"/>
          <w:szCs w:val="24"/>
        </w:rPr>
        <w:t xml:space="preserve">, </w:t>
      </w:r>
      <w:r w:rsidRPr="009B45C2">
        <w:rPr>
          <w:rFonts w:cs="Times New Roman"/>
          <w:i/>
          <w:iCs/>
          <w:szCs w:val="24"/>
        </w:rPr>
        <w:t>102</w:t>
      </w:r>
      <w:r w:rsidRPr="009B45C2">
        <w:rPr>
          <w:rFonts w:cs="Times New Roman"/>
          <w:szCs w:val="24"/>
        </w:rPr>
        <w:t xml:space="preserve">(1–2), 29–42. </w:t>
      </w:r>
      <w:hyperlink r:id="rId56" w:history="1">
        <w:r w:rsidRPr="00C75784">
          <w:rPr>
            <w:rStyle w:val="ab"/>
          </w:rPr>
          <w:t>https://doi.org/10.1007/s00704-009-0241-7</w:t>
        </w:r>
      </w:hyperlink>
    </w:p>
    <w:p w14:paraId="3E5D1D2F"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Ku, H.-Y., Noh, N., Jeong, J.-H., Koo, J.-H., Choi, W., Kim, B.-M., et al. (2021). Classification of large-scale circulation patterns and their spatio-temporal variability during High-PM10 events over the Korean Peninsula. </w:t>
      </w:r>
      <w:r w:rsidRPr="009B45C2">
        <w:rPr>
          <w:rFonts w:cs="Times New Roman"/>
          <w:i/>
          <w:iCs/>
          <w:szCs w:val="24"/>
        </w:rPr>
        <w:t>Atmospheric Environment</w:t>
      </w:r>
      <w:r w:rsidRPr="009B45C2">
        <w:rPr>
          <w:rFonts w:cs="Times New Roman"/>
          <w:szCs w:val="24"/>
        </w:rPr>
        <w:t xml:space="preserve">, </w:t>
      </w:r>
      <w:r w:rsidRPr="009B45C2">
        <w:rPr>
          <w:rFonts w:cs="Times New Roman"/>
          <w:i/>
          <w:iCs/>
          <w:szCs w:val="24"/>
        </w:rPr>
        <w:t>262</w:t>
      </w:r>
      <w:r w:rsidRPr="009B45C2">
        <w:rPr>
          <w:rFonts w:cs="Times New Roman"/>
          <w:szCs w:val="24"/>
        </w:rPr>
        <w:t xml:space="preserve">, 118632. </w:t>
      </w:r>
      <w:hyperlink r:id="rId57" w:history="1">
        <w:r w:rsidRPr="00C75784">
          <w:rPr>
            <w:rStyle w:val="ab"/>
          </w:rPr>
          <w:t>https://doi.org/10.1016/j.atmosenv.2021.118632</w:t>
        </w:r>
      </w:hyperlink>
    </w:p>
    <w:p w14:paraId="153571F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Kubota, H., &amp; Nitta, T. (2001). Diurnal </w:t>
      </w:r>
      <w:r>
        <w:rPr>
          <w:rFonts w:cs="Times New Roman"/>
          <w:szCs w:val="24"/>
        </w:rPr>
        <w:t>v</w:t>
      </w:r>
      <w:r w:rsidRPr="009B45C2">
        <w:rPr>
          <w:rFonts w:cs="Times New Roman"/>
          <w:szCs w:val="24"/>
        </w:rPr>
        <w:t xml:space="preserve">ariations of </w:t>
      </w:r>
      <w:r>
        <w:rPr>
          <w:rFonts w:cs="Times New Roman"/>
          <w:szCs w:val="24"/>
        </w:rPr>
        <w:t>t</w:t>
      </w:r>
      <w:r w:rsidRPr="009B45C2">
        <w:rPr>
          <w:rFonts w:cs="Times New Roman"/>
          <w:szCs w:val="24"/>
        </w:rPr>
        <w:t xml:space="preserve">ropical </w:t>
      </w:r>
      <w:r>
        <w:rPr>
          <w:rFonts w:cs="Times New Roman"/>
          <w:szCs w:val="24"/>
        </w:rPr>
        <w:t>c</w:t>
      </w:r>
      <w:r w:rsidRPr="009B45C2">
        <w:rPr>
          <w:rFonts w:cs="Times New Roman"/>
          <w:szCs w:val="24"/>
        </w:rPr>
        <w:t xml:space="preserve">onvection </w:t>
      </w:r>
      <w:r>
        <w:rPr>
          <w:rFonts w:cs="Times New Roman"/>
          <w:szCs w:val="24"/>
        </w:rPr>
        <w:t>o</w:t>
      </w:r>
      <w:r w:rsidRPr="009B45C2">
        <w:rPr>
          <w:rFonts w:cs="Times New Roman"/>
          <w:szCs w:val="24"/>
        </w:rPr>
        <w:t xml:space="preserve">bserved during the TOGA-COARE. </w:t>
      </w:r>
      <w:r w:rsidRPr="009B45C2">
        <w:rPr>
          <w:rFonts w:cs="Times New Roman"/>
          <w:i/>
          <w:iCs/>
          <w:szCs w:val="24"/>
        </w:rPr>
        <w:t>Journal of the Meteorological Society of Japan. Ser. II</w:t>
      </w:r>
      <w:r w:rsidRPr="009B45C2">
        <w:rPr>
          <w:rFonts w:cs="Times New Roman"/>
          <w:szCs w:val="24"/>
        </w:rPr>
        <w:t xml:space="preserve">, </w:t>
      </w:r>
      <w:r w:rsidRPr="009B45C2">
        <w:rPr>
          <w:rFonts w:cs="Times New Roman"/>
          <w:i/>
          <w:iCs/>
          <w:szCs w:val="24"/>
        </w:rPr>
        <w:t>79</w:t>
      </w:r>
      <w:r w:rsidRPr="009B45C2">
        <w:rPr>
          <w:rFonts w:cs="Times New Roman"/>
          <w:szCs w:val="24"/>
        </w:rPr>
        <w:t xml:space="preserve">(3), 815–830. </w:t>
      </w:r>
      <w:hyperlink r:id="rId58" w:history="1">
        <w:r w:rsidRPr="00C75784">
          <w:rPr>
            <w:rStyle w:val="ab"/>
          </w:rPr>
          <w:t>https://doi.org/10.2151/jmsj.79.815</w:t>
        </w:r>
      </w:hyperlink>
    </w:p>
    <w:p w14:paraId="3E61B4B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Kuchera, E. L., &amp; Parker, M. D. (2006). Severe </w:t>
      </w:r>
      <w:r>
        <w:rPr>
          <w:rFonts w:cs="Times New Roman"/>
          <w:szCs w:val="24"/>
        </w:rPr>
        <w:t>c</w:t>
      </w:r>
      <w:r w:rsidRPr="009B45C2">
        <w:rPr>
          <w:rFonts w:cs="Times New Roman"/>
          <w:szCs w:val="24"/>
        </w:rPr>
        <w:t xml:space="preserve">onvective </w:t>
      </w:r>
      <w:r>
        <w:rPr>
          <w:rFonts w:cs="Times New Roman"/>
          <w:szCs w:val="24"/>
        </w:rPr>
        <w:t>w</w:t>
      </w:r>
      <w:r w:rsidRPr="009B45C2">
        <w:rPr>
          <w:rFonts w:cs="Times New Roman"/>
          <w:szCs w:val="24"/>
        </w:rPr>
        <w:t xml:space="preserve">ind </w:t>
      </w:r>
      <w:r>
        <w:rPr>
          <w:rFonts w:cs="Times New Roman"/>
          <w:szCs w:val="24"/>
        </w:rPr>
        <w:t>r</w:t>
      </w:r>
      <w:r w:rsidRPr="009B45C2">
        <w:rPr>
          <w:rFonts w:cs="Times New Roman"/>
          <w:szCs w:val="24"/>
        </w:rPr>
        <w:t xml:space="preserve">nvironments.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21</w:t>
      </w:r>
      <w:r w:rsidRPr="009B45C2">
        <w:rPr>
          <w:rFonts w:cs="Times New Roman"/>
          <w:szCs w:val="24"/>
        </w:rPr>
        <w:t xml:space="preserve">(4), 595–612. </w:t>
      </w:r>
      <w:hyperlink r:id="rId59" w:history="1">
        <w:r w:rsidRPr="00C75784">
          <w:rPr>
            <w:rStyle w:val="ab"/>
          </w:rPr>
          <w:t>https://doi.org/10.1175/WAF931.1</w:t>
        </w:r>
      </w:hyperlink>
    </w:p>
    <w:p w14:paraId="455DF1B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Kukulies, J., Chen, D., &amp; Curio, J. (2021). The </w:t>
      </w:r>
      <w:r>
        <w:rPr>
          <w:rFonts w:cs="Times New Roman"/>
          <w:szCs w:val="24"/>
        </w:rPr>
        <w:t>r</w:t>
      </w:r>
      <w:r w:rsidRPr="009B45C2">
        <w:rPr>
          <w:rFonts w:cs="Times New Roman"/>
          <w:szCs w:val="24"/>
        </w:rPr>
        <w:t xml:space="preserve">ole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in </w:t>
      </w:r>
      <w:r>
        <w:rPr>
          <w:rFonts w:cs="Times New Roman"/>
          <w:szCs w:val="24"/>
        </w:rPr>
        <w:t>p</w:t>
      </w:r>
      <w:r w:rsidRPr="009B45C2">
        <w:rPr>
          <w:rFonts w:cs="Times New Roman"/>
          <w:szCs w:val="24"/>
        </w:rPr>
        <w:t xml:space="preserve">recipitation in the Tibetan Plateau </w:t>
      </w:r>
      <w:r>
        <w:rPr>
          <w:rFonts w:cs="Times New Roman"/>
          <w:szCs w:val="24"/>
        </w:rPr>
        <w:t>r</w:t>
      </w:r>
      <w:r w:rsidRPr="009B45C2">
        <w:rPr>
          <w:rFonts w:cs="Times New Roman"/>
          <w:szCs w:val="24"/>
        </w:rPr>
        <w:t xml:space="preserve">egion. </w:t>
      </w:r>
      <w:r w:rsidRPr="009B45C2">
        <w:rPr>
          <w:rFonts w:cs="Times New Roman"/>
          <w:i/>
          <w:iCs/>
          <w:szCs w:val="24"/>
        </w:rPr>
        <w:t>Journal of Geophysical Research: Atmospheres</w:t>
      </w:r>
      <w:r w:rsidRPr="009B45C2">
        <w:rPr>
          <w:rFonts w:cs="Times New Roman"/>
          <w:szCs w:val="24"/>
        </w:rPr>
        <w:t xml:space="preserve">, </w:t>
      </w:r>
      <w:r w:rsidRPr="009B45C2">
        <w:rPr>
          <w:rFonts w:cs="Times New Roman"/>
          <w:i/>
          <w:iCs/>
          <w:szCs w:val="24"/>
        </w:rPr>
        <w:t>126</w:t>
      </w:r>
      <w:r w:rsidRPr="009B45C2">
        <w:rPr>
          <w:rFonts w:cs="Times New Roman"/>
          <w:szCs w:val="24"/>
        </w:rPr>
        <w:t xml:space="preserve">(23), e2021JD035279. </w:t>
      </w:r>
      <w:hyperlink r:id="rId60" w:history="1">
        <w:r w:rsidRPr="00C75784">
          <w:rPr>
            <w:rStyle w:val="ab"/>
          </w:rPr>
          <w:t>https://doi.org/10.1029/2021JD035279</w:t>
        </w:r>
      </w:hyperlink>
    </w:p>
    <w:p w14:paraId="400E1C1F"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Laing, A. G., &amp; Michael Fritsch, J. (1997). The global population of mesoscale convective complexes. </w:t>
      </w:r>
      <w:r w:rsidRPr="009B45C2">
        <w:rPr>
          <w:rFonts w:cs="Times New Roman"/>
          <w:i/>
          <w:iCs/>
          <w:szCs w:val="24"/>
        </w:rPr>
        <w:t>Quarterly Journal of the Royal Meteorological Society</w:t>
      </w:r>
      <w:r w:rsidRPr="009B45C2">
        <w:rPr>
          <w:rFonts w:cs="Times New Roman"/>
          <w:szCs w:val="24"/>
        </w:rPr>
        <w:t xml:space="preserve">, </w:t>
      </w:r>
      <w:r w:rsidRPr="009B45C2">
        <w:rPr>
          <w:rFonts w:cs="Times New Roman"/>
          <w:i/>
          <w:iCs/>
          <w:szCs w:val="24"/>
        </w:rPr>
        <w:t>123</w:t>
      </w:r>
      <w:r w:rsidRPr="009B45C2">
        <w:rPr>
          <w:rFonts w:cs="Times New Roman"/>
          <w:szCs w:val="24"/>
        </w:rPr>
        <w:t xml:space="preserve">(538), 389–405. </w:t>
      </w:r>
      <w:hyperlink r:id="rId61" w:history="1">
        <w:r w:rsidRPr="00C75784">
          <w:rPr>
            <w:rStyle w:val="ab"/>
          </w:rPr>
          <w:t>https://doi.org/10.1002/qj.49712353807</w:t>
        </w:r>
      </w:hyperlink>
    </w:p>
    <w:p w14:paraId="78599EA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lastRenderedPageBreak/>
        <w:t xml:space="preserve">Lewis, M. W., &amp; Gray, S. L. (2010). Categorisation of synoptic environments associated with mesoscale convective systems over the UK. </w:t>
      </w:r>
      <w:r>
        <w:rPr>
          <w:rFonts w:cs="Times New Roman"/>
          <w:i/>
          <w:iCs/>
          <w:szCs w:val="24"/>
        </w:rPr>
        <w:t>Atmospheric Research</w:t>
      </w:r>
      <w:r w:rsidRPr="009B45C2">
        <w:rPr>
          <w:rFonts w:cs="Times New Roman"/>
          <w:szCs w:val="24"/>
        </w:rPr>
        <w:t xml:space="preserve">, </w:t>
      </w:r>
      <w:r w:rsidRPr="009B45C2">
        <w:rPr>
          <w:rFonts w:cs="Times New Roman"/>
          <w:i/>
          <w:iCs/>
          <w:szCs w:val="24"/>
        </w:rPr>
        <w:t>97</w:t>
      </w:r>
      <w:r w:rsidRPr="009B45C2">
        <w:rPr>
          <w:rFonts w:cs="Times New Roman"/>
          <w:szCs w:val="24"/>
        </w:rPr>
        <w:t xml:space="preserve">(1–2), 194–213. </w:t>
      </w:r>
      <w:hyperlink r:id="rId62" w:history="1">
        <w:r w:rsidRPr="00C75784">
          <w:rPr>
            <w:rStyle w:val="ab"/>
          </w:rPr>
          <w:t>https://doi.org/10.1016/j.atmosres.2010.04.001</w:t>
        </w:r>
      </w:hyperlink>
    </w:p>
    <w:p w14:paraId="2128AB9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Li, J., Yu, R., Zhou, T., &amp; Wang, B. (2005). Why </w:t>
      </w:r>
      <w:r>
        <w:rPr>
          <w:rFonts w:cs="Times New Roman"/>
          <w:szCs w:val="24"/>
        </w:rPr>
        <w:t>i</w:t>
      </w:r>
      <w:r w:rsidRPr="009B45C2">
        <w:rPr>
          <w:rFonts w:cs="Times New Roman"/>
          <w:szCs w:val="24"/>
        </w:rPr>
        <w:t xml:space="preserve">s </w:t>
      </w:r>
      <w:r>
        <w:rPr>
          <w:rFonts w:cs="Times New Roman"/>
          <w:szCs w:val="24"/>
        </w:rPr>
        <w:t>t</w:t>
      </w:r>
      <w:r w:rsidRPr="009B45C2">
        <w:rPr>
          <w:rFonts w:cs="Times New Roman"/>
          <w:szCs w:val="24"/>
        </w:rPr>
        <w:t xml:space="preserve">here an </w:t>
      </w:r>
      <w:r>
        <w:rPr>
          <w:rFonts w:cs="Times New Roman"/>
          <w:szCs w:val="24"/>
        </w:rPr>
        <w:t>e</w:t>
      </w:r>
      <w:r w:rsidRPr="009B45C2">
        <w:rPr>
          <w:rFonts w:cs="Times New Roman"/>
          <w:szCs w:val="24"/>
        </w:rPr>
        <w:t xml:space="preserve">arly </w:t>
      </w:r>
      <w:r>
        <w:rPr>
          <w:rFonts w:cs="Times New Roman"/>
          <w:szCs w:val="24"/>
        </w:rPr>
        <w:t>s</w:t>
      </w:r>
      <w:r w:rsidRPr="009B45C2">
        <w:rPr>
          <w:rFonts w:cs="Times New Roman"/>
          <w:szCs w:val="24"/>
        </w:rPr>
        <w:t xml:space="preserve">pring </w:t>
      </w:r>
      <w:r>
        <w:rPr>
          <w:rFonts w:cs="Times New Roman"/>
          <w:szCs w:val="24"/>
        </w:rPr>
        <w:t>c</w:t>
      </w:r>
      <w:r w:rsidRPr="009B45C2">
        <w:rPr>
          <w:rFonts w:cs="Times New Roman"/>
          <w:szCs w:val="24"/>
        </w:rPr>
        <w:t xml:space="preserve">ooling </w:t>
      </w:r>
      <w:r>
        <w:rPr>
          <w:rFonts w:cs="Times New Roman"/>
          <w:szCs w:val="24"/>
        </w:rPr>
        <w:t>s</w:t>
      </w:r>
      <w:r w:rsidRPr="009B45C2">
        <w:rPr>
          <w:rFonts w:cs="Times New Roman"/>
          <w:szCs w:val="24"/>
        </w:rPr>
        <w:t xml:space="preserve">hift </w:t>
      </w:r>
      <w:r>
        <w:rPr>
          <w:rFonts w:cs="Times New Roman"/>
          <w:szCs w:val="24"/>
        </w:rPr>
        <w:t>d</w:t>
      </w:r>
      <w:r w:rsidRPr="009B45C2">
        <w:rPr>
          <w:rFonts w:cs="Times New Roman"/>
          <w:szCs w:val="24"/>
        </w:rPr>
        <w:t xml:space="preserve">ownstream of the Tibetan Plateau?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18</w:t>
      </w:r>
      <w:r w:rsidRPr="009B45C2">
        <w:rPr>
          <w:rFonts w:cs="Times New Roman"/>
          <w:szCs w:val="24"/>
        </w:rPr>
        <w:t xml:space="preserve">(22), 4660–4668. </w:t>
      </w:r>
      <w:hyperlink r:id="rId63" w:history="1">
        <w:r w:rsidRPr="00C75784">
          <w:rPr>
            <w:rStyle w:val="ab"/>
          </w:rPr>
          <w:t>https://doi.org/10.1175/JCLI3568.1</w:t>
        </w:r>
      </w:hyperlink>
    </w:p>
    <w:p w14:paraId="304B6C70"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Li, X., Zhou, W., Chen, D., Li, C., &amp; Song, J. (2014). Water </w:t>
      </w:r>
      <w:r>
        <w:rPr>
          <w:rFonts w:cs="Times New Roman"/>
          <w:szCs w:val="24"/>
        </w:rPr>
        <w:t>v</w:t>
      </w:r>
      <w:r w:rsidRPr="009B45C2">
        <w:rPr>
          <w:rFonts w:cs="Times New Roman"/>
          <w:szCs w:val="24"/>
        </w:rPr>
        <w:t xml:space="preserve">apor </w:t>
      </w:r>
      <w:r>
        <w:rPr>
          <w:rFonts w:cs="Times New Roman"/>
          <w:szCs w:val="24"/>
        </w:rPr>
        <w:t>t</w:t>
      </w:r>
      <w:r w:rsidRPr="009B45C2">
        <w:rPr>
          <w:rFonts w:cs="Times New Roman"/>
          <w:szCs w:val="24"/>
        </w:rPr>
        <w:t xml:space="preserve">ransport and </w:t>
      </w:r>
      <w:r>
        <w:rPr>
          <w:rFonts w:cs="Times New Roman"/>
          <w:szCs w:val="24"/>
        </w:rPr>
        <w:t>m</w:t>
      </w:r>
      <w:r w:rsidRPr="009B45C2">
        <w:rPr>
          <w:rFonts w:cs="Times New Roman"/>
          <w:szCs w:val="24"/>
        </w:rPr>
        <w:t xml:space="preserve">oisture </w:t>
      </w:r>
      <w:r>
        <w:rPr>
          <w:rFonts w:cs="Times New Roman"/>
          <w:szCs w:val="24"/>
        </w:rPr>
        <w:t>b</w:t>
      </w:r>
      <w:r w:rsidRPr="009B45C2">
        <w:rPr>
          <w:rFonts w:cs="Times New Roman"/>
          <w:szCs w:val="24"/>
        </w:rPr>
        <w:t xml:space="preserve">udget over </w:t>
      </w:r>
      <w:r>
        <w:rPr>
          <w:rFonts w:cs="Times New Roman"/>
          <w:szCs w:val="24"/>
        </w:rPr>
        <w:t>e</w:t>
      </w:r>
      <w:r w:rsidRPr="009B45C2">
        <w:rPr>
          <w:rFonts w:cs="Times New Roman"/>
          <w:szCs w:val="24"/>
        </w:rPr>
        <w:t xml:space="preserve">astern China: </w:t>
      </w:r>
      <w:r>
        <w:rPr>
          <w:rFonts w:cs="Times New Roman"/>
          <w:szCs w:val="24"/>
        </w:rPr>
        <w:t>r</w:t>
      </w:r>
      <w:r w:rsidRPr="009B45C2">
        <w:rPr>
          <w:rFonts w:cs="Times New Roman"/>
          <w:szCs w:val="24"/>
        </w:rPr>
        <w:t xml:space="preserve">emote </w:t>
      </w:r>
      <w:r>
        <w:rPr>
          <w:rFonts w:cs="Times New Roman"/>
          <w:szCs w:val="24"/>
        </w:rPr>
        <w:t>f</w:t>
      </w:r>
      <w:r w:rsidRPr="009B45C2">
        <w:rPr>
          <w:rFonts w:cs="Times New Roman"/>
          <w:szCs w:val="24"/>
        </w:rPr>
        <w:t xml:space="preserve">orcing from the </w:t>
      </w:r>
      <w:r>
        <w:rPr>
          <w:rFonts w:cs="Times New Roman"/>
          <w:szCs w:val="24"/>
        </w:rPr>
        <w:t>t</w:t>
      </w:r>
      <w:r w:rsidRPr="009B45C2">
        <w:rPr>
          <w:rFonts w:cs="Times New Roman"/>
          <w:szCs w:val="24"/>
        </w:rPr>
        <w:t xml:space="preserve">wo </w:t>
      </w:r>
      <w:r>
        <w:rPr>
          <w:rFonts w:cs="Times New Roman"/>
          <w:szCs w:val="24"/>
        </w:rPr>
        <w:t>t</w:t>
      </w:r>
      <w:r w:rsidRPr="009B45C2">
        <w:rPr>
          <w:rFonts w:cs="Times New Roman"/>
          <w:szCs w:val="24"/>
        </w:rPr>
        <w:t xml:space="preserve">ypes of El Niño.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27</w:t>
      </w:r>
      <w:r w:rsidRPr="009B45C2">
        <w:rPr>
          <w:rFonts w:cs="Times New Roman"/>
          <w:szCs w:val="24"/>
        </w:rPr>
        <w:t xml:space="preserve">(23), 8778–8792. </w:t>
      </w:r>
      <w:hyperlink r:id="rId64" w:history="1">
        <w:r w:rsidRPr="00C75784">
          <w:rPr>
            <w:rStyle w:val="ab"/>
          </w:rPr>
          <w:t>https://doi.org/10.1175/JCLI-D-14-00049.1</w:t>
        </w:r>
      </w:hyperlink>
    </w:p>
    <w:p w14:paraId="588BE17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Li, Y., Wang, Y., Yang, S., Hu, L., Gao, S., &amp; Fu, R. (2008). Characteristics of </w:t>
      </w:r>
      <w:r>
        <w:rPr>
          <w:rFonts w:cs="Times New Roman"/>
          <w:szCs w:val="24"/>
        </w:rPr>
        <w:t>s</w:t>
      </w:r>
      <w:r w:rsidRPr="009B45C2">
        <w:rPr>
          <w:rFonts w:cs="Times New Roman"/>
          <w:szCs w:val="24"/>
        </w:rPr>
        <w:t xml:space="preserve">ummer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w:t>
      </w:r>
      <w:r>
        <w:rPr>
          <w:rFonts w:cs="Times New Roman"/>
          <w:szCs w:val="24"/>
        </w:rPr>
        <w:t>i</w:t>
      </w:r>
      <w:r w:rsidRPr="009B45C2">
        <w:rPr>
          <w:rFonts w:cs="Times New Roman"/>
          <w:szCs w:val="24"/>
        </w:rPr>
        <w:t xml:space="preserve">nitiated over the Tibetan Plateau. Part I: </w:t>
      </w:r>
      <w:r>
        <w:rPr>
          <w:rFonts w:cs="Times New Roman"/>
          <w:szCs w:val="24"/>
        </w:rPr>
        <w:t>o</w:t>
      </w:r>
      <w:r w:rsidRPr="009B45C2">
        <w:rPr>
          <w:rFonts w:cs="Times New Roman"/>
          <w:szCs w:val="24"/>
        </w:rPr>
        <w:t xml:space="preserve">rigin, </w:t>
      </w:r>
      <w:r>
        <w:rPr>
          <w:rFonts w:cs="Times New Roman"/>
          <w:szCs w:val="24"/>
        </w:rPr>
        <w:t>t</w:t>
      </w:r>
      <w:r w:rsidRPr="009B45C2">
        <w:rPr>
          <w:rFonts w:cs="Times New Roman"/>
          <w:szCs w:val="24"/>
        </w:rPr>
        <w:t xml:space="preserve">rack, </w:t>
      </w:r>
      <w:r>
        <w:rPr>
          <w:rFonts w:cs="Times New Roman"/>
          <w:szCs w:val="24"/>
        </w:rPr>
        <w:t>d</w:t>
      </w:r>
      <w:r w:rsidRPr="009B45C2">
        <w:rPr>
          <w:rFonts w:cs="Times New Roman"/>
          <w:szCs w:val="24"/>
        </w:rPr>
        <w:t xml:space="preserve">evelopment, and </w:t>
      </w:r>
      <w:r>
        <w:rPr>
          <w:rFonts w:cs="Times New Roman"/>
          <w:szCs w:val="24"/>
        </w:rPr>
        <w:t>p</w:t>
      </w:r>
      <w:r w:rsidRPr="009B45C2">
        <w:rPr>
          <w:rFonts w:cs="Times New Roman"/>
          <w:szCs w:val="24"/>
        </w:rPr>
        <w:t xml:space="preserve">recipitation.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47</w:t>
      </w:r>
      <w:r w:rsidRPr="009B45C2">
        <w:rPr>
          <w:rFonts w:cs="Times New Roman"/>
          <w:szCs w:val="24"/>
        </w:rPr>
        <w:t xml:space="preserve">(10), 2679–2695. </w:t>
      </w:r>
      <w:hyperlink r:id="rId65" w:history="1">
        <w:r w:rsidRPr="00C75784">
          <w:rPr>
            <w:rStyle w:val="ab"/>
          </w:rPr>
          <w:t>https://doi.org/10.1175/2008JAMC1695.1</w:t>
        </w:r>
      </w:hyperlink>
    </w:p>
    <w:p w14:paraId="0954CDA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Lin, X., Randall, D. A., &amp; Fowler, L. D. (2000). Diurnal </w:t>
      </w:r>
      <w:r>
        <w:rPr>
          <w:rFonts w:cs="Times New Roman"/>
          <w:szCs w:val="24"/>
        </w:rPr>
        <w:t>v</w:t>
      </w:r>
      <w:r w:rsidRPr="009B45C2">
        <w:rPr>
          <w:rFonts w:cs="Times New Roman"/>
          <w:szCs w:val="24"/>
        </w:rPr>
        <w:t xml:space="preserve">ariability of the </w:t>
      </w:r>
      <w:r>
        <w:rPr>
          <w:rFonts w:cs="Times New Roman"/>
          <w:szCs w:val="24"/>
        </w:rPr>
        <w:t>h</w:t>
      </w:r>
      <w:r w:rsidRPr="009B45C2">
        <w:rPr>
          <w:rFonts w:cs="Times New Roman"/>
          <w:szCs w:val="24"/>
        </w:rPr>
        <w:t xml:space="preserve">ydrologic </w:t>
      </w:r>
      <w:r>
        <w:rPr>
          <w:rFonts w:cs="Times New Roman"/>
          <w:szCs w:val="24"/>
        </w:rPr>
        <w:t>c</w:t>
      </w:r>
      <w:r w:rsidRPr="009B45C2">
        <w:rPr>
          <w:rFonts w:cs="Times New Roman"/>
          <w:szCs w:val="24"/>
        </w:rPr>
        <w:t xml:space="preserve">ycle and </w:t>
      </w:r>
      <w:r>
        <w:rPr>
          <w:rFonts w:cs="Times New Roman"/>
          <w:szCs w:val="24"/>
        </w:rPr>
        <w:t>r</w:t>
      </w:r>
      <w:r w:rsidRPr="009B45C2">
        <w:rPr>
          <w:rFonts w:cs="Times New Roman"/>
          <w:szCs w:val="24"/>
        </w:rPr>
        <w:t xml:space="preserve">adiative </w:t>
      </w:r>
      <w:r>
        <w:rPr>
          <w:rFonts w:cs="Times New Roman"/>
          <w:szCs w:val="24"/>
        </w:rPr>
        <w:t>f</w:t>
      </w:r>
      <w:r w:rsidRPr="009B45C2">
        <w:rPr>
          <w:rFonts w:cs="Times New Roman"/>
          <w:szCs w:val="24"/>
        </w:rPr>
        <w:t xml:space="preserve">luxes: </w:t>
      </w:r>
      <w:r>
        <w:rPr>
          <w:rFonts w:cs="Times New Roman"/>
          <w:szCs w:val="24"/>
        </w:rPr>
        <w:t>c</w:t>
      </w:r>
      <w:r w:rsidRPr="009B45C2">
        <w:rPr>
          <w:rFonts w:cs="Times New Roman"/>
          <w:szCs w:val="24"/>
        </w:rPr>
        <w:t xml:space="preserve">omparisons between </w:t>
      </w:r>
      <w:r>
        <w:rPr>
          <w:rFonts w:cs="Times New Roman"/>
          <w:szCs w:val="24"/>
        </w:rPr>
        <w:t>o</w:t>
      </w:r>
      <w:r w:rsidRPr="009B45C2">
        <w:rPr>
          <w:rFonts w:cs="Times New Roman"/>
          <w:szCs w:val="24"/>
        </w:rPr>
        <w:t xml:space="preserve">bservations and a GCM.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13</w:t>
      </w:r>
      <w:r w:rsidRPr="009B45C2">
        <w:rPr>
          <w:rFonts w:cs="Times New Roman"/>
          <w:szCs w:val="24"/>
        </w:rPr>
        <w:t xml:space="preserve">(23), 4159–4179. </w:t>
      </w:r>
      <w:hyperlink r:id="rId66" w:history="1">
        <w:r w:rsidRPr="003816EC">
          <w:rPr>
            <w:rStyle w:val="ab"/>
          </w:rPr>
          <w:t>https://doi.org/10.1175/1520-0442(2000) 013&lt;4159:DVOTHC&gt;2.0.CO;2</w:t>
        </w:r>
      </w:hyperlink>
    </w:p>
    <w:p w14:paraId="1563119C"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Liu, N., Zhou, S., Liu, C., &amp; Guo, J. (2019). Synoptic circulation pattern and boundary layer structure associated with PM2.5 during wintertime haze pollution episodes in Shanghai. </w:t>
      </w:r>
      <w:r w:rsidRPr="009B45C2">
        <w:rPr>
          <w:rFonts w:cs="Times New Roman"/>
          <w:i/>
          <w:iCs/>
          <w:szCs w:val="24"/>
        </w:rPr>
        <w:t>Atmospheric Research</w:t>
      </w:r>
      <w:r w:rsidRPr="009B45C2">
        <w:rPr>
          <w:rFonts w:cs="Times New Roman"/>
          <w:szCs w:val="24"/>
        </w:rPr>
        <w:t xml:space="preserve">, </w:t>
      </w:r>
      <w:r w:rsidRPr="009B45C2">
        <w:rPr>
          <w:rFonts w:cs="Times New Roman"/>
          <w:i/>
          <w:iCs/>
          <w:szCs w:val="24"/>
        </w:rPr>
        <w:t>228</w:t>
      </w:r>
      <w:r w:rsidRPr="009B45C2">
        <w:rPr>
          <w:rFonts w:cs="Times New Roman"/>
          <w:szCs w:val="24"/>
        </w:rPr>
        <w:t xml:space="preserve">, 186–195. </w:t>
      </w:r>
      <w:hyperlink r:id="rId67" w:history="1">
        <w:r w:rsidRPr="00C75784">
          <w:rPr>
            <w:rStyle w:val="ab"/>
          </w:rPr>
          <w:t>https://doi.org/10.1016/j.atmosres.2019.06.001</w:t>
        </w:r>
      </w:hyperlink>
    </w:p>
    <w:p w14:paraId="14A7442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Lu, X., Yu, H., Ying, M., Zhao, B., Zhang, S., Lin, L., et al. (2021). Western North Pacific </w:t>
      </w:r>
      <w:r>
        <w:rPr>
          <w:rFonts w:cs="Times New Roman"/>
          <w:szCs w:val="24"/>
        </w:rPr>
        <w:t>t</w:t>
      </w:r>
      <w:r w:rsidRPr="009B45C2">
        <w:rPr>
          <w:rFonts w:cs="Times New Roman"/>
          <w:szCs w:val="24"/>
        </w:rPr>
        <w:t xml:space="preserve">ropical </w:t>
      </w:r>
      <w:r>
        <w:rPr>
          <w:rFonts w:cs="Times New Roman"/>
          <w:szCs w:val="24"/>
        </w:rPr>
        <w:t>c</w:t>
      </w:r>
      <w:r w:rsidRPr="009B45C2">
        <w:rPr>
          <w:rFonts w:cs="Times New Roman"/>
          <w:szCs w:val="24"/>
        </w:rPr>
        <w:t>yclone</w:t>
      </w:r>
      <w:r>
        <w:rPr>
          <w:rFonts w:cs="Times New Roman"/>
          <w:szCs w:val="24"/>
        </w:rPr>
        <w:t xml:space="preserve"> d</w:t>
      </w:r>
      <w:r w:rsidRPr="009B45C2">
        <w:rPr>
          <w:rFonts w:cs="Times New Roman"/>
          <w:szCs w:val="24"/>
        </w:rPr>
        <w:t xml:space="preserve">atabase </w:t>
      </w:r>
      <w:r>
        <w:rPr>
          <w:rFonts w:cs="Times New Roman"/>
          <w:szCs w:val="24"/>
        </w:rPr>
        <w:t>c</w:t>
      </w:r>
      <w:r w:rsidRPr="009B45C2">
        <w:rPr>
          <w:rFonts w:cs="Times New Roman"/>
          <w:szCs w:val="24"/>
        </w:rPr>
        <w:t xml:space="preserve">reated by the China Meteorological Administration. </w:t>
      </w:r>
      <w:r w:rsidRPr="009B45C2">
        <w:rPr>
          <w:rFonts w:cs="Times New Roman"/>
          <w:i/>
          <w:iCs/>
          <w:szCs w:val="24"/>
        </w:rPr>
        <w:t>Advances in Atmospheric Sciences</w:t>
      </w:r>
      <w:r w:rsidRPr="009B45C2">
        <w:rPr>
          <w:rFonts w:cs="Times New Roman"/>
          <w:szCs w:val="24"/>
        </w:rPr>
        <w:t xml:space="preserve">, </w:t>
      </w:r>
      <w:r w:rsidRPr="009B45C2">
        <w:rPr>
          <w:rFonts w:cs="Times New Roman"/>
          <w:i/>
          <w:iCs/>
          <w:szCs w:val="24"/>
        </w:rPr>
        <w:t>38</w:t>
      </w:r>
      <w:r w:rsidRPr="009B45C2">
        <w:rPr>
          <w:rFonts w:cs="Times New Roman"/>
          <w:szCs w:val="24"/>
        </w:rPr>
        <w:t xml:space="preserve">(4), 690–699. </w:t>
      </w:r>
      <w:hyperlink r:id="rId68" w:history="1">
        <w:r w:rsidRPr="00C75784">
          <w:rPr>
            <w:rStyle w:val="ab"/>
          </w:rPr>
          <w:t>https://doi.org/10.1007/s00376-020-0211-7</w:t>
        </w:r>
      </w:hyperlink>
    </w:p>
    <w:p w14:paraId="6FEE1B4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Luo, Y., Wu, M., Ren, F., Li, J., &amp; Wong, W.-K. (2016). Synoptic </w:t>
      </w:r>
      <w:r>
        <w:rPr>
          <w:rFonts w:cs="Times New Roman"/>
          <w:szCs w:val="24"/>
        </w:rPr>
        <w:t>s</w:t>
      </w:r>
      <w:r w:rsidRPr="009B45C2">
        <w:rPr>
          <w:rFonts w:cs="Times New Roman"/>
          <w:szCs w:val="24"/>
        </w:rPr>
        <w:t xml:space="preserve">ituations of </w:t>
      </w:r>
      <w:r>
        <w:rPr>
          <w:rFonts w:cs="Times New Roman"/>
          <w:szCs w:val="24"/>
        </w:rPr>
        <w:t>e</w:t>
      </w:r>
      <w:r w:rsidRPr="009B45C2">
        <w:rPr>
          <w:rFonts w:cs="Times New Roman"/>
          <w:szCs w:val="24"/>
        </w:rPr>
        <w:t xml:space="preserve">xtreme </w:t>
      </w:r>
      <w:r>
        <w:rPr>
          <w:rFonts w:cs="Times New Roman"/>
          <w:szCs w:val="24"/>
        </w:rPr>
        <w:t>h</w:t>
      </w:r>
      <w:r w:rsidRPr="009B45C2">
        <w:rPr>
          <w:rFonts w:cs="Times New Roman"/>
          <w:szCs w:val="24"/>
        </w:rPr>
        <w:t xml:space="preserve">ourly </w:t>
      </w:r>
      <w:r>
        <w:rPr>
          <w:rFonts w:cs="Times New Roman"/>
          <w:szCs w:val="24"/>
        </w:rPr>
        <w:t>p</w:t>
      </w:r>
      <w:r w:rsidRPr="009B45C2">
        <w:rPr>
          <w:rFonts w:cs="Times New Roman"/>
          <w:szCs w:val="24"/>
        </w:rPr>
        <w:t xml:space="preserve">recipitation over China.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29</w:t>
      </w:r>
      <w:r w:rsidRPr="009B45C2">
        <w:rPr>
          <w:rFonts w:cs="Times New Roman"/>
          <w:szCs w:val="24"/>
        </w:rPr>
        <w:t xml:space="preserve">(24), 8703–8719. </w:t>
      </w:r>
      <w:hyperlink r:id="rId69" w:history="1">
        <w:r w:rsidRPr="00C75784">
          <w:rPr>
            <w:rStyle w:val="ab"/>
          </w:rPr>
          <w:t>https://doi.org/10.1175/JCLI-D-16-0057.1</w:t>
        </w:r>
      </w:hyperlink>
    </w:p>
    <w:p w14:paraId="1C9A4D57"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lastRenderedPageBreak/>
        <w:t>Ma, R., Sun, J., &amp; Yang, X. (2021a). A 7-</w:t>
      </w:r>
      <w:r>
        <w:rPr>
          <w:rFonts w:cs="Times New Roman"/>
          <w:szCs w:val="24"/>
        </w:rPr>
        <w:t>y</w:t>
      </w:r>
      <w:r w:rsidRPr="009B45C2">
        <w:rPr>
          <w:rFonts w:cs="Times New Roman"/>
          <w:szCs w:val="24"/>
        </w:rPr>
        <w:t xml:space="preserve">r </w:t>
      </w:r>
      <w:r>
        <w:rPr>
          <w:rFonts w:cs="Times New Roman"/>
          <w:szCs w:val="24"/>
        </w:rPr>
        <w:t>c</w:t>
      </w:r>
      <w:r w:rsidRPr="009B45C2">
        <w:rPr>
          <w:rFonts w:cs="Times New Roman"/>
          <w:szCs w:val="24"/>
        </w:rPr>
        <w:t xml:space="preserve">limatology of the </w:t>
      </w:r>
      <w:r>
        <w:rPr>
          <w:rFonts w:asciiTheme="minorEastAsia" w:eastAsiaTheme="minorEastAsia" w:hAnsiTheme="minorEastAsia" w:cs="Times New Roman" w:hint="eastAsia"/>
          <w:szCs w:val="24"/>
        </w:rPr>
        <w:t>i</w:t>
      </w:r>
      <w:r w:rsidRPr="009B45C2">
        <w:rPr>
          <w:rFonts w:cs="Times New Roman"/>
          <w:szCs w:val="24"/>
        </w:rPr>
        <w:t xml:space="preserve">nitiation, </w:t>
      </w:r>
      <w:r>
        <w:rPr>
          <w:rFonts w:cs="Times New Roman"/>
          <w:szCs w:val="24"/>
        </w:rPr>
        <w:t>d</w:t>
      </w:r>
      <w:r w:rsidRPr="009B45C2">
        <w:rPr>
          <w:rFonts w:cs="Times New Roman"/>
          <w:szCs w:val="24"/>
        </w:rPr>
        <w:t xml:space="preserve">ecay, and </w:t>
      </w:r>
      <w:r>
        <w:rPr>
          <w:rFonts w:cs="Times New Roman"/>
          <w:szCs w:val="24"/>
        </w:rPr>
        <w:t>m</w:t>
      </w:r>
      <w:r w:rsidRPr="009B45C2">
        <w:rPr>
          <w:rFonts w:cs="Times New Roman"/>
          <w:szCs w:val="24"/>
        </w:rPr>
        <w:t xml:space="preserve">orphology of </w:t>
      </w:r>
      <w:r>
        <w:rPr>
          <w:rFonts w:cs="Times New Roman"/>
          <w:szCs w:val="24"/>
        </w:rPr>
        <w:t>s</w:t>
      </w:r>
      <w:r w:rsidRPr="009B45C2">
        <w:rPr>
          <w:rFonts w:cs="Times New Roman"/>
          <w:szCs w:val="24"/>
        </w:rPr>
        <w:t xml:space="preserve">evere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torms during the </w:t>
      </w:r>
      <w:r>
        <w:rPr>
          <w:rFonts w:cs="Times New Roman"/>
          <w:szCs w:val="24"/>
        </w:rPr>
        <w:t>w</w:t>
      </w:r>
      <w:r w:rsidRPr="009B45C2">
        <w:rPr>
          <w:rFonts w:cs="Times New Roman"/>
          <w:szCs w:val="24"/>
        </w:rPr>
        <w:t xml:space="preserve">arm </w:t>
      </w:r>
      <w:r>
        <w:rPr>
          <w:rFonts w:cs="Times New Roman"/>
          <w:szCs w:val="24"/>
        </w:rPr>
        <w:t>s</w:t>
      </w:r>
      <w:r w:rsidRPr="009B45C2">
        <w:rPr>
          <w:rFonts w:cs="Times New Roman"/>
          <w:szCs w:val="24"/>
        </w:rPr>
        <w:t xml:space="preserve">eason over North China.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149</w:t>
      </w:r>
      <w:r w:rsidRPr="009B45C2">
        <w:rPr>
          <w:rFonts w:cs="Times New Roman"/>
          <w:szCs w:val="24"/>
        </w:rPr>
        <w:t xml:space="preserve">(8), 2599–2612. </w:t>
      </w:r>
      <w:hyperlink r:id="rId70" w:history="1">
        <w:r w:rsidRPr="00C75784">
          <w:rPr>
            <w:rStyle w:val="ab"/>
          </w:rPr>
          <w:t>https://doi.org/10.1175/MWR-D-20-0087.1</w:t>
        </w:r>
      </w:hyperlink>
    </w:p>
    <w:p w14:paraId="6695B987"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Ma, R., Sun, J., &amp; Yang, X. (2021b). An eight-year climatology of the warm-season severe thunderstorm environments over North China. </w:t>
      </w:r>
      <w:r w:rsidRPr="009B45C2">
        <w:rPr>
          <w:rFonts w:cs="Times New Roman"/>
          <w:i/>
          <w:iCs/>
          <w:szCs w:val="24"/>
        </w:rPr>
        <w:t>Atmospheric Research</w:t>
      </w:r>
      <w:r w:rsidRPr="009B45C2">
        <w:rPr>
          <w:rFonts w:cs="Times New Roman"/>
          <w:szCs w:val="24"/>
        </w:rPr>
        <w:t xml:space="preserve">, </w:t>
      </w:r>
      <w:r w:rsidRPr="009B45C2">
        <w:rPr>
          <w:rFonts w:cs="Times New Roman"/>
          <w:i/>
          <w:iCs/>
          <w:szCs w:val="24"/>
        </w:rPr>
        <w:t>254</w:t>
      </w:r>
      <w:r w:rsidRPr="009B45C2">
        <w:rPr>
          <w:rFonts w:cs="Times New Roman"/>
          <w:szCs w:val="24"/>
        </w:rPr>
        <w:t xml:space="preserve">, 105519. </w:t>
      </w:r>
      <w:hyperlink r:id="rId71" w:history="1">
        <w:r w:rsidRPr="00C75784">
          <w:rPr>
            <w:rStyle w:val="ab"/>
          </w:rPr>
          <w:t>https://doi.org/10.1016/j.atmosres.2021.105519</w:t>
        </w:r>
      </w:hyperlink>
    </w:p>
    <w:p w14:paraId="18FB4F5B"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Machado, L. A. T., Rossow, W. B., Guedes, R. L., &amp; Walker, A. W. (1998). Life </w:t>
      </w:r>
      <w:r>
        <w:rPr>
          <w:rFonts w:cs="Times New Roman"/>
          <w:szCs w:val="24"/>
        </w:rPr>
        <w:t>c</w:t>
      </w:r>
      <w:r w:rsidRPr="009B45C2">
        <w:rPr>
          <w:rFonts w:cs="Times New Roman"/>
          <w:szCs w:val="24"/>
        </w:rPr>
        <w:t xml:space="preserve">ycle </w:t>
      </w:r>
      <w:r>
        <w:rPr>
          <w:rFonts w:cs="Times New Roman"/>
          <w:szCs w:val="24"/>
        </w:rPr>
        <w:t>v</w:t>
      </w:r>
      <w:r w:rsidRPr="009B45C2">
        <w:rPr>
          <w:rFonts w:cs="Times New Roman"/>
          <w:szCs w:val="24"/>
        </w:rPr>
        <w:t xml:space="preserve">ariations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over the Americas.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126</w:t>
      </w:r>
      <w:r w:rsidRPr="009B45C2">
        <w:rPr>
          <w:rFonts w:cs="Times New Roman"/>
          <w:szCs w:val="24"/>
        </w:rPr>
        <w:t xml:space="preserve">(6), 1630–1654. </w:t>
      </w:r>
      <w:hyperlink r:id="rId72" w:history="1">
        <w:r w:rsidRPr="003816EC">
          <w:rPr>
            <w:rStyle w:val="ab"/>
          </w:rPr>
          <w:t>https://doi.org/10.1175/1520-0493(1998)126&lt;1630: LCVOMC&gt;2.0.CO;2</w:t>
        </w:r>
      </w:hyperlink>
    </w:p>
    <w:p w14:paraId="7C200B54" w14:textId="77777777" w:rsidR="005F61F6" w:rsidRDefault="005F61F6" w:rsidP="005F61F6">
      <w:pPr>
        <w:pStyle w:val="aa"/>
        <w:adjustRightInd w:val="0"/>
        <w:snapToGrid w:val="0"/>
        <w:spacing w:beforeLines="0" w:before="240" w:after="120" w:line="360" w:lineRule="auto"/>
        <w:ind w:left="360" w:hangingChars="150" w:hanging="360"/>
        <w:rPr>
          <w:rStyle w:val="ab"/>
        </w:rPr>
      </w:pPr>
      <w:r w:rsidRPr="009B45C2">
        <w:rPr>
          <w:rFonts w:cs="Times New Roman"/>
          <w:szCs w:val="24"/>
        </w:rPr>
        <w:t xml:space="preserve">Maddox, R. A. (1980). Mesoscale convective complexes. </w:t>
      </w:r>
      <w:r w:rsidRPr="009B45C2">
        <w:rPr>
          <w:rFonts w:cs="Times New Roman"/>
          <w:i/>
          <w:iCs/>
          <w:szCs w:val="24"/>
        </w:rPr>
        <w:t>Bulletin of the American Meteorological Society</w:t>
      </w:r>
      <w:r w:rsidRPr="009B45C2">
        <w:rPr>
          <w:rFonts w:cs="Times New Roman"/>
          <w:szCs w:val="24"/>
        </w:rPr>
        <w:t xml:space="preserve">, </w:t>
      </w:r>
      <w:r w:rsidRPr="009B45C2">
        <w:rPr>
          <w:rFonts w:cs="Times New Roman"/>
          <w:i/>
          <w:iCs/>
          <w:szCs w:val="24"/>
        </w:rPr>
        <w:t>61</w:t>
      </w:r>
      <w:r w:rsidRPr="009B45C2">
        <w:rPr>
          <w:rFonts w:cs="Times New Roman"/>
          <w:szCs w:val="24"/>
        </w:rPr>
        <w:t xml:space="preserve">(11), 1374–1400. </w:t>
      </w:r>
      <w:hyperlink r:id="rId73" w:history="1">
        <w:r w:rsidRPr="00C75784">
          <w:rPr>
            <w:rStyle w:val="ab"/>
          </w:rPr>
          <w:t>https://doi.org/10.1175/1520-0477(1980)061&lt;1374:MCC&gt;2.0.CO;2</w:t>
        </w:r>
      </w:hyperlink>
    </w:p>
    <w:p w14:paraId="745F9B56" w14:textId="77777777" w:rsidR="005F61F6" w:rsidRDefault="005F61F6" w:rsidP="005F61F6">
      <w:pPr>
        <w:adjustRightInd w:val="0"/>
        <w:snapToGrid w:val="0"/>
        <w:spacing w:beforeLines="0" w:before="240" w:after="120"/>
        <w:ind w:left="360" w:hangingChars="150" w:hanging="360"/>
        <w:rPr>
          <w:rFonts w:cs="Times New Roman"/>
          <w:szCs w:val="24"/>
        </w:rPr>
      </w:pPr>
      <w:r w:rsidRPr="00142410">
        <w:rPr>
          <w:rFonts w:cs="Times New Roman"/>
          <w:szCs w:val="24"/>
        </w:rPr>
        <w:t>Mai Z., Fu</w:t>
      </w:r>
      <w:r>
        <w:rPr>
          <w:rFonts w:cs="Times New Roman"/>
          <w:szCs w:val="24"/>
        </w:rPr>
        <w:t>,</w:t>
      </w:r>
      <w:r w:rsidRPr="007E330E">
        <w:rPr>
          <w:rFonts w:cs="Times New Roman"/>
          <w:szCs w:val="24"/>
        </w:rPr>
        <w:t xml:space="preserve"> </w:t>
      </w:r>
      <w:r w:rsidRPr="00142410">
        <w:rPr>
          <w:rFonts w:cs="Times New Roman"/>
          <w:szCs w:val="24"/>
        </w:rPr>
        <w:t>S.</w:t>
      </w:r>
      <w:r>
        <w:rPr>
          <w:rFonts w:cs="Times New Roman"/>
          <w:szCs w:val="24"/>
        </w:rPr>
        <w:t>,</w:t>
      </w:r>
      <w:r w:rsidRPr="007E330E">
        <w:rPr>
          <w:rFonts w:eastAsia="宋体" w:cs="Times New Roman"/>
          <w:szCs w:val="24"/>
        </w:rPr>
        <w:t xml:space="preserve"> &amp;</w:t>
      </w:r>
      <w:r w:rsidRPr="00142410">
        <w:rPr>
          <w:rFonts w:cs="Times New Roman"/>
          <w:szCs w:val="24"/>
        </w:rPr>
        <w:t xml:space="preserve"> Sun</w:t>
      </w:r>
      <w:r>
        <w:rPr>
          <w:rFonts w:cs="Times New Roman"/>
          <w:szCs w:val="24"/>
        </w:rPr>
        <w:t>, J. (</w:t>
      </w:r>
      <w:r w:rsidRPr="00142410">
        <w:rPr>
          <w:rFonts w:cs="Times New Roman"/>
          <w:szCs w:val="24"/>
        </w:rPr>
        <w:t>2020</w:t>
      </w:r>
      <w:r>
        <w:rPr>
          <w:rFonts w:cs="Times New Roman"/>
          <w:szCs w:val="24"/>
        </w:rPr>
        <w:t>).</w:t>
      </w:r>
      <w:r w:rsidRPr="00142410">
        <w:rPr>
          <w:rFonts w:cs="Times New Roman"/>
          <w:szCs w:val="24"/>
        </w:rPr>
        <w:t xml:space="preserve"> Statistical features of two types of mesoscale convective systems (MCSs) generated over the eastern Tibetan Plateau during 16 consecutive warm seasons. </w:t>
      </w:r>
      <w:r w:rsidRPr="007022B8">
        <w:rPr>
          <w:rFonts w:cs="Times New Roman"/>
          <w:i/>
          <w:szCs w:val="24"/>
        </w:rPr>
        <w:t>Clim</w:t>
      </w:r>
      <w:r>
        <w:rPr>
          <w:rFonts w:cs="Times New Roman"/>
          <w:i/>
          <w:szCs w:val="24"/>
        </w:rPr>
        <w:t>atic and Environmental Research</w:t>
      </w:r>
      <w:r w:rsidRPr="00142410">
        <w:rPr>
          <w:rFonts w:cs="Times New Roman"/>
          <w:szCs w:val="24"/>
        </w:rPr>
        <w:t xml:space="preserve">, </w:t>
      </w:r>
      <w:r w:rsidRPr="00757ECE">
        <w:rPr>
          <w:rFonts w:cs="Times New Roman"/>
          <w:i/>
          <w:iCs/>
          <w:szCs w:val="24"/>
        </w:rPr>
        <w:t>25</w:t>
      </w:r>
      <w:r w:rsidRPr="00757ECE">
        <w:rPr>
          <w:rFonts w:cs="Times New Roman"/>
          <w:szCs w:val="24"/>
        </w:rPr>
        <w:t>(4)</w:t>
      </w:r>
      <w:r w:rsidRPr="00142410">
        <w:rPr>
          <w:rFonts w:cs="Times New Roman"/>
          <w:szCs w:val="24"/>
        </w:rPr>
        <w:t xml:space="preserve">, 385–398, </w:t>
      </w:r>
      <w:hyperlink r:id="rId74" w:history="1">
        <w:r w:rsidRPr="00A97A6C">
          <w:rPr>
            <w:rStyle w:val="ab"/>
          </w:rPr>
          <w:t>http://doi.org/10.3878/j.issn.1006-9585.2019.19040</w:t>
        </w:r>
      </w:hyperlink>
      <w:r>
        <w:rPr>
          <w:rFonts w:cs="Times New Roman"/>
          <w:szCs w:val="24"/>
        </w:rPr>
        <w:t>. (in Chinese)</w:t>
      </w:r>
    </w:p>
    <w:p w14:paraId="12D71BF8"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Marzban, C., &amp; Sandgathe, S. (2010). Optical </w:t>
      </w:r>
      <w:r>
        <w:rPr>
          <w:rFonts w:cs="Times New Roman"/>
          <w:szCs w:val="24"/>
        </w:rPr>
        <w:t>f</w:t>
      </w:r>
      <w:r w:rsidRPr="009B45C2">
        <w:rPr>
          <w:rFonts w:cs="Times New Roman"/>
          <w:szCs w:val="24"/>
        </w:rPr>
        <w:t xml:space="preserve">low for </w:t>
      </w:r>
      <w:r>
        <w:rPr>
          <w:rFonts w:cs="Times New Roman"/>
          <w:szCs w:val="24"/>
        </w:rPr>
        <w:t>v</w:t>
      </w:r>
      <w:r w:rsidRPr="009B45C2">
        <w:rPr>
          <w:rFonts w:cs="Times New Roman"/>
          <w:szCs w:val="24"/>
        </w:rPr>
        <w:t xml:space="preserve">erification.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25</w:t>
      </w:r>
      <w:r w:rsidRPr="009B45C2">
        <w:rPr>
          <w:rFonts w:cs="Times New Roman"/>
          <w:szCs w:val="24"/>
        </w:rPr>
        <w:t xml:space="preserve">(5), 1479–1494. </w:t>
      </w:r>
      <w:hyperlink r:id="rId75" w:history="1">
        <w:r w:rsidRPr="00C75784">
          <w:rPr>
            <w:rStyle w:val="ab"/>
          </w:rPr>
          <w:t>https://doi.org/10.1175/2010WAF2222351.1</w:t>
        </w:r>
      </w:hyperlink>
    </w:p>
    <w:p w14:paraId="6158B7F5"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McCaul, E. W., &amp; Weisman, M. L. (2001). The </w:t>
      </w:r>
      <w:r>
        <w:rPr>
          <w:rFonts w:cs="Times New Roman"/>
          <w:szCs w:val="24"/>
        </w:rPr>
        <w:t>s</w:t>
      </w:r>
      <w:r w:rsidRPr="009B45C2">
        <w:rPr>
          <w:rFonts w:cs="Times New Roman"/>
          <w:szCs w:val="24"/>
        </w:rPr>
        <w:t xml:space="preserve">ensitivity of </w:t>
      </w:r>
      <w:r>
        <w:rPr>
          <w:rFonts w:cs="Times New Roman"/>
          <w:szCs w:val="24"/>
        </w:rPr>
        <w:t>s</w:t>
      </w:r>
      <w:r w:rsidRPr="009B45C2">
        <w:rPr>
          <w:rFonts w:cs="Times New Roman"/>
          <w:szCs w:val="24"/>
        </w:rPr>
        <w:t xml:space="preserve">imulated </w:t>
      </w:r>
      <w:r>
        <w:rPr>
          <w:rFonts w:cs="Times New Roman"/>
          <w:szCs w:val="24"/>
        </w:rPr>
        <w:t>s</w:t>
      </w:r>
      <w:r w:rsidRPr="009B45C2">
        <w:rPr>
          <w:rFonts w:cs="Times New Roman"/>
          <w:szCs w:val="24"/>
        </w:rPr>
        <w:t xml:space="preserve">upercell </w:t>
      </w:r>
      <w:r>
        <w:rPr>
          <w:rFonts w:cs="Times New Roman"/>
          <w:szCs w:val="24"/>
        </w:rPr>
        <w:t>s</w:t>
      </w:r>
      <w:r w:rsidRPr="009B45C2">
        <w:rPr>
          <w:rFonts w:cs="Times New Roman"/>
          <w:szCs w:val="24"/>
        </w:rPr>
        <w:t xml:space="preserve">tructure and </w:t>
      </w:r>
      <w:r>
        <w:rPr>
          <w:rFonts w:cs="Times New Roman"/>
          <w:szCs w:val="24"/>
        </w:rPr>
        <w:t>i</w:t>
      </w:r>
      <w:r w:rsidRPr="009B45C2">
        <w:rPr>
          <w:rFonts w:cs="Times New Roman"/>
          <w:szCs w:val="24"/>
        </w:rPr>
        <w:t xml:space="preserve">ntensity to </w:t>
      </w:r>
      <w:r>
        <w:rPr>
          <w:rFonts w:cs="Times New Roman"/>
          <w:szCs w:val="24"/>
        </w:rPr>
        <w:t>v</w:t>
      </w:r>
      <w:r w:rsidRPr="009B45C2">
        <w:rPr>
          <w:rFonts w:cs="Times New Roman"/>
          <w:szCs w:val="24"/>
        </w:rPr>
        <w:t xml:space="preserve">ariations in the </w:t>
      </w:r>
      <w:r>
        <w:rPr>
          <w:rFonts w:cs="Times New Roman"/>
          <w:szCs w:val="24"/>
        </w:rPr>
        <w:t>s</w:t>
      </w:r>
      <w:r w:rsidRPr="009B45C2">
        <w:rPr>
          <w:rFonts w:cs="Times New Roman"/>
          <w:szCs w:val="24"/>
        </w:rPr>
        <w:t xml:space="preserve">hapes of </w:t>
      </w:r>
      <w:r>
        <w:rPr>
          <w:rFonts w:cs="Times New Roman"/>
          <w:szCs w:val="24"/>
        </w:rPr>
        <w:t>e</w:t>
      </w:r>
      <w:r w:rsidRPr="009B45C2">
        <w:rPr>
          <w:rFonts w:cs="Times New Roman"/>
          <w:szCs w:val="24"/>
        </w:rPr>
        <w:t xml:space="preserve">nvironmental </w:t>
      </w:r>
      <w:r>
        <w:rPr>
          <w:rFonts w:cs="Times New Roman"/>
          <w:szCs w:val="24"/>
        </w:rPr>
        <w:t>b</w:t>
      </w:r>
      <w:r w:rsidRPr="009B45C2">
        <w:rPr>
          <w:rFonts w:cs="Times New Roman"/>
          <w:szCs w:val="24"/>
        </w:rPr>
        <w:t xml:space="preserve">uoyancy and </w:t>
      </w:r>
      <w:r>
        <w:rPr>
          <w:rFonts w:cs="Times New Roman"/>
          <w:szCs w:val="24"/>
        </w:rPr>
        <w:t>s</w:t>
      </w:r>
      <w:r w:rsidRPr="009B45C2">
        <w:rPr>
          <w:rFonts w:cs="Times New Roman"/>
          <w:szCs w:val="24"/>
        </w:rPr>
        <w:t xml:space="preserve">hear </w:t>
      </w:r>
      <w:r>
        <w:rPr>
          <w:rFonts w:cs="Times New Roman"/>
          <w:szCs w:val="24"/>
        </w:rPr>
        <w:t>p</w:t>
      </w:r>
      <w:r w:rsidRPr="009B45C2">
        <w:rPr>
          <w:rFonts w:cs="Times New Roman"/>
          <w:szCs w:val="24"/>
        </w:rPr>
        <w:t xml:space="preserve">rofiles.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129</w:t>
      </w:r>
      <w:r w:rsidRPr="009B45C2">
        <w:rPr>
          <w:rFonts w:cs="Times New Roman"/>
          <w:szCs w:val="24"/>
        </w:rPr>
        <w:t xml:space="preserve">(4), 664–687. </w:t>
      </w:r>
      <w:hyperlink r:id="rId76" w:history="1">
        <w:r w:rsidRPr="003816EC">
          <w:rPr>
            <w:rStyle w:val="ab"/>
          </w:rPr>
          <w:t>https://doi.org/10.1175/ 1520-0493(2001)129&lt;0664:TSOSSS&gt;2.0.CO;2</w:t>
        </w:r>
      </w:hyperlink>
    </w:p>
    <w:p w14:paraId="23961B0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Mecikalski, J. R., &amp; Bedka, K. M. (2006). Forecasting </w:t>
      </w:r>
      <w:r>
        <w:rPr>
          <w:rFonts w:cs="Times New Roman"/>
          <w:szCs w:val="24"/>
        </w:rPr>
        <w:t>c</w:t>
      </w:r>
      <w:r w:rsidRPr="009B45C2">
        <w:rPr>
          <w:rFonts w:cs="Times New Roman"/>
          <w:szCs w:val="24"/>
        </w:rPr>
        <w:t xml:space="preserve">onvective </w:t>
      </w:r>
      <w:r>
        <w:rPr>
          <w:rFonts w:cs="Times New Roman"/>
          <w:szCs w:val="24"/>
        </w:rPr>
        <w:t>i</w:t>
      </w:r>
      <w:r w:rsidRPr="009B45C2">
        <w:rPr>
          <w:rFonts w:cs="Times New Roman"/>
          <w:szCs w:val="24"/>
        </w:rPr>
        <w:t xml:space="preserve">nitiation by </w:t>
      </w:r>
      <w:r>
        <w:rPr>
          <w:rFonts w:cs="Times New Roman"/>
          <w:szCs w:val="24"/>
        </w:rPr>
        <w:t>m</w:t>
      </w:r>
      <w:r w:rsidRPr="009B45C2">
        <w:rPr>
          <w:rFonts w:cs="Times New Roman"/>
          <w:szCs w:val="24"/>
        </w:rPr>
        <w:t xml:space="preserve">onitoring the </w:t>
      </w:r>
      <w:r>
        <w:rPr>
          <w:rFonts w:cs="Times New Roman"/>
          <w:szCs w:val="24"/>
        </w:rPr>
        <w:t>e</w:t>
      </w:r>
      <w:r w:rsidRPr="009B45C2">
        <w:rPr>
          <w:rFonts w:cs="Times New Roman"/>
          <w:szCs w:val="24"/>
        </w:rPr>
        <w:t xml:space="preserve">volution of </w:t>
      </w:r>
      <w:r>
        <w:rPr>
          <w:rFonts w:cs="Times New Roman"/>
          <w:szCs w:val="24"/>
        </w:rPr>
        <w:t>m</w:t>
      </w:r>
      <w:r w:rsidRPr="009B45C2">
        <w:rPr>
          <w:rFonts w:cs="Times New Roman"/>
          <w:szCs w:val="24"/>
        </w:rPr>
        <w:t xml:space="preserve">oving </w:t>
      </w:r>
      <w:r>
        <w:rPr>
          <w:rFonts w:cs="Times New Roman"/>
          <w:szCs w:val="24"/>
        </w:rPr>
        <w:t>c</w:t>
      </w:r>
      <w:r w:rsidRPr="009B45C2">
        <w:rPr>
          <w:rFonts w:cs="Times New Roman"/>
          <w:szCs w:val="24"/>
        </w:rPr>
        <w:t xml:space="preserve">umulus in </w:t>
      </w:r>
      <w:r>
        <w:rPr>
          <w:rFonts w:cs="Times New Roman"/>
          <w:szCs w:val="24"/>
        </w:rPr>
        <w:t>d</w:t>
      </w:r>
      <w:r w:rsidRPr="009B45C2">
        <w:rPr>
          <w:rFonts w:cs="Times New Roman"/>
          <w:szCs w:val="24"/>
        </w:rPr>
        <w:t xml:space="preserve">aytime GOES </w:t>
      </w:r>
      <w:r>
        <w:rPr>
          <w:rFonts w:cs="Times New Roman"/>
          <w:szCs w:val="24"/>
        </w:rPr>
        <w:t>i</w:t>
      </w:r>
      <w:r w:rsidRPr="009B45C2">
        <w:rPr>
          <w:rFonts w:cs="Times New Roman"/>
          <w:szCs w:val="24"/>
        </w:rPr>
        <w:t xml:space="preserve">magery.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134</w:t>
      </w:r>
      <w:r w:rsidRPr="009B45C2">
        <w:rPr>
          <w:rFonts w:cs="Times New Roman"/>
          <w:szCs w:val="24"/>
        </w:rPr>
        <w:t xml:space="preserve">(1), 49–78. </w:t>
      </w:r>
      <w:hyperlink r:id="rId77" w:history="1">
        <w:r w:rsidRPr="00C75784">
          <w:rPr>
            <w:rStyle w:val="ab"/>
          </w:rPr>
          <w:t>https://doi.org/10.1175/MWR3062.1</w:t>
        </w:r>
      </w:hyperlink>
    </w:p>
    <w:p w14:paraId="5098B4E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Meng, Y., Sun, J., Zhang, Y., &amp; Fu, S. (202</w:t>
      </w:r>
      <w:r>
        <w:rPr>
          <w:rFonts w:cs="Times New Roman"/>
          <w:szCs w:val="24"/>
        </w:rPr>
        <w:t>1</w:t>
      </w:r>
      <w:r w:rsidRPr="009B45C2">
        <w:rPr>
          <w:rFonts w:cs="Times New Roman"/>
          <w:szCs w:val="24"/>
        </w:rPr>
        <w:t>). A 10-</w:t>
      </w:r>
      <w:r>
        <w:rPr>
          <w:rFonts w:cs="Times New Roman"/>
          <w:szCs w:val="24"/>
        </w:rPr>
        <w:t>y</w:t>
      </w:r>
      <w:r w:rsidRPr="009B45C2">
        <w:rPr>
          <w:rFonts w:cs="Times New Roman"/>
          <w:szCs w:val="24"/>
        </w:rPr>
        <w:t xml:space="preserve">ear </w:t>
      </w:r>
      <w:r>
        <w:rPr>
          <w:rFonts w:cs="Times New Roman"/>
          <w:szCs w:val="24"/>
        </w:rPr>
        <w:t>c</w:t>
      </w:r>
      <w:r w:rsidRPr="009B45C2">
        <w:rPr>
          <w:rFonts w:cs="Times New Roman"/>
          <w:szCs w:val="24"/>
        </w:rPr>
        <w:t xml:space="preserve">limatology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and </w:t>
      </w:r>
      <w:r>
        <w:rPr>
          <w:rFonts w:cs="Times New Roman"/>
          <w:szCs w:val="24"/>
        </w:rPr>
        <w:t>t</w:t>
      </w:r>
      <w:r w:rsidRPr="009B45C2">
        <w:rPr>
          <w:rFonts w:cs="Times New Roman"/>
          <w:szCs w:val="24"/>
        </w:rPr>
        <w:t xml:space="preserve">heir </w:t>
      </w:r>
      <w:r>
        <w:rPr>
          <w:rFonts w:cs="Times New Roman"/>
          <w:szCs w:val="24"/>
        </w:rPr>
        <w:t>s</w:t>
      </w:r>
      <w:r w:rsidRPr="009B45C2">
        <w:rPr>
          <w:rFonts w:cs="Times New Roman"/>
          <w:szCs w:val="24"/>
        </w:rPr>
        <w:t xml:space="preserve">ynoptic </w:t>
      </w:r>
      <w:r>
        <w:rPr>
          <w:rFonts w:cs="Times New Roman"/>
          <w:szCs w:val="24"/>
        </w:rPr>
        <w:t>c</w:t>
      </w:r>
      <w:r w:rsidRPr="009B45C2">
        <w:rPr>
          <w:rFonts w:cs="Times New Roman"/>
          <w:szCs w:val="24"/>
        </w:rPr>
        <w:t xml:space="preserve">irculations in the </w:t>
      </w:r>
      <w:r>
        <w:rPr>
          <w:rFonts w:cs="Times New Roman"/>
          <w:szCs w:val="24"/>
        </w:rPr>
        <w:t>s</w:t>
      </w:r>
      <w:r w:rsidRPr="009B45C2">
        <w:rPr>
          <w:rFonts w:cs="Times New Roman"/>
          <w:szCs w:val="24"/>
        </w:rPr>
        <w:t xml:space="preserve">outhwest </w:t>
      </w:r>
      <w:r>
        <w:rPr>
          <w:rFonts w:cs="Times New Roman"/>
          <w:szCs w:val="24"/>
        </w:rPr>
        <w:t>m</w:t>
      </w:r>
      <w:r w:rsidRPr="009B45C2">
        <w:rPr>
          <w:rFonts w:cs="Times New Roman"/>
          <w:szCs w:val="24"/>
        </w:rPr>
        <w:t xml:space="preserve">ountain </w:t>
      </w:r>
      <w:r>
        <w:rPr>
          <w:rFonts w:cs="Times New Roman"/>
          <w:szCs w:val="24"/>
        </w:rPr>
        <w:t>a</w:t>
      </w:r>
      <w:r w:rsidRPr="009B45C2">
        <w:rPr>
          <w:rFonts w:cs="Times New Roman"/>
          <w:szCs w:val="24"/>
        </w:rPr>
        <w:t xml:space="preserve">rea </w:t>
      </w:r>
      <w:r w:rsidRPr="009B45C2">
        <w:rPr>
          <w:rFonts w:cs="Times New Roman"/>
          <w:szCs w:val="24"/>
        </w:rPr>
        <w:lastRenderedPageBreak/>
        <w:t xml:space="preserve">of China. </w:t>
      </w:r>
      <w:r w:rsidRPr="009B45C2">
        <w:rPr>
          <w:rFonts w:cs="Times New Roman"/>
          <w:i/>
          <w:iCs/>
          <w:szCs w:val="24"/>
        </w:rPr>
        <w:t>Journal of Hydrometeorology</w:t>
      </w:r>
      <w:r w:rsidRPr="009B45C2">
        <w:rPr>
          <w:rFonts w:cs="Times New Roman"/>
          <w:szCs w:val="24"/>
        </w:rPr>
        <w:t xml:space="preserve">, </w:t>
      </w:r>
      <w:r w:rsidRPr="009B45C2">
        <w:rPr>
          <w:rFonts w:cs="Times New Roman"/>
          <w:i/>
          <w:iCs/>
          <w:szCs w:val="24"/>
        </w:rPr>
        <w:t>22</w:t>
      </w:r>
      <w:r w:rsidRPr="009B45C2">
        <w:rPr>
          <w:rFonts w:cs="Times New Roman"/>
          <w:szCs w:val="24"/>
        </w:rPr>
        <w:t xml:space="preserve">(1), 23–41. </w:t>
      </w:r>
      <w:hyperlink r:id="rId78" w:history="1">
        <w:r w:rsidRPr="003816EC">
          <w:rPr>
            <w:rStyle w:val="ab"/>
          </w:rPr>
          <w:t>https://doi.org/10.1175/ JHM-D-20-0167.1</w:t>
        </w:r>
      </w:hyperlink>
    </w:p>
    <w:p w14:paraId="0D604947"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Miao, Y., Guo, J., Liu, S., Liu, H., Li, Z., Zhang, W., &amp; Zhai, P. (2017). Classification of summertime synoptic patterns in Beijing and their associations with boundary layer structure affecting aerosol pollution. </w:t>
      </w:r>
      <w:r w:rsidRPr="009B45C2">
        <w:rPr>
          <w:rFonts w:cs="Times New Roman"/>
          <w:i/>
          <w:iCs/>
          <w:szCs w:val="24"/>
        </w:rPr>
        <w:t>Atmospheric Chemistry and Physics</w:t>
      </w:r>
      <w:r w:rsidRPr="009B45C2">
        <w:rPr>
          <w:rFonts w:cs="Times New Roman"/>
          <w:szCs w:val="24"/>
        </w:rPr>
        <w:t xml:space="preserve">, </w:t>
      </w:r>
      <w:r w:rsidRPr="009B45C2">
        <w:rPr>
          <w:rFonts w:cs="Times New Roman"/>
          <w:i/>
          <w:iCs/>
          <w:szCs w:val="24"/>
        </w:rPr>
        <w:t>17</w:t>
      </w:r>
      <w:r w:rsidRPr="009B45C2">
        <w:rPr>
          <w:rFonts w:cs="Times New Roman"/>
          <w:szCs w:val="24"/>
        </w:rPr>
        <w:t xml:space="preserve">(4), 3097–3110. </w:t>
      </w:r>
      <w:hyperlink r:id="rId79" w:history="1">
        <w:r w:rsidRPr="00C75784">
          <w:rPr>
            <w:rStyle w:val="ab"/>
          </w:rPr>
          <w:t>https://doi.org/10.5194/acp-17-3097-2017</w:t>
        </w:r>
      </w:hyperlink>
    </w:p>
    <w:p w14:paraId="41E7CFFB"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Miller, D., &amp; Fritsch, J. M. (1991). Mesoscale </w:t>
      </w:r>
      <w:r>
        <w:rPr>
          <w:rFonts w:cs="Times New Roman"/>
          <w:szCs w:val="24"/>
        </w:rPr>
        <w:t>c</w:t>
      </w:r>
      <w:r w:rsidRPr="009B45C2">
        <w:rPr>
          <w:rFonts w:cs="Times New Roman"/>
          <w:szCs w:val="24"/>
        </w:rPr>
        <w:t xml:space="preserve">onvective </w:t>
      </w:r>
      <w:r>
        <w:rPr>
          <w:rFonts w:cs="Times New Roman"/>
          <w:szCs w:val="24"/>
        </w:rPr>
        <w:t>c</w:t>
      </w:r>
      <w:r w:rsidRPr="009B45C2">
        <w:rPr>
          <w:rFonts w:cs="Times New Roman"/>
          <w:szCs w:val="24"/>
        </w:rPr>
        <w:t xml:space="preserve">omplexes in the </w:t>
      </w:r>
      <w:r>
        <w:rPr>
          <w:rFonts w:cs="Times New Roman"/>
          <w:szCs w:val="24"/>
        </w:rPr>
        <w:t>w</w:t>
      </w:r>
      <w:r w:rsidRPr="009B45C2">
        <w:rPr>
          <w:rFonts w:cs="Times New Roman"/>
          <w:szCs w:val="24"/>
        </w:rPr>
        <w:t xml:space="preserve">estern Pacific </w:t>
      </w:r>
      <w:r>
        <w:rPr>
          <w:rFonts w:cs="Times New Roman"/>
          <w:szCs w:val="24"/>
        </w:rPr>
        <w:t>r</w:t>
      </w:r>
      <w:r w:rsidRPr="009B45C2">
        <w:rPr>
          <w:rFonts w:cs="Times New Roman"/>
          <w:szCs w:val="24"/>
        </w:rPr>
        <w:t xml:space="preserve">egion.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119</w:t>
      </w:r>
      <w:r w:rsidRPr="009B45C2">
        <w:rPr>
          <w:rFonts w:cs="Times New Roman"/>
          <w:szCs w:val="24"/>
        </w:rPr>
        <w:t xml:space="preserve">(12), 2978–2992. </w:t>
      </w:r>
      <w:hyperlink r:id="rId80" w:history="1">
        <w:r w:rsidRPr="003816EC">
          <w:rPr>
            <w:rStyle w:val="ab"/>
          </w:rPr>
          <w:t>https://doi.org/10.1175/1520-0493(1991)119&lt;2978:MCCITW&gt;2.0.CO;2</w:t>
        </w:r>
      </w:hyperlink>
    </w:p>
    <w:p w14:paraId="7522A9F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Morake, D. M., Blamey, R. C., &amp; Reason, C. J. C. (2021). Long-lived mesoscale convective systems over eastern South Africa.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1</w:t>
      </w:r>
      <w:r w:rsidRPr="009B45C2">
        <w:rPr>
          <w:rFonts w:cs="Times New Roman"/>
          <w:szCs w:val="24"/>
        </w:rPr>
        <w:t xml:space="preserve">(aop), 1–66. </w:t>
      </w:r>
      <w:hyperlink r:id="rId81" w:history="1">
        <w:r w:rsidRPr="00C75784">
          <w:rPr>
            <w:rStyle w:val="ab"/>
          </w:rPr>
          <w:t>https://doi.org/10.1175/JCLI-D-20-0851.1</w:t>
        </w:r>
      </w:hyperlink>
    </w:p>
    <w:p w14:paraId="4DDE99FB"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Morel, C., &amp; Senesi, S. (2002). A climatology of mesoscale convective systems over Europe using satellite infrared imagery. I: Methodology. </w:t>
      </w:r>
      <w:r w:rsidRPr="009B45C2">
        <w:rPr>
          <w:rFonts w:cs="Times New Roman"/>
          <w:i/>
          <w:iCs/>
          <w:szCs w:val="24"/>
        </w:rPr>
        <w:t>Quarterly Journal of the Royal Meteorological Society</w:t>
      </w:r>
      <w:r w:rsidRPr="009B45C2">
        <w:rPr>
          <w:rFonts w:cs="Times New Roman"/>
          <w:szCs w:val="24"/>
        </w:rPr>
        <w:t xml:space="preserve">, </w:t>
      </w:r>
      <w:r w:rsidRPr="009B45C2">
        <w:rPr>
          <w:rFonts w:cs="Times New Roman"/>
          <w:i/>
          <w:iCs/>
          <w:szCs w:val="24"/>
        </w:rPr>
        <w:t>128</w:t>
      </w:r>
      <w:r w:rsidRPr="009B45C2">
        <w:rPr>
          <w:rFonts w:cs="Times New Roman"/>
          <w:szCs w:val="24"/>
        </w:rPr>
        <w:t xml:space="preserve">(584), 1953–1971. </w:t>
      </w:r>
      <w:hyperlink r:id="rId82" w:history="1">
        <w:r w:rsidRPr="00C75784">
          <w:rPr>
            <w:rStyle w:val="ab"/>
          </w:rPr>
          <w:t>https://doi.org/10.1256/003590002320603485</w:t>
        </w:r>
      </w:hyperlink>
    </w:p>
    <w:p w14:paraId="6FC60FC4"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Nga, P. T. T., Ha, P. T., &amp; Hang, V. T. (2021). Satellite-</w:t>
      </w:r>
      <w:r>
        <w:rPr>
          <w:rFonts w:cs="Times New Roman"/>
          <w:szCs w:val="24"/>
        </w:rPr>
        <w:t>b</w:t>
      </w:r>
      <w:r w:rsidRPr="009B45C2">
        <w:rPr>
          <w:rFonts w:cs="Times New Roman"/>
          <w:szCs w:val="24"/>
        </w:rPr>
        <w:t xml:space="preserve">ased </w:t>
      </w:r>
      <w:r>
        <w:rPr>
          <w:rFonts w:cs="Times New Roman"/>
          <w:szCs w:val="24"/>
        </w:rPr>
        <w:t>r</w:t>
      </w:r>
      <w:r w:rsidRPr="009B45C2">
        <w:rPr>
          <w:rFonts w:cs="Times New Roman"/>
          <w:szCs w:val="24"/>
        </w:rPr>
        <w:t xml:space="preserve">egionalization of </w:t>
      </w:r>
      <w:r>
        <w:rPr>
          <w:rFonts w:cs="Times New Roman"/>
          <w:szCs w:val="24"/>
        </w:rPr>
        <w:t>s</w:t>
      </w:r>
      <w:r w:rsidRPr="009B45C2">
        <w:rPr>
          <w:rFonts w:cs="Times New Roman"/>
          <w:szCs w:val="24"/>
        </w:rPr>
        <w:t xml:space="preserve">olar </w:t>
      </w:r>
      <w:r>
        <w:rPr>
          <w:rFonts w:cs="Times New Roman"/>
          <w:szCs w:val="24"/>
        </w:rPr>
        <w:t>i</w:t>
      </w:r>
      <w:r w:rsidRPr="009B45C2">
        <w:rPr>
          <w:rFonts w:cs="Times New Roman"/>
          <w:szCs w:val="24"/>
        </w:rPr>
        <w:t xml:space="preserve">rradiation in Vietnam by k-Means </w:t>
      </w:r>
      <w:r>
        <w:rPr>
          <w:rFonts w:cs="Times New Roman"/>
          <w:szCs w:val="24"/>
        </w:rPr>
        <w:t>c</w:t>
      </w:r>
      <w:r w:rsidRPr="009B45C2">
        <w:rPr>
          <w:rFonts w:cs="Times New Roman"/>
          <w:szCs w:val="24"/>
        </w:rPr>
        <w:t xml:space="preserve">lustering.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60</w:t>
      </w:r>
      <w:r w:rsidRPr="009B45C2">
        <w:rPr>
          <w:rFonts w:cs="Times New Roman"/>
          <w:szCs w:val="24"/>
        </w:rPr>
        <w:t xml:space="preserve">(3), 391–402. </w:t>
      </w:r>
      <w:hyperlink r:id="rId83" w:history="1">
        <w:r w:rsidRPr="00C75784">
          <w:rPr>
            <w:rStyle w:val="ab"/>
          </w:rPr>
          <w:t>https://doi.org/10.1175/JAMC-D-20-0070.1</w:t>
        </w:r>
      </w:hyperlink>
    </w:p>
    <w:p w14:paraId="1C57CD6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Ning, G., Yim, S. H. L., Yang, Y., Gu, Y., &amp; Dong, G. (2020). Modulations of synoptic and climatic changes on ozone pollution and its health risks in mountain-basin areas. </w:t>
      </w:r>
      <w:r w:rsidRPr="009B45C2">
        <w:rPr>
          <w:rFonts w:cs="Times New Roman"/>
          <w:i/>
          <w:iCs/>
          <w:szCs w:val="24"/>
        </w:rPr>
        <w:t>Atmospheric Environment</w:t>
      </w:r>
      <w:r w:rsidRPr="009B45C2">
        <w:rPr>
          <w:rFonts w:cs="Times New Roman"/>
          <w:szCs w:val="24"/>
        </w:rPr>
        <w:t xml:space="preserve">, </w:t>
      </w:r>
      <w:r w:rsidRPr="009B45C2">
        <w:rPr>
          <w:rFonts w:cs="Times New Roman"/>
          <w:i/>
          <w:iCs/>
          <w:szCs w:val="24"/>
        </w:rPr>
        <w:t>240</w:t>
      </w:r>
      <w:r w:rsidRPr="009B45C2">
        <w:rPr>
          <w:rFonts w:cs="Times New Roman"/>
          <w:szCs w:val="24"/>
        </w:rPr>
        <w:t xml:space="preserve">, 117808. </w:t>
      </w:r>
      <w:hyperlink r:id="rId84" w:history="1">
        <w:r w:rsidRPr="003816EC">
          <w:rPr>
            <w:rStyle w:val="ab"/>
          </w:rPr>
          <w:t>https://doi.org/10.1016/ j.atmosenv.2020.117808</w:t>
        </w:r>
      </w:hyperlink>
    </w:p>
    <w:p w14:paraId="6F6F1A1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Panosetti, D., Böing, S., Schlemmer, L., &amp; Schmidli, J. (2016). Idealized </w:t>
      </w:r>
      <w:r>
        <w:rPr>
          <w:rFonts w:cs="Times New Roman"/>
          <w:szCs w:val="24"/>
        </w:rPr>
        <w:t>l</w:t>
      </w:r>
      <w:r w:rsidRPr="009B45C2">
        <w:rPr>
          <w:rFonts w:cs="Times New Roman"/>
          <w:szCs w:val="24"/>
        </w:rPr>
        <w:t>arge-</w:t>
      </w:r>
      <w:r>
        <w:rPr>
          <w:rFonts w:cs="Times New Roman"/>
          <w:szCs w:val="24"/>
        </w:rPr>
        <w:t>e</w:t>
      </w:r>
      <w:r w:rsidRPr="009B45C2">
        <w:rPr>
          <w:rFonts w:cs="Times New Roman"/>
          <w:szCs w:val="24"/>
        </w:rPr>
        <w:t xml:space="preserve">ddy and </w:t>
      </w:r>
      <w:r>
        <w:rPr>
          <w:rFonts w:cs="Times New Roman"/>
          <w:szCs w:val="24"/>
        </w:rPr>
        <w:t>c</w:t>
      </w:r>
      <w:r w:rsidRPr="009B45C2">
        <w:rPr>
          <w:rFonts w:cs="Times New Roman"/>
          <w:szCs w:val="24"/>
        </w:rPr>
        <w:t>onvection-</w:t>
      </w:r>
      <w:r>
        <w:rPr>
          <w:rFonts w:cs="Times New Roman"/>
          <w:szCs w:val="24"/>
        </w:rPr>
        <w:t>r</w:t>
      </w:r>
      <w:r w:rsidRPr="009B45C2">
        <w:rPr>
          <w:rFonts w:cs="Times New Roman"/>
          <w:szCs w:val="24"/>
        </w:rPr>
        <w:t xml:space="preserve">esolving </w:t>
      </w:r>
      <w:r>
        <w:rPr>
          <w:rFonts w:cs="Times New Roman"/>
          <w:szCs w:val="24"/>
        </w:rPr>
        <w:t>s</w:t>
      </w:r>
      <w:r w:rsidRPr="009B45C2">
        <w:rPr>
          <w:rFonts w:cs="Times New Roman"/>
          <w:szCs w:val="24"/>
        </w:rPr>
        <w:t xml:space="preserve">imulations of </w:t>
      </w:r>
      <w:r>
        <w:rPr>
          <w:rFonts w:cs="Times New Roman"/>
          <w:szCs w:val="24"/>
        </w:rPr>
        <w:t>m</w:t>
      </w:r>
      <w:r w:rsidRPr="009B45C2">
        <w:rPr>
          <w:rFonts w:cs="Times New Roman"/>
          <w:szCs w:val="24"/>
        </w:rPr>
        <w:t xml:space="preserve">oist </w:t>
      </w:r>
      <w:r>
        <w:rPr>
          <w:rFonts w:cs="Times New Roman"/>
          <w:szCs w:val="24"/>
        </w:rPr>
        <w:t>c</w:t>
      </w:r>
      <w:r w:rsidRPr="009B45C2">
        <w:rPr>
          <w:rFonts w:cs="Times New Roman"/>
          <w:szCs w:val="24"/>
        </w:rPr>
        <w:t xml:space="preserve">onvection over </w:t>
      </w:r>
      <w:r>
        <w:rPr>
          <w:rFonts w:cs="Times New Roman"/>
          <w:szCs w:val="24"/>
        </w:rPr>
        <w:t>m</w:t>
      </w:r>
      <w:r w:rsidRPr="009B45C2">
        <w:rPr>
          <w:rFonts w:cs="Times New Roman"/>
          <w:szCs w:val="24"/>
        </w:rPr>
        <w:t xml:space="preserve">ountainous </w:t>
      </w:r>
      <w:r>
        <w:rPr>
          <w:rFonts w:cs="Times New Roman"/>
          <w:szCs w:val="24"/>
        </w:rPr>
        <w:t>t</w:t>
      </w:r>
      <w:r w:rsidRPr="009B45C2">
        <w:rPr>
          <w:rFonts w:cs="Times New Roman"/>
          <w:szCs w:val="24"/>
        </w:rPr>
        <w:t xml:space="preserve">errain. </w:t>
      </w:r>
      <w:r w:rsidRPr="009B45C2">
        <w:rPr>
          <w:rFonts w:cs="Times New Roman"/>
          <w:i/>
          <w:iCs/>
          <w:szCs w:val="24"/>
        </w:rPr>
        <w:t>Journal of the Atmospheric Sciences</w:t>
      </w:r>
      <w:r w:rsidRPr="009B45C2">
        <w:rPr>
          <w:rFonts w:cs="Times New Roman"/>
          <w:szCs w:val="24"/>
        </w:rPr>
        <w:t xml:space="preserve">, </w:t>
      </w:r>
      <w:r w:rsidRPr="009B45C2">
        <w:rPr>
          <w:rFonts w:cs="Times New Roman"/>
          <w:i/>
          <w:iCs/>
          <w:szCs w:val="24"/>
        </w:rPr>
        <w:t>73</w:t>
      </w:r>
      <w:r w:rsidRPr="009B45C2">
        <w:rPr>
          <w:rFonts w:cs="Times New Roman"/>
          <w:szCs w:val="24"/>
        </w:rPr>
        <w:t xml:space="preserve">(10), 4021–4041. </w:t>
      </w:r>
      <w:hyperlink r:id="rId85" w:history="1">
        <w:r w:rsidRPr="00C75784">
          <w:rPr>
            <w:rStyle w:val="ab"/>
          </w:rPr>
          <w:t>https://doi.org/10.1175/JAS-D-15-0341.1</w:t>
        </w:r>
      </w:hyperlink>
    </w:p>
    <w:p w14:paraId="1449D1DC"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Peters, J. M., &amp; Schumacher, R. S. (2014). Objective </w:t>
      </w:r>
      <w:r>
        <w:rPr>
          <w:rFonts w:cs="Times New Roman"/>
          <w:szCs w:val="24"/>
        </w:rPr>
        <w:t>c</w:t>
      </w:r>
      <w:r w:rsidRPr="009B45C2">
        <w:rPr>
          <w:rFonts w:cs="Times New Roman"/>
          <w:szCs w:val="24"/>
        </w:rPr>
        <w:t xml:space="preserve">ategorization of </w:t>
      </w:r>
      <w:r>
        <w:rPr>
          <w:rFonts w:cs="Times New Roman"/>
          <w:szCs w:val="24"/>
        </w:rPr>
        <w:t>h</w:t>
      </w:r>
      <w:r w:rsidRPr="009B45C2">
        <w:rPr>
          <w:rFonts w:cs="Times New Roman"/>
          <w:szCs w:val="24"/>
        </w:rPr>
        <w:t>eavy-</w:t>
      </w:r>
      <w:r>
        <w:rPr>
          <w:rFonts w:cs="Times New Roman"/>
          <w:szCs w:val="24"/>
        </w:rPr>
        <w:t>r</w:t>
      </w:r>
      <w:r w:rsidRPr="009B45C2">
        <w:rPr>
          <w:rFonts w:cs="Times New Roman"/>
          <w:szCs w:val="24"/>
        </w:rPr>
        <w:t>ain-</w:t>
      </w:r>
      <w:r>
        <w:rPr>
          <w:rFonts w:cs="Times New Roman"/>
          <w:szCs w:val="24"/>
        </w:rPr>
        <w:t>p</w:t>
      </w:r>
      <w:r w:rsidRPr="009B45C2">
        <w:rPr>
          <w:rFonts w:cs="Times New Roman"/>
          <w:szCs w:val="24"/>
        </w:rPr>
        <w:t xml:space="preserve">roducing MCS </w:t>
      </w:r>
      <w:r>
        <w:rPr>
          <w:rFonts w:cs="Times New Roman"/>
          <w:szCs w:val="24"/>
        </w:rPr>
        <w:t>s</w:t>
      </w:r>
      <w:r w:rsidRPr="009B45C2">
        <w:rPr>
          <w:rFonts w:cs="Times New Roman"/>
          <w:szCs w:val="24"/>
        </w:rPr>
        <w:t xml:space="preserve">ynoptic </w:t>
      </w:r>
      <w:r>
        <w:rPr>
          <w:rFonts w:cs="Times New Roman"/>
          <w:szCs w:val="24"/>
        </w:rPr>
        <w:t>t</w:t>
      </w:r>
      <w:r w:rsidRPr="009B45C2">
        <w:rPr>
          <w:rFonts w:cs="Times New Roman"/>
          <w:szCs w:val="24"/>
        </w:rPr>
        <w:t xml:space="preserve">ypes by </w:t>
      </w:r>
      <w:r>
        <w:rPr>
          <w:rFonts w:cs="Times New Roman"/>
          <w:szCs w:val="24"/>
        </w:rPr>
        <w:t>r</w:t>
      </w:r>
      <w:r w:rsidRPr="009B45C2">
        <w:rPr>
          <w:rFonts w:cs="Times New Roman"/>
          <w:szCs w:val="24"/>
        </w:rPr>
        <w:t xml:space="preserve">otated </w:t>
      </w:r>
      <w:r>
        <w:rPr>
          <w:rFonts w:cs="Times New Roman"/>
          <w:szCs w:val="24"/>
        </w:rPr>
        <w:t>p</w:t>
      </w:r>
      <w:r w:rsidRPr="009B45C2">
        <w:rPr>
          <w:rFonts w:cs="Times New Roman"/>
          <w:szCs w:val="24"/>
        </w:rPr>
        <w:t xml:space="preserve">rincipal </w:t>
      </w:r>
      <w:r>
        <w:rPr>
          <w:rFonts w:cs="Times New Roman"/>
          <w:szCs w:val="24"/>
        </w:rPr>
        <w:t>c</w:t>
      </w:r>
      <w:r w:rsidRPr="009B45C2">
        <w:rPr>
          <w:rFonts w:cs="Times New Roman"/>
          <w:szCs w:val="24"/>
        </w:rPr>
        <w:t xml:space="preserve">omponent </w:t>
      </w:r>
      <w:r>
        <w:rPr>
          <w:rFonts w:cs="Times New Roman"/>
          <w:szCs w:val="24"/>
        </w:rPr>
        <w:t>a</w:t>
      </w:r>
      <w:r w:rsidRPr="009B45C2">
        <w:rPr>
          <w:rFonts w:cs="Times New Roman"/>
          <w:szCs w:val="24"/>
        </w:rPr>
        <w:t xml:space="preserve">nalysis. </w:t>
      </w:r>
      <w:r w:rsidRPr="009B45C2">
        <w:rPr>
          <w:rFonts w:cs="Times New Roman"/>
          <w:i/>
          <w:iCs/>
          <w:szCs w:val="24"/>
        </w:rPr>
        <w:t xml:space="preserve">Monthly </w:t>
      </w:r>
      <w:r w:rsidRPr="009B45C2">
        <w:rPr>
          <w:rFonts w:cs="Times New Roman"/>
          <w:i/>
          <w:iCs/>
          <w:szCs w:val="24"/>
        </w:rPr>
        <w:lastRenderedPageBreak/>
        <w:t>Weather Review</w:t>
      </w:r>
      <w:r w:rsidRPr="009B45C2">
        <w:rPr>
          <w:rFonts w:cs="Times New Roman"/>
          <w:szCs w:val="24"/>
        </w:rPr>
        <w:t xml:space="preserve">, </w:t>
      </w:r>
      <w:r w:rsidRPr="009B45C2">
        <w:rPr>
          <w:rFonts w:cs="Times New Roman"/>
          <w:i/>
          <w:iCs/>
          <w:szCs w:val="24"/>
        </w:rPr>
        <w:t>142</w:t>
      </w:r>
      <w:r w:rsidRPr="009B45C2">
        <w:rPr>
          <w:rFonts w:cs="Times New Roman"/>
          <w:szCs w:val="24"/>
        </w:rPr>
        <w:t xml:space="preserve">(5), 1716–1737. </w:t>
      </w:r>
      <w:hyperlink r:id="rId86" w:history="1">
        <w:r w:rsidRPr="00C75784">
          <w:rPr>
            <w:rStyle w:val="ab"/>
          </w:rPr>
          <w:t>https://doi.org/10.1175/MWR-D-13-00295.1</w:t>
        </w:r>
      </w:hyperlink>
    </w:p>
    <w:p w14:paraId="6F049A31"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Punkka, A.-J., &amp; Bister, M. (2015). Mesoscale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and </w:t>
      </w:r>
      <w:r>
        <w:rPr>
          <w:rFonts w:cs="Times New Roman"/>
          <w:szCs w:val="24"/>
        </w:rPr>
        <w:t>t</w:t>
      </w:r>
      <w:r w:rsidRPr="009B45C2">
        <w:rPr>
          <w:rFonts w:cs="Times New Roman"/>
          <w:szCs w:val="24"/>
        </w:rPr>
        <w:t xml:space="preserve">heir </w:t>
      </w:r>
      <w:r>
        <w:rPr>
          <w:rFonts w:cs="Times New Roman"/>
          <w:szCs w:val="24"/>
        </w:rPr>
        <w:t>s</w:t>
      </w:r>
      <w:r w:rsidRPr="009B45C2">
        <w:rPr>
          <w:rFonts w:cs="Times New Roman"/>
          <w:szCs w:val="24"/>
        </w:rPr>
        <w:t>ynoptic-</w:t>
      </w:r>
      <w:r>
        <w:rPr>
          <w:rFonts w:cs="Times New Roman"/>
          <w:szCs w:val="24"/>
        </w:rPr>
        <w:t>s</w:t>
      </w:r>
      <w:r w:rsidRPr="009B45C2">
        <w:rPr>
          <w:rFonts w:cs="Times New Roman"/>
          <w:szCs w:val="24"/>
        </w:rPr>
        <w:t xml:space="preserve">cale </w:t>
      </w:r>
      <w:r>
        <w:rPr>
          <w:rFonts w:cs="Times New Roman"/>
          <w:szCs w:val="24"/>
        </w:rPr>
        <w:t>e</w:t>
      </w:r>
      <w:r w:rsidRPr="009B45C2">
        <w:rPr>
          <w:rFonts w:cs="Times New Roman"/>
          <w:szCs w:val="24"/>
        </w:rPr>
        <w:t xml:space="preserve">nvironment in Finland.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30</w:t>
      </w:r>
      <w:r w:rsidRPr="009B45C2">
        <w:rPr>
          <w:rFonts w:cs="Times New Roman"/>
          <w:szCs w:val="24"/>
        </w:rPr>
        <w:t xml:space="preserve">(1), 182–196. </w:t>
      </w:r>
      <w:hyperlink r:id="rId87" w:history="1">
        <w:r w:rsidRPr="00C75784">
          <w:rPr>
            <w:rStyle w:val="ab"/>
          </w:rPr>
          <w:t>https://doi.org/10.1175/WAF-D-13-00146.1</w:t>
        </w:r>
      </w:hyperlink>
    </w:p>
    <w:p w14:paraId="1E9C4FA0"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Rasmussen, E. N., &amp; Blanchard, D. O. (1998). A </w:t>
      </w:r>
      <w:r>
        <w:rPr>
          <w:rFonts w:cs="Times New Roman"/>
          <w:szCs w:val="24"/>
        </w:rPr>
        <w:t>b</w:t>
      </w:r>
      <w:r w:rsidRPr="009B45C2">
        <w:rPr>
          <w:rFonts w:cs="Times New Roman"/>
          <w:szCs w:val="24"/>
        </w:rPr>
        <w:t xml:space="preserve">aseline </w:t>
      </w:r>
      <w:r>
        <w:rPr>
          <w:rFonts w:cs="Times New Roman"/>
          <w:szCs w:val="24"/>
        </w:rPr>
        <w:t>c</w:t>
      </w:r>
      <w:r w:rsidRPr="009B45C2">
        <w:rPr>
          <w:rFonts w:cs="Times New Roman"/>
          <w:szCs w:val="24"/>
        </w:rPr>
        <w:t xml:space="preserve">limatology of </w:t>
      </w:r>
      <w:r>
        <w:rPr>
          <w:rFonts w:cs="Times New Roman"/>
          <w:szCs w:val="24"/>
        </w:rPr>
        <w:t>s</w:t>
      </w:r>
      <w:r w:rsidRPr="009B45C2">
        <w:rPr>
          <w:rFonts w:cs="Times New Roman"/>
          <w:szCs w:val="24"/>
        </w:rPr>
        <w:t>ounding-</w:t>
      </w:r>
      <w:r>
        <w:rPr>
          <w:rFonts w:cs="Times New Roman"/>
          <w:szCs w:val="24"/>
        </w:rPr>
        <w:t>d</w:t>
      </w:r>
      <w:r w:rsidRPr="009B45C2">
        <w:rPr>
          <w:rFonts w:cs="Times New Roman"/>
          <w:szCs w:val="24"/>
        </w:rPr>
        <w:t xml:space="preserve">erived </w:t>
      </w:r>
      <w:r>
        <w:rPr>
          <w:rFonts w:cs="Times New Roman"/>
          <w:szCs w:val="24"/>
        </w:rPr>
        <w:t>s</w:t>
      </w:r>
      <w:r w:rsidRPr="009B45C2">
        <w:rPr>
          <w:rFonts w:cs="Times New Roman"/>
          <w:szCs w:val="24"/>
        </w:rPr>
        <w:t>upercell and</w:t>
      </w:r>
      <w:r>
        <w:rPr>
          <w:rFonts w:cs="Times New Roman"/>
          <w:szCs w:val="24"/>
        </w:rPr>
        <w:t xml:space="preserve"> t</w:t>
      </w:r>
      <w:r w:rsidRPr="009B45C2">
        <w:rPr>
          <w:rFonts w:cs="Times New Roman"/>
          <w:szCs w:val="24"/>
        </w:rPr>
        <w:t xml:space="preserve">ornado </w:t>
      </w:r>
      <w:r>
        <w:rPr>
          <w:rFonts w:cs="Times New Roman"/>
          <w:szCs w:val="24"/>
        </w:rPr>
        <w:t>f</w:t>
      </w:r>
      <w:r w:rsidRPr="009B45C2">
        <w:rPr>
          <w:rFonts w:cs="Times New Roman"/>
          <w:szCs w:val="24"/>
        </w:rPr>
        <w:t xml:space="preserve">orecast </w:t>
      </w:r>
      <w:r>
        <w:rPr>
          <w:rFonts w:cs="Times New Roman"/>
          <w:szCs w:val="24"/>
        </w:rPr>
        <w:t>p</w:t>
      </w:r>
      <w:r w:rsidRPr="009B45C2">
        <w:rPr>
          <w:rFonts w:cs="Times New Roman"/>
          <w:szCs w:val="24"/>
        </w:rPr>
        <w:t xml:space="preserve">arameters.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13</w:t>
      </w:r>
      <w:r w:rsidRPr="009B45C2">
        <w:rPr>
          <w:rFonts w:cs="Times New Roman"/>
          <w:szCs w:val="24"/>
        </w:rPr>
        <w:t xml:space="preserve">(4), 1148–1164. </w:t>
      </w:r>
      <w:hyperlink r:id="rId88" w:history="1">
        <w:r w:rsidRPr="003816EC">
          <w:rPr>
            <w:rStyle w:val="ab"/>
          </w:rPr>
          <w:t>https://doi.org/10.1175/1520-0434(1998)013&lt;1148:ABCOSD&gt; 2.0.CO;2</w:t>
        </w:r>
      </w:hyperlink>
    </w:p>
    <w:p w14:paraId="6DA7707C"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Rehbein, A., Ambrizzi, T., &amp; Mechoso, C. R. (2018). Mesoscale convective systems over the Amazon basin. Part I: climatological aspects. </w:t>
      </w:r>
      <w:r w:rsidRPr="00BC29D1">
        <w:rPr>
          <w:rFonts w:cs="Times New Roman"/>
          <w:i/>
          <w:iCs/>
          <w:szCs w:val="24"/>
        </w:rPr>
        <w:t>International Journal of Climatology</w:t>
      </w:r>
      <w:r w:rsidRPr="009B45C2">
        <w:rPr>
          <w:rFonts w:cs="Times New Roman"/>
          <w:szCs w:val="24"/>
        </w:rPr>
        <w:t xml:space="preserve">, </w:t>
      </w:r>
      <w:r w:rsidRPr="009B45C2">
        <w:rPr>
          <w:rFonts w:cs="Times New Roman"/>
          <w:i/>
          <w:iCs/>
          <w:szCs w:val="24"/>
        </w:rPr>
        <w:t>38</w:t>
      </w:r>
      <w:r w:rsidRPr="009B45C2">
        <w:rPr>
          <w:rFonts w:cs="Times New Roman"/>
          <w:szCs w:val="24"/>
        </w:rPr>
        <w:t xml:space="preserve">(1), 215–229. </w:t>
      </w:r>
      <w:hyperlink r:id="rId89" w:history="1">
        <w:r w:rsidRPr="00C75784">
          <w:rPr>
            <w:rStyle w:val="ab"/>
          </w:rPr>
          <w:t>https://doi.org/10.1002/joc.5171</w:t>
        </w:r>
      </w:hyperlink>
    </w:p>
    <w:p w14:paraId="4B932A3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Reif, D. W., &amp; Bluestein, H. B. (2017). A 20-</w:t>
      </w:r>
      <w:r>
        <w:rPr>
          <w:rFonts w:cs="Times New Roman"/>
          <w:szCs w:val="24"/>
        </w:rPr>
        <w:t>y</w:t>
      </w:r>
      <w:r w:rsidRPr="009B45C2">
        <w:rPr>
          <w:rFonts w:cs="Times New Roman"/>
          <w:szCs w:val="24"/>
        </w:rPr>
        <w:t xml:space="preserve">ear </w:t>
      </w:r>
      <w:r>
        <w:rPr>
          <w:rFonts w:cs="Times New Roman"/>
          <w:szCs w:val="24"/>
        </w:rPr>
        <w:t>c</w:t>
      </w:r>
      <w:r w:rsidRPr="009B45C2">
        <w:rPr>
          <w:rFonts w:cs="Times New Roman"/>
          <w:szCs w:val="24"/>
        </w:rPr>
        <w:t xml:space="preserve">limatology of </w:t>
      </w:r>
      <w:r>
        <w:rPr>
          <w:rFonts w:cs="Times New Roman"/>
          <w:szCs w:val="24"/>
        </w:rPr>
        <w:t>n</w:t>
      </w:r>
      <w:r w:rsidRPr="009B45C2">
        <w:rPr>
          <w:rFonts w:cs="Times New Roman"/>
          <w:szCs w:val="24"/>
        </w:rPr>
        <w:t xml:space="preserve">octurnal </w:t>
      </w:r>
      <w:r>
        <w:rPr>
          <w:rFonts w:cs="Times New Roman"/>
          <w:szCs w:val="24"/>
        </w:rPr>
        <w:t>c</w:t>
      </w:r>
      <w:r w:rsidRPr="009B45C2">
        <w:rPr>
          <w:rFonts w:cs="Times New Roman"/>
          <w:szCs w:val="24"/>
        </w:rPr>
        <w:t xml:space="preserve">onvection </w:t>
      </w:r>
      <w:r>
        <w:rPr>
          <w:rFonts w:cs="Times New Roman"/>
          <w:szCs w:val="24"/>
        </w:rPr>
        <w:t>i</w:t>
      </w:r>
      <w:r w:rsidRPr="009B45C2">
        <w:rPr>
          <w:rFonts w:cs="Times New Roman"/>
          <w:szCs w:val="24"/>
        </w:rPr>
        <w:t xml:space="preserve">nitiation over the </w:t>
      </w:r>
      <w:r>
        <w:rPr>
          <w:rFonts w:cs="Times New Roman"/>
          <w:szCs w:val="24"/>
        </w:rPr>
        <w:t>c</w:t>
      </w:r>
      <w:r w:rsidRPr="009B45C2">
        <w:rPr>
          <w:rFonts w:cs="Times New Roman"/>
          <w:szCs w:val="24"/>
        </w:rPr>
        <w:t xml:space="preserve">entral and </w:t>
      </w:r>
      <w:r>
        <w:rPr>
          <w:rFonts w:cs="Times New Roman"/>
          <w:szCs w:val="24"/>
        </w:rPr>
        <w:t>s</w:t>
      </w:r>
      <w:r w:rsidRPr="009B45C2">
        <w:rPr>
          <w:rFonts w:cs="Times New Roman"/>
          <w:szCs w:val="24"/>
        </w:rPr>
        <w:t xml:space="preserve">outhern Great Plains during the </w:t>
      </w:r>
      <w:r>
        <w:rPr>
          <w:rFonts w:cs="Times New Roman"/>
          <w:szCs w:val="24"/>
        </w:rPr>
        <w:t>w</w:t>
      </w:r>
      <w:r w:rsidRPr="009B45C2">
        <w:rPr>
          <w:rFonts w:cs="Times New Roman"/>
          <w:szCs w:val="24"/>
        </w:rPr>
        <w:t xml:space="preserve">arm </w:t>
      </w:r>
      <w:r>
        <w:rPr>
          <w:rFonts w:cs="Times New Roman"/>
          <w:szCs w:val="24"/>
        </w:rPr>
        <w:t>s</w:t>
      </w:r>
      <w:r w:rsidRPr="009B45C2">
        <w:rPr>
          <w:rFonts w:cs="Times New Roman"/>
          <w:szCs w:val="24"/>
        </w:rPr>
        <w:t xml:space="preserve">eason.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145</w:t>
      </w:r>
      <w:r w:rsidRPr="009B45C2">
        <w:rPr>
          <w:rFonts w:cs="Times New Roman"/>
          <w:szCs w:val="24"/>
        </w:rPr>
        <w:t xml:space="preserve">(5), 1615–1639. </w:t>
      </w:r>
      <w:hyperlink r:id="rId90" w:history="1">
        <w:r w:rsidRPr="00C75784">
          <w:rPr>
            <w:rStyle w:val="ab"/>
          </w:rPr>
          <w:t>https://doi.org/10.1175/MWR-D-16-0340.1</w:t>
        </w:r>
      </w:hyperlink>
    </w:p>
    <w:p w14:paraId="67C6C8C2"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Roberts, R. D., &amp; Rutledge, S. (2003). Nowcasting</w:t>
      </w:r>
      <w:r>
        <w:rPr>
          <w:rFonts w:cs="Times New Roman"/>
          <w:szCs w:val="24"/>
        </w:rPr>
        <w:t xml:space="preserve"> s</w:t>
      </w:r>
      <w:r w:rsidRPr="009B45C2">
        <w:rPr>
          <w:rFonts w:cs="Times New Roman"/>
          <w:szCs w:val="24"/>
        </w:rPr>
        <w:t xml:space="preserve">torm </w:t>
      </w:r>
      <w:r>
        <w:rPr>
          <w:rFonts w:cs="Times New Roman"/>
          <w:szCs w:val="24"/>
        </w:rPr>
        <w:t>i</w:t>
      </w:r>
      <w:r w:rsidRPr="009B45C2">
        <w:rPr>
          <w:rFonts w:cs="Times New Roman"/>
          <w:szCs w:val="24"/>
        </w:rPr>
        <w:t xml:space="preserve">nitiation and </w:t>
      </w:r>
      <w:r>
        <w:rPr>
          <w:rFonts w:cs="Times New Roman"/>
          <w:szCs w:val="24"/>
        </w:rPr>
        <w:t>g</w:t>
      </w:r>
      <w:r w:rsidRPr="009B45C2">
        <w:rPr>
          <w:rFonts w:cs="Times New Roman"/>
          <w:szCs w:val="24"/>
        </w:rPr>
        <w:t xml:space="preserve">rowth </w:t>
      </w:r>
      <w:r>
        <w:rPr>
          <w:rFonts w:cs="Times New Roman"/>
          <w:szCs w:val="24"/>
        </w:rPr>
        <w:t>u</w:t>
      </w:r>
      <w:r w:rsidRPr="009B45C2">
        <w:rPr>
          <w:rFonts w:cs="Times New Roman"/>
          <w:szCs w:val="24"/>
        </w:rPr>
        <w:t xml:space="preserve">sing GOES-8 and WSR-88D </w:t>
      </w:r>
      <w:r>
        <w:rPr>
          <w:rFonts w:cs="Times New Roman"/>
          <w:szCs w:val="24"/>
        </w:rPr>
        <w:t>d</w:t>
      </w:r>
      <w:r w:rsidRPr="009B45C2">
        <w:rPr>
          <w:rFonts w:cs="Times New Roman"/>
          <w:szCs w:val="24"/>
        </w:rPr>
        <w:t xml:space="preserve">ata.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18</w:t>
      </w:r>
      <w:r w:rsidRPr="009B45C2">
        <w:rPr>
          <w:rFonts w:cs="Times New Roman"/>
          <w:szCs w:val="24"/>
        </w:rPr>
        <w:t xml:space="preserve">(4), 562–584. </w:t>
      </w:r>
      <w:hyperlink r:id="rId91" w:history="1">
        <w:r w:rsidRPr="00C75784">
          <w:rPr>
            <w:rStyle w:val="ab"/>
          </w:rPr>
          <w:t>https://doi.org/10.1175/1520-0434(2003)018&lt;0562:NSIAGU&gt;2.0.CO;2</w:t>
        </w:r>
      </w:hyperlink>
    </w:p>
    <w:p w14:paraId="5010995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Rodgers, D. M., Howard, K. W., &amp; Johnston, E. C. (1983). Mesoscale </w:t>
      </w:r>
      <w:r>
        <w:rPr>
          <w:rFonts w:cs="Times New Roman"/>
          <w:szCs w:val="24"/>
        </w:rPr>
        <w:t>c</w:t>
      </w:r>
      <w:r w:rsidRPr="009B45C2">
        <w:rPr>
          <w:rFonts w:cs="Times New Roman"/>
          <w:szCs w:val="24"/>
        </w:rPr>
        <w:t xml:space="preserve">onvective </w:t>
      </w:r>
      <w:r>
        <w:rPr>
          <w:rFonts w:cs="Times New Roman"/>
          <w:szCs w:val="24"/>
        </w:rPr>
        <w:t>c</w:t>
      </w:r>
      <w:r w:rsidRPr="009B45C2">
        <w:rPr>
          <w:rFonts w:cs="Times New Roman"/>
          <w:szCs w:val="24"/>
        </w:rPr>
        <w:t xml:space="preserve">omplexes over the United States during 1982.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111</w:t>
      </w:r>
      <w:r w:rsidRPr="009B45C2">
        <w:rPr>
          <w:rFonts w:cs="Times New Roman"/>
          <w:szCs w:val="24"/>
        </w:rPr>
        <w:t xml:space="preserve">(12), 2363–2369. </w:t>
      </w:r>
      <w:hyperlink r:id="rId92" w:history="1">
        <w:r w:rsidRPr="003816EC">
          <w:rPr>
            <w:rStyle w:val="ab"/>
          </w:rPr>
          <w:t>https://doi.org/10.1175/1520-0493(1983)111&lt;2363: MCCOTU&gt;2.0.CO;2</w:t>
        </w:r>
      </w:hyperlink>
    </w:p>
    <w:p w14:paraId="27D7506F"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Rodgers, E. B., Chang, S. W., Stout, J., Steranka, J., &amp; Shi, J.-J. (1991). Satellite </w:t>
      </w:r>
      <w:r>
        <w:rPr>
          <w:rFonts w:cs="Times New Roman"/>
          <w:szCs w:val="24"/>
        </w:rPr>
        <w:t>o</w:t>
      </w:r>
      <w:r w:rsidRPr="009B45C2">
        <w:rPr>
          <w:rFonts w:cs="Times New Roman"/>
          <w:szCs w:val="24"/>
        </w:rPr>
        <w:t xml:space="preserve">bservations of </w:t>
      </w:r>
      <w:r>
        <w:rPr>
          <w:rFonts w:cs="Times New Roman"/>
          <w:szCs w:val="24"/>
        </w:rPr>
        <w:t>v</w:t>
      </w:r>
      <w:r w:rsidRPr="009B45C2">
        <w:rPr>
          <w:rFonts w:cs="Times New Roman"/>
          <w:szCs w:val="24"/>
        </w:rPr>
        <w:t xml:space="preserve">ariations in </w:t>
      </w:r>
      <w:r>
        <w:rPr>
          <w:rFonts w:cs="Times New Roman"/>
          <w:szCs w:val="24"/>
        </w:rPr>
        <w:t>t</w:t>
      </w:r>
      <w:r w:rsidRPr="009B45C2">
        <w:rPr>
          <w:rFonts w:cs="Times New Roman"/>
          <w:szCs w:val="24"/>
        </w:rPr>
        <w:t xml:space="preserve">ropical </w:t>
      </w:r>
      <w:r>
        <w:rPr>
          <w:rFonts w:cs="Times New Roman"/>
          <w:szCs w:val="24"/>
        </w:rPr>
        <w:t>c</w:t>
      </w:r>
      <w:r w:rsidRPr="009B45C2">
        <w:rPr>
          <w:rFonts w:cs="Times New Roman"/>
          <w:szCs w:val="24"/>
        </w:rPr>
        <w:t xml:space="preserve">yclone </w:t>
      </w:r>
      <w:r>
        <w:rPr>
          <w:rFonts w:cs="Times New Roman"/>
          <w:szCs w:val="24"/>
        </w:rPr>
        <w:t>c</w:t>
      </w:r>
      <w:r w:rsidRPr="009B45C2">
        <w:rPr>
          <w:rFonts w:cs="Times New Roman"/>
          <w:szCs w:val="24"/>
        </w:rPr>
        <w:t xml:space="preserve">onvection </w:t>
      </w:r>
      <w:r>
        <w:rPr>
          <w:rFonts w:cs="Times New Roman"/>
          <w:szCs w:val="24"/>
        </w:rPr>
        <w:t>c</w:t>
      </w:r>
      <w:r w:rsidRPr="009B45C2">
        <w:rPr>
          <w:rFonts w:cs="Times New Roman"/>
          <w:szCs w:val="24"/>
        </w:rPr>
        <w:t xml:space="preserve">aused by </w:t>
      </w:r>
      <w:r>
        <w:rPr>
          <w:rFonts w:cs="Times New Roman"/>
          <w:szCs w:val="24"/>
        </w:rPr>
        <w:t>u</w:t>
      </w:r>
      <w:r w:rsidRPr="009B45C2">
        <w:rPr>
          <w:rFonts w:cs="Times New Roman"/>
          <w:szCs w:val="24"/>
        </w:rPr>
        <w:t>pper-</w:t>
      </w:r>
      <w:r>
        <w:rPr>
          <w:rFonts w:cs="Times New Roman"/>
          <w:szCs w:val="24"/>
        </w:rPr>
        <w:t>t</w:t>
      </w:r>
      <w:r w:rsidRPr="009B45C2">
        <w:rPr>
          <w:rFonts w:cs="Times New Roman"/>
          <w:szCs w:val="24"/>
        </w:rPr>
        <w:t xml:space="preserve">ropospheric </w:t>
      </w:r>
      <w:r>
        <w:rPr>
          <w:rFonts w:cs="Times New Roman"/>
          <w:szCs w:val="24"/>
        </w:rPr>
        <w:t>t</w:t>
      </w:r>
      <w:r w:rsidRPr="009B45C2">
        <w:rPr>
          <w:rFonts w:cs="Times New Roman"/>
          <w:szCs w:val="24"/>
        </w:rPr>
        <w:t xml:space="preserve">roughs.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30</w:t>
      </w:r>
      <w:r w:rsidRPr="009B45C2">
        <w:rPr>
          <w:rFonts w:cs="Times New Roman"/>
          <w:szCs w:val="24"/>
        </w:rPr>
        <w:t xml:space="preserve">(8), 1163–1184. </w:t>
      </w:r>
      <w:hyperlink r:id="rId93" w:history="1">
        <w:r w:rsidRPr="003816EC">
          <w:rPr>
            <w:rStyle w:val="ab"/>
          </w:rPr>
          <w:t>https://doi.org/10.1175/1520-0450(1991)030&lt;1163:SOOVIT&gt; 2.0.CO;2</w:t>
        </w:r>
      </w:hyperlink>
    </w:p>
    <w:p w14:paraId="0A35842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Rousseeuw, P. J. (1987). Silhouettes: A graphical aid to the interpretation and validation of cluster analysis. </w:t>
      </w:r>
      <w:r w:rsidRPr="009B45C2">
        <w:rPr>
          <w:rFonts w:cs="Times New Roman"/>
          <w:i/>
          <w:iCs/>
          <w:szCs w:val="24"/>
        </w:rPr>
        <w:t>Journal of Computational and Applied Mathematics</w:t>
      </w:r>
      <w:r w:rsidRPr="009B45C2">
        <w:rPr>
          <w:rFonts w:cs="Times New Roman"/>
          <w:szCs w:val="24"/>
        </w:rPr>
        <w:t xml:space="preserve">, </w:t>
      </w:r>
      <w:r w:rsidRPr="009B45C2">
        <w:rPr>
          <w:rFonts w:cs="Times New Roman"/>
          <w:i/>
          <w:iCs/>
          <w:szCs w:val="24"/>
        </w:rPr>
        <w:t>20</w:t>
      </w:r>
      <w:r w:rsidRPr="009B45C2">
        <w:rPr>
          <w:rFonts w:cs="Times New Roman"/>
          <w:szCs w:val="24"/>
        </w:rPr>
        <w:t xml:space="preserve">, 53–65. </w:t>
      </w:r>
      <w:hyperlink r:id="rId94" w:history="1">
        <w:r w:rsidRPr="00C75784">
          <w:rPr>
            <w:rStyle w:val="ab"/>
          </w:rPr>
          <w:t>https://doi.org/10.1016/0377-0427(87)90125-7</w:t>
        </w:r>
      </w:hyperlink>
    </w:p>
    <w:p w14:paraId="421B66C5"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Shen, Y., Du, Y., &amp; Chen, G. (2020). Ensemble </w:t>
      </w:r>
      <w:r>
        <w:rPr>
          <w:rFonts w:cs="Times New Roman"/>
          <w:szCs w:val="24"/>
        </w:rPr>
        <w:t>s</w:t>
      </w:r>
      <w:r w:rsidRPr="009B45C2">
        <w:rPr>
          <w:rFonts w:cs="Times New Roman"/>
          <w:szCs w:val="24"/>
        </w:rPr>
        <w:t xml:space="preserve">ensitivity </w:t>
      </w:r>
      <w:r>
        <w:rPr>
          <w:rFonts w:cs="Times New Roman"/>
          <w:szCs w:val="24"/>
        </w:rPr>
        <w:t>a</w:t>
      </w:r>
      <w:r w:rsidRPr="009B45C2">
        <w:rPr>
          <w:rFonts w:cs="Times New Roman"/>
          <w:szCs w:val="24"/>
        </w:rPr>
        <w:t xml:space="preserve">nalysis of </w:t>
      </w:r>
      <w:r>
        <w:rPr>
          <w:rFonts w:cs="Times New Roman"/>
          <w:szCs w:val="24"/>
        </w:rPr>
        <w:t>h</w:t>
      </w:r>
      <w:r w:rsidRPr="009B45C2">
        <w:rPr>
          <w:rFonts w:cs="Times New Roman"/>
          <w:szCs w:val="24"/>
        </w:rPr>
        <w:t xml:space="preserve">eavy </w:t>
      </w:r>
      <w:r>
        <w:rPr>
          <w:rFonts w:cs="Times New Roman"/>
          <w:szCs w:val="24"/>
        </w:rPr>
        <w:t>r</w:t>
      </w:r>
      <w:r w:rsidRPr="009B45C2">
        <w:rPr>
          <w:rFonts w:cs="Times New Roman"/>
          <w:szCs w:val="24"/>
        </w:rPr>
        <w:t xml:space="preserve">ainfall </w:t>
      </w:r>
      <w:r>
        <w:rPr>
          <w:rFonts w:cs="Times New Roman"/>
          <w:szCs w:val="24"/>
        </w:rPr>
        <w:t>a</w:t>
      </w:r>
      <w:r w:rsidRPr="009B45C2">
        <w:rPr>
          <w:rFonts w:cs="Times New Roman"/>
          <w:szCs w:val="24"/>
        </w:rPr>
        <w:t xml:space="preserve">ssociated </w:t>
      </w:r>
      <w:r>
        <w:rPr>
          <w:rFonts w:cs="Times New Roman"/>
          <w:szCs w:val="24"/>
        </w:rPr>
        <w:t>w</w:t>
      </w:r>
      <w:r w:rsidRPr="009B45C2">
        <w:rPr>
          <w:rFonts w:cs="Times New Roman"/>
          <w:szCs w:val="24"/>
        </w:rPr>
        <w:t xml:space="preserve">ith </w:t>
      </w:r>
      <w:r>
        <w:rPr>
          <w:rFonts w:cs="Times New Roman"/>
          <w:szCs w:val="24"/>
        </w:rPr>
        <w:t>t</w:t>
      </w:r>
      <w:r w:rsidRPr="009B45C2">
        <w:rPr>
          <w:rFonts w:cs="Times New Roman"/>
          <w:szCs w:val="24"/>
        </w:rPr>
        <w:t xml:space="preserve">hree MCSs </w:t>
      </w:r>
      <w:r>
        <w:rPr>
          <w:rFonts w:cs="Times New Roman"/>
          <w:szCs w:val="24"/>
        </w:rPr>
        <w:t>c</w:t>
      </w:r>
      <w:r w:rsidRPr="009B45C2">
        <w:rPr>
          <w:rFonts w:cs="Times New Roman"/>
          <w:szCs w:val="24"/>
        </w:rPr>
        <w:t xml:space="preserve">oexisting </w:t>
      </w:r>
      <w:r>
        <w:rPr>
          <w:rFonts w:cs="Times New Roman"/>
          <w:szCs w:val="24"/>
        </w:rPr>
        <w:t>o</w:t>
      </w:r>
      <w:r w:rsidRPr="009B45C2">
        <w:rPr>
          <w:rFonts w:cs="Times New Roman"/>
          <w:szCs w:val="24"/>
        </w:rPr>
        <w:t xml:space="preserve">ver </w:t>
      </w:r>
      <w:r>
        <w:rPr>
          <w:rFonts w:cs="Times New Roman"/>
          <w:szCs w:val="24"/>
        </w:rPr>
        <w:t>s</w:t>
      </w:r>
      <w:r w:rsidRPr="009B45C2">
        <w:rPr>
          <w:rFonts w:cs="Times New Roman"/>
          <w:szCs w:val="24"/>
        </w:rPr>
        <w:t xml:space="preserve">outhern China. </w:t>
      </w:r>
      <w:r w:rsidRPr="009B45C2">
        <w:rPr>
          <w:rFonts w:cs="Times New Roman"/>
          <w:i/>
          <w:iCs/>
          <w:szCs w:val="24"/>
        </w:rPr>
        <w:t>Journal of Geophysical Research: Atmospheres</w:t>
      </w:r>
      <w:r w:rsidRPr="009B45C2">
        <w:rPr>
          <w:rFonts w:cs="Times New Roman"/>
          <w:szCs w:val="24"/>
        </w:rPr>
        <w:t xml:space="preserve">, </w:t>
      </w:r>
      <w:r w:rsidRPr="009B45C2">
        <w:rPr>
          <w:rFonts w:cs="Times New Roman"/>
          <w:i/>
          <w:iCs/>
          <w:szCs w:val="24"/>
        </w:rPr>
        <w:t>125</w:t>
      </w:r>
      <w:r w:rsidRPr="009B45C2">
        <w:rPr>
          <w:rFonts w:cs="Times New Roman"/>
          <w:szCs w:val="24"/>
        </w:rPr>
        <w:t xml:space="preserve">(2). </w:t>
      </w:r>
      <w:hyperlink r:id="rId95" w:history="1">
        <w:r w:rsidRPr="003816EC">
          <w:rPr>
            <w:rStyle w:val="ab"/>
          </w:rPr>
          <w:t>https://doi.org/10.1029/ 2019JD031266</w:t>
        </w:r>
      </w:hyperlink>
    </w:p>
    <w:p w14:paraId="3042598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Shi, Y., Jiang, Z., Liu, Z., &amp; Li, L. (2020). A Lagrangian </w:t>
      </w:r>
      <w:r>
        <w:rPr>
          <w:rFonts w:cs="Times New Roman"/>
          <w:szCs w:val="24"/>
        </w:rPr>
        <w:t>a</w:t>
      </w:r>
      <w:r w:rsidRPr="009B45C2">
        <w:rPr>
          <w:rFonts w:cs="Times New Roman"/>
          <w:szCs w:val="24"/>
        </w:rPr>
        <w:t xml:space="preserve">nalysis of </w:t>
      </w:r>
      <w:r>
        <w:rPr>
          <w:rFonts w:cs="Times New Roman"/>
          <w:szCs w:val="24"/>
        </w:rPr>
        <w:t>w</w:t>
      </w:r>
      <w:r w:rsidRPr="009B45C2">
        <w:rPr>
          <w:rFonts w:cs="Times New Roman"/>
          <w:szCs w:val="24"/>
        </w:rPr>
        <w:t xml:space="preserve">ater </w:t>
      </w:r>
      <w:r>
        <w:rPr>
          <w:rFonts w:cs="Times New Roman"/>
          <w:szCs w:val="24"/>
        </w:rPr>
        <w:t>v</w:t>
      </w:r>
      <w:r w:rsidRPr="009B45C2">
        <w:rPr>
          <w:rFonts w:cs="Times New Roman"/>
          <w:szCs w:val="24"/>
        </w:rPr>
        <w:t xml:space="preserve">apor </w:t>
      </w:r>
      <w:r>
        <w:rPr>
          <w:rFonts w:cs="Times New Roman"/>
          <w:szCs w:val="24"/>
        </w:rPr>
        <w:t>s</w:t>
      </w:r>
      <w:r w:rsidRPr="009B45C2">
        <w:rPr>
          <w:rFonts w:cs="Times New Roman"/>
          <w:szCs w:val="24"/>
        </w:rPr>
        <w:t xml:space="preserve">ources and </w:t>
      </w:r>
      <w:r>
        <w:rPr>
          <w:rFonts w:cs="Times New Roman"/>
          <w:szCs w:val="24"/>
        </w:rPr>
        <w:t>p</w:t>
      </w:r>
      <w:r w:rsidRPr="009B45C2">
        <w:rPr>
          <w:rFonts w:cs="Times New Roman"/>
          <w:szCs w:val="24"/>
        </w:rPr>
        <w:t xml:space="preserve">athways for </w:t>
      </w:r>
      <w:r>
        <w:rPr>
          <w:rFonts w:cs="Times New Roman"/>
          <w:szCs w:val="24"/>
        </w:rPr>
        <w:t>p</w:t>
      </w:r>
      <w:r w:rsidRPr="009B45C2">
        <w:rPr>
          <w:rFonts w:cs="Times New Roman"/>
          <w:szCs w:val="24"/>
        </w:rPr>
        <w:t xml:space="preserve">recipitation in East China in </w:t>
      </w:r>
      <w:r>
        <w:rPr>
          <w:rFonts w:cs="Times New Roman"/>
          <w:szCs w:val="24"/>
        </w:rPr>
        <w:t>d</w:t>
      </w:r>
      <w:r w:rsidRPr="009B45C2">
        <w:rPr>
          <w:rFonts w:cs="Times New Roman"/>
          <w:szCs w:val="24"/>
        </w:rPr>
        <w:t xml:space="preserve">ifferent </w:t>
      </w:r>
      <w:r>
        <w:rPr>
          <w:rFonts w:cs="Times New Roman"/>
          <w:szCs w:val="24"/>
        </w:rPr>
        <w:t>s</w:t>
      </w:r>
      <w:r w:rsidRPr="009B45C2">
        <w:rPr>
          <w:rFonts w:cs="Times New Roman"/>
          <w:szCs w:val="24"/>
        </w:rPr>
        <w:t xml:space="preserve">tages of the </w:t>
      </w:r>
      <w:r>
        <w:rPr>
          <w:rFonts w:cs="Times New Roman"/>
          <w:szCs w:val="24"/>
        </w:rPr>
        <w:t>e</w:t>
      </w:r>
      <w:r w:rsidRPr="009B45C2">
        <w:rPr>
          <w:rFonts w:cs="Times New Roman"/>
          <w:szCs w:val="24"/>
        </w:rPr>
        <w:t xml:space="preserve">ast Asian </w:t>
      </w:r>
      <w:r>
        <w:rPr>
          <w:rFonts w:cs="Times New Roman"/>
          <w:szCs w:val="24"/>
        </w:rPr>
        <w:t>s</w:t>
      </w:r>
      <w:r w:rsidRPr="009B45C2">
        <w:rPr>
          <w:rFonts w:cs="Times New Roman"/>
          <w:szCs w:val="24"/>
        </w:rPr>
        <w:t xml:space="preserve">ummer </w:t>
      </w:r>
      <w:r>
        <w:rPr>
          <w:rFonts w:cs="Times New Roman"/>
          <w:szCs w:val="24"/>
        </w:rPr>
        <w:t>m</w:t>
      </w:r>
      <w:r w:rsidRPr="009B45C2">
        <w:rPr>
          <w:rFonts w:cs="Times New Roman"/>
          <w:szCs w:val="24"/>
        </w:rPr>
        <w:t xml:space="preserve">onsoon.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33</w:t>
      </w:r>
      <w:r w:rsidRPr="009B45C2">
        <w:rPr>
          <w:rFonts w:cs="Times New Roman"/>
          <w:szCs w:val="24"/>
        </w:rPr>
        <w:t xml:space="preserve">(3), 977–992. </w:t>
      </w:r>
      <w:hyperlink r:id="rId96" w:history="1">
        <w:r w:rsidRPr="003816EC">
          <w:rPr>
            <w:rStyle w:val="ab"/>
          </w:rPr>
          <w:t>https://doi.org/10.1175/ JCLI-D-19-0089.1</w:t>
        </w:r>
      </w:hyperlink>
    </w:p>
    <w:p w14:paraId="7C7242B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Sieglaff, J. M., Cronce, L. M., Feltz, W. F., Bedka, K. M., Pavolonis, M. J., &amp; Heidinger, A. K. (2011). Nowcasting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torm </w:t>
      </w:r>
      <w:r>
        <w:rPr>
          <w:rFonts w:cs="Times New Roman"/>
          <w:szCs w:val="24"/>
        </w:rPr>
        <w:t>i</w:t>
      </w:r>
      <w:r w:rsidRPr="009B45C2">
        <w:rPr>
          <w:rFonts w:cs="Times New Roman"/>
          <w:szCs w:val="24"/>
        </w:rPr>
        <w:t xml:space="preserve">nitiation </w:t>
      </w:r>
      <w:r>
        <w:rPr>
          <w:rFonts w:cs="Times New Roman"/>
          <w:szCs w:val="24"/>
        </w:rPr>
        <w:t>u</w:t>
      </w:r>
      <w:r w:rsidRPr="009B45C2">
        <w:rPr>
          <w:rFonts w:cs="Times New Roman"/>
          <w:szCs w:val="24"/>
        </w:rPr>
        <w:t xml:space="preserve">sing </w:t>
      </w:r>
      <w:r>
        <w:rPr>
          <w:rFonts w:cs="Times New Roman"/>
          <w:szCs w:val="24"/>
        </w:rPr>
        <w:t>s</w:t>
      </w:r>
      <w:r w:rsidRPr="009B45C2">
        <w:rPr>
          <w:rFonts w:cs="Times New Roman"/>
          <w:szCs w:val="24"/>
        </w:rPr>
        <w:t>atellite-</w:t>
      </w:r>
      <w:r>
        <w:rPr>
          <w:rFonts w:cs="Times New Roman"/>
          <w:szCs w:val="24"/>
        </w:rPr>
        <w:t>b</w:t>
      </w:r>
      <w:r w:rsidRPr="009B45C2">
        <w:rPr>
          <w:rFonts w:cs="Times New Roman"/>
          <w:szCs w:val="24"/>
        </w:rPr>
        <w:t xml:space="preserve">ased </w:t>
      </w:r>
      <w:r>
        <w:rPr>
          <w:rFonts w:cs="Times New Roman"/>
          <w:szCs w:val="24"/>
        </w:rPr>
        <w:t>b</w:t>
      </w:r>
      <w:r w:rsidRPr="009B45C2">
        <w:rPr>
          <w:rFonts w:cs="Times New Roman"/>
          <w:szCs w:val="24"/>
        </w:rPr>
        <w:t>ox-</w:t>
      </w:r>
      <w:r>
        <w:rPr>
          <w:rFonts w:cs="Times New Roman"/>
          <w:szCs w:val="24"/>
        </w:rPr>
        <w:t>a</w:t>
      </w:r>
      <w:r w:rsidRPr="009B45C2">
        <w:rPr>
          <w:rFonts w:cs="Times New Roman"/>
          <w:szCs w:val="24"/>
        </w:rPr>
        <w:t xml:space="preserve">veraged </w:t>
      </w:r>
      <w:r>
        <w:rPr>
          <w:rFonts w:cs="Times New Roman"/>
          <w:szCs w:val="24"/>
        </w:rPr>
        <w:t>c</w:t>
      </w:r>
      <w:r w:rsidRPr="009B45C2">
        <w:rPr>
          <w:rFonts w:cs="Times New Roman"/>
          <w:szCs w:val="24"/>
        </w:rPr>
        <w:t>loud-</w:t>
      </w:r>
      <w:r>
        <w:rPr>
          <w:rFonts w:cs="Times New Roman"/>
          <w:szCs w:val="24"/>
        </w:rPr>
        <w:t>t</w:t>
      </w:r>
      <w:r w:rsidRPr="009B45C2">
        <w:rPr>
          <w:rFonts w:cs="Times New Roman"/>
          <w:szCs w:val="24"/>
        </w:rPr>
        <w:t xml:space="preserve">op </w:t>
      </w:r>
      <w:r>
        <w:rPr>
          <w:rFonts w:cs="Times New Roman"/>
          <w:szCs w:val="24"/>
        </w:rPr>
        <w:t>c</w:t>
      </w:r>
      <w:r w:rsidRPr="009B45C2">
        <w:rPr>
          <w:rFonts w:cs="Times New Roman"/>
          <w:szCs w:val="24"/>
        </w:rPr>
        <w:t xml:space="preserve">ooling and </w:t>
      </w:r>
      <w:r>
        <w:rPr>
          <w:rFonts w:cs="Times New Roman"/>
          <w:szCs w:val="24"/>
        </w:rPr>
        <w:t>c</w:t>
      </w:r>
      <w:r w:rsidRPr="009B45C2">
        <w:rPr>
          <w:rFonts w:cs="Times New Roman"/>
          <w:szCs w:val="24"/>
        </w:rPr>
        <w:t>loud-</w:t>
      </w:r>
      <w:r>
        <w:rPr>
          <w:rFonts w:cs="Times New Roman"/>
          <w:szCs w:val="24"/>
        </w:rPr>
        <w:t>t</w:t>
      </w:r>
      <w:r w:rsidRPr="009B45C2">
        <w:rPr>
          <w:rFonts w:cs="Times New Roman"/>
          <w:szCs w:val="24"/>
        </w:rPr>
        <w:t xml:space="preserve">ype </w:t>
      </w:r>
      <w:r>
        <w:rPr>
          <w:rFonts w:cs="Times New Roman"/>
          <w:szCs w:val="24"/>
        </w:rPr>
        <w:t>t</w:t>
      </w:r>
      <w:r w:rsidRPr="009B45C2">
        <w:rPr>
          <w:rFonts w:cs="Times New Roman"/>
          <w:szCs w:val="24"/>
        </w:rPr>
        <w:t xml:space="preserve">rends. </w:t>
      </w:r>
      <w:r w:rsidRPr="009B45C2">
        <w:rPr>
          <w:rFonts w:cs="Times New Roman"/>
          <w:i/>
          <w:iCs/>
          <w:szCs w:val="24"/>
        </w:rPr>
        <w:t>Journal of Applied Meteorology and Climatology</w:t>
      </w:r>
      <w:r w:rsidRPr="009B45C2">
        <w:rPr>
          <w:rFonts w:cs="Times New Roman"/>
          <w:szCs w:val="24"/>
        </w:rPr>
        <w:t xml:space="preserve">, </w:t>
      </w:r>
      <w:r w:rsidRPr="009B45C2">
        <w:rPr>
          <w:rFonts w:cs="Times New Roman"/>
          <w:i/>
          <w:iCs/>
          <w:szCs w:val="24"/>
        </w:rPr>
        <w:t>50</w:t>
      </w:r>
      <w:r w:rsidRPr="009B45C2">
        <w:rPr>
          <w:rFonts w:cs="Times New Roman"/>
          <w:szCs w:val="24"/>
        </w:rPr>
        <w:t xml:space="preserve">(1), 110–126. </w:t>
      </w:r>
      <w:hyperlink r:id="rId97" w:history="1">
        <w:r w:rsidRPr="00C75784">
          <w:rPr>
            <w:rStyle w:val="ab"/>
          </w:rPr>
          <w:t>https://doi.org/10.1175/2010JAMC2496.1</w:t>
        </w:r>
      </w:hyperlink>
    </w:p>
    <w:p w14:paraId="46769E81"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Solman, S. A., &amp; Menéndez, C. G. (2003). Weather regimes in the South American sector and neighbouring oceans during winter. </w:t>
      </w:r>
      <w:r w:rsidRPr="009B45C2">
        <w:rPr>
          <w:rFonts w:cs="Times New Roman"/>
          <w:i/>
          <w:iCs/>
          <w:szCs w:val="24"/>
        </w:rPr>
        <w:t>Climate Dynamics</w:t>
      </w:r>
      <w:r w:rsidRPr="009B45C2">
        <w:rPr>
          <w:rFonts w:cs="Times New Roman"/>
          <w:szCs w:val="24"/>
        </w:rPr>
        <w:t xml:space="preserve">, </w:t>
      </w:r>
      <w:r w:rsidRPr="009B45C2">
        <w:rPr>
          <w:rFonts w:cs="Times New Roman"/>
          <w:i/>
          <w:iCs/>
          <w:szCs w:val="24"/>
        </w:rPr>
        <w:t>21</w:t>
      </w:r>
      <w:r w:rsidRPr="009B45C2">
        <w:rPr>
          <w:rFonts w:cs="Times New Roman"/>
          <w:szCs w:val="24"/>
        </w:rPr>
        <w:t xml:space="preserve">(1), 91–104. </w:t>
      </w:r>
      <w:hyperlink r:id="rId98" w:history="1">
        <w:r w:rsidRPr="00C75784">
          <w:rPr>
            <w:rStyle w:val="ab"/>
          </w:rPr>
          <w:t>https://doi.org/10.1007/s00382-003-0320-x</w:t>
        </w:r>
      </w:hyperlink>
    </w:p>
    <w:p w14:paraId="4FAB98E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Song, F., Feng, Z., Leung, L. R., Jr, R. A. H., Wang, J., Hardin, J., &amp; Homeyer, C. R. (2019). Contrasting </w:t>
      </w:r>
      <w:r>
        <w:rPr>
          <w:rFonts w:cs="Times New Roman"/>
          <w:szCs w:val="24"/>
        </w:rPr>
        <w:t>s</w:t>
      </w:r>
      <w:r w:rsidRPr="009B45C2">
        <w:rPr>
          <w:rFonts w:cs="Times New Roman"/>
          <w:szCs w:val="24"/>
        </w:rPr>
        <w:t xml:space="preserve">pring and </w:t>
      </w:r>
      <w:r>
        <w:rPr>
          <w:rFonts w:cs="Times New Roman"/>
          <w:szCs w:val="24"/>
        </w:rPr>
        <w:t>s</w:t>
      </w:r>
      <w:r w:rsidRPr="009B45C2">
        <w:rPr>
          <w:rFonts w:cs="Times New Roman"/>
          <w:szCs w:val="24"/>
        </w:rPr>
        <w:t xml:space="preserve">ummer </w:t>
      </w:r>
      <w:r>
        <w:rPr>
          <w:rFonts w:cs="Times New Roman"/>
          <w:szCs w:val="24"/>
        </w:rPr>
        <w:t>l</w:t>
      </w:r>
      <w:r w:rsidRPr="009B45C2">
        <w:rPr>
          <w:rFonts w:cs="Times New Roman"/>
          <w:szCs w:val="24"/>
        </w:rPr>
        <w:t>arge-</w:t>
      </w:r>
      <w:r>
        <w:rPr>
          <w:rFonts w:cs="Times New Roman"/>
          <w:szCs w:val="24"/>
        </w:rPr>
        <w:t>s</w:t>
      </w:r>
      <w:r w:rsidRPr="009B45C2">
        <w:rPr>
          <w:rFonts w:cs="Times New Roman"/>
          <w:szCs w:val="24"/>
        </w:rPr>
        <w:t xml:space="preserve">cale </w:t>
      </w:r>
      <w:r>
        <w:rPr>
          <w:rFonts w:cs="Times New Roman"/>
          <w:szCs w:val="24"/>
        </w:rPr>
        <w:t>e</w:t>
      </w:r>
      <w:r w:rsidRPr="009B45C2">
        <w:rPr>
          <w:rFonts w:cs="Times New Roman"/>
          <w:szCs w:val="24"/>
        </w:rPr>
        <w:t xml:space="preserve">nvironments </w:t>
      </w:r>
      <w:r>
        <w:rPr>
          <w:rFonts w:cs="Times New Roman"/>
          <w:szCs w:val="24"/>
        </w:rPr>
        <w:t>a</w:t>
      </w:r>
      <w:r w:rsidRPr="009B45C2">
        <w:rPr>
          <w:rFonts w:cs="Times New Roman"/>
          <w:szCs w:val="24"/>
        </w:rPr>
        <w:t xml:space="preserve">ssociated with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over the U.S. Great Plains.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32</w:t>
      </w:r>
      <w:r w:rsidRPr="009B45C2">
        <w:rPr>
          <w:rFonts w:cs="Times New Roman"/>
          <w:szCs w:val="24"/>
        </w:rPr>
        <w:t xml:space="preserve">(20), 6749–6767. </w:t>
      </w:r>
      <w:hyperlink r:id="rId99" w:history="1">
        <w:r w:rsidRPr="00C75784">
          <w:rPr>
            <w:rStyle w:val="ab"/>
          </w:rPr>
          <w:t>https://doi.org/10.1175/JCLI-D-18-0839.1</w:t>
        </w:r>
      </w:hyperlink>
    </w:p>
    <w:p w14:paraId="051587D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Stahl, K., Moore, R. D., &amp; Mckendry, I. G. (2006). The role of synoptic-scale circulation in the linkage between large-scale ocean–atmosphere indices and winter surface climate in British Columbia, Canada. </w:t>
      </w:r>
      <w:r w:rsidRPr="009B45C2">
        <w:rPr>
          <w:rFonts w:cs="Times New Roman"/>
          <w:i/>
          <w:iCs/>
          <w:szCs w:val="24"/>
        </w:rPr>
        <w:t>International Journal of Climatology</w:t>
      </w:r>
      <w:r w:rsidRPr="009B45C2">
        <w:rPr>
          <w:rFonts w:cs="Times New Roman"/>
          <w:szCs w:val="24"/>
        </w:rPr>
        <w:t xml:space="preserve">, </w:t>
      </w:r>
      <w:r w:rsidRPr="009B45C2">
        <w:rPr>
          <w:rFonts w:cs="Times New Roman"/>
          <w:i/>
          <w:iCs/>
          <w:szCs w:val="24"/>
        </w:rPr>
        <w:t>26</w:t>
      </w:r>
      <w:r w:rsidRPr="009B45C2">
        <w:rPr>
          <w:rFonts w:cs="Times New Roman"/>
          <w:szCs w:val="24"/>
        </w:rPr>
        <w:t xml:space="preserve">(4), 541–560. </w:t>
      </w:r>
      <w:hyperlink r:id="rId100" w:history="1">
        <w:r w:rsidRPr="00C75784">
          <w:rPr>
            <w:rStyle w:val="ab"/>
          </w:rPr>
          <w:t>https://doi.org/10.1002/joc.1268</w:t>
        </w:r>
      </w:hyperlink>
    </w:p>
    <w:p w14:paraId="26085C15"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Sugimoto, S., &amp; Ueno, K. (2010). Formation of mesoscale convective systems over the eastern Tibetan Plateau affected by plateau-scale heating contrasts. </w:t>
      </w:r>
      <w:r>
        <w:rPr>
          <w:rFonts w:cs="Times New Roman"/>
          <w:i/>
          <w:iCs/>
          <w:szCs w:val="24"/>
        </w:rPr>
        <w:t>Journal of Geophysical Research: Atmospheres</w:t>
      </w:r>
      <w:r w:rsidRPr="009B45C2">
        <w:rPr>
          <w:rFonts w:cs="Times New Roman"/>
          <w:szCs w:val="24"/>
        </w:rPr>
        <w:t xml:space="preserve">, </w:t>
      </w:r>
      <w:r w:rsidRPr="009B45C2">
        <w:rPr>
          <w:rFonts w:cs="Times New Roman"/>
          <w:i/>
          <w:iCs/>
          <w:szCs w:val="24"/>
        </w:rPr>
        <w:t>115</w:t>
      </w:r>
      <w:r w:rsidRPr="009B45C2">
        <w:rPr>
          <w:rFonts w:cs="Times New Roman"/>
          <w:szCs w:val="24"/>
        </w:rPr>
        <w:t xml:space="preserve">. </w:t>
      </w:r>
      <w:hyperlink r:id="rId101" w:history="1">
        <w:r w:rsidRPr="00C75784">
          <w:rPr>
            <w:rStyle w:val="ab"/>
          </w:rPr>
          <w:t>https://doi.org/10.1029/2009JD013609</w:t>
        </w:r>
      </w:hyperlink>
    </w:p>
    <w:p w14:paraId="29C14E7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Sun, J., &amp; Zhang, F. (2012). Impacts of </w:t>
      </w:r>
      <w:r>
        <w:rPr>
          <w:rFonts w:cs="Times New Roman"/>
          <w:szCs w:val="24"/>
        </w:rPr>
        <w:t>m</w:t>
      </w:r>
      <w:r w:rsidRPr="009B45C2">
        <w:rPr>
          <w:rFonts w:cs="Times New Roman"/>
          <w:szCs w:val="24"/>
        </w:rPr>
        <w:t>ountain–</w:t>
      </w:r>
      <w:r>
        <w:rPr>
          <w:rFonts w:cs="Times New Roman"/>
          <w:szCs w:val="24"/>
        </w:rPr>
        <w:t>p</w:t>
      </w:r>
      <w:r w:rsidRPr="009B45C2">
        <w:rPr>
          <w:rFonts w:cs="Times New Roman"/>
          <w:szCs w:val="24"/>
        </w:rPr>
        <w:t xml:space="preserve">lains </w:t>
      </w:r>
      <w:r>
        <w:rPr>
          <w:rFonts w:cs="Times New Roman"/>
          <w:szCs w:val="24"/>
        </w:rPr>
        <w:t>s</w:t>
      </w:r>
      <w:r w:rsidRPr="009B45C2">
        <w:rPr>
          <w:rFonts w:cs="Times New Roman"/>
          <w:szCs w:val="24"/>
        </w:rPr>
        <w:t xml:space="preserve">olenoid on </w:t>
      </w:r>
      <w:r>
        <w:rPr>
          <w:rFonts w:cs="Times New Roman"/>
          <w:szCs w:val="24"/>
        </w:rPr>
        <w:t>d</w:t>
      </w:r>
      <w:r w:rsidRPr="009B45C2">
        <w:rPr>
          <w:rFonts w:cs="Times New Roman"/>
          <w:szCs w:val="24"/>
        </w:rPr>
        <w:t xml:space="preserve">iurnal </w:t>
      </w:r>
      <w:r>
        <w:rPr>
          <w:rFonts w:cs="Times New Roman"/>
          <w:szCs w:val="24"/>
        </w:rPr>
        <w:t>v</w:t>
      </w:r>
      <w:r w:rsidRPr="009B45C2">
        <w:rPr>
          <w:rFonts w:cs="Times New Roman"/>
          <w:szCs w:val="24"/>
        </w:rPr>
        <w:t xml:space="preserve">ariations of </w:t>
      </w:r>
      <w:r>
        <w:rPr>
          <w:rFonts w:cs="Times New Roman"/>
          <w:szCs w:val="24"/>
        </w:rPr>
        <w:t>r</w:t>
      </w:r>
      <w:r w:rsidRPr="009B45C2">
        <w:rPr>
          <w:rFonts w:cs="Times New Roman"/>
          <w:szCs w:val="24"/>
        </w:rPr>
        <w:t xml:space="preserve">ainfalls along the </w:t>
      </w:r>
      <w:r>
        <w:rPr>
          <w:rFonts w:cs="Times New Roman"/>
          <w:szCs w:val="24"/>
        </w:rPr>
        <w:t>m</w:t>
      </w:r>
      <w:r w:rsidRPr="009B45C2">
        <w:rPr>
          <w:rFonts w:cs="Times New Roman"/>
          <w:szCs w:val="24"/>
        </w:rPr>
        <w:t>ei-</w:t>
      </w:r>
      <w:r>
        <w:rPr>
          <w:rFonts w:cs="Times New Roman"/>
          <w:szCs w:val="24"/>
        </w:rPr>
        <w:t>y</w:t>
      </w:r>
      <w:r w:rsidRPr="009B45C2">
        <w:rPr>
          <w:rFonts w:cs="Times New Roman"/>
          <w:szCs w:val="24"/>
        </w:rPr>
        <w:t>u</w:t>
      </w:r>
      <w:r>
        <w:rPr>
          <w:rFonts w:cs="Times New Roman"/>
          <w:szCs w:val="24"/>
        </w:rPr>
        <w:t xml:space="preserve"> f</w:t>
      </w:r>
      <w:r w:rsidRPr="009B45C2">
        <w:rPr>
          <w:rFonts w:cs="Times New Roman"/>
          <w:szCs w:val="24"/>
        </w:rPr>
        <w:t xml:space="preserve">ront over the East China </w:t>
      </w:r>
      <w:r>
        <w:rPr>
          <w:rFonts w:cs="Times New Roman"/>
          <w:szCs w:val="24"/>
        </w:rPr>
        <w:t>p</w:t>
      </w:r>
      <w:r w:rsidRPr="009B45C2">
        <w:rPr>
          <w:rFonts w:cs="Times New Roman"/>
          <w:szCs w:val="24"/>
        </w:rPr>
        <w:t xml:space="preserve">lains. </w:t>
      </w:r>
      <w:r w:rsidRPr="009B45C2">
        <w:rPr>
          <w:rFonts w:cs="Times New Roman"/>
          <w:i/>
          <w:iCs/>
          <w:szCs w:val="24"/>
        </w:rPr>
        <w:t xml:space="preserve">Monthly Weather </w:t>
      </w:r>
      <w:r w:rsidRPr="009B45C2">
        <w:rPr>
          <w:rFonts w:cs="Times New Roman"/>
          <w:i/>
          <w:iCs/>
          <w:szCs w:val="24"/>
        </w:rPr>
        <w:lastRenderedPageBreak/>
        <w:t>Review</w:t>
      </w:r>
      <w:r w:rsidRPr="009B45C2">
        <w:rPr>
          <w:rFonts w:cs="Times New Roman"/>
          <w:szCs w:val="24"/>
        </w:rPr>
        <w:t xml:space="preserve">, </w:t>
      </w:r>
      <w:r w:rsidRPr="009B45C2">
        <w:rPr>
          <w:rFonts w:cs="Times New Roman"/>
          <w:i/>
          <w:iCs/>
          <w:szCs w:val="24"/>
        </w:rPr>
        <w:t>140</w:t>
      </w:r>
      <w:r w:rsidRPr="009B45C2">
        <w:rPr>
          <w:rFonts w:cs="Times New Roman"/>
          <w:szCs w:val="24"/>
        </w:rPr>
        <w:t xml:space="preserve">(2), 379–397. </w:t>
      </w:r>
      <w:hyperlink r:id="rId102" w:history="1">
        <w:r w:rsidRPr="00C75784">
          <w:rPr>
            <w:rStyle w:val="ab"/>
          </w:rPr>
          <w:t>https://doi.org/10.1175/MWR-D-11-00041.1</w:t>
        </w:r>
      </w:hyperlink>
    </w:p>
    <w:p w14:paraId="77EC3E50" w14:textId="77777777" w:rsidR="005F61F6" w:rsidRDefault="005F61F6" w:rsidP="005F61F6">
      <w:pPr>
        <w:adjustRightInd w:val="0"/>
        <w:snapToGrid w:val="0"/>
        <w:spacing w:beforeLines="0" w:before="240" w:after="120"/>
        <w:ind w:left="360" w:hangingChars="150" w:hanging="360"/>
        <w:rPr>
          <w:rFonts w:cs="Times New Roman"/>
          <w:szCs w:val="24"/>
        </w:rPr>
      </w:pPr>
      <w:r w:rsidRPr="00142410">
        <w:rPr>
          <w:rFonts w:cs="Times New Roman"/>
          <w:szCs w:val="24"/>
        </w:rPr>
        <w:t>Sun J., Wei</w:t>
      </w:r>
      <w:r w:rsidRPr="00E33AF5">
        <w:rPr>
          <w:rFonts w:cs="Times New Roman"/>
          <w:szCs w:val="24"/>
        </w:rPr>
        <w:t xml:space="preserve"> </w:t>
      </w:r>
      <w:r w:rsidRPr="00142410">
        <w:rPr>
          <w:rFonts w:cs="Times New Roman"/>
          <w:szCs w:val="24"/>
        </w:rPr>
        <w:t>J., Fu</w:t>
      </w:r>
      <w:r w:rsidRPr="00E33AF5">
        <w:rPr>
          <w:rFonts w:cs="Times New Roman"/>
          <w:szCs w:val="24"/>
        </w:rPr>
        <w:t xml:space="preserve"> </w:t>
      </w:r>
      <w:r w:rsidRPr="00142410">
        <w:rPr>
          <w:rFonts w:cs="Times New Roman"/>
          <w:szCs w:val="24"/>
        </w:rPr>
        <w:t>S., Zhang Y.</w:t>
      </w:r>
      <w:r>
        <w:rPr>
          <w:rFonts w:cs="Times New Roman"/>
          <w:szCs w:val="24"/>
        </w:rPr>
        <w:t xml:space="preserve"> &amp;</w:t>
      </w:r>
      <w:r w:rsidRPr="00142410">
        <w:rPr>
          <w:rFonts w:cs="Times New Roman"/>
          <w:szCs w:val="24"/>
        </w:rPr>
        <w:t xml:space="preserve"> Wang</w:t>
      </w:r>
      <w:r w:rsidRPr="00E33AF5">
        <w:rPr>
          <w:rFonts w:cs="Times New Roman"/>
          <w:szCs w:val="24"/>
        </w:rPr>
        <w:t xml:space="preserve"> </w:t>
      </w:r>
      <w:r w:rsidRPr="00142410">
        <w:rPr>
          <w:rFonts w:cs="Times New Roman"/>
          <w:szCs w:val="24"/>
        </w:rPr>
        <w:t xml:space="preserve">H., 2018: The multi-scale physical model for persistent heavy rainfall events in the Yangtze-Huaihe River valley. </w:t>
      </w:r>
      <w:r w:rsidRPr="005A08A5">
        <w:rPr>
          <w:rFonts w:cs="Times New Roman"/>
          <w:i/>
          <w:iCs/>
          <w:szCs w:val="24"/>
        </w:rPr>
        <w:t>Chinese Journal of Atmospheric Sciences</w:t>
      </w:r>
      <w:r w:rsidRPr="005A08A5">
        <w:rPr>
          <w:rFonts w:cs="Times New Roman"/>
          <w:szCs w:val="24"/>
        </w:rPr>
        <w:t>,</w:t>
      </w:r>
      <w:r w:rsidRPr="00142410">
        <w:rPr>
          <w:rFonts w:cs="Times New Roman"/>
          <w:szCs w:val="24"/>
        </w:rPr>
        <w:t xml:space="preserve"> </w:t>
      </w:r>
      <w:r w:rsidRPr="005A08A5">
        <w:rPr>
          <w:rFonts w:cs="Times New Roman"/>
          <w:i/>
          <w:iCs/>
          <w:szCs w:val="24"/>
        </w:rPr>
        <w:t>42</w:t>
      </w:r>
      <w:r w:rsidRPr="005A08A5">
        <w:rPr>
          <w:rFonts w:cs="Times New Roman"/>
          <w:szCs w:val="24"/>
        </w:rPr>
        <w:t>(4)</w:t>
      </w:r>
      <w:r w:rsidRPr="00142410">
        <w:rPr>
          <w:rFonts w:cs="Times New Roman"/>
          <w:szCs w:val="24"/>
        </w:rPr>
        <w:t xml:space="preserve">, 741–754, </w:t>
      </w:r>
      <w:hyperlink r:id="rId103" w:history="1">
        <w:r w:rsidRPr="00A97A6C">
          <w:rPr>
            <w:rStyle w:val="ab"/>
          </w:rPr>
          <w:t>http://doi.org/10.3878/j.issn.1006-9895.1803.17246</w:t>
        </w:r>
      </w:hyperlink>
      <w:r>
        <w:rPr>
          <w:rFonts w:cs="Times New Roman"/>
          <w:szCs w:val="24"/>
        </w:rPr>
        <w:t>. (in Chinese)</w:t>
      </w:r>
    </w:p>
    <w:p w14:paraId="3D1F7268" w14:textId="77777777" w:rsidR="005F61F6" w:rsidRPr="005A08A5" w:rsidRDefault="005F61F6" w:rsidP="005F61F6">
      <w:pPr>
        <w:pStyle w:val="aa"/>
        <w:adjustRightInd w:val="0"/>
        <w:snapToGrid w:val="0"/>
        <w:spacing w:beforeLines="0" w:before="240" w:after="120" w:line="360" w:lineRule="auto"/>
        <w:ind w:left="360" w:hangingChars="150" w:hanging="360"/>
        <w:rPr>
          <w:rFonts w:eastAsiaTheme="minorEastAsia"/>
        </w:rPr>
      </w:pPr>
      <w:r w:rsidRPr="009B45C2">
        <w:rPr>
          <w:rFonts w:cs="Times New Roman"/>
          <w:szCs w:val="24"/>
        </w:rPr>
        <w:t xml:space="preserve">Tao, S. (1980). </w:t>
      </w:r>
      <w:r w:rsidRPr="009B45C2">
        <w:rPr>
          <w:rFonts w:cs="Times New Roman"/>
          <w:i/>
          <w:iCs/>
          <w:szCs w:val="24"/>
        </w:rPr>
        <w:t>Heavy Rai</w:t>
      </w:r>
      <w:r w:rsidRPr="00620173">
        <w:rPr>
          <w:rFonts w:cs="Times New Roman"/>
          <w:i/>
          <w:iCs/>
          <w:szCs w:val="24"/>
        </w:rPr>
        <w:t>nfalls in China</w:t>
      </w:r>
      <w:r w:rsidRPr="00620173">
        <w:rPr>
          <w:rFonts w:cs="Times New Roman"/>
          <w:szCs w:val="24"/>
        </w:rPr>
        <w:t>. Bei</w:t>
      </w:r>
      <w:r w:rsidRPr="009B45C2">
        <w:rPr>
          <w:rFonts w:cs="Times New Roman"/>
          <w:szCs w:val="24"/>
        </w:rPr>
        <w:t>jing: Science Press</w:t>
      </w:r>
      <w:r>
        <w:rPr>
          <w:rFonts w:cs="Times New Roman"/>
          <w:szCs w:val="24"/>
        </w:rPr>
        <w:t>.</w:t>
      </w:r>
    </w:p>
    <w:p w14:paraId="7A74D69F"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Ternynck, C., Alaya, M. A. B., Chebana, F., Dabo-Niang, S., &amp; Ouarda, T. B. M. J. (2016). Streamflow </w:t>
      </w:r>
      <w:r>
        <w:rPr>
          <w:rFonts w:cs="Times New Roman"/>
          <w:szCs w:val="24"/>
        </w:rPr>
        <w:t>h</w:t>
      </w:r>
      <w:r w:rsidRPr="009B45C2">
        <w:rPr>
          <w:rFonts w:cs="Times New Roman"/>
          <w:szCs w:val="24"/>
        </w:rPr>
        <w:t xml:space="preserve">ydrograph </w:t>
      </w:r>
      <w:r>
        <w:rPr>
          <w:rFonts w:cs="Times New Roman"/>
          <w:szCs w:val="24"/>
        </w:rPr>
        <w:t>c</w:t>
      </w:r>
      <w:r w:rsidRPr="009B45C2">
        <w:rPr>
          <w:rFonts w:cs="Times New Roman"/>
          <w:szCs w:val="24"/>
        </w:rPr>
        <w:t xml:space="preserve">lassification </w:t>
      </w:r>
      <w:r>
        <w:rPr>
          <w:rFonts w:cs="Times New Roman"/>
          <w:szCs w:val="24"/>
        </w:rPr>
        <w:t>u</w:t>
      </w:r>
      <w:r w:rsidRPr="009B45C2">
        <w:rPr>
          <w:rFonts w:cs="Times New Roman"/>
          <w:szCs w:val="24"/>
        </w:rPr>
        <w:t xml:space="preserve">sing </w:t>
      </w:r>
      <w:r>
        <w:rPr>
          <w:rFonts w:cs="Times New Roman"/>
          <w:szCs w:val="24"/>
        </w:rPr>
        <w:t>f</w:t>
      </w:r>
      <w:r w:rsidRPr="009B45C2">
        <w:rPr>
          <w:rFonts w:cs="Times New Roman"/>
          <w:szCs w:val="24"/>
        </w:rPr>
        <w:t xml:space="preserve">unctional </w:t>
      </w:r>
      <w:r>
        <w:rPr>
          <w:rFonts w:cs="Times New Roman"/>
          <w:szCs w:val="24"/>
        </w:rPr>
        <w:t>d</w:t>
      </w:r>
      <w:r w:rsidRPr="009B45C2">
        <w:rPr>
          <w:rFonts w:cs="Times New Roman"/>
          <w:szCs w:val="24"/>
        </w:rPr>
        <w:t xml:space="preserve">ata </w:t>
      </w:r>
      <w:r>
        <w:rPr>
          <w:rFonts w:cs="Times New Roman"/>
          <w:szCs w:val="24"/>
        </w:rPr>
        <w:t>a</w:t>
      </w:r>
      <w:r w:rsidRPr="009B45C2">
        <w:rPr>
          <w:rFonts w:cs="Times New Roman"/>
          <w:szCs w:val="24"/>
        </w:rPr>
        <w:t xml:space="preserve">nalysis. </w:t>
      </w:r>
      <w:r w:rsidRPr="009B45C2">
        <w:rPr>
          <w:rFonts w:cs="Times New Roman"/>
          <w:i/>
          <w:iCs/>
          <w:szCs w:val="24"/>
        </w:rPr>
        <w:t>Journal of Hydrometeorology</w:t>
      </w:r>
      <w:r w:rsidRPr="009B45C2">
        <w:rPr>
          <w:rFonts w:cs="Times New Roman"/>
          <w:szCs w:val="24"/>
        </w:rPr>
        <w:t xml:space="preserve">, </w:t>
      </w:r>
      <w:r w:rsidRPr="009B45C2">
        <w:rPr>
          <w:rFonts w:cs="Times New Roman"/>
          <w:i/>
          <w:iCs/>
          <w:szCs w:val="24"/>
        </w:rPr>
        <w:t>17</w:t>
      </w:r>
      <w:r w:rsidRPr="009B45C2">
        <w:rPr>
          <w:rFonts w:cs="Times New Roman"/>
          <w:szCs w:val="24"/>
        </w:rPr>
        <w:t xml:space="preserve">(1), 327–344. </w:t>
      </w:r>
      <w:hyperlink r:id="rId104" w:history="1">
        <w:r w:rsidRPr="00C75784">
          <w:rPr>
            <w:rStyle w:val="ab"/>
          </w:rPr>
          <w:t>https://doi.org/10.1175/JHM-D-14-0200.1</w:t>
        </w:r>
      </w:hyperlink>
    </w:p>
    <w:p w14:paraId="6F5A7F9B"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Vandal, T., &amp; Nemani, R. (202</w:t>
      </w:r>
      <w:r w:rsidRPr="00620173">
        <w:rPr>
          <w:rFonts w:cs="Times New Roman"/>
          <w:szCs w:val="24"/>
        </w:rPr>
        <w:t>0). Temp</w:t>
      </w:r>
      <w:r w:rsidRPr="009B45C2">
        <w:rPr>
          <w:rFonts w:cs="Times New Roman"/>
          <w:szCs w:val="24"/>
        </w:rPr>
        <w:t xml:space="preserve">oral </w:t>
      </w:r>
      <w:r>
        <w:rPr>
          <w:rFonts w:cs="Times New Roman"/>
          <w:szCs w:val="24"/>
        </w:rPr>
        <w:t>i</w:t>
      </w:r>
      <w:r w:rsidRPr="009B45C2">
        <w:rPr>
          <w:rFonts w:cs="Times New Roman"/>
          <w:szCs w:val="24"/>
        </w:rPr>
        <w:t xml:space="preserve">nterpolation of </w:t>
      </w:r>
      <w:r>
        <w:rPr>
          <w:rFonts w:cs="Times New Roman"/>
          <w:szCs w:val="24"/>
        </w:rPr>
        <w:t>g</w:t>
      </w:r>
      <w:r w:rsidRPr="009B45C2">
        <w:rPr>
          <w:rFonts w:cs="Times New Roman"/>
          <w:szCs w:val="24"/>
        </w:rPr>
        <w:t xml:space="preserve">eostationary </w:t>
      </w:r>
      <w:r>
        <w:rPr>
          <w:rFonts w:cs="Times New Roman"/>
          <w:szCs w:val="24"/>
        </w:rPr>
        <w:t>s</w:t>
      </w:r>
      <w:r w:rsidRPr="009B45C2">
        <w:rPr>
          <w:rFonts w:cs="Times New Roman"/>
          <w:szCs w:val="24"/>
        </w:rPr>
        <w:t xml:space="preserve">atellite </w:t>
      </w:r>
      <w:r>
        <w:rPr>
          <w:rFonts w:cs="Times New Roman"/>
          <w:szCs w:val="24"/>
        </w:rPr>
        <w:t>i</w:t>
      </w:r>
      <w:r w:rsidRPr="009B45C2">
        <w:rPr>
          <w:rFonts w:cs="Times New Roman"/>
          <w:szCs w:val="24"/>
        </w:rPr>
        <w:t xml:space="preserve">magery with </w:t>
      </w:r>
      <w:r>
        <w:rPr>
          <w:rFonts w:cs="Times New Roman"/>
          <w:szCs w:val="24"/>
        </w:rPr>
        <w:t>t</w:t>
      </w:r>
      <w:r w:rsidRPr="009B45C2">
        <w:rPr>
          <w:rFonts w:cs="Times New Roman"/>
          <w:szCs w:val="24"/>
        </w:rPr>
        <w:t xml:space="preserve">ask </w:t>
      </w:r>
      <w:r>
        <w:rPr>
          <w:rFonts w:cs="Times New Roman"/>
          <w:szCs w:val="24"/>
        </w:rPr>
        <w:t>s</w:t>
      </w:r>
      <w:r w:rsidRPr="009B45C2">
        <w:rPr>
          <w:rFonts w:cs="Times New Roman"/>
          <w:szCs w:val="24"/>
        </w:rPr>
        <w:t xml:space="preserve">pecific </w:t>
      </w:r>
      <w:r>
        <w:rPr>
          <w:rFonts w:cs="Times New Roman"/>
          <w:szCs w:val="24"/>
        </w:rPr>
        <w:t>o</w:t>
      </w:r>
      <w:r w:rsidRPr="009B45C2">
        <w:rPr>
          <w:rFonts w:cs="Times New Roman"/>
          <w:szCs w:val="24"/>
        </w:rPr>
        <w:t xml:space="preserve">ptical </w:t>
      </w:r>
      <w:r>
        <w:rPr>
          <w:rFonts w:cs="Times New Roman"/>
          <w:szCs w:val="24"/>
        </w:rPr>
        <w:t>f</w:t>
      </w:r>
      <w:r w:rsidRPr="009B45C2">
        <w:rPr>
          <w:rFonts w:cs="Times New Roman"/>
          <w:szCs w:val="24"/>
        </w:rPr>
        <w:t>low</w:t>
      </w:r>
      <w:r>
        <w:rPr>
          <w:rFonts w:cs="Times New Roman"/>
          <w:szCs w:val="24"/>
        </w:rPr>
        <w:t>.</w:t>
      </w:r>
      <w:r w:rsidRPr="00620173">
        <w:rPr>
          <w:rFonts w:cs="Times New Roman"/>
          <w:i/>
          <w:iCs/>
          <w:szCs w:val="24"/>
        </w:rPr>
        <w:t xml:space="preserve"> Proceedings of 1st ACM SIGKDD Workshop on Deep Learning for Spatiotemporal Data, Applications, and Systems (DeepSpatial ’20)</w:t>
      </w:r>
      <w:r>
        <w:rPr>
          <w:rFonts w:cs="Times New Roman"/>
          <w:szCs w:val="24"/>
        </w:rPr>
        <w:t xml:space="preserve">, 9 pp. </w:t>
      </w:r>
      <w:hyperlink r:id="rId105" w:history="1">
        <w:r w:rsidRPr="00137E7E">
          <w:rPr>
            <w:rStyle w:val="ab"/>
            <w:rFonts w:cs="Times New Roman"/>
            <w:szCs w:val="24"/>
          </w:rPr>
          <w:t>http://mason.gmu.edu/~lzhao9/venues/DeepSpatial2020/ papers/DeepSpatial_paper_6_camera_ready.pdf</w:t>
        </w:r>
      </w:hyperlink>
    </w:p>
    <w:p w14:paraId="7DDE423C"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Velasco, I., &amp; Fritsch, J. M. (1987). Mesoscale convective complexes in the Americas. </w:t>
      </w:r>
      <w:r w:rsidRPr="009B45C2">
        <w:rPr>
          <w:rFonts w:cs="Times New Roman"/>
          <w:i/>
          <w:iCs/>
          <w:szCs w:val="24"/>
        </w:rPr>
        <w:t>Journal of Geophysical Research: Atmospheres</w:t>
      </w:r>
      <w:r w:rsidRPr="009B45C2">
        <w:rPr>
          <w:rFonts w:cs="Times New Roman"/>
          <w:szCs w:val="24"/>
        </w:rPr>
        <w:t xml:space="preserve">, </w:t>
      </w:r>
      <w:r w:rsidRPr="009B45C2">
        <w:rPr>
          <w:rFonts w:cs="Times New Roman"/>
          <w:i/>
          <w:iCs/>
          <w:szCs w:val="24"/>
        </w:rPr>
        <w:t>92</w:t>
      </w:r>
      <w:r w:rsidRPr="009B45C2">
        <w:rPr>
          <w:rFonts w:cs="Times New Roman"/>
          <w:szCs w:val="24"/>
        </w:rPr>
        <w:t xml:space="preserve">(D8), 9591–9613. </w:t>
      </w:r>
      <w:hyperlink r:id="rId106" w:history="1">
        <w:r w:rsidRPr="00C75784">
          <w:rPr>
            <w:rStyle w:val="ab"/>
          </w:rPr>
          <w:t>https://doi.org/10.1029/JD092iD08p09591</w:t>
        </w:r>
      </w:hyperlink>
    </w:p>
    <w:p w14:paraId="529FEB6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Wang, H., Sun, J., Fu, S., &amp; Zhang, Y. (2021). Typical </w:t>
      </w:r>
      <w:r>
        <w:rPr>
          <w:rFonts w:cs="Times New Roman"/>
          <w:szCs w:val="24"/>
        </w:rPr>
        <w:t>c</w:t>
      </w:r>
      <w:r w:rsidRPr="009B45C2">
        <w:rPr>
          <w:rFonts w:cs="Times New Roman"/>
          <w:szCs w:val="24"/>
        </w:rPr>
        <w:t xml:space="preserve">irculation </w:t>
      </w:r>
      <w:r>
        <w:rPr>
          <w:rFonts w:cs="Times New Roman"/>
          <w:szCs w:val="24"/>
        </w:rPr>
        <w:t>p</w:t>
      </w:r>
      <w:r w:rsidRPr="009B45C2">
        <w:rPr>
          <w:rFonts w:cs="Times New Roman"/>
          <w:szCs w:val="24"/>
        </w:rPr>
        <w:t xml:space="preserve">atterns and </w:t>
      </w:r>
      <w:r>
        <w:rPr>
          <w:rFonts w:cs="Times New Roman"/>
          <w:szCs w:val="24"/>
        </w:rPr>
        <w:t>a</w:t>
      </w:r>
      <w:r w:rsidRPr="009B45C2">
        <w:rPr>
          <w:rFonts w:cs="Times New Roman"/>
          <w:szCs w:val="24"/>
        </w:rPr>
        <w:t xml:space="preserve">ssociated </w:t>
      </w:r>
      <w:r>
        <w:rPr>
          <w:rFonts w:cs="Times New Roman"/>
          <w:szCs w:val="24"/>
        </w:rPr>
        <w:t>m</w:t>
      </w:r>
      <w:r w:rsidRPr="009B45C2">
        <w:rPr>
          <w:rFonts w:cs="Times New Roman"/>
          <w:szCs w:val="24"/>
        </w:rPr>
        <w:t xml:space="preserve">echanisms for </w:t>
      </w:r>
      <w:r>
        <w:rPr>
          <w:rFonts w:cs="Times New Roman"/>
          <w:szCs w:val="24"/>
        </w:rPr>
        <w:t>p</w:t>
      </w:r>
      <w:r w:rsidRPr="009B45C2">
        <w:rPr>
          <w:rFonts w:cs="Times New Roman"/>
          <w:szCs w:val="24"/>
        </w:rPr>
        <w:t xml:space="preserve">ersistent </w:t>
      </w:r>
      <w:r>
        <w:rPr>
          <w:rFonts w:cs="Times New Roman"/>
          <w:szCs w:val="24"/>
        </w:rPr>
        <w:t>h</w:t>
      </w:r>
      <w:r w:rsidRPr="009B45C2">
        <w:rPr>
          <w:rFonts w:cs="Times New Roman"/>
          <w:szCs w:val="24"/>
        </w:rPr>
        <w:t xml:space="preserve">eavy </w:t>
      </w:r>
      <w:r>
        <w:rPr>
          <w:rFonts w:cs="Times New Roman"/>
          <w:szCs w:val="24"/>
        </w:rPr>
        <w:t>r</w:t>
      </w:r>
      <w:r w:rsidRPr="009B45C2">
        <w:rPr>
          <w:rFonts w:cs="Times New Roman"/>
          <w:szCs w:val="24"/>
        </w:rPr>
        <w:t xml:space="preserve">ainfall </w:t>
      </w:r>
      <w:r>
        <w:rPr>
          <w:rFonts w:cs="Times New Roman"/>
          <w:szCs w:val="24"/>
        </w:rPr>
        <w:t>e</w:t>
      </w:r>
      <w:r w:rsidRPr="009B45C2">
        <w:rPr>
          <w:rFonts w:cs="Times New Roman"/>
          <w:szCs w:val="24"/>
        </w:rPr>
        <w:t xml:space="preserve">vents over Yangtze-Huaihe River Valley during 1981–2020. </w:t>
      </w:r>
      <w:r w:rsidRPr="009B45C2">
        <w:rPr>
          <w:rFonts w:cs="Times New Roman"/>
          <w:i/>
          <w:iCs/>
          <w:szCs w:val="24"/>
        </w:rPr>
        <w:t>Advances in Atmospheric Sciences</w:t>
      </w:r>
      <w:r w:rsidRPr="009B45C2">
        <w:rPr>
          <w:rFonts w:cs="Times New Roman"/>
          <w:szCs w:val="24"/>
        </w:rPr>
        <w:t xml:space="preserve">, </w:t>
      </w:r>
      <w:r w:rsidRPr="009B45C2">
        <w:rPr>
          <w:rFonts w:cs="Times New Roman"/>
          <w:i/>
          <w:iCs/>
          <w:szCs w:val="24"/>
        </w:rPr>
        <w:t>38</w:t>
      </w:r>
      <w:r w:rsidRPr="009B45C2">
        <w:rPr>
          <w:rFonts w:cs="Times New Roman"/>
          <w:szCs w:val="24"/>
        </w:rPr>
        <w:t xml:space="preserve">(12), 2167–2182. </w:t>
      </w:r>
      <w:hyperlink r:id="rId107" w:history="1">
        <w:r w:rsidRPr="00C75784">
          <w:rPr>
            <w:rStyle w:val="ab"/>
          </w:rPr>
          <w:t>https://doi.org/10.1007/s00376-021-1194-8</w:t>
        </w:r>
      </w:hyperlink>
    </w:p>
    <w:p w14:paraId="5C16FF7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Williams, M., &amp; Houze, R. A. (1987). Satellite-</w:t>
      </w:r>
      <w:r>
        <w:rPr>
          <w:rFonts w:cs="Times New Roman"/>
          <w:szCs w:val="24"/>
        </w:rPr>
        <w:t>o</w:t>
      </w:r>
      <w:r w:rsidRPr="009B45C2">
        <w:rPr>
          <w:rFonts w:cs="Times New Roman"/>
          <w:szCs w:val="24"/>
        </w:rPr>
        <w:t xml:space="preserve">bserved </w:t>
      </w:r>
      <w:r>
        <w:rPr>
          <w:rFonts w:cs="Times New Roman"/>
          <w:szCs w:val="24"/>
        </w:rPr>
        <w:t>c</w:t>
      </w:r>
      <w:r w:rsidRPr="009B45C2">
        <w:rPr>
          <w:rFonts w:cs="Times New Roman"/>
          <w:szCs w:val="24"/>
        </w:rPr>
        <w:t xml:space="preserve">haracteristics of </w:t>
      </w:r>
      <w:r>
        <w:rPr>
          <w:rFonts w:cs="Times New Roman"/>
          <w:szCs w:val="24"/>
        </w:rPr>
        <w:t>w</w:t>
      </w:r>
      <w:r w:rsidRPr="009B45C2">
        <w:rPr>
          <w:rFonts w:cs="Times New Roman"/>
          <w:szCs w:val="24"/>
        </w:rPr>
        <w:t xml:space="preserve">inter </w:t>
      </w:r>
      <w:r>
        <w:rPr>
          <w:rFonts w:cs="Times New Roman"/>
          <w:szCs w:val="24"/>
        </w:rPr>
        <w:t>m</w:t>
      </w:r>
      <w:r w:rsidRPr="009B45C2">
        <w:rPr>
          <w:rFonts w:cs="Times New Roman"/>
          <w:szCs w:val="24"/>
        </w:rPr>
        <w:t xml:space="preserve">onsoon </w:t>
      </w:r>
      <w:r>
        <w:rPr>
          <w:rFonts w:cs="Times New Roman"/>
          <w:szCs w:val="24"/>
        </w:rPr>
        <w:t>c</w:t>
      </w:r>
      <w:r w:rsidRPr="009B45C2">
        <w:rPr>
          <w:rFonts w:cs="Times New Roman"/>
          <w:szCs w:val="24"/>
        </w:rPr>
        <w:t xml:space="preserve">loud </w:t>
      </w:r>
      <w:r>
        <w:rPr>
          <w:rFonts w:cs="Times New Roman"/>
          <w:szCs w:val="24"/>
        </w:rPr>
        <w:t>c</w:t>
      </w:r>
      <w:r w:rsidRPr="009B45C2">
        <w:rPr>
          <w:rFonts w:cs="Times New Roman"/>
          <w:szCs w:val="24"/>
        </w:rPr>
        <w:t xml:space="preserve">lusters.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115</w:t>
      </w:r>
      <w:r w:rsidRPr="009B45C2">
        <w:rPr>
          <w:rFonts w:cs="Times New Roman"/>
          <w:szCs w:val="24"/>
        </w:rPr>
        <w:t xml:space="preserve">(2), 505–519. </w:t>
      </w:r>
      <w:hyperlink r:id="rId108" w:history="1">
        <w:r w:rsidRPr="00C75784">
          <w:rPr>
            <w:rStyle w:val="ab"/>
          </w:rPr>
          <w:t>https://doi.org/10.1175/1520-0493(1987)115&lt;0505:SOCOWM&gt;2.0.CO;2</w:t>
        </w:r>
      </w:hyperlink>
    </w:p>
    <w:p w14:paraId="7953A71C"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Wilson, J. W., &amp; Roberts, R. D. (2006). Summary of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torm </w:t>
      </w:r>
      <w:r>
        <w:rPr>
          <w:rFonts w:cs="Times New Roman"/>
          <w:szCs w:val="24"/>
        </w:rPr>
        <w:t>i</w:t>
      </w:r>
      <w:r w:rsidRPr="009B45C2">
        <w:rPr>
          <w:rFonts w:cs="Times New Roman"/>
          <w:szCs w:val="24"/>
        </w:rPr>
        <w:t xml:space="preserve">nitiation and </w:t>
      </w:r>
      <w:r>
        <w:rPr>
          <w:rFonts w:cs="Times New Roman"/>
          <w:szCs w:val="24"/>
        </w:rPr>
        <w:t>e</w:t>
      </w:r>
      <w:r w:rsidRPr="009B45C2">
        <w:rPr>
          <w:rFonts w:cs="Times New Roman"/>
          <w:szCs w:val="24"/>
        </w:rPr>
        <w:t xml:space="preserve">volution during IHOP: </w:t>
      </w:r>
      <w:r>
        <w:rPr>
          <w:rFonts w:cs="Times New Roman"/>
          <w:szCs w:val="24"/>
        </w:rPr>
        <w:t>o</w:t>
      </w:r>
      <w:r w:rsidRPr="009B45C2">
        <w:rPr>
          <w:rFonts w:cs="Times New Roman"/>
          <w:szCs w:val="24"/>
        </w:rPr>
        <w:t xml:space="preserve">bservational and </w:t>
      </w:r>
      <w:r>
        <w:rPr>
          <w:rFonts w:cs="Times New Roman"/>
          <w:szCs w:val="24"/>
        </w:rPr>
        <w:t>m</w:t>
      </w:r>
      <w:r w:rsidRPr="009B45C2">
        <w:rPr>
          <w:rFonts w:cs="Times New Roman"/>
          <w:szCs w:val="24"/>
        </w:rPr>
        <w:t xml:space="preserve">odeling </w:t>
      </w:r>
      <w:r>
        <w:rPr>
          <w:rFonts w:cs="Times New Roman"/>
          <w:szCs w:val="24"/>
        </w:rPr>
        <w:t>p</w:t>
      </w:r>
      <w:r w:rsidRPr="009B45C2">
        <w:rPr>
          <w:rFonts w:cs="Times New Roman"/>
          <w:szCs w:val="24"/>
        </w:rPr>
        <w:t xml:space="preserve">erspective.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134</w:t>
      </w:r>
      <w:r w:rsidRPr="009B45C2">
        <w:rPr>
          <w:rFonts w:cs="Times New Roman"/>
          <w:szCs w:val="24"/>
        </w:rPr>
        <w:t xml:space="preserve">(1), 23–47. </w:t>
      </w:r>
      <w:hyperlink r:id="rId109" w:history="1">
        <w:r w:rsidRPr="00C75784">
          <w:rPr>
            <w:rStyle w:val="ab"/>
          </w:rPr>
          <w:t>https://doi.org/10.1175/MWR3069.1</w:t>
        </w:r>
      </w:hyperlink>
    </w:p>
    <w:p w14:paraId="193EDB6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lastRenderedPageBreak/>
        <w:t>Yang, J</w:t>
      </w:r>
      <w:r>
        <w:rPr>
          <w:rFonts w:cs="Times New Roman"/>
          <w:szCs w:val="24"/>
        </w:rPr>
        <w:t>.</w:t>
      </w:r>
      <w:r w:rsidRPr="009B45C2">
        <w:rPr>
          <w:rFonts w:cs="Times New Roman"/>
          <w:szCs w:val="24"/>
        </w:rPr>
        <w:t xml:space="preserve">, Zhang, Z., Wei, C., Lu, F., &amp; Guo, Q. (2017). Introducing the </w:t>
      </w:r>
      <w:r>
        <w:rPr>
          <w:rFonts w:cs="Times New Roman"/>
          <w:szCs w:val="24"/>
        </w:rPr>
        <w:t>n</w:t>
      </w:r>
      <w:r w:rsidRPr="009B45C2">
        <w:rPr>
          <w:rFonts w:cs="Times New Roman"/>
          <w:szCs w:val="24"/>
        </w:rPr>
        <w:t xml:space="preserve">ew </w:t>
      </w:r>
      <w:r>
        <w:rPr>
          <w:rFonts w:cs="Times New Roman"/>
          <w:szCs w:val="24"/>
        </w:rPr>
        <w:t>g</w:t>
      </w:r>
      <w:r w:rsidRPr="009B45C2">
        <w:rPr>
          <w:rFonts w:cs="Times New Roman"/>
          <w:szCs w:val="24"/>
        </w:rPr>
        <w:t xml:space="preserve">eneration of Chinese </w:t>
      </w:r>
      <w:r>
        <w:rPr>
          <w:rFonts w:cs="Times New Roman"/>
          <w:szCs w:val="24"/>
        </w:rPr>
        <w:t>g</w:t>
      </w:r>
      <w:r w:rsidRPr="009B45C2">
        <w:rPr>
          <w:rFonts w:cs="Times New Roman"/>
          <w:szCs w:val="24"/>
        </w:rPr>
        <w:t xml:space="preserve">eostationary </w:t>
      </w:r>
      <w:r>
        <w:rPr>
          <w:rFonts w:cs="Times New Roman"/>
          <w:szCs w:val="24"/>
        </w:rPr>
        <w:t>w</w:t>
      </w:r>
      <w:r w:rsidRPr="009B45C2">
        <w:rPr>
          <w:rFonts w:cs="Times New Roman"/>
          <w:szCs w:val="24"/>
        </w:rPr>
        <w:t xml:space="preserve">eather </w:t>
      </w:r>
      <w:r>
        <w:rPr>
          <w:rFonts w:cs="Times New Roman"/>
          <w:szCs w:val="24"/>
        </w:rPr>
        <w:t>s</w:t>
      </w:r>
      <w:r w:rsidRPr="009B45C2">
        <w:rPr>
          <w:rFonts w:cs="Times New Roman"/>
          <w:szCs w:val="24"/>
        </w:rPr>
        <w:t xml:space="preserve">atellites, Fengyun-4. </w:t>
      </w:r>
      <w:r w:rsidRPr="009B45C2">
        <w:rPr>
          <w:rFonts w:cs="Times New Roman"/>
          <w:i/>
          <w:iCs/>
          <w:szCs w:val="24"/>
        </w:rPr>
        <w:t>Bulletin of the American Meteorological Society</w:t>
      </w:r>
      <w:r w:rsidRPr="009B45C2">
        <w:rPr>
          <w:rFonts w:cs="Times New Roman"/>
          <w:szCs w:val="24"/>
        </w:rPr>
        <w:t xml:space="preserve">, </w:t>
      </w:r>
      <w:r w:rsidRPr="009B45C2">
        <w:rPr>
          <w:rFonts w:cs="Times New Roman"/>
          <w:i/>
          <w:iCs/>
          <w:szCs w:val="24"/>
        </w:rPr>
        <w:t>98</w:t>
      </w:r>
      <w:r w:rsidRPr="009B45C2">
        <w:rPr>
          <w:rFonts w:cs="Times New Roman"/>
          <w:szCs w:val="24"/>
        </w:rPr>
        <w:t xml:space="preserve">(8), 1637–1658. </w:t>
      </w:r>
      <w:hyperlink r:id="rId110" w:history="1">
        <w:r w:rsidRPr="00C75784">
          <w:rPr>
            <w:rStyle w:val="ab"/>
          </w:rPr>
          <w:t>https://doi.org/10.1175/BAMS-D-16-0065.1</w:t>
        </w:r>
      </w:hyperlink>
    </w:p>
    <w:p w14:paraId="1B74C0F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Yang, J</w:t>
      </w:r>
      <w:r>
        <w:rPr>
          <w:rFonts w:cs="Times New Roman"/>
          <w:szCs w:val="24"/>
        </w:rPr>
        <w:t>.</w:t>
      </w:r>
      <w:r w:rsidRPr="009B45C2">
        <w:rPr>
          <w:rFonts w:cs="Times New Roman"/>
          <w:szCs w:val="24"/>
        </w:rPr>
        <w:t xml:space="preserve">, Zhao, K., Chen, X., Huang, A., Zheng, Y., &amp; Sun, K. (2020). Subseasonal and </w:t>
      </w:r>
      <w:r>
        <w:rPr>
          <w:rFonts w:cs="Times New Roman"/>
          <w:szCs w:val="24"/>
        </w:rPr>
        <w:t>d</w:t>
      </w:r>
      <w:r w:rsidRPr="009B45C2">
        <w:rPr>
          <w:rFonts w:cs="Times New Roman"/>
          <w:szCs w:val="24"/>
        </w:rPr>
        <w:t xml:space="preserve">iurnal </w:t>
      </w:r>
      <w:r>
        <w:rPr>
          <w:rFonts w:cs="Times New Roman"/>
          <w:szCs w:val="24"/>
        </w:rPr>
        <w:t>v</w:t>
      </w:r>
      <w:r w:rsidRPr="009B45C2">
        <w:rPr>
          <w:rFonts w:cs="Times New Roman"/>
          <w:szCs w:val="24"/>
        </w:rPr>
        <w:t xml:space="preserve">ariability in </w:t>
      </w:r>
      <w:r>
        <w:rPr>
          <w:rFonts w:cs="Times New Roman"/>
          <w:szCs w:val="24"/>
        </w:rPr>
        <w:t>l</w:t>
      </w:r>
      <w:r w:rsidRPr="009B45C2">
        <w:rPr>
          <w:rFonts w:cs="Times New Roman"/>
          <w:szCs w:val="24"/>
        </w:rPr>
        <w:t xml:space="preserve">ightning and </w:t>
      </w:r>
      <w:r>
        <w:rPr>
          <w:rFonts w:cs="Times New Roman"/>
          <w:szCs w:val="24"/>
        </w:rPr>
        <w:t>s</w:t>
      </w:r>
      <w:r w:rsidRPr="009B45C2">
        <w:rPr>
          <w:rFonts w:cs="Times New Roman"/>
          <w:szCs w:val="24"/>
        </w:rPr>
        <w:t xml:space="preserve">torm </w:t>
      </w:r>
      <w:r>
        <w:rPr>
          <w:rFonts w:cs="Times New Roman"/>
          <w:szCs w:val="24"/>
        </w:rPr>
        <w:t>a</w:t>
      </w:r>
      <w:r w:rsidRPr="009B45C2">
        <w:rPr>
          <w:rFonts w:cs="Times New Roman"/>
          <w:szCs w:val="24"/>
        </w:rPr>
        <w:t xml:space="preserve">ctivity over the Yangtze River Delta, China, during </w:t>
      </w:r>
      <w:r>
        <w:rPr>
          <w:rFonts w:cs="Times New Roman"/>
          <w:szCs w:val="24"/>
        </w:rPr>
        <w:t>m</w:t>
      </w:r>
      <w:r w:rsidRPr="009B45C2">
        <w:rPr>
          <w:rFonts w:cs="Times New Roman"/>
          <w:szCs w:val="24"/>
        </w:rPr>
        <w:t xml:space="preserve">ei-yu </w:t>
      </w:r>
      <w:r>
        <w:rPr>
          <w:rFonts w:cs="Times New Roman"/>
          <w:szCs w:val="24"/>
        </w:rPr>
        <w:t>s</w:t>
      </w:r>
      <w:r w:rsidRPr="009B45C2">
        <w:rPr>
          <w:rFonts w:cs="Times New Roman"/>
          <w:szCs w:val="24"/>
        </w:rPr>
        <w:t xml:space="preserve">eason.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33</w:t>
      </w:r>
      <w:r w:rsidRPr="009B45C2">
        <w:rPr>
          <w:rFonts w:cs="Times New Roman"/>
          <w:szCs w:val="24"/>
        </w:rPr>
        <w:t xml:space="preserve">(12), 5013–5033. </w:t>
      </w:r>
      <w:hyperlink r:id="rId111" w:history="1">
        <w:r w:rsidRPr="00C75784">
          <w:rPr>
            <w:rStyle w:val="ab"/>
          </w:rPr>
          <w:t>https://doi.org/10.1175/JCLI-D-19-0453.1</w:t>
        </w:r>
      </w:hyperlink>
    </w:p>
    <w:p w14:paraId="691C5BF6"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Yang, R., Zhang, Y., Sun, J., &amp; Li, J. (2020). The comparison of statistical features and synoptic circulations between the eastward-propagating and quasi-stationary MCSs during the warm season around the second-step terrain along the middle reaches of the Yangtze River. </w:t>
      </w:r>
      <w:r w:rsidRPr="009B45C2">
        <w:rPr>
          <w:rFonts w:cs="Times New Roman"/>
          <w:i/>
          <w:iCs/>
          <w:szCs w:val="24"/>
        </w:rPr>
        <w:t>Science China Earth Sciences</w:t>
      </w:r>
      <w:r w:rsidRPr="009B45C2">
        <w:rPr>
          <w:rFonts w:cs="Times New Roman"/>
          <w:szCs w:val="24"/>
        </w:rPr>
        <w:t xml:space="preserve">, </w:t>
      </w:r>
      <w:r w:rsidRPr="009B45C2">
        <w:rPr>
          <w:rFonts w:cs="Times New Roman"/>
          <w:i/>
          <w:iCs/>
          <w:szCs w:val="24"/>
        </w:rPr>
        <w:t>63</w:t>
      </w:r>
      <w:r w:rsidRPr="009B45C2">
        <w:rPr>
          <w:rFonts w:cs="Times New Roman"/>
          <w:szCs w:val="24"/>
        </w:rPr>
        <w:t xml:space="preserve">(8), 1209–1222. </w:t>
      </w:r>
      <w:hyperlink r:id="rId112" w:history="1">
        <w:r w:rsidRPr="00C75784">
          <w:rPr>
            <w:rStyle w:val="ab"/>
          </w:rPr>
          <w:t>https://doi.org/10.1007/s11430-018-9385-3</w:t>
        </w:r>
      </w:hyperlink>
    </w:p>
    <w:p w14:paraId="0000D31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Yang, X</w:t>
      </w:r>
      <w:r>
        <w:rPr>
          <w:rFonts w:cs="Times New Roman"/>
          <w:szCs w:val="24"/>
        </w:rPr>
        <w:t>.</w:t>
      </w:r>
      <w:r w:rsidRPr="009B45C2">
        <w:rPr>
          <w:rFonts w:cs="Times New Roman"/>
          <w:szCs w:val="24"/>
        </w:rPr>
        <w:t xml:space="preserve">, Fei, J., Huang, X., Cheng, X., Carvalho, L. M. V., &amp; He, H. (2015). Characteristics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over China and </w:t>
      </w:r>
      <w:r>
        <w:rPr>
          <w:rFonts w:cs="Times New Roman"/>
          <w:szCs w:val="24"/>
        </w:rPr>
        <w:t>i</w:t>
      </w:r>
      <w:r w:rsidRPr="009B45C2">
        <w:rPr>
          <w:rFonts w:cs="Times New Roman"/>
          <w:szCs w:val="24"/>
        </w:rPr>
        <w:t xml:space="preserve">ts </w:t>
      </w:r>
      <w:r>
        <w:rPr>
          <w:rFonts w:cs="Times New Roman"/>
          <w:szCs w:val="24"/>
        </w:rPr>
        <w:t>v</w:t>
      </w:r>
      <w:r w:rsidRPr="009B45C2">
        <w:rPr>
          <w:rFonts w:cs="Times New Roman"/>
          <w:szCs w:val="24"/>
        </w:rPr>
        <w:t xml:space="preserve">icinity </w:t>
      </w:r>
      <w:r>
        <w:rPr>
          <w:rFonts w:cs="Times New Roman"/>
          <w:szCs w:val="24"/>
        </w:rPr>
        <w:t>u</w:t>
      </w:r>
      <w:r w:rsidRPr="009B45C2">
        <w:rPr>
          <w:rFonts w:cs="Times New Roman"/>
          <w:szCs w:val="24"/>
        </w:rPr>
        <w:t xml:space="preserve">sing </w:t>
      </w:r>
      <w:r>
        <w:rPr>
          <w:rFonts w:cs="Times New Roman"/>
          <w:szCs w:val="24"/>
        </w:rPr>
        <w:t>g</w:t>
      </w:r>
      <w:r w:rsidRPr="009B45C2">
        <w:rPr>
          <w:rFonts w:cs="Times New Roman"/>
          <w:szCs w:val="24"/>
        </w:rPr>
        <w:t xml:space="preserve">eostationary </w:t>
      </w:r>
      <w:r>
        <w:rPr>
          <w:rFonts w:cs="Times New Roman"/>
          <w:szCs w:val="24"/>
        </w:rPr>
        <w:t>s</w:t>
      </w:r>
      <w:r w:rsidRPr="009B45C2">
        <w:rPr>
          <w:rFonts w:cs="Times New Roman"/>
          <w:szCs w:val="24"/>
        </w:rPr>
        <w:t xml:space="preserve">atellite FY2. </w:t>
      </w:r>
      <w:r w:rsidRPr="009B45C2">
        <w:rPr>
          <w:rFonts w:cs="Times New Roman"/>
          <w:i/>
          <w:iCs/>
          <w:szCs w:val="24"/>
        </w:rPr>
        <w:t>Journal of Climate</w:t>
      </w:r>
      <w:r w:rsidRPr="009B45C2">
        <w:rPr>
          <w:rFonts w:cs="Times New Roman"/>
          <w:szCs w:val="24"/>
        </w:rPr>
        <w:t xml:space="preserve">, </w:t>
      </w:r>
      <w:r w:rsidRPr="009B45C2">
        <w:rPr>
          <w:rFonts w:cs="Times New Roman"/>
          <w:i/>
          <w:iCs/>
          <w:szCs w:val="24"/>
        </w:rPr>
        <w:t>28</w:t>
      </w:r>
      <w:r w:rsidRPr="009B45C2">
        <w:rPr>
          <w:rFonts w:cs="Times New Roman"/>
          <w:szCs w:val="24"/>
        </w:rPr>
        <w:t xml:space="preserve">(12), 4890–4907. </w:t>
      </w:r>
      <w:hyperlink r:id="rId113" w:history="1">
        <w:r w:rsidRPr="00C75784">
          <w:rPr>
            <w:rStyle w:val="ab"/>
          </w:rPr>
          <w:t>https://doi.org/10.1175/JCLI-D-14-00491.1</w:t>
        </w:r>
      </w:hyperlink>
    </w:p>
    <w:p w14:paraId="3AAF1AAF"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Yang, </w:t>
      </w:r>
      <w:r>
        <w:rPr>
          <w:rFonts w:cs="Times New Roman"/>
          <w:szCs w:val="24"/>
        </w:rPr>
        <w:t>X.</w:t>
      </w:r>
      <w:r w:rsidRPr="009B45C2">
        <w:rPr>
          <w:rFonts w:cs="Times New Roman"/>
          <w:szCs w:val="24"/>
        </w:rPr>
        <w:t xml:space="preserve">, &amp; Sun, J. (2018). Organizational </w:t>
      </w:r>
      <w:r>
        <w:rPr>
          <w:rFonts w:cs="Times New Roman"/>
          <w:szCs w:val="24"/>
        </w:rPr>
        <w:t>m</w:t>
      </w:r>
      <w:r w:rsidRPr="009B45C2">
        <w:rPr>
          <w:rFonts w:cs="Times New Roman"/>
          <w:szCs w:val="24"/>
        </w:rPr>
        <w:t xml:space="preserve">odes of </w:t>
      </w:r>
      <w:r>
        <w:rPr>
          <w:rFonts w:cs="Times New Roman"/>
          <w:szCs w:val="24"/>
        </w:rPr>
        <w:t>s</w:t>
      </w:r>
      <w:r w:rsidRPr="009B45C2">
        <w:rPr>
          <w:rFonts w:cs="Times New Roman"/>
          <w:szCs w:val="24"/>
        </w:rPr>
        <w:t xml:space="preserve">evere </w:t>
      </w:r>
      <w:r>
        <w:rPr>
          <w:rFonts w:cs="Times New Roman"/>
          <w:szCs w:val="24"/>
        </w:rPr>
        <w:t>w</w:t>
      </w:r>
      <w:r w:rsidRPr="009B45C2">
        <w:rPr>
          <w:rFonts w:cs="Times New Roman"/>
          <w:szCs w:val="24"/>
        </w:rPr>
        <w:t xml:space="preserve">ind-producing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over North China. </w:t>
      </w:r>
      <w:r>
        <w:rPr>
          <w:rFonts w:cs="Times New Roman"/>
          <w:i/>
          <w:iCs/>
          <w:szCs w:val="24"/>
        </w:rPr>
        <w:t>Advances in Atmospheric Sciences</w:t>
      </w:r>
      <w:r w:rsidRPr="009B45C2">
        <w:rPr>
          <w:rFonts w:cs="Times New Roman"/>
          <w:szCs w:val="24"/>
        </w:rPr>
        <w:t xml:space="preserve">, </w:t>
      </w:r>
      <w:r w:rsidRPr="009B45C2">
        <w:rPr>
          <w:rFonts w:cs="Times New Roman"/>
          <w:i/>
          <w:iCs/>
          <w:szCs w:val="24"/>
        </w:rPr>
        <w:t>35</w:t>
      </w:r>
      <w:r w:rsidRPr="009B45C2">
        <w:rPr>
          <w:rFonts w:cs="Times New Roman"/>
          <w:szCs w:val="24"/>
        </w:rPr>
        <w:t xml:space="preserve">(5), 540–549. </w:t>
      </w:r>
      <w:hyperlink r:id="rId114" w:history="1">
        <w:r w:rsidRPr="00C75784">
          <w:rPr>
            <w:rStyle w:val="ab"/>
          </w:rPr>
          <w:t>https://doi.org/10.1007/s00376-017-7114-2</w:t>
        </w:r>
      </w:hyperlink>
    </w:p>
    <w:p w14:paraId="6A9F72A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Yang, Y., Wang, R., Chen, F., Liu, C., Bi, X., &amp; Huang, M. (2021). Synoptic weather patterns modulate the frequency, type and vertical structure of summer precipitation over Eastern China: </w:t>
      </w:r>
      <w:r>
        <w:rPr>
          <w:rFonts w:cs="Times New Roman"/>
          <w:szCs w:val="24"/>
        </w:rPr>
        <w:t>a</w:t>
      </w:r>
      <w:r w:rsidRPr="009B45C2">
        <w:rPr>
          <w:rFonts w:cs="Times New Roman"/>
          <w:szCs w:val="24"/>
        </w:rPr>
        <w:t xml:space="preserve"> perspective from GPM observations. </w:t>
      </w:r>
      <w:r w:rsidRPr="009B45C2">
        <w:rPr>
          <w:rFonts w:cs="Times New Roman"/>
          <w:i/>
          <w:iCs/>
          <w:szCs w:val="24"/>
        </w:rPr>
        <w:t>Atmospheric Research</w:t>
      </w:r>
      <w:r w:rsidRPr="009B45C2">
        <w:rPr>
          <w:rFonts w:cs="Times New Roman"/>
          <w:szCs w:val="24"/>
        </w:rPr>
        <w:t xml:space="preserve">, </w:t>
      </w:r>
      <w:r w:rsidRPr="009B45C2">
        <w:rPr>
          <w:rFonts w:cs="Times New Roman"/>
          <w:i/>
          <w:iCs/>
          <w:szCs w:val="24"/>
        </w:rPr>
        <w:t>249</w:t>
      </w:r>
      <w:r w:rsidRPr="009B45C2">
        <w:rPr>
          <w:rFonts w:cs="Times New Roman"/>
          <w:szCs w:val="24"/>
        </w:rPr>
        <w:t xml:space="preserve">, 105342. </w:t>
      </w:r>
      <w:hyperlink r:id="rId115" w:history="1">
        <w:r w:rsidRPr="00C75784">
          <w:rPr>
            <w:rStyle w:val="ab"/>
          </w:rPr>
          <w:t>https://doi.org/10.1016/j.atmosres.2020.105342</w:t>
        </w:r>
      </w:hyperlink>
    </w:p>
    <w:p w14:paraId="01FF734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Ying, M., Zhang, W., Yu, H., Lu, X., Feng, J., Fan, Y., et al. (2014). An </w:t>
      </w:r>
      <w:r>
        <w:rPr>
          <w:rFonts w:cs="Times New Roman"/>
          <w:szCs w:val="24"/>
        </w:rPr>
        <w:t>o</w:t>
      </w:r>
      <w:r w:rsidRPr="009B45C2">
        <w:rPr>
          <w:rFonts w:cs="Times New Roman"/>
          <w:szCs w:val="24"/>
        </w:rPr>
        <w:t xml:space="preserve">verview of the China Meteorological Administration </w:t>
      </w:r>
      <w:r>
        <w:rPr>
          <w:rFonts w:cs="Times New Roman"/>
          <w:szCs w:val="24"/>
        </w:rPr>
        <w:t>t</w:t>
      </w:r>
      <w:r w:rsidRPr="009B45C2">
        <w:rPr>
          <w:rFonts w:cs="Times New Roman"/>
          <w:szCs w:val="24"/>
        </w:rPr>
        <w:t xml:space="preserve">ropical </w:t>
      </w:r>
      <w:r>
        <w:rPr>
          <w:rFonts w:cs="Times New Roman"/>
          <w:szCs w:val="24"/>
        </w:rPr>
        <w:t>c</w:t>
      </w:r>
      <w:r w:rsidRPr="009B45C2">
        <w:rPr>
          <w:rFonts w:cs="Times New Roman"/>
          <w:szCs w:val="24"/>
        </w:rPr>
        <w:t xml:space="preserve">yclone </w:t>
      </w:r>
      <w:r>
        <w:rPr>
          <w:rFonts w:cs="Times New Roman"/>
          <w:szCs w:val="24"/>
        </w:rPr>
        <w:t>d</w:t>
      </w:r>
      <w:r w:rsidRPr="009B45C2">
        <w:rPr>
          <w:rFonts w:cs="Times New Roman"/>
          <w:szCs w:val="24"/>
        </w:rPr>
        <w:t xml:space="preserve">atabase. </w:t>
      </w:r>
      <w:r w:rsidRPr="009B45C2">
        <w:rPr>
          <w:rFonts w:cs="Times New Roman"/>
          <w:i/>
          <w:iCs/>
          <w:szCs w:val="24"/>
        </w:rPr>
        <w:t>Journal of Atmospheric and Oceanic Technology</w:t>
      </w:r>
      <w:r w:rsidRPr="009B45C2">
        <w:rPr>
          <w:rFonts w:cs="Times New Roman"/>
          <w:szCs w:val="24"/>
        </w:rPr>
        <w:t xml:space="preserve">, </w:t>
      </w:r>
      <w:r w:rsidRPr="009B45C2">
        <w:rPr>
          <w:rFonts w:cs="Times New Roman"/>
          <w:i/>
          <w:iCs/>
          <w:szCs w:val="24"/>
        </w:rPr>
        <w:t>31</w:t>
      </w:r>
      <w:r w:rsidRPr="009B45C2">
        <w:rPr>
          <w:rFonts w:cs="Times New Roman"/>
          <w:szCs w:val="24"/>
        </w:rPr>
        <w:t xml:space="preserve">(2), 287–301. </w:t>
      </w:r>
      <w:hyperlink r:id="rId116" w:history="1">
        <w:r w:rsidRPr="00C75784">
          <w:rPr>
            <w:rStyle w:val="ab"/>
          </w:rPr>
          <w:t>https://doi.org/10.1175/JTECH-D-12-00119.1</w:t>
        </w:r>
      </w:hyperlink>
    </w:p>
    <w:p w14:paraId="3FF70EA4"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Yu, R., Zhou, T., Xiong, A., Zhu, Y., &amp; Li, J. (2007). Diurnal variations of summer </w:t>
      </w:r>
      <w:r w:rsidRPr="009B45C2">
        <w:rPr>
          <w:rFonts w:cs="Times New Roman"/>
          <w:szCs w:val="24"/>
        </w:rPr>
        <w:lastRenderedPageBreak/>
        <w:t xml:space="preserve">precipitation over contiguous China. </w:t>
      </w:r>
      <w:r w:rsidRPr="009B45C2">
        <w:rPr>
          <w:rFonts w:cs="Times New Roman"/>
          <w:i/>
          <w:iCs/>
          <w:szCs w:val="24"/>
        </w:rPr>
        <w:t>Geophysical Research Letters</w:t>
      </w:r>
      <w:r w:rsidRPr="009B45C2">
        <w:rPr>
          <w:rFonts w:cs="Times New Roman"/>
          <w:szCs w:val="24"/>
        </w:rPr>
        <w:t xml:space="preserve">, </w:t>
      </w:r>
      <w:r w:rsidRPr="009B45C2">
        <w:rPr>
          <w:rFonts w:cs="Times New Roman"/>
          <w:i/>
          <w:iCs/>
          <w:szCs w:val="24"/>
        </w:rPr>
        <w:t>34</w:t>
      </w:r>
      <w:r w:rsidRPr="009B45C2">
        <w:rPr>
          <w:rFonts w:cs="Times New Roman"/>
          <w:szCs w:val="24"/>
        </w:rPr>
        <w:t xml:space="preserve">(1). </w:t>
      </w:r>
      <w:hyperlink r:id="rId117" w:history="1">
        <w:r w:rsidRPr="00C75784">
          <w:rPr>
            <w:rStyle w:val="ab"/>
          </w:rPr>
          <w:t>https://doi.org/10.1029/2006GL028129</w:t>
        </w:r>
      </w:hyperlink>
    </w:p>
    <w:p w14:paraId="03F96FD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Zhang, A. Q., Chen, Y. L., Zhou, S. N., Cui, C. G., Wan, R., &amp; Fu, Y. F. (2020). Diurnal </w:t>
      </w:r>
      <w:r>
        <w:rPr>
          <w:rFonts w:cs="Times New Roman"/>
          <w:szCs w:val="24"/>
        </w:rPr>
        <w:t>v</w:t>
      </w:r>
      <w:r w:rsidRPr="009B45C2">
        <w:rPr>
          <w:rFonts w:cs="Times New Roman"/>
          <w:szCs w:val="24"/>
        </w:rPr>
        <w:t xml:space="preserve">ariation of </w:t>
      </w:r>
      <w:r>
        <w:rPr>
          <w:rFonts w:cs="Times New Roman"/>
          <w:szCs w:val="24"/>
        </w:rPr>
        <w:t>m</w:t>
      </w:r>
      <w:r w:rsidRPr="009B45C2">
        <w:rPr>
          <w:rFonts w:cs="Times New Roman"/>
          <w:szCs w:val="24"/>
        </w:rPr>
        <w:t xml:space="preserve">eiyu </w:t>
      </w:r>
      <w:r>
        <w:rPr>
          <w:rFonts w:cs="Times New Roman"/>
          <w:szCs w:val="24"/>
        </w:rPr>
        <w:t>r</w:t>
      </w:r>
      <w:r w:rsidRPr="009B45C2">
        <w:rPr>
          <w:rFonts w:cs="Times New Roman"/>
          <w:szCs w:val="24"/>
        </w:rPr>
        <w:t xml:space="preserve">ainfall in the Yangtze Plain </w:t>
      </w:r>
      <w:r>
        <w:rPr>
          <w:rFonts w:cs="Times New Roman"/>
          <w:szCs w:val="24"/>
        </w:rPr>
        <w:t>d</w:t>
      </w:r>
      <w:r w:rsidRPr="009B45C2">
        <w:rPr>
          <w:rFonts w:cs="Times New Roman"/>
          <w:szCs w:val="24"/>
        </w:rPr>
        <w:t xml:space="preserve">uring </w:t>
      </w:r>
      <w:r>
        <w:rPr>
          <w:rFonts w:cs="Times New Roman"/>
          <w:szCs w:val="24"/>
        </w:rPr>
        <w:t>a</w:t>
      </w:r>
      <w:r w:rsidRPr="009B45C2">
        <w:rPr>
          <w:rFonts w:cs="Times New Roman"/>
          <w:szCs w:val="24"/>
        </w:rPr>
        <w:t xml:space="preserve">typical </w:t>
      </w:r>
      <w:r>
        <w:rPr>
          <w:rFonts w:cs="Times New Roman"/>
          <w:szCs w:val="24"/>
        </w:rPr>
        <w:t>m</w:t>
      </w:r>
      <w:r w:rsidRPr="009B45C2">
        <w:rPr>
          <w:rFonts w:cs="Times New Roman"/>
          <w:szCs w:val="24"/>
        </w:rPr>
        <w:t xml:space="preserve">eiyu </w:t>
      </w:r>
      <w:r>
        <w:rPr>
          <w:rFonts w:cs="Times New Roman"/>
          <w:szCs w:val="24"/>
        </w:rPr>
        <w:t>y</w:t>
      </w:r>
      <w:r w:rsidRPr="009B45C2">
        <w:rPr>
          <w:rFonts w:cs="Times New Roman"/>
          <w:szCs w:val="24"/>
        </w:rPr>
        <w:t xml:space="preserve">ears. </w:t>
      </w:r>
      <w:r w:rsidRPr="009B45C2">
        <w:rPr>
          <w:rFonts w:cs="Times New Roman"/>
          <w:i/>
          <w:iCs/>
          <w:szCs w:val="24"/>
        </w:rPr>
        <w:t>Journal of Geophysical Research: Atmospheres</w:t>
      </w:r>
      <w:r w:rsidRPr="009B45C2">
        <w:rPr>
          <w:rFonts w:cs="Times New Roman"/>
          <w:szCs w:val="24"/>
        </w:rPr>
        <w:t xml:space="preserve">, </w:t>
      </w:r>
      <w:r w:rsidRPr="009B45C2">
        <w:rPr>
          <w:rFonts w:cs="Times New Roman"/>
          <w:i/>
          <w:iCs/>
          <w:szCs w:val="24"/>
        </w:rPr>
        <w:t>125</w:t>
      </w:r>
      <w:r w:rsidRPr="009B45C2">
        <w:rPr>
          <w:rFonts w:cs="Times New Roman"/>
          <w:szCs w:val="24"/>
        </w:rPr>
        <w:t xml:space="preserve">(1), e2019JD031742. </w:t>
      </w:r>
      <w:hyperlink r:id="rId118" w:history="1">
        <w:r w:rsidRPr="00C75784">
          <w:rPr>
            <w:rStyle w:val="ab"/>
          </w:rPr>
          <w:t>https://doi.org/10.1029/2019JD031742</w:t>
        </w:r>
      </w:hyperlink>
    </w:p>
    <w:p w14:paraId="13454A4E"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Zhang, </w:t>
      </w:r>
      <w:r>
        <w:rPr>
          <w:rFonts w:cs="Times New Roman"/>
          <w:szCs w:val="24"/>
        </w:rPr>
        <w:t>X.</w:t>
      </w:r>
      <w:r w:rsidRPr="009B45C2">
        <w:rPr>
          <w:rFonts w:cs="Times New Roman"/>
          <w:szCs w:val="24"/>
        </w:rPr>
        <w:t xml:space="preserve">, Shen, W., Zhuge, X., Yang, S., Chen, Y., Wang, Y., </w:t>
      </w:r>
      <w:r>
        <w:rPr>
          <w:rFonts w:cs="Times New Roman"/>
          <w:szCs w:val="24"/>
        </w:rPr>
        <w:t>Chen, T., &amp; Zhang, S</w:t>
      </w:r>
      <w:r w:rsidRPr="009B45C2">
        <w:rPr>
          <w:rFonts w:cs="Times New Roman"/>
          <w:szCs w:val="24"/>
        </w:rPr>
        <w:t xml:space="preserve">. (2021). Statistical </w:t>
      </w:r>
      <w:r>
        <w:rPr>
          <w:rFonts w:cs="Times New Roman"/>
          <w:szCs w:val="24"/>
        </w:rPr>
        <w:t>c</w:t>
      </w:r>
      <w:r w:rsidRPr="009B45C2">
        <w:rPr>
          <w:rFonts w:cs="Times New Roman"/>
          <w:szCs w:val="24"/>
        </w:rPr>
        <w:t xml:space="preserve">haracteristics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ystems</w:t>
      </w:r>
      <w:r>
        <w:rPr>
          <w:rFonts w:cs="Times New Roman"/>
          <w:szCs w:val="24"/>
        </w:rPr>
        <w:t xml:space="preserve"> i</w:t>
      </w:r>
      <w:r w:rsidRPr="009B45C2">
        <w:rPr>
          <w:rFonts w:cs="Times New Roman"/>
          <w:szCs w:val="24"/>
        </w:rPr>
        <w:t xml:space="preserve">nitiated over the Tibetan Plateau in </w:t>
      </w:r>
      <w:r>
        <w:rPr>
          <w:rFonts w:cs="Times New Roman"/>
          <w:szCs w:val="24"/>
        </w:rPr>
        <w:t>s</w:t>
      </w:r>
      <w:r w:rsidRPr="009B45C2">
        <w:rPr>
          <w:rFonts w:cs="Times New Roman"/>
          <w:szCs w:val="24"/>
        </w:rPr>
        <w:t xml:space="preserve">ummer by Fengyun </w:t>
      </w:r>
      <w:r>
        <w:rPr>
          <w:rFonts w:cs="Times New Roman"/>
          <w:szCs w:val="24"/>
        </w:rPr>
        <w:t>s</w:t>
      </w:r>
      <w:r w:rsidRPr="009B45C2">
        <w:rPr>
          <w:rFonts w:cs="Times New Roman"/>
          <w:szCs w:val="24"/>
        </w:rPr>
        <w:t xml:space="preserve">atellite and </w:t>
      </w:r>
      <w:r>
        <w:rPr>
          <w:rFonts w:cs="Times New Roman"/>
          <w:szCs w:val="24"/>
        </w:rPr>
        <w:t>p</w:t>
      </w:r>
      <w:r w:rsidRPr="009B45C2">
        <w:rPr>
          <w:rFonts w:cs="Times New Roman"/>
          <w:szCs w:val="24"/>
        </w:rPr>
        <w:t xml:space="preserve">recipitation </w:t>
      </w:r>
      <w:r>
        <w:rPr>
          <w:rFonts w:cs="Times New Roman"/>
          <w:szCs w:val="24"/>
        </w:rPr>
        <w:t>e</w:t>
      </w:r>
      <w:r w:rsidRPr="009B45C2">
        <w:rPr>
          <w:rFonts w:cs="Times New Roman"/>
          <w:szCs w:val="24"/>
        </w:rPr>
        <w:t xml:space="preserve">stimates. </w:t>
      </w:r>
      <w:r>
        <w:rPr>
          <w:rFonts w:cs="Times New Roman"/>
          <w:i/>
          <w:iCs/>
          <w:szCs w:val="24"/>
        </w:rPr>
        <w:t>Remote Sensing</w:t>
      </w:r>
      <w:r w:rsidRPr="009B45C2">
        <w:rPr>
          <w:rFonts w:cs="Times New Roman"/>
          <w:szCs w:val="24"/>
        </w:rPr>
        <w:t xml:space="preserve">, </w:t>
      </w:r>
      <w:r w:rsidRPr="009B45C2">
        <w:rPr>
          <w:rFonts w:cs="Times New Roman"/>
          <w:i/>
          <w:iCs/>
          <w:szCs w:val="24"/>
        </w:rPr>
        <w:t>13</w:t>
      </w:r>
      <w:r w:rsidRPr="009B45C2">
        <w:rPr>
          <w:rFonts w:cs="Times New Roman"/>
          <w:szCs w:val="24"/>
        </w:rPr>
        <w:t xml:space="preserve">(9). </w:t>
      </w:r>
      <w:hyperlink r:id="rId119" w:history="1">
        <w:r w:rsidRPr="00C75784">
          <w:rPr>
            <w:rStyle w:val="ab"/>
          </w:rPr>
          <w:t>https://doi.org/10.3390/rs13091652</w:t>
        </w:r>
      </w:hyperlink>
    </w:p>
    <w:p w14:paraId="64403DB8"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Zhang, </w:t>
      </w:r>
      <w:r>
        <w:rPr>
          <w:rFonts w:cs="Times New Roman"/>
          <w:szCs w:val="24"/>
        </w:rPr>
        <w:t>X.</w:t>
      </w:r>
      <w:r w:rsidRPr="009B45C2">
        <w:rPr>
          <w:rFonts w:cs="Times New Roman"/>
          <w:szCs w:val="24"/>
        </w:rPr>
        <w:t xml:space="preserve">, Wang, X. L., &amp; Corte-Real, J. (1997). On the relationships between daily circulation patterns and precipitation in Portugal. </w:t>
      </w:r>
      <w:r w:rsidRPr="009B45C2">
        <w:rPr>
          <w:rFonts w:cs="Times New Roman"/>
          <w:i/>
          <w:iCs/>
          <w:szCs w:val="24"/>
        </w:rPr>
        <w:t>Journal of Geophysical Research: Atmospheres</w:t>
      </w:r>
      <w:r w:rsidRPr="009B45C2">
        <w:rPr>
          <w:rFonts w:cs="Times New Roman"/>
          <w:szCs w:val="24"/>
        </w:rPr>
        <w:t xml:space="preserve">, </w:t>
      </w:r>
      <w:r w:rsidRPr="009B45C2">
        <w:rPr>
          <w:rFonts w:cs="Times New Roman"/>
          <w:i/>
          <w:iCs/>
          <w:szCs w:val="24"/>
        </w:rPr>
        <w:t>102</w:t>
      </w:r>
      <w:r w:rsidRPr="009B45C2">
        <w:rPr>
          <w:rFonts w:cs="Times New Roman"/>
          <w:szCs w:val="24"/>
        </w:rPr>
        <w:t xml:space="preserve">(D12), 13495–13507. </w:t>
      </w:r>
      <w:hyperlink r:id="rId120" w:history="1">
        <w:r w:rsidRPr="00C75784">
          <w:rPr>
            <w:rStyle w:val="ab"/>
          </w:rPr>
          <w:t>https://doi.org/10.1029/97JD01012</w:t>
        </w:r>
      </w:hyperlink>
    </w:p>
    <w:p w14:paraId="0F8C9C34"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Zhang, Y., &amp; Sun, J. (2017). Comparison of the diurnal variations of precipitation east of the Tibetan Plateau among sub-periods of </w:t>
      </w:r>
      <w:r>
        <w:rPr>
          <w:rFonts w:cs="Times New Roman"/>
          <w:szCs w:val="24"/>
        </w:rPr>
        <w:t>M</w:t>
      </w:r>
      <w:r w:rsidRPr="009B45C2">
        <w:rPr>
          <w:rFonts w:cs="Times New Roman"/>
          <w:szCs w:val="24"/>
        </w:rPr>
        <w:t xml:space="preserve">eiyu season. </w:t>
      </w:r>
      <w:r w:rsidRPr="009B45C2">
        <w:rPr>
          <w:rFonts w:cs="Times New Roman"/>
          <w:i/>
          <w:iCs/>
          <w:szCs w:val="24"/>
        </w:rPr>
        <w:t>Meteorology and Atmospheric Physics</w:t>
      </w:r>
      <w:r w:rsidRPr="009B45C2">
        <w:rPr>
          <w:rFonts w:cs="Times New Roman"/>
          <w:szCs w:val="24"/>
        </w:rPr>
        <w:t xml:space="preserve">, </w:t>
      </w:r>
      <w:r w:rsidRPr="009B45C2">
        <w:rPr>
          <w:rFonts w:cs="Times New Roman"/>
          <w:i/>
          <w:iCs/>
          <w:szCs w:val="24"/>
        </w:rPr>
        <w:t>129</w:t>
      </w:r>
      <w:r w:rsidRPr="009B45C2">
        <w:rPr>
          <w:rFonts w:cs="Times New Roman"/>
          <w:szCs w:val="24"/>
        </w:rPr>
        <w:t xml:space="preserve">(5), 539–554. </w:t>
      </w:r>
      <w:hyperlink r:id="rId121" w:history="1">
        <w:r w:rsidRPr="00C75784">
          <w:rPr>
            <w:rStyle w:val="ab"/>
          </w:rPr>
          <w:t>https://doi.org/10.1007/s00703-016-0484-7</w:t>
        </w:r>
      </w:hyperlink>
    </w:p>
    <w:p w14:paraId="205140FF"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Zhang, Y., Zhang, F., &amp; Sun, J. (2014). Comparison of the diurnal variations of warm-season precipitation for East Asia vs. North America downstream of the Tibetan Plateau vs. the Rocky Mountains. </w:t>
      </w:r>
      <w:r w:rsidRPr="009B45C2">
        <w:rPr>
          <w:rFonts w:cs="Times New Roman"/>
          <w:i/>
          <w:iCs/>
          <w:szCs w:val="24"/>
        </w:rPr>
        <w:t>Atmospheric Chemistry and Physics</w:t>
      </w:r>
      <w:r w:rsidRPr="009B45C2">
        <w:rPr>
          <w:rFonts w:cs="Times New Roman"/>
          <w:szCs w:val="24"/>
        </w:rPr>
        <w:t xml:space="preserve">, </w:t>
      </w:r>
      <w:r w:rsidRPr="009B45C2">
        <w:rPr>
          <w:rFonts w:cs="Times New Roman"/>
          <w:i/>
          <w:iCs/>
          <w:szCs w:val="24"/>
        </w:rPr>
        <w:t>14</w:t>
      </w:r>
      <w:r w:rsidRPr="009B45C2">
        <w:rPr>
          <w:rFonts w:cs="Times New Roman"/>
          <w:szCs w:val="24"/>
        </w:rPr>
        <w:t xml:space="preserve">(19), 10741–10759. </w:t>
      </w:r>
      <w:hyperlink r:id="rId122" w:history="1">
        <w:r w:rsidRPr="00C75784">
          <w:rPr>
            <w:rStyle w:val="ab"/>
          </w:rPr>
          <w:t>https://doi.org/10.5194/acp-14-10741-2014</w:t>
        </w:r>
      </w:hyperlink>
    </w:p>
    <w:p w14:paraId="683742C3"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Zhang, Y., Zhang, F., Davis, C. A., &amp; Sun, J. (2018). Diurnal </w:t>
      </w:r>
      <w:r>
        <w:rPr>
          <w:rFonts w:cs="Times New Roman"/>
          <w:szCs w:val="24"/>
        </w:rPr>
        <w:t>e</w:t>
      </w:r>
      <w:r w:rsidRPr="009B45C2">
        <w:rPr>
          <w:rFonts w:cs="Times New Roman"/>
          <w:szCs w:val="24"/>
        </w:rPr>
        <w:t xml:space="preserve">volution and </w:t>
      </w:r>
      <w:r>
        <w:rPr>
          <w:rFonts w:cs="Times New Roman"/>
          <w:szCs w:val="24"/>
        </w:rPr>
        <w:t>s</w:t>
      </w:r>
      <w:r w:rsidRPr="009B45C2">
        <w:rPr>
          <w:rFonts w:cs="Times New Roman"/>
          <w:szCs w:val="24"/>
        </w:rPr>
        <w:t xml:space="preserve">tructure of </w:t>
      </w:r>
      <w:r>
        <w:rPr>
          <w:rFonts w:cs="Times New Roman"/>
          <w:szCs w:val="24"/>
        </w:rPr>
        <w:t>l</w:t>
      </w:r>
      <w:r w:rsidRPr="009B45C2">
        <w:rPr>
          <w:rFonts w:cs="Times New Roman"/>
          <w:szCs w:val="24"/>
        </w:rPr>
        <w:t>ong-</w:t>
      </w:r>
      <w:r>
        <w:rPr>
          <w:rFonts w:cs="Times New Roman"/>
          <w:szCs w:val="24"/>
        </w:rPr>
        <w:t>l</w:t>
      </w:r>
      <w:r w:rsidRPr="009B45C2">
        <w:rPr>
          <w:rFonts w:cs="Times New Roman"/>
          <w:szCs w:val="24"/>
        </w:rPr>
        <w:t xml:space="preserve">ived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v</w:t>
      </w:r>
      <w:r w:rsidRPr="009B45C2">
        <w:rPr>
          <w:rFonts w:cs="Times New Roman"/>
          <w:szCs w:val="24"/>
        </w:rPr>
        <w:t xml:space="preserve">ortices along the </w:t>
      </w:r>
      <w:r>
        <w:rPr>
          <w:rFonts w:cs="Times New Roman"/>
          <w:szCs w:val="24"/>
        </w:rPr>
        <w:t>m</w:t>
      </w:r>
      <w:r w:rsidRPr="009B45C2">
        <w:rPr>
          <w:rFonts w:cs="Times New Roman"/>
          <w:szCs w:val="24"/>
        </w:rPr>
        <w:t>ei-</w:t>
      </w:r>
      <w:r>
        <w:rPr>
          <w:rFonts w:cs="Times New Roman"/>
          <w:szCs w:val="24"/>
        </w:rPr>
        <w:t>y</w:t>
      </w:r>
      <w:r w:rsidRPr="009B45C2">
        <w:rPr>
          <w:rFonts w:cs="Times New Roman"/>
          <w:szCs w:val="24"/>
        </w:rPr>
        <w:t xml:space="preserve">u </w:t>
      </w:r>
      <w:r>
        <w:rPr>
          <w:rFonts w:cs="Times New Roman"/>
          <w:szCs w:val="24"/>
        </w:rPr>
        <w:t>f</w:t>
      </w:r>
      <w:r w:rsidRPr="009B45C2">
        <w:rPr>
          <w:rFonts w:cs="Times New Roman"/>
          <w:szCs w:val="24"/>
        </w:rPr>
        <w:t xml:space="preserve">ront over the East China </w:t>
      </w:r>
      <w:r>
        <w:rPr>
          <w:rFonts w:cs="Times New Roman"/>
          <w:szCs w:val="24"/>
        </w:rPr>
        <w:t>p</w:t>
      </w:r>
      <w:r w:rsidRPr="009B45C2">
        <w:rPr>
          <w:rFonts w:cs="Times New Roman"/>
          <w:szCs w:val="24"/>
        </w:rPr>
        <w:t xml:space="preserve">lains. </w:t>
      </w:r>
      <w:r w:rsidRPr="009B45C2">
        <w:rPr>
          <w:rFonts w:cs="Times New Roman"/>
          <w:i/>
          <w:iCs/>
          <w:szCs w:val="24"/>
        </w:rPr>
        <w:t>Journal of the Atmospheric Sciences</w:t>
      </w:r>
      <w:r w:rsidRPr="009B45C2">
        <w:rPr>
          <w:rFonts w:cs="Times New Roman"/>
          <w:szCs w:val="24"/>
        </w:rPr>
        <w:t xml:space="preserve">, </w:t>
      </w:r>
      <w:r w:rsidRPr="009B45C2">
        <w:rPr>
          <w:rFonts w:cs="Times New Roman"/>
          <w:i/>
          <w:iCs/>
          <w:szCs w:val="24"/>
        </w:rPr>
        <w:t>75</w:t>
      </w:r>
      <w:r w:rsidRPr="009B45C2">
        <w:rPr>
          <w:rFonts w:cs="Times New Roman"/>
          <w:szCs w:val="24"/>
        </w:rPr>
        <w:t xml:space="preserve">(3), 1005–1025. </w:t>
      </w:r>
      <w:hyperlink r:id="rId123" w:history="1">
        <w:r w:rsidRPr="00C75784">
          <w:rPr>
            <w:rStyle w:val="ab"/>
          </w:rPr>
          <w:t>https://doi.org/10.1175/JAS-D-17-0197.1</w:t>
        </w:r>
      </w:hyperlink>
    </w:p>
    <w:p w14:paraId="2B0921A9"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Zheng, L., Sun, J., Zhang, X., &amp; Liu, C. (2013). Organizational </w:t>
      </w:r>
      <w:r>
        <w:rPr>
          <w:rFonts w:cs="Times New Roman"/>
          <w:szCs w:val="24"/>
        </w:rPr>
        <w:t>m</w:t>
      </w:r>
      <w:r w:rsidRPr="009B45C2">
        <w:rPr>
          <w:rFonts w:cs="Times New Roman"/>
          <w:szCs w:val="24"/>
        </w:rPr>
        <w:t xml:space="preserve">odes of </w:t>
      </w:r>
      <w:r>
        <w:rPr>
          <w:rFonts w:cs="Times New Roman"/>
          <w:szCs w:val="24"/>
        </w:rPr>
        <w:t>m</w:t>
      </w:r>
      <w:r w:rsidRPr="009B45C2">
        <w:rPr>
          <w:rFonts w:cs="Times New Roman"/>
          <w:szCs w:val="24"/>
        </w:rPr>
        <w:t xml:space="preserve">esoscale </w:t>
      </w:r>
      <w:r>
        <w:rPr>
          <w:rFonts w:cs="Times New Roman"/>
          <w:szCs w:val="24"/>
        </w:rPr>
        <w:t>c</w:t>
      </w:r>
      <w:r w:rsidRPr="009B45C2">
        <w:rPr>
          <w:rFonts w:cs="Times New Roman"/>
          <w:szCs w:val="24"/>
        </w:rPr>
        <w:t xml:space="preserve">onvective </w:t>
      </w:r>
      <w:r>
        <w:rPr>
          <w:rFonts w:cs="Times New Roman"/>
          <w:szCs w:val="24"/>
        </w:rPr>
        <w:t>s</w:t>
      </w:r>
      <w:r w:rsidRPr="009B45C2">
        <w:rPr>
          <w:rFonts w:cs="Times New Roman"/>
          <w:szCs w:val="24"/>
        </w:rPr>
        <w:t xml:space="preserve">ystems over Central East China. </w:t>
      </w:r>
      <w:r w:rsidRPr="009B45C2">
        <w:rPr>
          <w:rFonts w:cs="Times New Roman"/>
          <w:i/>
          <w:iCs/>
          <w:szCs w:val="24"/>
        </w:rPr>
        <w:t>Weather and Forecasting</w:t>
      </w:r>
      <w:r w:rsidRPr="009B45C2">
        <w:rPr>
          <w:rFonts w:cs="Times New Roman"/>
          <w:szCs w:val="24"/>
        </w:rPr>
        <w:t xml:space="preserve">, </w:t>
      </w:r>
      <w:r w:rsidRPr="009B45C2">
        <w:rPr>
          <w:rFonts w:cs="Times New Roman"/>
          <w:i/>
          <w:iCs/>
          <w:szCs w:val="24"/>
        </w:rPr>
        <w:t>28</w:t>
      </w:r>
      <w:r w:rsidRPr="009B45C2">
        <w:rPr>
          <w:rFonts w:cs="Times New Roman"/>
          <w:szCs w:val="24"/>
        </w:rPr>
        <w:t xml:space="preserve">(5), 1081–1098. </w:t>
      </w:r>
      <w:hyperlink r:id="rId124" w:history="1">
        <w:r w:rsidRPr="00C75784">
          <w:rPr>
            <w:rStyle w:val="ab"/>
          </w:rPr>
          <w:t>https://doi.org/10.1175/WAF-D-12-00088.1</w:t>
        </w:r>
      </w:hyperlink>
    </w:p>
    <w:p w14:paraId="185D1CAD"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Zheng, Y., Chen, J., &amp; Zhu, P. (2008). Climatological distribution and diurnal variation </w:t>
      </w:r>
      <w:r w:rsidRPr="009B45C2">
        <w:rPr>
          <w:rFonts w:cs="Times New Roman"/>
          <w:szCs w:val="24"/>
        </w:rPr>
        <w:lastRenderedPageBreak/>
        <w:t xml:space="preserve">of mesoscale convective systems over China and its vicinity during summer. </w:t>
      </w:r>
      <w:r w:rsidRPr="009B45C2">
        <w:rPr>
          <w:rFonts w:cs="Times New Roman"/>
          <w:i/>
          <w:iCs/>
          <w:szCs w:val="24"/>
        </w:rPr>
        <w:t>Chinese Science Bulletin</w:t>
      </w:r>
      <w:r w:rsidRPr="009B45C2">
        <w:rPr>
          <w:rFonts w:cs="Times New Roman"/>
          <w:szCs w:val="24"/>
        </w:rPr>
        <w:t xml:space="preserve">, </w:t>
      </w:r>
      <w:r w:rsidRPr="009B45C2">
        <w:rPr>
          <w:rFonts w:cs="Times New Roman"/>
          <w:i/>
          <w:iCs/>
          <w:szCs w:val="24"/>
        </w:rPr>
        <w:t>53</w:t>
      </w:r>
      <w:r w:rsidRPr="009B45C2">
        <w:rPr>
          <w:rFonts w:cs="Times New Roman"/>
          <w:szCs w:val="24"/>
        </w:rPr>
        <w:t xml:space="preserve">(10), 1574–1586. </w:t>
      </w:r>
      <w:hyperlink r:id="rId125" w:history="1">
        <w:r w:rsidRPr="00C75784">
          <w:rPr>
            <w:rStyle w:val="ab"/>
          </w:rPr>
          <w:t>https://doi.org/10.1007/s11434-008-0116-9</w:t>
        </w:r>
      </w:hyperlink>
    </w:p>
    <w:p w14:paraId="4721C8E0" w14:textId="77777777" w:rsidR="005F61F6" w:rsidRDefault="005F61F6" w:rsidP="005F61F6">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Zhu, L., Liu, J., Zhu, A., Sheng, M., &amp; Duan, Z. (2018). Spatial </w:t>
      </w:r>
      <w:r>
        <w:rPr>
          <w:rFonts w:cs="Times New Roman"/>
          <w:szCs w:val="24"/>
        </w:rPr>
        <w:t>d</w:t>
      </w:r>
      <w:r w:rsidRPr="009B45C2">
        <w:rPr>
          <w:rFonts w:cs="Times New Roman"/>
          <w:szCs w:val="24"/>
        </w:rPr>
        <w:t xml:space="preserve">istribution of </w:t>
      </w:r>
      <w:r>
        <w:rPr>
          <w:rFonts w:cs="Times New Roman"/>
          <w:szCs w:val="24"/>
        </w:rPr>
        <w:t>d</w:t>
      </w:r>
      <w:r w:rsidRPr="009B45C2">
        <w:rPr>
          <w:rFonts w:cs="Times New Roman"/>
          <w:szCs w:val="24"/>
        </w:rPr>
        <w:t xml:space="preserve">iurnal </w:t>
      </w:r>
      <w:r>
        <w:rPr>
          <w:rFonts w:cs="Times New Roman"/>
          <w:szCs w:val="24"/>
        </w:rPr>
        <w:t>r</w:t>
      </w:r>
      <w:r w:rsidRPr="009B45C2">
        <w:rPr>
          <w:rFonts w:cs="Times New Roman"/>
          <w:szCs w:val="24"/>
        </w:rPr>
        <w:t xml:space="preserve">ainfall </w:t>
      </w:r>
      <w:r>
        <w:rPr>
          <w:rFonts w:cs="Times New Roman"/>
          <w:szCs w:val="24"/>
        </w:rPr>
        <w:t>v</w:t>
      </w:r>
      <w:r w:rsidRPr="009B45C2">
        <w:rPr>
          <w:rFonts w:cs="Times New Roman"/>
          <w:szCs w:val="24"/>
        </w:rPr>
        <w:t xml:space="preserve">ariation in </w:t>
      </w:r>
      <w:r>
        <w:rPr>
          <w:rFonts w:cs="Times New Roman"/>
          <w:szCs w:val="24"/>
        </w:rPr>
        <w:t>s</w:t>
      </w:r>
      <w:r w:rsidRPr="009B45C2">
        <w:rPr>
          <w:rFonts w:cs="Times New Roman"/>
          <w:szCs w:val="24"/>
        </w:rPr>
        <w:t xml:space="preserve">ummer over China. </w:t>
      </w:r>
      <w:r w:rsidRPr="009B45C2">
        <w:rPr>
          <w:rFonts w:cs="Times New Roman"/>
          <w:i/>
          <w:iCs/>
          <w:szCs w:val="24"/>
        </w:rPr>
        <w:t>Journal of Hydrometeorology</w:t>
      </w:r>
      <w:r w:rsidRPr="009B45C2">
        <w:rPr>
          <w:rFonts w:cs="Times New Roman"/>
          <w:szCs w:val="24"/>
        </w:rPr>
        <w:t xml:space="preserve">, </w:t>
      </w:r>
      <w:r w:rsidRPr="009B45C2">
        <w:rPr>
          <w:rFonts w:cs="Times New Roman"/>
          <w:i/>
          <w:iCs/>
          <w:szCs w:val="24"/>
        </w:rPr>
        <w:t>19</w:t>
      </w:r>
      <w:r w:rsidRPr="009B45C2">
        <w:rPr>
          <w:rFonts w:cs="Times New Roman"/>
          <w:szCs w:val="24"/>
        </w:rPr>
        <w:t xml:space="preserve">(4), 667–678. </w:t>
      </w:r>
      <w:hyperlink r:id="rId126" w:history="1">
        <w:r w:rsidRPr="00C75784">
          <w:rPr>
            <w:rStyle w:val="ab"/>
          </w:rPr>
          <w:t>https://doi.org/10.1175/JHM-D-17-0176.1</w:t>
        </w:r>
      </w:hyperlink>
    </w:p>
    <w:p w14:paraId="56F87E31" w14:textId="097DA2D3" w:rsidR="005F61F6" w:rsidRPr="005F61F6" w:rsidRDefault="005F61F6" w:rsidP="00544BBB">
      <w:pPr>
        <w:pStyle w:val="aa"/>
        <w:adjustRightInd w:val="0"/>
        <w:snapToGrid w:val="0"/>
        <w:spacing w:beforeLines="0" w:before="240" w:after="120" w:line="360" w:lineRule="auto"/>
        <w:ind w:left="360" w:hangingChars="150" w:hanging="360"/>
        <w:rPr>
          <w:rFonts w:cs="Times New Roman"/>
          <w:szCs w:val="24"/>
        </w:rPr>
      </w:pPr>
      <w:r w:rsidRPr="009B45C2">
        <w:rPr>
          <w:rFonts w:cs="Times New Roman"/>
          <w:szCs w:val="24"/>
        </w:rPr>
        <w:t xml:space="preserve">Zipser, E. J. (1977). Mesoscale and </w:t>
      </w:r>
      <w:r>
        <w:rPr>
          <w:rFonts w:cs="Times New Roman"/>
          <w:szCs w:val="24"/>
        </w:rPr>
        <w:t>c</w:t>
      </w:r>
      <w:r w:rsidRPr="009B45C2">
        <w:rPr>
          <w:rFonts w:cs="Times New Roman"/>
          <w:szCs w:val="24"/>
        </w:rPr>
        <w:t>onvective–</w:t>
      </w:r>
      <w:r>
        <w:rPr>
          <w:rFonts w:cs="Times New Roman"/>
          <w:szCs w:val="24"/>
        </w:rPr>
        <w:t>s</w:t>
      </w:r>
      <w:r w:rsidRPr="009B45C2">
        <w:rPr>
          <w:rFonts w:cs="Times New Roman"/>
          <w:szCs w:val="24"/>
        </w:rPr>
        <w:t xml:space="preserve">cale </w:t>
      </w:r>
      <w:r>
        <w:rPr>
          <w:rFonts w:cs="Times New Roman"/>
          <w:szCs w:val="24"/>
        </w:rPr>
        <w:t>d</w:t>
      </w:r>
      <w:r w:rsidRPr="009B45C2">
        <w:rPr>
          <w:rFonts w:cs="Times New Roman"/>
          <w:szCs w:val="24"/>
        </w:rPr>
        <w:t xml:space="preserve">owndrafts as </w:t>
      </w:r>
      <w:r>
        <w:rPr>
          <w:rFonts w:cs="Times New Roman"/>
          <w:szCs w:val="24"/>
        </w:rPr>
        <w:t>d</w:t>
      </w:r>
      <w:r w:rsidRPr="009B45C2">
        <w:rPr>
          <w:rFonts w:cs="Times New Roman"/>
          <w:szCs w:val="24"/>
        </w:rPr>
        <w:t xml:space="preserve">istinct </w:t>
      </w:r>
      <w:r>
        <w:rPr>
          <w:rFonts w:cs="Times New Roman"/>
          <w:szCs w:val="24"/>
        </w:rPr>
        <w:t>c</w:t>
      </w:r>
      <w:r w:rsidRPr="009B45C2">
        <w:rPr>
          <w:rFonts w:cs="Times New Roman"/>
          <w:szCs w:val="24"/>
        </w:rPr>
        <w:t xml:space="preserve">omponents of </w:t>
      </w:r>
      <w:r>
        <w:rPr>
          <w:rFonts w:cs="Times New Roman"/>
          <w:szCs w:val="24"/>
        </w:rPr>
        <w:t>s</w:t>
      </w:r>
      <w:r w:rsidRPr="009B45C2">
        <w:rPr>
          <w:rFonts w:cs="Times New Roman"/>
          <w:szCs w:val="24"/>
        </w:rPr>
        <w:t>quall-</w:t>
      </w:r>
      <w:r>
        <w:rPr>
          <w:rFonts w:cs="Times New Roman"/>
          <w:szCs w:val="24"/>
        </w:rPr>
        <w:t>l</w:t>
      </w:r>
      <w:r w:rsidRPr="009B45C2">
        <w:rPr>
          <w:rFonts w:cs="Times New Roman"/>
          <w:szCs w:val="24"/>
        </w:rPr>
        <w:t xml:space="preserve">ine </w:t>
      </w:r>
      <w:r>
        <w:rPr>
          <w:rFonts w:cs="Times New Roman"/>
          <w:szCs w:val="24"/>
        </w:rPr>
        <w:t>s</w:t>
      </w:r>
      <w:r w:rsidRPr="009B45C2">
        <w:rPr>
          <w:rFonts w:cs="Times New Roman"/>
          <w:szCs w:val="24"/>
        </w:rPr>
        <w:t xml:space="preserve">tructure. </w:t>
      </w:r>
      <w:r w:rsidRPr="009B45C2">
        <w:rPr>
          <w:rFonts w:cs="Times New Roman"/>
          <w:i/>
          <w:iCs/>
          <w:szCs w:val="24"/>
        </w:rPr>
        <w:t>Monthly Weather Review</w:t>
      </w:r>
      <w:r w:rsidRPr="009B45C2">
        <w:rPr>
          <w:rFonts w:cs="Times New Roman"/>
          <w:szCs w:val="24"/>
        </w:rPr>
        <w:t xml:space="preserve">, </w:t>
      </w:r>
      <w:r w:rsidRPr="009B45C2">
        <w:rPr>
          <w:rFonts w:cs="Times New Roman"/>
          <w:i/>
          <w:iCs/>
          <w:szCs w:val="24"/>
        </w:rPr>
        <w:t>105</w:t>
      </w:r>
      <w:r w:rsidRPr="009B45C2">
        <w:rPr>
          <w:rFonts w:cs="Times New Roman"/>
          <w:szCs w:val="24"/>
        </w:rPr>
        <w:t xml:space="preserve">(12), 1568–1589. </w:t>
      </w:r>
      <w:hyperlink r:id="rId127" w:history="1">
        <w:r w:rsidRPr="00C75784">
          <w:rPr>
            <w:rStyle w:val="ab"/>
          </w:rPr>
          <w:t>https://doi.org/10.1175/1520-0493(1977)105&lt;1568:MACDAD&gt;2.0.CO;2</w:t>
        </w:r>
      </w:hyperlink>
    </w:p>
    <w:sectPr w:rsidR="005F61F6" w:rsidRPr="005F61F6" w:rsidSect="0020791A">
      <w:headerReference w:type="even" r:id="rId128"/>
      <w:headerReference w:type="default" r:id="rId129"/>
      <w:footerReference w:type="even" r:id="rId130"/>
      <w:footerReference w:type="default" r:id="rId131"/>
      <w:headerReference w:type="first" r:id="rId132"/>
      <w:footerReference w:type="first" r:id="rId133"/>
      <w:pgSz w:w="11906" w:h="16838"/>
      <w:pgMar w:top="1440" w:right="1800" w:bottom="1440" w:left="1800" w:header="851" w:footer="850" w:gutter="0"/>
      <w:lnNumType w:countBy="1" w:restart="continuous"/>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801CA1" w14:textId="77777777" w:rsidR="0076192E" w:rsidRDefault="0076192E">
      <w:pPr>
        <w:spacing w:before="120" w:line="240" w:lineRule="auto"/>
        <w:ind w:firstLine="480"/>
      </w:pPr>
      <w:r>
        <w:separator/>
      </w:r>
    </w:p>
  </w:endnote>
  <w:endnote w:type="continuationSeparator" w:id="0">
    <w:p w14:paraId="4CFA80CB" w14:textId="77777777" w:rsidR="0076192E" w:rsidRDefault="0076192E">
      <w:pPr>
        <w:spacing w:before="120"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EB6D3" w14:textId="77777777" w:rsidR="007A66AB" w:rsidRDefault="007A66AB">
    <w:pPr>
      <w:pStyle w:val="a5"/>
      <w:spacing w:before="120"/>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AE8E5" w14:textId="77777777" w:rsidR="007A66AB" w:rsidRPr="0020791A" w:rsidRDefault="007A66AB" w:rsidP="0020791A">
    <w:pPr>
      <w:pStyle w:val="a5"/>
      <w:spacing w:before="120"/>
      <w:ind w:firstLineChars="0" w:firstLine="0"/>
      <w:rPr>
        <w:rFonts w:eastAsiaTheme="minor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60A25" w14:textId="77777777" w:rsidR="007A66AB" w:rsidRDefault="007A66AB">
    <w:pPr>
      <w:pStyle w:val="a5"/>
      <w:spacing w:before="120"/>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8E364" w14:textId="77777777" w:rsidR="0076192E" w:rsidRDefault="0076192E">
      <w:pPr>
        <w:spacing w:before="120" w:line="240" w:lineRule="auto"/>
        <w:ind w:firstLine="480"/>
      </w:pPr>
      <w:r>
        <w:separator/>
      </w:r>
    </w:p>
  </w:footnote>
  <w:footnote w:type="continuationSeparator" w:id="0">
    <w:p w14:paraId="249A34F1" w14:textId="77777777" w:rsidR="0076192E" w:rsidRDefault="0076192E">
      <w:pPr>
        <w:spacing w:before="120"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01F94" w14:textId="77777777" w:rsidR="007A66AB" w:rsidRDefault="007A66AB">
    <w:pPr>
      <w:pStyle w:val="a3"/>
      <w:spacing w:before="12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C24ED" w14:textId="77777777" w:rsidR="007A66AB" w:rsidRDefault="007A66AB">
    <w:pPr>
      <w:pStyle w:val="a3"/>
      <w:spacing w:before="120"/>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8E5B1" w14:textId="77777777" w:rsidR="007A66AB" w:rsidRDefault="007A66AB">
    <w:pPr>
      <w:pStyle w:val="a3"/>
      <w:spacing w:before="120"/>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F847EE"/>
    <w:multiLevelType w:val="hybridMultilevel"/>
    <w:tmpl w:val="E1807FCC"/>
    <w:lvl w:ilvl="0" w:tplc="41EC8192">
      <w:start w:val="1"/>
      <w:numFmt w:val="decimal"/>
      <w:lvlText w:val="(%1)"/>
      <w:lvlJc w:val="left"/>
      <w:pPr>
        <w:ind w:left="980" w:hanging="420"/>
      </w:pPr>
      <w:rPr>
        <w:rFonts w:hint="default"/>
      </w:rPr>
    </w:lvl>
    <w:lvl w:ilvl="1" w:tplc="2FAADCCC" w:tentative="1">
      <w:start w:val="1"/>
      <w:numFmt w:val="lowerLetter"/>
      <w:lvlText w:val="%2)"/>
      <w:lvlJc w:val="left"/>
      <w:pPr>
        <w:ind w:left="1400" w:hanging="420"/>
      </w:pPr>
    </w:lvl>
    <w:lvl w:ilvl="2" w:tplc="3DFE9294" w:tentative="1">
      <w:start w:val="1"/>
      <w:numFmt w:val="lowerRoman"/>
      <w:lvlText w:val="%3."/>
      <w:lvlJc w:val="right"/>
      <w:pPr>
        <w:ind w:left="1820" w:hanging="420"/>
      </w:pPr>
    </w:lvl>
    <w:lvl w:ilvl="3" w:tplc="BDD6624E" w:tentative="1">
      <w:start w:val="1"/>
      <w:numFmt w:val="decimal"/>
      <w:lvlText w:val="%4."/>
      <w:lvlJc w:val="left"/>
      <w:pPr>
        <w:ind w:left="2240" w:hanging="420"/>
      </w:pPr>
    </w:lvl>
    <w:lvl w:ilvl="4" w:tplc="9EEC4A2A" w:tentative="1">
      <w:start w:val="1"/>
      <w:numFmt w:val="lowerLetter"/>
      <w:lvlText w:val="%5)"/>
      <w:lvlJc w:val="left"/>
      <w:pPr>
        <w:ind w:left="2660" w:hanging="420"/>
      </w:pPr>
    </w:lvl>
    <w:lvl w:ilvl="5" w:tplc="7DFCA252" w:tentative="1">
      <w:start w:val="1"/>
      <w:numFmt w:val="lowerRoman"/>
      <w:lvlText w:val="%6."/>
      <w:lvlJc w:val="right"/>
      <w:pPr>
        <w:ind w:left="3080" w:hanging="420"/>
      </w:pPr>
    </w:lvl>
    <w:lvl w:ilvl="6" w:tplc="AF4ECC40" w:tentative="1">
      <w:start w:val="1"/>
      <w:numFmt w:val="decimal"/>
      <w:lvlText w:val="%7."/>
      <w:lvlJc w:val="left"/>
      <w:pPr>
        <w:ind w:left="3500" w:hanging="420"/>
      </w:pPr>
    </w:lvl>
    <w:lvl w:ilvl="7" w:tplc="4E78C420" w:tentative="1">
      <w:start w:val="1"/>
      <w:numFmt w:val="lowerLetter"/>
      <w:lvlText w:val="%8)"/>
      <w:lvlJc w:val="left"/>
      <w:pPr>
        <w:ind w:left="3920" w:hanging="420"/>
      </w:pPr>
    </w:lvl>
    <w:lvl w:ilvl="8" w:tplc="9B105EB6" w:tentative="1">
      <w:start w:val="1"/>
      <w:numFmt w:val="lowerRoman"/>
      <w:lvlText w:val="%9."/>
      <w:lvlJc w:val="right"/>
      <w:pPr>
        <w:ind w:left="4340" w:hanging="420"/>
      </w:pPr>
    </w:lvl>
  </w:abstractNum>
  <w:abstractNum w:abstractNumId="1" w15:restartNumberingAfterBreak="0">
    <w:nsid w:val="298D3FD1"/>
    <w:multiLevelType w:val="hybridMultilevel"/>
    <w:tmpl w:val="DC625D66"/>
    <w:lvl w:ilvl="0" w:tplc="463CE408">
      <w:start w:val="1"/>
      <w:numFmt w:val="bullet"/>
      <w:lvlText w:val=""/>
      <w:lvlJc w:val="left"/>
      <w:pPr>
        <w:ind w:left="420" w:hanging="420"/>
      </w:pPr>
      <w:rPr>
        <w:rFonts w:ascii="Wingdings" w:hAnsi="Wingdings" w:hint="default"/>
      </w:rPr>
    </w:lvl>
    <w:lvl w:ilvl="1" w:tplc="ABDCC55E" w:tentative="1">
      <w:start w:val="1"/>
      <w:numFmt w:val="bullet"/>
      <w:lvlText w:val=""/>
      <w:lvlJc w:val="left"/>
      <w:pPr>
        <w:ind w:left="840" w:hanging="420"/>
      </w:pPr>
      <w:rPr>
        <w:rFonts w:ascii="Wingdings" w:hAnsi="Wingdings" w:hint="default"/>
      </w:rPr>
    </w:lvl>
    <w:lvl w:ilvl="2" w:tplc="47666FFC" w:tentative="1">
      <w:start w:val="1"/>
      <w:numFmt w:val="bullet"/>
      <w:lvlText w:val=""/>
      <w:lvlJc w:val="left"/>
      <w:pPr>
        <w:ind w:left="1260" w:hanging="420"/>
      </w:pPr>
      <w:rPr>
        <w:rFonts w:ascii="Wingdings" w:hAnsi="Wingdings" w:hint="default"/>
      </w:rPr>
    </w:lvl>
    <w:lvl w:ilvl="3" w:tplc="89227208" w:tentative="1">
      <w:start w:val="1"/>
      <w:numFmt w:val="bullet"/>
      <w:lvlText w:val=""/>
      <w:lvlJc w:val="left"/>
      <w:pPr>
        <w:ind w:left="1680" w:hanging="420"/>
      </w:pPr>
      <w:rPr>
        <w:rFonts w:ascii="Wingdings" w:hAnsi="Wingdings" w:hint="default"/>
      </w:rPr>
    </w:lvl>
    <w:lvl w:ilvl="4" w:tplc="090EBA5E" w:tentative="1">
      <w:start w:val="1"/>
      <w:numFmt w:val="bullet"/>
      <w:lvlText w:val=""/>
      <w:lvlJc w:val="left"/>
      <w:pPr>
        <w:ind w:left="2100" w:hanging="420"/>
      </w:pPr>
      <w:rPr>
        <w:rFonts w:ascii="Wingdings" w:hAnsi="Wingdings" w:hint="default"/>
      </w:rPr>
    </w:lvl>
    <w:lvl w:ilvl="5" w:tplc="269EEE8A" w:tentative="1">
      <w:start w:val="1"/>
      <w:numFmt w:val="bullet"/>
      <w:lvlText w:val=""/>
      <w:lvlJc w:val="left"/>
      <w:pPr>
        <w:ind w:left="2520" w:hanging="420"/>
      </w:pPr>
      <w:rPr>
        <w:rFonts w:ascii="Wingdings" w:hAnsi="Wingdings" w:hint="default"/>
      </w:rPr>
    </w:lvl>
    <w:lvl w:ilvl="6" w:tplc="DE3055E2" w:tentative="1">
      <w:start w:val="1"/>
      <w:numFmt w:val="bullet"/>
      <w:lvlText w:val=""/>
      <w:lvlJc w:val="left"/>
      <w:pPr>
        <w:ind w:left="2940" w:hanging="420"/>
      </w:pPr>
      <w:rPr>
        <w:rFonts w:ascii="Wingdings" w:hAnsi="Wingdings" w:hint="default"/>
      </w:rPr>
    </w:lvl>
    <w:lvl w:ilvl="7" w:tplc="45C2ACC2" w:tentative="1">
      <w:start w:val="1"/>
      <w:numFmt w:val="bullet"/>
      <w:lvlText w:val=""/>
      <w:lvlJc w:val="left"/>
      <w:pPr>
        <w:ind w:left="3360" w:hanging="420"/>
      </w:pPr>
      <w:rPr>
        <w:rFonts w:ascii="Wingdings" w:hAnsi="Wingdings" w:hint="default"/>
      </w:rPr>
    </w:lvl>
    <w:lvl w:ilvl="8" w:tplc="37F4E5D0" w:tentative="1">
      <w:start w:val="1"/>
      <w:numFmt w:val="bullet"/>
      <w:lvlText w:val=""/>
      <w:lvlJc w:val="left"/>
      <w:pPr>
        <w:ind w:left="3780" w:hanging="420"/>
      </w:pPr>
      <w:rPr>
        <w:rFonts w:ascii="Wingdings" w:hAnsi="Wingdings" w:hint="default"/>
      </w:rPr>
    </w:lvl>
  </w:abstractNum>
  <w:abstractNum w:abstractNumId="2" w15:restartNumberingAfterBreak="0">
    <w:nsid w:val="30AB4964"/>
    <w:multiLevelType w:val="hybridMultilevel"/>
    <w:tmpl w:val="D13A4924"/>
    <w:lvl w:ilvl="0" w:tplc="4720F2BC">
      <w:start w:val="1"/>
      <w:numFmt w:val="decimal"/>
      <w:lvlText w:val="(%1)"/>
      <w:lvlJc w:val="left"/>
      <w:pPr>
        <w:ind w:left="920" w:hanging="360"/>
      </w:pPr>
      <w:rPr>
        <w:rFonts w:hint="default"/>
      </w:rPr>
    </w:lvl>
    <w:lvl w:ilvl="1" w:tplc="D4EC23CC" w:tentative="1">
      <w:start w:val="1"/>
      <w:numFmt w:val="lowerLetter"/>
      <w:lvlText w:val="%2)"/>
      <w:lvlJc w:val="left"/>
      <w:pPr>
        <w:ind w:left="1400" w:hanging="420"/>
      </w:pPr>
    </w:lvl>
    <w:lvl w:ilvl="2" w:tplc="AB06A84C" w:tentative="1">
      <w:start w:val="1"/>
      <w:numFmt w:val="lowerRoman"/>
      <w:lvlText w:val="%3."/>
      <w:lvlJc w:val="right"/>
      <w:pPr>
        <w:ind w:left="1820" w:hanging="420"/>
      </w:pPr>
    </w:lvl>
    <w:lvl w:ilvl="3" w:tplc="0D6656F8" w:tentative="1">
      <w:start w:val="1"/>
      <w:numFmt w:val="decimal"/>
      <w:lvlText w:val="%4."/>
      <w:lvlJc w:val="left"/>
      <w:pPr>
        <w:ind w:left="2240" w:hanging="420"/>
      </w:pPr>
    </w:lvl>
    <w:lvl w:ilvl="4" w:tplc="F858050A" w:tentative="1">
      <w:start w:val="1"/>
      <w:numFmt w:val="lowerLetter"/>
      <w:lvlText w:val="%5)"/>
      <w:lvlJc w:val="left"/>
      <w:pPr>
        <w:ind w:left="2660" w:hanging="420"/>
      </w:pPr>
    </w:lvl>
    <w:lvl w:ilvl="5" w:tplc="A89E2952" w:tentative="1">
      <w:start w:val="1"/>
      <w:numFmt w:val="lowerRoman"/>
      <w:lvlText w:val="%6."/>
      <w:lvlJc w:val="right"/>
      <w:pPr>
        <w:ind w:left="3080" w:hanging="420"/>
      </w:pPr>
    </w:lvl>
    <w:lvl w:ilvl="6" w:tplc="7E3E7CD2" w:tentative="1">
      <w:start w:val="1"/>
      <w:numFmt w:val="decimal"/>
      <w:lvlText w:val="%7."/>
      <w:lvlJc w:val="left"/>
      <w:pPr>
        <w:ind w:left="3500" w:hanging="420"/>
      </w:pPr>
    </w:lvl>
    <w:lvl w:ilvl="7" w:tplc="ED50BE4C" w:tentative="1">
      <w:start w:val="1"/>
      <w:numFmt w:val="lowerLetter"/>
      <w:lvlText w:val="%8)"/>
      <w:lvlJc w:val="left"/>
      <w:pPr>
        <w:ind w:left="3920" w:hanging="420"/>
      </w:pPr>
    </w:lvl>
    <w:lvl w:ilvl="8" w:tplc="E370C456" w:tentative="1">
      <w:start w:val="1"/>
      <w:numFmt w:val="lowerRoman"/>
      <w:lvlText w:val="%9."/>
      <w:lvlJc w:val="right"/>
      <w:pPr>
        <w:ind w:left="4340" w:hanging="420"/>
      </w:pPr>
    </w:lvl>
  </w:abstractNum>
  <w:abstractNum w:abstractNumId="3" w15:restartNumberingAfterBreak="0">
    <w:nsid w:val="30EB5CF2"/>
    <w:multiLevelType w:val="hybridMultilevel"/>
    <w:tmpl w:val="A8FC5ED2"/>
    <w:lvl w:ilvl="0" w:tplc="3D50A7B2">
      <w:start w:val="1"/>
      <w:numFmt w:val="bullet"/>
      <w:lvlText w:val=""/>
      <w:lvlJc w:val="left"/>
      <w:pPr>
        <w:ind w:left="420" w:hanging="420"/>
      </w:pPr>
      <w:rPr>
        <w:rFonts w:ascii="Symbol" w:hAnsi="Symbol" w:hint="default"/>
        <w:color w:val="262626"/>
        <w:sz w:val="20"/>
      </w:rPr>
    </w:lvl>
    <w:lvl w:ilvl="1" w:tplc="D9786F30" w:tentative="1">
      <w:start w:val="1"/>
      <w:numFmt w:val="bullet"/>
      <w:lvlText w:val=""/>
      <w:lvlJc w:val="left"/>
      <w:pPr>
        <w:ind w:left="840" w:hanging="420"/>
      </w:pPr>
      <w:rPr>
        <w:rFonts w:ascii="Wingdings" w:hAnsi="Wingdings" w:hint="default"/>
      </w:rPr>
    </w:lvl>
    <w:lvl w:ilvl="2" w:tplc="FD1808AC" w:tentative="1">
      <w:start w:val="1"/>
      <w:numFmt w:val="bullet"/>
      <w:lvlText w:val=""/>
      <w:lvlJc w:val="left"/>
      <w:pPr>
        <w:ind w:left="1260" w:hanging="420"/>
      </w:pPr>
      <w:rPr>
        <w:rFonts w:ascii="Wingdings" w:hAnsi="Wingdings" w:hint="default"/>
      </w:rPr>
    </w:lvl>
    <w:lvl w:ilvl="3" w:tplc="E7A44226" w:tentative="1">
      <w:start w:val="1"/>
      <w:numFmt w:val="bullet"/>
      <w:lvlText w:val=""/>
      <w:lvlJc w:val="left"/>
      <w:pPr>
        <w:ind w:left="1680" w:hanging="420"/>
      </w:pPr>
      <w:rPr>
        <w:rFonts w:ascii="Wingdings" w:hAnsi="Wingdings" w:hint="default"/>
      </w:rPr>
    </w:lvl>
    <w:lvl w:ilvl="4" w:tplc="33B4E29C" w:tentative="1">
      <w:start w:val="1"/>
      <w:numFmt w:val="bullet"/>
      <w:lvlText w:val=""/>
      <w:lvlJc w:val="left"/>
      <w:pPr>
        <w:ind w:left="2100" w:hanging="420"/>
      </w:pPr>
      <w:rPr>
        <w:rFonts w:ascii="Wingdings" w:hAnsi="Wingdings" w:hint="default"/>
      </w:rPr>
    </w:lvl>
    <w:lvl w:ilvl="5" w:tplc="1FF6A654" w:tentative="1">
      <w:start w:val="1"/>
      <w:numFmt w:val="bullet"/>
      <w:lvlText w:val=""/>
      <w:lvlJc w:val="left"/>
      <w:pPr>
        <w:ind w:left="2520" w:hanging="420"/>
      </w:pPr>
      <w:rPr>
        <w:rFonts w:ascii="Wingdings" w:hAnsi="Wingdings" w:hint="default"/>
      </w:rPr>
    </w:lvl>
    <w:lvl w:ilvl="6" w:tplc="76C6F316" w:tentative="1">
      <w:start w:val="1"/>
      <w:numFmt w:val="bullet"/>
      <w:lvlText w:val=""/>
      <w:lvlJc w:val="left"/>
      <w:pPr>
        <w:ind w:left="2940" w:hanging="420"/>
      </w:pPr>
      <w:rPr>
        <w:rFonts w:ascii="Wingdings" w:hAnsi="Wingdings" w:hint="default"/>
      </w:rPr>
    </w:lvl>
    <w:lvl w:ilvl="7" w:tplc="3C0E4CD8" w:tentative="1">
      <w:start w:val="1"/>
      <w:numFmt w:val="bullet"/>
      <w:lvlText w:val=""/>
      <w:lvlJc w:val="left"/>
      <w:pPr>
        <w:ind w:left="3360" w:hanging="420"/>
      </w:pPr>
      <w:rPr>
        <w:rFonts w:ascii="Wingdings" w:hAnsi="Wingdings" w:hint="default"/>
      </w:rPr>
    </w:lvl>
    <w:lvl w:ilvl="8" w:tplc="84FADD5A" w:tentative="1">
      <w:start w:val="1"/>
      <w:numFmt w:val="bullet"/>
      <w:lvlText w:val=""/>
      <w:lvlJc w:val="left"/>
      <w:pPr>
        <w:ind w:left="3780" w:hanging="420"/>
      </w:pPr>
      <w:rPr>
        <w:rFonts w:ascii="Wingdings" w:hAnsi="Wingdings" w:hint="default"/>
      </w:rPr>
    </w:lvl>
  </w:abstractNum>
  <w:abstractNum w:abstractNumId="4" w15:restartNumberingAfterBreak="0">
    <w:nsid w:val="62535719"/>
    <w:multiLevelType w:val="hybridMultilevel"/>
    <w:tmpl w:val="B1C0AF6C"/>
    <w:lvl w:ilvl="0" w:tplc="2548B5E0">
      <w:start w:val="1"/>
      <w:numFmt w:val="decimal"/>
      <w:lvlText w:val="(%1)"/>
      <w:lvlJc w:val="left"/>
      <w:pPr>
        <w:ind w:left="980" w:hanging="420"/>
      </w:pPr>
      <w:rPr>
        <w:rFonts w:hint="default"/>
      </w:rPr>
    </w:lvl>
    <w:lvl w:ilvl="1" w:tplc="C77A2B84" w:tentative="1">
      <w:start w:val="1"/>
      <w:numFmt w:val="lowerLetter"/>
      <w:lvlText w:val="%2)"/>
      <w:lvlJc w:val="left"/>
      <w:pPr>
        <w:ind w:left="1400" w:hanging="420"/>
      </w:pPr>
    </w:lvl>
    <w:lvl w:ilvl="2" w:tplc="F1D056EA" w:tentative="1">
      <w:start w:val="1"/>
      <w:numFmt w:val="lowerRoman"/>
      <w:lvlText w:val="%3."/>
      <w:lvlJc w:val="right"/>
      <w:pPr>
        <w:ind w:left="1820" w:hanging="420"/>
      </w:pPr>
    </w:lvl>
    <w:lvl w:ilvl="3" w:tplc="C3F8AB9C" w:tentative="1">
      <w:start w:val="1"/>
      <w:numFmt w:val="decimal"/>
      <w:lvlText w:val="%4."/>
      <w:lvlJc w:val="left"/>
      <w:pPr>
        <w:ind w:left="2240" w:hanging="420"/>
      </w:pPr>
    </w:lvl>
    <w:lvl w:ilvl="4" w:tplc="0CE64106" w:tentative="1">
      <w:start w:val="1"/>
      <w:numFmt w:val="lowerLetter"/>
      <w:lvlText w:val="%5)"/>
      <w:lvlJc w:val="left"/>
      <w:pPr>
        <w:ind w:left="2660" w:hanging="420"/>
      </w:pPr>
    </w:lvl>
    <w:lvl w:ilvl="5" w:tplc="D1A2F4E4" w:tentative="1">
      <w:start w:val="1"/>
      <w:numFmt w:val="lowerRoman"/>
      <w:lvlText w:val="%6."/>
      <w:lvlJc w:val="right"/>
      <w:pPr>
        <w:ind w:left="3080" w:hanging="420"/>
      </w:pPr>
    </w:lvl>
    <w:lvl w:ilvl="6" w:tplc="7C987830" w:tentative="1">
      <w:start w:val="1"/>
      <w:numFmt w:val="decimal"/>
      <w:lvlText w:val="%7."/>
      <w:lvlJc w:val="left"/>
      <w:pPr>
        <w:ind w:left="3500" w:hanging="420"/>
      </w:pPr>
    </w:lvl>
    <w:lvl w:ilvl="7" w:tplc="3CD2BE42" w:tentative="1">
      <w:start w:val="1"/>
      <w:numFmt w:val="lowerLetter"/>
      <w:lvlText w:val="%8)"/>
      <w:lvlJc w:val="left"/>
      <w:pPr>
        <w:ind w:left="3920" w:hanging="420"/>
      </w:pPr>
    </w:lvl>
    <w:lvl w:ilvl="8" w:tplc="80441EA2" w:tentative="1">
      <w:start w:val="1"/>
      <w:numFmt w:val="lowerRoman"/>
      <w:lvlText w:val="%9."/>
      <w:lvlJc w:val="right"/>
      <w:pPr>
        <w:ind w:left="4340" w:hanging="420"/>
      </w:pPr>
    </w:lvl>
  </w:abstractNum>
  <w:num w:numId="1" w16cid:durableId="1834296159">
    <w:abstractNumId w:val="2"/>
  </w:num>
  <w:num w:numId="2" w16cid:durableId="1926377766">
    <w:abstractNumId w:val="0"/>
  </w:num>
  <w:num w:numId="3" w16cid:durableId="1983466280">
    <w:abstractNumId w:val="4"/>
  </w:num>
  <w:num w:numId="4" w16cid:durableId="1903176011">
    <w:abstractNumId w:val="1"/>
  </w:num>
  <w:num w:numId="5" w16cid:durableId="34113120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8B1"/>
    <w:rsid w:val="0000122F"/>
    <w:rsid w:val="00005880"/>
    <w:rsid w:val="00006682"/>
    <w:rsid w:val="0001039A"/>
    <w:rsid w:val="00010EAA"/>
    <w:rsid w:val="0001277A"/>
    <w:rsid w:val="0001307D"/>
    <w:rsid w:val="00013CF7"/>
    <w:rsid w:val="00014045"/>
    <w:rsid w:val="000142BB"/>
    <w:rsid w:val="00015F8D"/>
    <w:rsid w:val="00016690"/>
    <w:rsid w:val="0001795D"/>
    <w:rsid w:val="00021F8D"/>
    <w:rsid w:val="0002240B"/>
    <w:rsid w:val="000246A8"/>
    <w:rsid w:val="000248AC"/>
    <w:rsid w:val="00026B5C"/>
    <w:rsid w:val="000275B2"/>
    <w:rsid w:val="00030DAF"/>
    <w:rsid w:val="00031361"/>
    <w:rsid w:val="000315CA"/>
    <w:rsid w:val="000332CB"/>
    <w:rsid w:val="000334C8"/>
    <w:rsid w:val="00037AB0"/>
    <w:rsid w:val="000421F0"/>
    <w:rsid w:val="00042B8F"/>
    <w:rsid w:val="00046F34"/>
    <w:rsid w:val="00050A99"/>
    <w:rsid w:val="00050C01"/>
    <w:rsid w:val="0005299C"/>
    <w:rsid w:val="00054F81"/>
    <w:rsid w:val="00054FD9"/>
    <w:rsid w:val="00063941"/>
    <w:rsid w:val="000668CE"/>
    <w:rsid w:val="0007567A"/>
    <w:rsid w:val="00077834"/>
    <w:rsid w:val="0008252F"/>
    <w:rsid w:val="000838B6"/>
    <w:rsid w:val="00084D4E"/>
    <w:rsid w:val="00091230"/>
    <w:rsid w:val="00092209"/>
    <w:rsid w:val="00092498"/>
    <w:rsid w:val="00094400"/>
    <w:rsid w:val="000977CC"/>
    <w:rsid w:val="00097909"/>
    <w:rsid w:val="00097998"/>
    <w:rsid w:val="000A1A00"/>
    <w:rsid w:val="000A1D99"/>
    <w:rsid w:val="000A540E"/>
    <w:rsid w:val="000A55BA"/>
    <w:rsid w:val="000B03B7"/>
    <w:rsid w:val="000B3000"/>
    <w:rsid w:val="000B32C0"/>
    <w:rsid w:val="000B45E1"/>
    <w:rsid w:val="000B55FC"/>
    <w:rsid w:val="000B6487"/>
    <w:rsid w:val="000B6FD8"/>
    <w:rsid w:val="000B76FD"/>
    <w:rsid w:val="000B7A95"/>
    <w:rsid w:val="000B7ADC"/>
    <w:rsid w:val="000C0DA0"/>
    <w:rsid w:val="000C3AF8"/>
    <w:rsid w:val="000C5044"/>
    <w:rsid w:val="000C58EA"/>
    <w:rsid w:val="000D14A4"/>
    <w:rsid w:val="000D65A8"/>
    <w:rsid w:val="000E2EEE"/>
    <w:rsid w:val="000E5BC9"/>
    <w:rsid w:val="000E6B20"/>
    <w:rsid w:val="000F475C"/>
    <w:rsid w:val="00101DF7"/>
    <w:rsid w:val="001020BB"/>
    <w:rsid w:val="001028E0"/>
    <w:rsid w:val="0010300A"/>
    <w:rsid w:val="00107158"/>
    <w:rsid w:val="00111150"/>
    <w:rsid w:val="00122D61"/>
    <w:rsid w:val="00122F41"/>
    <w:rsid w:val="0012443F"/>
    <w:rsid w:val="0012559B"/>
    <w:rsid w:val="001317C3"/>
    <w:rsid w:val="00136E59"/>
    <w:rsid w:val="00137E7E"/>
    <w:rsid w:val="00143BE7"/>
    <w:rsid w:val="00146B32"/>
    <w:rsid w:val="00150AE6"/>
    <w:rsid w:val="00151347"/>
    <w:rsid w:val="0015268C"/>
    <w:rsid w:val="00153822"/>
    <w:rsid w:val="0015449E"/>
    <w:rsid w:val="00157A1D"/>
    <w:rsid w:val="00160A1B"/>
    <w:rsid w:val="0016149D"/>
    <w:rsid w:val="00170689"/>
    <w:rsid w:val="00170B59"/>
    <w:rsid w:val="00171875"/>
    <w:rsid w:val="0017204B"/>
    <w:rsid w:val="00174834"/>
    <w:rsid w:val="00180468"/>
    <w:rsid w:val="0018153E"/>
    <w:rsid w:val="00181B97"/>
    <w:rsid w:val="0018230F"/>
    <w:rsid w:val="001838B8"/>
    <w:rsid w:val="00194A63"/>
    <w:rsid w:val="00194F15"/>
    <w:rsid w:val="00194F74"/>
    <w:rsid w:val="00195448"/>
    <w:rsid w:val="00197758"/>
    <w:rsid w:val="00197766"/>
    <w:rsid w:val="001A0732"/>
    <w:rsid w:val="001A42D0"/>
    <w:rsid w:val="001B0DB3"/>
    <w:rsid w:val="001C224E"/>
    <w:rsid w:val="001C4BB2"/>
    <w:rsid w:val="001C4CA7"/>
    <w:rsid w:val="001D2842"/>
    <w:rsid w:val="001D385A"/>
    <w:rsid w:val="001D5076"/>
    <w:rsid w:val="001E46FE"/>
    <w:rsid w:val="001E5478"/>
    <w:rsid w:val="001F0276"/>
    <w:rsid w:val="001F02D0"/>
    <w:rsid w:val="001F08FC"/>
    <w:rsid w:val="001F1ACD"/>
    <w:rsid w:val="001F203D"/>
    <w:rsid w:val="001F2410"/>
    <w:rsid w:val="001F2B04"/>
    <w:rsid w:val="001F322C"/>
    <w:rsid w:val="001F70F0"/>
    <w:rsid w:val="00200475"/>
    <w:rsid w:val="002027A5"/>
    <w:rsid w:val="002042A7"/>
    <w:rsid w:val="00204BB1"/>
    <w:rsid w:val="0020791A"/>
    <w:rsid w:val="002109E7"/>
    <w:rsid w:val="0022243E"/>
    <w:rsid w:val="00223D1D"/>
    <w:rsid w:val="002245D3"/>
    <w:rsid w:val="00233E51"/>
    <w:rsid w:val="00234BF9"/>
    <w:rsid w:val="002421B1"/>
    <w:rsid w:val="00247A6D"/>
    <w:rsid w:val="00250A91"/>
    <w:rsid w:val="00252B76"/>
    <w:rsid w:val="00254DBA"/>
    <w:rsid w:val="00255C53"/>
    <w:rsid w:val="0025735B"/>
    <w:rsid w:val="002677BD"/>
    <w:rsid w:val="00270968"/>
    <w:rsid w:val="002734C2"/>
    <w:rsid w:val="00273C7A"/>
    <w:rsid w:val="00274594"/>
    <w:rsid w:val="00275B09"/>
    <w:rsid w:val="002761EA"/>
    <w:rsid w:val="00285509"/>
    <w:rsid w:val="002860AB"/>
    <w:rsid w:val="00290C7A"/>
    <w:rsid w:val="00293D5F"/>
    <w:rsid w:val="002942B8"/>
    <w:rsid w:val="00297852"/>
    <w:rsid w:val="002A2810"/>
    <w:rsid w:val="002A3A63"/>
    <w:rsid w:val="002B17F5"/>
    <w:rsid w:val="002B210E"/>
    <w:rsid w:val="002B52A0"/>
    <w:rsid w:val="002B6658"/>
    <w:rsid w:val="002B6F13"/>
    <w:rsid w:val="002D1345"/>
    <w:rsid w:val="002D146F"/>
    <w:rsid w:val="002D1A89"/>
    <w:rsid w:val="002D39BD"/>
    <w:rsid w:val="002D4B4F"/>
    <w:rsid w:val="002D5922"/>
    <w:rsid w:val="002D7190"/>
    <w:rsid w:val="002D7548"/>
    <w:rsid w:val="002E171D"/>
    <w:rsid w:val="002E5DEB"/>
    <w:rsid w:val="002E67ED"/>
    <w:rsid w:val="002E6B47"/>
    <w:rsid w:val="002F3AE2"/>
    <w:rsid w:val="00304EE6"/>
    <w:rsid w:val="0030552C"/>
    <w:rsid w:val="0030734B"/>
    <w:rsid w:val="0031050D"/>
    <w:rsid w:val="00310BB1"/>
    <w:rsid w:val="00310C0D"/>
    <w:rsid w:val="00311FED"/>
    <w:rsid w:val="00313972"/>
    <w:rsid w:val="00314D07"/>
    <w:rsid w:val="00316F83"/>
    <w:rsid w:val="00324B63"/>
    <w:rsid w:val="003257C3"/>
    <w:rsid w:val="00331223"/>
    <w:rsid w:val="003325ED"/>
    <w:rsid w:val="003328CD"/>
    <w:rsid w:val="00332D18"/>
    <w:rsid w:val="00333186"/>
    <w:rsid w:val="003366CD"/>
    <w:rsid w:val="003436CF"/>
    <w:rsid w:val="003454E8"/>
    <w:rsid w:val="003506BD"/>
    <w:rsid w:val="00356C2F"/>
    <w:rsid w:val="00356D4E"/>
    <w:rsid w:val="00361D37"/>
    <w:rsid w:val="003626BB"/>
    <w:rsid w:val="00364B99"/>
    <w:rsid w:val="00371F48"/>
    <w:rsid w:val="00375020"/>
    <w:rsid w:val="00375BE8"/>
    <w:rsid w:val="003804B1"/>
    <w:rsid w:val="003816EC"/>
    <w:rsid w:val="00386508"/>
    <w:rsid w:val="0039167C"/>
    <w:rsid w:val="0039308D"/>
    <w:rsid w:val="00394F5A"/>
    <w:rsid w:val="00396D85"/>
    <w:rsid w:val="00397D35"/>
    <w:rsid w:val="003A451D"/>
    <w:rsid w:val="003A7A82"/>
    <w:rsid w:val="003A7E71"/>
    <w:rsid w:val="003B3A62"/>
    <w:rsid w:val="003B43C3"/>
    <w:rsid w:val="003B5DE7"/>
    <w:rsid w:val="003B7468"/>
    <w:rsid w:val="003C3987"/>
    <w:rsid w:val="003C3D37"/>
    <w:rsid w:val="003C5723"/>
    <w:rsid w:val="003C62F0"/>
    <w:rsid w:val="003D19F9"/>
    <w:rsid w:val="003D1C02"/>
    <w:rsid w:val="003D4D43"/>
    <w:rsid w:val="003E10F6"/>
    <w:rsid w:val="003E2EFB"/>
    <w:rsid w:val="003E5C1F"/>
    <w:rsid w:val="003E721A"/>
    <w:rsid w:val="003F06DF"/>
    <w:rsid w:val="003F28F9"/>
    <w:rsid w:val="003F3D24"/>
    <w:rsid w:val="003F4A32"/>
    <w:rsid w:val="003F6810"/>
    <w:rsid w:val="00401226"/>
    <w:rsid w:val="00401B99"/>
    <w:rsid w:val="0040222E"/>
    <w:rsid w:val="0041184D"/>
    <w:rsid w:val="0041317A"/>
    <w:rsid w:val="00413596"/>
    <w:rsid w:val="00413F18"/>
    <w:rsid w:val="00415C33"/>
    <w:rsid w:val="0042060B"/>
    <w:rsid w:val="00424C59"/>
    <w:rsid w:val="004270DF"/>
    <w:rsid w:val="00432051"/>
    <w:rsid w:val="00432405"/>
    <w:rsid w:val="00435F6C"/>
    <w:rsid w:val="0044430E"/>
    <w:rsid w:val="00444632"/>
    <w:rsid w:val="0045166B"/>
    <w:rsid w:val="0045267A"/>
    <w:rsid w:val="00453EFE"/>
    <w:rsid w:val="0045522E"/>
    <w:rsid w:val="004579F1"/>
    <w:rsid w:val="0046110D"/>
    <w:rsid w:val="00463D75"/>
    <w:rsid w:val="00471EF0"/>
    <w:rsid w:val="00475976"/>
    <w:rsid w:val="004767AD"/>
    <w:rsid w:val="00485776"/>
    <w:rsid w:val="00487D53"/>
    <w:rsid w:val="00491549"/>
    <w:rsid w:val="00492011"/>
    <w:rsid w:val="004925C2"/>
    <w:rsid w:val="0049730A"/>
    <w:rsid w:val="004A3DC4"/>
    <w:rsid w:val="004A44F7"/>
    <w:rsid w:val="004A6D9B"/>
    <w:rsid w:val="004A73B5"/>
    <w:rsid w:val="004B1F03"/>
    <w:rsid w:val="004B27F5"/>
    <w:rsid w:val="004B4C7C"/>
    <w:rsid w:val="004B5192"/>
    <w:rsid w:val="004B5525"/>
    <w:rsid w:val="004B5887"/>
    <w:rsid w:val="004B6EE7"/>
    <w:rsid w:val="004C505A"/>
    <w:rsid w:val="004D404E"/>
    <w:rsid w:val="004D58B6"/>
    <w:rsid w:val="004D702D"/>
    <w:rsid w:val="004E7DD6"/>
    <w:rsid w:val="004F35AE"/>
    <w:rsid w:val="0050070C"/>
    <w:rsid w:val="005024C0"/>
    <w:rsid w:val="0050469A"/>
    <w:rsid w:val="00505426"/>
    <w:rsid w:val="00510B65"/>
    <w:rsid w:val="005114D8"/>
    <w:rsid w:val="00517037"/>
    <w:rsid w:val="005244E0"/>
    <w:rsid w:val="005255D8"/>
    <w:rsid w:val="00525844"/>
    <w:rsid w:val="00530671"/>
    <w:rsid w:val="00532217"/>
    <w:rsid w:val="00532B12"/>
    <w:rsid w:val="0053742C"/>
    <w:rsid w:val="00540192"/>
    <w:rsid w:val="00541038"/>
    <w:rsid w:val="00541E2B"/>
    <w:rsid w:val="00541FD6"/>
    <w:rsid w:val="00542D0A"/>
    <w:rsid w:val="00544BBB"/>
    <w:rsid w:val="00546AC8"/>
    <w:rsid w:val="005473B4"/>
    <w:rsid w:val="00550D69"/>
    <w:rsid w:val="00552246"/>
    <w:rsid w:val="00552281"/>
    <w:rsid w:val="00555794"/>
    <w:rsid w:val="00556521"/>
    <w:rsid w:val="00560E52"/>
    <w:rsid w:val="0056110E"/>
    <w:rsid w:val="00561F03"/>
    <w:rsid w:val="00565175"/>
    <w:rsid w:val="005710CA"/>
    <w:rsid w:val="00573B02"/>
    <w:rsid w:val="005741C7"/>
    <w:rsid w:val="00574848"/>
    <w:rsid w:val="0057682F"/>
    <w:rsid w:val="00580313"/>
    <w:rsid w:val="0058239B"/>
    <w:rsid w:val="00583E8C"/>
    <w:rsid w:val="00586B35"/>
    <w:rsid w:val="00590283"/>
    <w:rsid w:val="0059378B"/>
    <w:rsid w:val="00593CE5"/>
    <w:rsid w:val="00593FFA"/>
    <w:rsid w:val="00596A08"/>
    <w:rsid w:val="005A003E"/>
    <w:rsid w:val="005A07FC"/>
    <w:rsid w:val="005A118E"/>
    <w:rsid w:val="005A2DC4"/>
    <w:rsid w:val="005A32F4"/>
    <w:rsid w:val="005A420A"/>
    <w:rsid w:val="005A5717"/>
    <w:rsid w:val="005A5DA5"/>
    <w:rsid w:val="005B0A56"/>
    <w:rsid w:val="005B50DF"/>
    <w:rsid w:val="005C161C"/>
    <w:rsid w:val="005C3B0E"/>
    <w:rsid w:val="005C5031"/>
    <w:rsid w:val="005C5079"/>
    <w:rsid w:val="005D30AE"/>
    <w:rsid w:val="005D32F6"/>
    <w:rsid w:val="005D36F1"/>
    <w:rsid w:val="005D377F"/>
    <w:rsid w:val="005D6721"/>
    <w:rsid w:val="005D73A8"/>
    <w:rsid w:val="005E076E"/>
    <w:rsid w:val="005E5631"/>
    <w:rsid w:val="005F0B05"/>
    <w:rsid w:val="005F24F0"/>
    <w:rsid w:val="005F3FF0"/>
    <w:rsid w:val="005F4305"/>
    <w:rsid w:val="005F61F6"/>
    <w:rsid w:val="00600B63"/>
    <w:rsid w:val="00601BAA"/>
    <w:rsid w:val="00605399"/>
    <w:rsid w:val="006062DF"/>
    <w:rsid w:val="006068A2"/>
    <w:rsid w:val="00606CB2"/>
    <w:rsid w:val="006075F8"/>
    <w:rsid w:val="006107B6"/>
    <w:rsid w:val="00613B9E"/>
    <w:rsid w:val="00616B23"/>
    <w:rsid w:val="006202C5"/>
    <w:rsid w:val="00623EE0"/>
    <w:rsid w:val="006300EF"/>
    <w:rsid w:val="00633A2F"/>
    <w:rsid w:val="00634419"/>
    <w:rsid w:val="00635316"/>
    <w:rsid w:val="006355FF"/>
    <w:rsid w:val="00636B24"/>
    <w:rsid w:val="00641D13"/>
    <w:rsid w:val="00647A69"/>
    <w:rsid w:val="00652066"/>
    <w:rsid w:val="00652E9E"/>
    <w:rsid w:val="00656243"/>
    <w:rsid w:val="00657BB0"/>
    <w:rsid w:val="0066587A"/>
    <w:rsid w:val="006717C6"/>
    <w:rsid w:val="0067454F"/>
    <w:rsid w:val="006753A2"/>
    <w:rsid w:val="00675A48"/>
    <w:rsid w:val="00675BE9"/>
    <w:rsid w:val="00675DE9"/>
    <w:rsid w:val="00686CE9"/>
    <w:rsid w:val="006A0E6D"/>
    <w:rsid w:val="006A5F69"/>
    <w:rsid w:val="006B0D84"/>
    <w:rsid w:val="006B1B1F"/>
    <w:rsid w:val="006B303C"/>
    <w:rsid w:val="006B7266"/>
    <w:rsid w:val="006B7FF5"/>
    <w:rsid w:val="006C1874"/>
    <w:rsid w:val="006C4BAF"/>
    <w:rsid w:val="006D228B"/>
    <w:rsid w:val="006D2E14"/>
    <w:rsid w:val="006D51A4"/>
    <w:rsid w:val="006D572E"/>
    <w:rsid w:val="006E52F5"/>
    <w:rsid w:val="006F0E8D"/>
    <w:rsid w:val="006F20F6"/>
    <w:rsid w:val="006F25F3"/>
    <w:rsid w:val="00701FA3"/>
    <w:rsid w:val="007028B1"/>
    <w:rsid w:val="00704F3C"/>
    <w:rsid w:val="00705830"/>
    <w:rsid w:val="007058A3"/>
    <w:rsid w:val="00706CF0"/>
    <w:rsid w:val="007076FB"/>
    <w:rsid w:val="0071325A"/>
    <w:rsid w:val="007139F6"/>
    <w:rsid w:val="00714687"/>
    <w:rsid w:val="0072607A"/>
    <w:rsid w:val="00730C3F"/>
    <w:rsid w:val="007325AC"/>
    <w:rsid w:val="00736696"/>
    <w:rsid w:val="00740FF4"/>
    <w:rsid w:val="00742FC7"/>
    <w:rsid w:val="00747FB6"/>
    <w:rsid w:val="007507CA"/>
    <w:rsid w:val="007541BD"/>
    <w:rsid w:val="007547E9"/>
    <w:rsid w:val="00754957"/>
    <w:rsid w:val="00757CC3"/>
    <w:rsid w:val="007613A4"/>
    <w:rsid w:val="0076192E"/>
    <w:rsid w:val="00762F82"/>
    <w:rsid w:val="0076321D"/>
    <w:rsid w:val="00763AA0"/>
    <w:rsid w:val="00764DCD"/>
    <w:rsid w:val="00770AAD"/>
    <w:rsid w:val="007739E7"/>
    <w:rsid w:val="00776513"/>
    <w:rsid w:val="007766E7"/>
    <w:rsid w:val="007947AD"/>
    <w:rsid w:val="00796CCC"/>
    <w:rsid w:val="00797A72"/>
    <w:rsid w:val="007A2481"/>
    <w:rsid w:val="007A4041"/>
    <w:rsid w:val="007A43D9"/>
    <w:rsid w:val="007A441D"/>
    <w:rsid w:val="007A4A4E"/>
    <w:rsid w:val="007A66AB"/>
    <w:rsid w:val="007B3FC7"/>
    <w:rsid w:val="007C1EE9"/>
    <w:rsid w:val="007C4162"/>
    <w:rsid w:val="007C4A9A"/>
    <w:rsid w:val="007C5D08"/>
    <w:rsid w:val="007D09AE"/>
    <w:rsid w:val="007D3CA6"/>
    <w:rsid w:val="007F16CB"/>
    <w:rsid w:val="007F4F50"/>
    <w:rsid w:val="00807E8D"/>
    <w:rsid w:val="00810D1B"/>
    <w:rsid w:val="00813403"/>
    <w:rsid w:val="0082414D"/>
    <w:rsid w:val="00824B41"/>
    <w:rsid w:val="00824D50"/>
    <w:rsid w:val="00825171"/>
    <w:rsid w:val="008263A8"/>
    <w:rsid w:val="00832910"/>
    <w:rsid w:val="00835966"/>
    <w:rsid w:val="00843ADA"/>
    <w:rsid w:val="0085191C"/>
    <w:rsid w:val="008527F6"/>
    <w:rsid w:val="00852D03"/>
    <w:rsid w:val="00853FA0"/>
    <w:rsid w:val="008558CA"/>
    <w:rsid w:val="008564C1"/>
    <w:rsid w:val="00857546"/>
    <w:rsid w:val="008611A9"/>
    <w:rsid w:val="0086233A"/>
    <w:rsid w:val="0086272D"/>
    <w:rsid w:val="00862A42"/>
    <w:rsid w:val="00865576"/>
    <w:rsid w:val="00870FD2"/>
    <w:rsid w:val="00872E7B"/>
    <w:rsid w:val="0088147B"/>
    <w:rsid w:val="00885092"/>
    <w:rsid w:val="00885960"/>
    <w:rsid w:val="00885FBE"/>
    <w:rsid w:val="00887C39"/>
    <w:rsid w:val="00890BDC"/>
    <w:rsid w:val="0089410C"/>
    <w:rsid w:val="008A39D7"/>
    <w:rsid w:val="008A62A6"/>
    <w:rsid w:val="008B1DBA"/>
    <w:rsid w:val="008B204B"/>
    <w:rsid w:val="008B3062"/>
    <w:rsid w:val="008B39E3"/>
    <w:rsid w:val="008B6066"/>
    <w:rsid w:val="008C2898"/>
    <w:rsid w:val="008C4A46"/>
    <w:rsid w:val="008C52B7"/>
    <w:rsid w:val="008C6006"/>
    <w:rsid w:val="008C640E"/>
    <w:rsid w:val="008D08F3"/>
    <w:rsid w:val="008D1044"/>
    <w:rsid w:val="008D66D5"/>
    <w:rsid w:val="008E1251"/>
    <w:rsid w:val="008E2FCA"/>
    <w:rsid w:val="008E3EBC"/>
    <w:rsid w:val="008E422F"/>
    <w:rsid w:val="008E753F"/>
    <w:rsid w:val="008F1BD4"/>
    <w:rsid w:val="008F216B"/>
    <w:rsid w:val="00902CE7"/>
    <w:rsid w:val="00903EAB"/>
    <w:rsid w:val="00905C06"/>
    <w:rsid w:val="00905C19"/>
    <w:rsid w:val="009074F9"/>
    <w:rsid w:val="009076A1"/>
    <w:rsid w:val="0091002A"/>
    <w:rsid w:val="00911684"/>
    <w:rsid w:val="009120AE"/>
    <w:rsid w:val="009244B0"/>
    <w:rsid w:val="009249B4"/>
    <w:rsid w:val="00925D7C"/>
    <w:rsid w:val="009263A5"/>
    <w:rsid w:val="00937165"/>
    <w:rsid w:val="00941684"/>
    <w:rsid w:val="00943379"/>
    <w:rsid w:val="009459BB"/>
    <w:rsid w:val="00946C4A"/>
    <w:rsid w:val="009472E1"/>
    <w:rsid w:val="00951C13"/>
    <w:rsid w:val="00951CF8"/>
    <w:rsid w:val="00954762"/>
    <w:rsid w:val="00954814"/>
    <w:rsid w:val="00960907"/>
    <w:rsid w:val="00964CB3"/>
    <w:rsid w:val="00967506"/>
    <w:rsid w:val="009744C9"/>
    <w:rsid w:val="00975A0A"/>
    <w:rsid w:val="00976350"/>
    <w:rsid w:val="00976B51"/>
    <w:rsid w:val="009776AD"/>
    <w:rsid w:val="009827FB"/>
    <w:rsid w:val="00985817"/>
    <w:rsid w:val="00991278"/>
    <w:rsid w:val="009916CF"/>
    <w:rsid w:val="00995E2E"/>
    <w:rsid w:val="009A0484"/>
    <w:rsid w:val="009A1429"/>
    <w:rsid w:val="009B02EA"/>
    <w:rsid w:val="009B3103"/>
    <w:rsid w:val="009B45C2"/>
    <w:rsid w:val="009B5F45"/>
    <w:rsid w:val="009B7757"/>
    <w:rsid w:val="009C4E77"/>
    <w:rsid w:val="009C4F4D"/>
    <w:rsid w:val="009D44A9"/>
    <w:rsid w:val="009D457B"/>
    <w:rsid w:val="009D4B9D"/>
    <w:rsid w:val="009D563E"/>
    <w:rsid w:val="009E03CD"/>
    <w:rsid w:val="009E29F0"/>
    <w:rsid w:val="009E388C"/>
    <w:rsid w:val="009E3CE6"/>
    <w:rsid w:val="009E4886"/>
    <w:rsid w:val="009E4E3A"/>
    <w:rsid w:val="009E6BFE"/>
    <w:rsid w:val="009F2740"/>
    <w:rsid w:val="009F471D"/>
    <w:rsid w:val="009F71D0"/>
    <w:rsid w:val="009F7346"/>
    <w:rsid w:val="00A06017"/>
    <w:rsid w:val="00A06A4B"/>
    <w:rsid w:val="00A07557"/>
    <w:rsid w:val="00A110DB"/>
    <w:rsid w:val="00A157FA"/>
    <w:rsid w:val="00A164B7"/>
    <w:rsid w:val="00A16ADF"/>
    <w:rsid w:val="00A20E82"/>
    <w:rsid w:val="00A27DA7"/>
    <w:rsid w:val="00A322EA"/>
    <w:rsid w:val="00A35EAE"/>
    <w:rsid w:val="00A36C3D"/>
    <w:rsid w:val="00A37491"/>
    <w:rsid w:val="00A401F8"/>
    <w:rsid w:val="00A413F5"/>
    <w:rsid w:val="00A426B5"/>
    <w:rsid w:val="00A4450E"/>
    <w:rsid w:val="00A47406"/>
    <w:rsid w:val="00A51637"/>
    <w:rsid w:val="00A532A4"/>
    <w:rsid w:val="00A53F67"/>
    <w:rsid w:val="00A54C2C"/>
    <w:rsid w:val="00A57381"/>
    <w:rsid w:val="00A57A38"/>
    <w:rsid w:val="00A57BEE"/>
    <w:rsid w:val="00A61DCD"/>
    <w:rsid w:val="00A63BE5"/>
    <w:rsid w:val="00A64E08"/>
    <w:rsid w:val="00A64E3A"/>
    <w:rsid w:val="00A67460"/>
    <w:rsid w:val="00A67AB8"/>
    <w:rsid w:val="00A71C4E"/>
    <w:rsid w:val="00A7754E"/>
    <w:rsid w:val="00A8012D"/>
    <w:rsid w:val="00A832BB"/>
    <w:rsid w:val="00A84FEA"/>
    <w:rsid w:val="00A85220"/>
    <w:rsid w:val="00A943B8"/>
    <w:rsid w:val="00A96532"/>
    <w:rsid w:val="00AA1EC8"/>
    <w:rsid w:val="00AA300D"/>
    <w:rsid w:val="00AA3681"/>
    <w:rsid w:val="00AA5D5C"/>
    <w:rsid w:val="00AA7AE2"/>
    <w:rsid w:val="00AB01F2"/>
    <w:rsid w:val="00AB52BD"/>
    <w:rsid w:val="00AB5789"/>
    <w:rsid w:val="00AB7484"/>
    <w:rsid w:val="00AC06CC"/>
    <w:rsid w:val="00AC0E73"/>
    <w:rsid w:val="00AC1BB4"/>
    <w:rsid w:val="00AC36DB"/>
    <w:rsid w:val="00AC4314"/>
    <w:rsid w:val="00AD011F"/>
    <w:rsid w:val="00AD0207"/>
    <w:rsid w:val="00AD3044"/>
    <w:rsid w:val="00AD407A"/>
    <w:rsid w:val="00AE18AC"/>
    <w:rsid w:val="00AE4C6D"/>
    <w:rsid w:val="00AE50F3"/>
    <w:rsid w:val="00AF1B01"/>
    <w:rsid w:val="00B01136"/>
    <w:rsid w:val="00B02353"/>
    <w:rsid w:val="00B06173"/>
    <w:rsid w:val="00B10B6B"/>
    <w:rsid w:val="00B12E5A"/>
    <w:rsid w:val="00B13DC5"/>
    <w:rsid w:val="00B20DE0"/>
    <w:rsid w:val="00B217DB"/>
    <w:rsid w:val="00B22291"/>
    <w:rsid w:val="00B24F7C"/>
    <w:rsid w:val="00B267FC"/>
    <w:rsid w:val="00B27814"/>
    <w:rsid w:val="00B30674"/>
    <w:rsid w:val="00B30FB1"/>
    <w:rsid w:val="00B32FDC"/>
    <w:rsid w:val="00B3316A"/>
    <w:rsid w:val="00B40F13"/>
    <w:rsid w:val="00B41D1C"/>
    <w:rsid w:val="00B43332"/>
    <w:rsid w:val="00B43E04"/>
    <w:rsid w:val="00B44212"/>
    <w:rsid w:val="00B466C5"/>
    <w:rsid w:val="00B467D4"/>
    <w:rsid w:val="00B46838"/>
    <w:rsid w:val="00B478C2"/>
    <w:rsid w:val="00B51491"/>
    <w:rsid w:val="00B51DA6"/>
    <w:rsid w:val="00B51E4B"/>
    <w:rsid w:val="00B543E4"/>
    <w:rsid w:val="00B56D67"/>
    <w:rsid w:val="00B644CA"/>
    <w:rsid w:val="00B70BD5"/>
    <w:rsid w:val="00B71167"/>
    <w:rsid w:val="00B716C8"/>
    <w:rsid w:val="00B74D4B"/>
    <w:rsid w:val="00B74E42"/>
    <w:rsid w:val="00B80B0E"/>
    <w:rsid w:val="00B81ADD"/>
    <w:rsid w:val="00B82759"/>
    <w:rsid w:val="00B833A3"/>
    <w:rsid w:val="00B835C5"/>
    <w:rsid w:val="00B86079"/>
    <w:rsid w:val="00B90BEE"/>
    <w:rsid w:val="00B93E25"/>
    <w:rsid w:val="00BA46B6"/>
    <w:rsid w:val="00BA58E2"/>
    <w:rsid w:val="00BA7849"/>
    <w:rsid w:val="00BB15BA"/>
    <w:rsid w:val="00BB1C88"/>
    <w:rsid w:val="00BC0A45"/>
    <w:rsid w:val="00BC0BB7"/>
    <w:rsid w:val="00BC3C7C"/>
    <w:rsid w:val="00BC4835"/>
    <w:rsid w:val="00BC4EE9"/>
    <w:rsid w:val="00BC4EEE"/>
    <w:rsid w:val="00BD4161"/>
    <w:rsid w:val="00BD610C"/>
    <w:rsid w:val="00BD6320"/>
    <w:rsid w:val="00BE1949"/>
    <w:rsid w:val="00BE2B0A"/>
    <w:rsid w:val="00BE2E05"/>
    <w:rsid w:val="00BF2761"/>
    <w:rsid w:val="00BF62EF"/>
    <w:rsid w:val="00C00CDF"/>
    <w:rsid w:val="00C02CB6"/>
    <w:rsid w:val="00C03B6B"/>
    <w:rsid w:val="00C06C83"/>
    <w:rsid w:val="00C10058"/>
    <w:rsid w:val="00C1069E"/>
    <w:rsid w:val="00C12ED8"/>
    <w:rsid w:val="00C134DB"/>
    <w:rsid w:val="00C21880"/>
    <w:rsid w:val="00C230DE"/>
    <w:rsid w:val="00C27FAC"/>
    <w:rsid w:val="00C30CAA"/>
    <w:rsid w:val="00C36005"/>
    <w:rsid w:val="00C36F78"/>
    <w:rsid w:val="00C37CFA"/>
    <w:rsid w:val="00C40E6D"/>
    <w:rsid w:val="00C410C3"/>
    <w:rsid w:val="00C428B9"/>
    <w:rsid w:val="00C44D6B"/>
    <w:rsid w:val="00C451D7"/>
    <w:rsid w:val="00C478A4"/>
    <w:rsid w:val="00C50534"/>
    <w:rsid w:val="00C52B4B"/>
    <w:rsid w:val="00C55BE4"/>
    <w:rsid w:val="00C632F9"/>
    <w:rsid w:val="00C6406F"/>
    <w:rsid w:val="00C65932"/>
    <w:rsid w:val="00C679BC"/>
    <w:rsid w:val="00C700FF"/>
    <w:rsid w:val="00C70F66"/>
    <w:rsid w:val="00C776BB"/>
    <w:rsid w:val="00C80606"/>
    <w:rsid w:val="00C816F5"/>
    <w:rsid w:val="00C81CC3"/>
    <w:rsid w:val="00C8238B"/>
    <w:rsid w:val="00C84E97"/>
    <w:rsid w:val="00C85084"/>
    <w:rsid w:val="00C91A68"/>
    <w:rsid w:val="00C92E13"/>
    <w:rsid w:val="00C974CA"/>
    <w:rsid w:val="00CA027C"/>
    <w:rsid w:val="00CA4036"/>
    <w:rsid w:val="00CA5356"/>
    <w:rsid w:val="00CA63F2"/>
    <w:rsid w:val="00CA6791"/>
    <w:rsid w:val="00CA77F1"/>
    <w:rsid w:val="00CB5C0F"/>
    <w:rsid w:val="00CC06A1"/>
    <w:rsid w:val="00CC2928"/>
    <w:rsid w:val="00CC53AC"/>
    <w:rsid w:val="00CC6CD1"/>
    <w:rsid w:val="00CD16F9"/>
    <w:rsid w:val="00CD28B9"/>
    <w:rsid w:val="00CD7B65"/>
    <w:rsid w:val="00CD7C42"/>
    <w:rsid w:val="00CD7F9B"/>
    <w:rsid w:val="00CE0EE4"/>
    <w:rsid w:val="00CE4209"/>
    <w:rsid w:val="00CE43C3"/>
    <w:rsid w:val="00CE6356"/>
    <w:rsid w:val="00CE65C8"/>
    <w:rsid w:val="00CE7275"/>
    <w:rsid w:val="00CF07C7"/>
    <w:rsid w:val="00CF6700"/>
    <w:rsid w:val="00D06C67"/>
    <w:rsid w:val="00D15CBD"/>
    <w:rsid w:val="00D17486"/>
    <w:rsid w:val="00D22491"/>
    <w:rsid w:val="00D247C2"/>
    <w:rsid w:val="00D24BAA"/>
    <w:rsid w:val="00D26C88"/>
    <w:rsid w:val="00D27DF0"/>
    <w:rsid w:val="00D44C2E"/>
    <w:rsid w:val="00D50E03"/>
    <w:rsid w:val="00D52054"/>
    <w:rsid w:val="00D525ED"/>
    <w:rsid w:val="00D64215"/>
    <w:rsid w:val="00D665A0"/>
    <w:rsid w:val="00D66B8B"/>
    <w:rsid w:val="00D66DCA"/>
    <w:rsid w:val="00D66DCC"/>
    <w:rsid w:val="00D72BC1"/>
    <w:rsid w:val="00D751A5"/>
    <w:rsid w:val="00D76CDE"/>
    <w:rsid w:val="00D76FAC"/>
    <w:rsid w:val="00D809FA"/>
    <w:rsid w:val="00D80FFC"/>
    <w:rsid w:val="00D830C1"/>
    <w:rsid w:val="00D83243"/>
    <w:rsid w:val="00D839FF"/>
    <w:rsid w:val="00D85EDB"/>
    <w:rsid w:val="00D860CB"/>
    <w:rsid w:val="00D874C6"/>
    <w:rsid w:val="00D87A84"/>
    <w:rsid w:val="00D91690"/>
    <w:rsid w:val="00D94552"/>
    <w:rsid w:val="00D9595D"/>
    <w:rsid w:val="00D9642B"/>
    <w:rsid w:val="00D965DF"/>
    <w:rsid w:val="00D971DD"/>
    <w:rsid w:val="00D973C6"/>
    <w:rsid w:val="00DA1B4C"/>
    <w:rsid w:val="00DA4ECA"/>
    <w:rsid w:val="00DA509B"/>
    <w:rsid w:val="00DA56F2"/>
    <w:rsid w:val="00DA5777"/>
    <w:rsid w:val="00DA6DF9"/>
    <w:rsid w:val="00DB0DED"/>
    <w:rsid w:val="00DB1112"/>
    <w:rsid w:val="00DB41A3"/>
    <w:rsid w:val="00DB5CE5"/>
    <w:rsid w:val="00DC1A7A"/>
    <w:rsid w:val="00DC2155"/>
    <w:rsid w:val="00DC218A"/>
    <w:rsid w:val="00DD6876"/>
    <w:rsid w:val="00DD69E0"/>
    <w:rsid w:val="00DE17F1"/>
    <w:rsid w:val="00DE3DDE"/>
    <w:rsid w:val="00DE4A52"/>
    <w:rsid w:val="00DF0519"/>
    <w:rsid w:val="00DF0878"/>
    <w:rsid w:val="00DF44CA"/>
    <w:rsid w:val="00DF44F5"/>
    <w:rsid w:val="00DF74A1"/>
    <w:rsid w:val="00E00015"/>
    <w:rsid w:val="00E012C8"/>
    <w:rsid w:val="00E01568"/>
    <w:rsid w:val="00E019D7"/>
    <w:rsid w:val="00E06EF3"/>
    <w:rsid w:val="00E075DD"/>
    <w:rsid w:val="00E07D6E"/>
    <w:rsid w:val="00E137B5"/>
    <w:rsid w:val="00E14269"/>
    <w:rsid w:val="00E17157"/>
    <w:rsid w:val="00E21454"/>
    <w:rsid w:val="00E24BA6"/>
    <w:rsid w:val="00E2533E"/>
    <w:rsid w:val="00E31192"/>
    <w:rsid w:val="00E33AF6"/>
    <w:rsid w:val="00E33D33"/>
    <w:rsid w:val="00E4443D"/>
    <w:rsid w:val="00E45FD8"/>
    <w:rsid w:val="00E46874"/>
    <w:rsid w:val="00E46D1E"/>
    <w:rsid w:val="00E5089D"/>
    <w:rsid w:val="00E53B83"/>
    <w:rsid w:val="00E55281"/>
    <w:rsid w:val="00E56FDA"/>
    <w:rsid w:val="00E7031F"/>
    <w:rsid w:val="00E70B67"/>
    <w:rsid w:val="00E76A3C"/>
    <w:rsid w:val="00E85435"/>
    <w:rsid w:val="00E86E75"/>
    <w:rsid w:val="00E916A3"/>
    <w:rsid w:val="00E94849"/>
    <w:rsid w:val="00EA2296"/>
    <w:rsid w:val="00EA493D"/>
    <w:rsid w:val="00EA61F9"/>
    <w:rsid w:val="00EA6480"/>
    <w:rsid w:val="00EA6D9D"/>
    <w:rsid w:val="00EB2EDB"/>
    <w:rsid w:val="00EB35C5"/>
    <w:rsid w:val="00EB386B"/>
    <w:rsid w:val="00EB3A33"/>
    <w:rsid w:val="00EC0449"/>
    <w:rsid w:val="00EC100A"/>
    <w:rsid w:val="00EC1E93"/>
    <w:rsid w:val="00EC40E3"/>
    <w:rsid w:val="00EC794F"/>
    <w:rsid w:val="00ED49D4"/>
    <w:rsid w:val="00ED73CD"/>
    <w:rsid w:val="00EE026E"/>
    <w:rsid w:val="00EE2512"/>
    <w:rsid w:val="00EE2643"/>
    <w:rsid w:val="00EE47AB"/>
    <w:rsid w:val="00EE678C"/>
    <w:rsid w:val="00EE7316"/>
    <w:rsid w:val="00EF233A"/>
    <w:rsid w:val="00EF5E82"/>
    <w:rsid w:val="00F01615"/>
    <w:rsid w:val="00F0310A"/>
    <w:rsid w:val="00F03DE8"/>
    <w:rsid w:val="00F0403A"/>
    <w:rsid w:val="00F047E5"/>
    <w:rsid w:val="00F05CDC"/>
    <w:rsid w:val="00F0759A"/>
    <w:rsid w:val="00F103E8"/>
    <w:rsid w:val="00F11456"/>
    <w:rsid w:val="00F13B65"/>
    <w:rsid w:val="00F16295"/>
    <w:rsid w:val="00F16D98"/>
    <w:rsid w:val="00F176B0"/>
    <w:rsid w:val="00F17E22"/>
    <w:rsid w:val="00F210F9"/>
    <w:rsid w:val="00F2310E"/>
    <w:rsid w:val="00F25547"/>
    <w:rsid w:val="00F25B2F"/>
    <w:rsid w:val="00F27975"/>
    <w:rsid w:val="00F33650"/>
    <w:rsid w:val="00F43207"/>
    <w:rsid w:val="00F433E3"/>
    <w:rsid w:val="00F44D9A"/>
    <w:rsid w:val="00F50A5C"/>
    <w:rsid w:val="00F51A56"/>
    <w:rsid w:val="00F53573"/>
    <w:rsid w:val="00F5450D"/>
    <w:rsid w:val="00F66BF4"/>
    <w:rsid w:val="00F70F44"/>
    <w:rsid w:val="00F72573"/>
    <w:rsid w:val="00F73968"/>
    <w:rsid w:val="00F75196"/>
    <w:rsid w:val="00F7744B"/>
    <w:rsid w:val="00F77C1B"/>
    <w:rsid w:val="00F84803"/>
    <w:rsid w:val="00F84CD1"/>
    <w:rsid w:val="00F87ABD"/>
    <w:rsid w:val="00F9015B"/>
    <w:rsid w:val="00F90D88"/>
    <w:rsid w:val="00F95E9D"/>
    <w:rsid w:val="00F96213"/>
    <w:rsid w:val="00F97815"/>
    <w:rsid w:val="00F979B4"/>
    <w:rsid w:val="00F97ECB"/>
    <w:rsid w:val="00FA0CF3"/>
    <w:rsid w:val="00FA1D48"/>
    <w:rsid w:val="00FA1EB1"/>
    <w:rsid w:val="00FA40EA"/>
    <w:rsid w:val="00FA46FB"/>
    <w:rsid w:val="00FA5108"/>
    <w:rsid w:val="00FA5DA7"/>
    <w:rsid w:val="00FA689D"/>
    <w:rsid w:val="00FB0244"/>
    <w:rsid w:val="00FB08D7"/>
    <w:rsid w:val="00FB5850"/>
    <w:rsid w:val="00FB609E"/>
    <w:rsid w:val="00FC1E8F"/>
    <w:rsid w:val="00FC2719"/>
    <w:rsid w:val="00FC38D7"/>
    <w:rsid w:val="00FC3C19"/>
    <w:rsid w:val="00FC47AB"/>
    <w:rsid w:val="00FC5EB2"/>
    <w:rsid w:val="00FD16B0"/>
    <w:rsid w:val="00FD3CE2"/>
    <w:rsid w:val="00FD49D1"/>
    <w:rsid w:val="00FE1EA7"/>
    <w:rsid w:val="00FE2090"/>
    <w:rsid w:val="00FF003D"/>
    <w:rsid w:val="00FF48B8"/>
    <w:rsid w:val="00FF51B2"/>
    <w:rsid w:val="00FF5206"/>
    <w:rsid w:val="00FF69A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986BB1"/>
  <w15:chartTrackingRefBased/>
  <w15:docId w15:val="{8D59610D-120C-4869-9439-E68A0FC7D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37CFA"/>
    <w:pPr>
      <w:widowControl w:val="0"/>
      <w:spacing w:beforeLines="50" w:before="50" w:line="360" w:lineRule="auto"/>
      <w:ind w:firstLineChars="200" w:firstLine="200"/>
      <w:jc w:val="both"/>
    </w:pPr>
    <w:rPr>
      <w:rFonts w:ascii="Times New Roman" w:eastAsia="Times New Roman" w:hAnsi="Times New Roman"/>
      <w:sz w:val="24"/>
    </w:rPr>
  </w:style>
  <w:style w:type="paragraph" w:styleId="1">
    <w:name w:val="heading 1"/>
    <w:basedOn w:val="a"/>
    <w:next w:val="a"/>
    <w:link w:val="10"/>
    <w:uiPriority w:val="9"/>
    <w:qFormat/>
    <w:rsid w:val="00FB5850"/>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7139F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4">
    <w:name w:val="heading 4"/>
    <w:aliases w:val="图注"/>
    <w:basedOn w:val="a"/>
    <w:next w:val="a"/>
    <w:link w:val="40"/>
    <w:uiPriority w:val="9"/>
    <w:unhideWhenUsed/>
    <w:qFormat/>
    <w:rsid w:val="00F2310E"/>
    <w:pPr>
      <w:spacing w:afterLines="100" w:after="100"/>
      <w:outlineLvl w:val="3"/>
    </w:pPr>
    <w:rPr>
      <w:rFonts w:ascii="宋体" w:eastAsia="宋体" w:hAnsi="宋体" w:cstheme="majorBidi"/>
      <w:bCs/>
      <w:szCs w:val="28"/>
    </w:rPr>
  </w:style>
  <w:style w:type="paragraph" w:styleId="5">
    <w:name w:val="heading 5"/>
    <w:basedOn w:val="a"/>
    <w:next w:val="a"/>
    <w:link w:val="50"/>
    <w:uiPriority w:val="9"/>
    <w:semiHidden/>
    <w:unhideWhenUsed/>
    <w:qFormat/>
    <w:rsid w:val="00B56D67"/>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8238B"/>
    <w:pPr>
      <w:tabs>
        <w:tab w:val="center" w:pos="4153"/>
        <w:tab w:val="right" w:pos="8306"/>
      </w:tabs>
      <w:snapToGrid w:val="0"/>
      <w:jc w:val="center"/>
    </w:pPr>
    <w:rPr>
      <w:sz w:val="18"/>
      <w:szCs w:val="18"/>
    </w:rPr>
  </w:style>
  <w:style w:type="character" w:customStyle="1" w:styleId="a4">
    <w:name w:val="页眉 字符"/>
    <w:basedOn w:val="a0"/>
    <w:link w:val="a3"/>
    <w:uiPriority w:val="99"/>
    <w:rsid w:val="00C8238B"/>
    <w:rPr>
      <w:sz w:val="18"/>
      <w:szCs w:val="18"/>
    </w:rPr>
  </w:style>
  <w:style w:type="paragraph" w:styleId="a5">
    <w:name w:val="footer"/>
    <w:basedOn w:val="a"/>
    <w:link w:val="a6"/>
    <w:uiPriority w:val="99"/>
    <w:unhideWhenUsed/>
    <w:rsid w:val="00C8238B"/>
    <w:pPr>
      <w:tabs>
        <w:tab w:val="center" w:pos="4153"/>
        <w:tab w:val="right" w:pos="8306"/>
      </w:tabs>
      <w:snapToGrid w:val="0"/>
      <w:jc w:val="left"/>
    </w:pPr>
    <w:rPr>
      <w:sz w:val="18"/>
      <w:szCs w:val="18"/>
    </w:rPr>
  </w:style>
  <w:style w:type="character" w:customStyle="1" w:styleId="a6">
    <w:name w:val="页脚 字符"/>
    <w:basedOn w:val="a0"/>
    <w:link w:val="a5"/>
    <w:uiPriority w:val="99"/>
    <w:rsid w:val="00C8238B"/>
    <w:rPr>
      <w:sz w:val="18"/>
      <w:szCs w:val="18"/>
    </w:rPr>
  </w:style>
  <w:style w:type="paragraph" w:styleId="a7">
    <w:name w:val="List Paragraph"/>
    <w:basedOn w:val="a"/>
    <w:uiPriority w:val="34"/>
    <w:qFormat/>
    <w:rsid w:val="002734C2"/>
    <w:pPr>
      <w:ind w:firstLine="420"/>
    </w:pPr>
  </w:style>
  <w:style w:type="character" w:styleId="a8">
    <w:name w:val="Strong"/>
    <w:basedOn w:val="a0"/>
    <w:uiPriority w:val="22"/>
    <w:qFormat/>
    <w:rsid w:val="00E7031F"/>
    <w:rPr>
      <w:b/>
      <w:bCs/>
    </w:rPr>
  </w:style>
  <w:style w:type="character" w:styleId="a9">
    <w:name w:val="Emphasis"/>
    <w:basedOn w:val="a0"/>
    <w:uiPriority w:val="20"/>
    <w:qFormat/>
    <w:rsid w:val="00E7031F"/>
    <w:rPr>
      <w:i/>
      <w:iCs/>
    </w:rPr>
  </w:style>
  <w:style w:type="paragraph" w:styleId="aa">
    <w:name w:val="Bibliography"/>
    <w:basedOn w:val="a"/>
    <w:next w:val="a"/>
    <w:uiPriority w:val="37"/>
    <w:unhideWhenUsed/>
    <w:rsid w:val="00C679BC"/>
    <w:pPr>
      <w:spacing w:line="480" w:lineRule="auto"/>
      <w:ind w:left="720" w:hanging="720"/>
    </w:pPr>
  </w:style>
  <w:style w:type="paragraph" w:customStyle="1" w:styleId="ParagraphText">
    <w:name w:val="Paragraph Text"/>
    <w:link w:val="ParagraphTextChar"/>
    <w:qFormat/>
    <w:rsid w:val="00A7754E"/>
    <w:pPr>
      <w:widowControl w:val="0"/>
      <w:snapToGrid w:val="0"/>
      <w:spacing w:before="120" w:line="360" w:lineRule="auto"/>
      <w:ind w:firstLine="720"/>
      <w:jc w:val="both"/>
    </w:pPr>
    <w:rPr>
      <w:rFonts w:ascii="Times New Roman" w:eastAsia="Times New Roman" w:hAnsi="Times New Roman" w:cs="Times New Roman"/>
      <w:kern w:val="0"/>
      <w:sz w:val="24"/>
      <w:szCs w:val="20"/>
      <w:lang w:eastAsia="en-US"/>
    </w:rPr>
  </w:style>
  <w:style w:type="character" w:customStyle="1" w:styleId="ParagraphTextChar">
    <w:name w:val="Paragraph Text Char"/>
    <w:basedOn w:val="a0"/>
    <w:link w:val="ParagraphText"/>
    <w:rsid w:val="00A7754E"/>
    <w:rPr>
      <w:rFonts w:ascii="Times New Roman" w:eastAsia="Times New Roman" w:hAnsi="Times New Roman" w:cs="Times New Roman"/>
      <w:kern w:val="0"/>
      <w:sz w:val="24"/>
      <w:szCs w:val="20"/>
      <w:lang w:eastAsia="en-US"/>
    </w:rPr>
  </w:style>
  <w:style w:type="character" w:styleId="ab">
    <w:name w:val="Hyperlink"/>
    <w:basedOn w:val="a0"/>
    <w:uiPriority w:val="99"/>
    <w:unhideWhenUsed/>
    <w:rsid w:val="005D30AE"/>
    <w:rPr>
      <w:color w:val="0563C1" w:themeColor="hyperlink"/>
      <w:u w:val="single"/>
    </w:rPr>
  </w:style>
  <w:style w:type="character" w:customStyle="1" w:styleId="11">
    <w:name w:val="未处理的提及1"/>
    <w:basedOn w:val="a0"/>
    <w:uiPriority w:val="99"/>
    <w:semiHidden/>
    <w:unhideWhenUsed/>
    <w:rsid w:val="005D30AE"/>
    <w:rPr>
      <w:color w:val="605E5C"/>
      <w:shd w:val="clear" w:color="auto" w:fill="E1DFDD"/>
    </w:rPr>
  </w:style>
  <w:style w:type="paragraph" w:customStyle="1" w:styleId="ac">
    <w:name w:val="摘要"/>
    <w:basedOn w:val="1"/>
    <w:next w:val="a"/>
    <w:link w:val="ad"/>
    <w:qFormat/>
    <w:rsid w:val="007139F6"/>
    <w:pPr>
      <w:keepNext w:val="0"/>
      <w:keepLines w:val="0"/>
      <w:spacing w:beforeLines="100" w:before="100" w:afterLines="100" w:after="100" w:line="360" w:lineRule="auto"/>
      <w:jc w:val="center"/>
    </w:pPr>
    <w:rPr>
      <w:rFonts w:cs="Times New Roman"/>
      <w:b w:val="0"/>
      <w:color w:val="000000"/>
      <w:sz w:val="24"/>
      <w:szCs w:val="24"/>
      <w:shd w:val="clear" w:color="auto" w:fill="FFFFFF"/>
    </w:rPr>
  </w:style>
  <w:style w:type="paragraph" w:customStyle="1" w:styleId="ae">
    <w:name w:val="一级标题"/>
    <w:basedOn w:val="1"/>
    <w:next w:val="a"/>
    <w:link w:val="af"/>
    <w:qFormat/>
    <w:rsid w:val="00A7754E"/>
    <w:pPr>
      <w:keepNext w:val="0"/>
      <w:keepLines w:val="0"/>
      <w:adjustRightInd w:val="0"/>
      <w:snapToGrid w:val="0"/>
      <w:spacing w:beforeLines="0" w:before="240" w:after="120" w:line="360" w:lineRule="auto"/>
      <w:ind w:firstLineChars="0" w:firstLine="0"/>
    </w:pPr>
    <w:rPr>
      <w:rFonts w:cs="Times New Roman"/>
      <w:bCs w:val="0"/>
      <w:color w:val="000000"/>
      <w:sz w:val="24"/>
      <w:szCs w:val="28"/>
      <w:shd w:val="clear" w:color="auto" w:fill="FFFFFF"/>
    </w:rPr>
  </w:style>
  <w:style w:type="character" w:customStyle="1" w:styleId="ad">
    <w:name w:val="摘要 字符"/>
    <w:basedOn w:val="a0"/>
    <w:link w:val="ac"/>
    <w:rsid w:val="007139F6"/>
    <w:rPr>
      <w:rFonts w:ascii="Times New Roman" w:eastAsia="Times New Roman" w:hAnsi="Times New Roman" w:cs="Times New Roman"/>
      <w:bCs/>
      <w:color w:val="000000"/>
      <w:kern w:val="44"/>
      <w:sz w:val="24"/>
      <w:szCs w:val="24"/>
    </w:rPr>
  </w:style>
  <w:style w:type="character" w:customStyle="1" w:styleId="10">
    <w:name w:val="标题 1 字符"/>
    <w:basedOn w:val="a0"/>
    <w:link w:val="1"/>
    <w:uiPriority w:val="9"/>
    <w:rsid w:val="00FB5850"/>
    <w:rPr>
      <w:b/>
      <w:bCs/>
      <w:kern w:val="44"/>
      <w:sz w:val="44"/>
      <w:szCs w:val="44"/>
    </w:rPr>
  </w:style>
  <w:style w:type="paragraph" w:customStyle="1" w:styleId="af0">
    <w:name w:val="二级标题"/>
    <w:basedOn w:val="2"/>
    <w:next w:val="a"/>
    <w:link w:val="af1"/>
    <w:qFormat/>
    <w:rsid w:val="00A7754E"/>
    <w:pPr>
      <w:keepNext w:val="0"/>
      <w:keepLines w:val="0"/>
      <w:adjustRightInd w:val="0"/>
      <w:snapToGrid w:val="0"/>
      <w:spacing w:beforeLines="0" w:before="120" w:after="0" w:line="360" w:lineRule="auto"/>
      <w:ind w:firstLineChars="0" w:firstLine="720"/>
      <w:jc w:val="left"/>
    </w:pPr>
    <w:rPr>
      <w:rFonts w:ascii="Times New Roman" w:eastAsia="Times New Roman" w:hAnsi="Times New Roman" w:cs="Times New Roman"/>
      <w:b w:val="0"/>
      <w:iCs/>
      <w:sz w:val="24"/>
      <w:szCs w:val="24"/>
    </w:rPr>
  </w:style>
  <w:style w:type="character" w:customStyle="1" w:styleId="af">
    <w:name w:val="一级标题 字符"/>
    <w:basedOn w:val="10"/>
    <w:link w:val="ae"/>
    <w:rsid w:val="00A7754E"/>
    <w:rPr>
      <w:rFonts w:ascii="Times New Roman" w:eastAsia="Times New Roman" w:hAnsi="Times New Roman" w:cs="Times New Roman"/>
      <w:b/>
      <w:bCs w:val="0"/>
      <w:color w:val="000000"/>
      <w:kern w:val="44"/>
      <w:sz w:val="24"/>
      <w:szCs w:val="28"/>
    </w:rPr>
  </w:style>
  <w:style w:type="paragraph" w:customStyle="1" w:styleId="ComponentName2">
    <w:name w:val="Component Name 2"/>
    <w:next w:val="ParagraphText"/>
    <w:qFormat/>
    <w:rsid w:val="007139F6"/>
    <w:pPr>
      <w:snapToGrid w:val="0"/>
      <w:spacing w:before="120" w:line="360" w:lineRule="auto"/>
      <w:outlineLvl w:val="0"/>
    </w:pPr>
    <w:rPr>
      <w:rFonts w:ascii="Times New Roman" w:hAnsi="Times New Roman" w:cs="Times New Roman"/>
      <w:i/>
      <w:kern w:val="28"/>
      <w:sz w:val="24"/>
      <w:szCs w:val="20"/>
      <w:lang w:eastAsia="en-US"/>
    </w:rPr>
  </w:style>
  <w:style w:type="character" w:customStyle="1" w:styleId="20">
    <w:name w:val="标题 2 字符"/>
    <w:basedOn w:val="a0"/>
    <w:link w:val="2"/>
    <w:uiPriority w:val="9"/>
    <w:semiHidden/>
    <w:rsid w:val="007139F6"/>
    <w:rPr>
      <w:rFonts w:asciiTheme="majorHAnsi" w:eastAsiaTheme="majorEastAsia" w:hAnsiTheme="majorHAnsi" w:cstheme="majorBidi"/>
      <w:b/>
      <w:bCs/>
      <w:sz w:val="32"/>
      <w:szCs w:val="32"/>
    </w:rPr>
  </w:style>
  <w:style w:type="character" w:customStyle="1" w:styleId="af1">
    <w:name w:val="二级标题 字符"/>
    <w:basedOn w:val="20"/>
    <w:link w:val="af0"/>
    <w:rsid w:val="00A7754E"/>
    <w:rPr>
      <w:rFonts w:ascii="Times New Roman" w:eastAsia="Times New Roman" w:hAnsi="Times New Roman" w:cs="Times New Roman"/>
      <w:b w:val="0"/>
      <w:bCs/>
      <w:iCs/>
      <w:sz w:val="24"/>
      <w:szCs w:val="24"/>
    </w:rPr>
  </w:style>
  <w:style w:type="character" w:customStyle="1" w:styleId="40">
    <w:name w:val="标题 4 字符"/>
    <w:aliases w:val="图注 字符"/>
    <w:basedOn w:val="a0"/>
    <w:link w:val="4"/>
    <w:uiPriority w:val="9"/>
    <w:rsid w:val="00F2310E"/>
    <w:rPr>
      <w:rFonts w:ascii="宋体" w:eastAsia="宋体" w:hAnsi="宋体" w:cstheme="majorBidi"/>
      <w:bCs/>
      <w:szCs w:val="28"/>
    </w:rPr>
  </w:style>
  <w:style w:type="character" w:styleId="af2">
    <w:name w:val="annotation reference"/>
    <w:basedOn w:val="a0"/>
    <w:uiPriority w:val="99"/>
    <w:semiHidden/>
    <w:unhideWhenUsed/>
    <w:rsid w:val="00F2310E"/>
    <w:rPr>
      <w:sz w:val="21"/>
      <w:szCs w:val="21"/>
    </w:rPr>
  </w:style>
  <w:style w:type="paragraph" w:styleId="af3">
    <w:name w:val="annotation text"/>
    <w:basedOn w:val="a"/>
    <w:link w:val="af4"/>
    <w:uiPriority w:val="99"/>
    <w:unhideWhenUsed/>
    <w:rsid w:val="00F2310E"/>
    <w:pPr>
      <w:jc w:val="left"/>
    </w:pPr>
    <w:rPr>
      <w:rFonts w:ascii="Tahoma" w:eastAsia="宋体" w:hAnsi="Tahoma" w:cs="Tahoma"/>
      <w:sz w:val="16"/>
    </w:rPr>
  </w:style>
  <w:style w:type="character" w:customStyle="1" w:styleId="af4">
    <w:name w:val="批注文字 字符"/>
    <w:basedOn w:val="a0"/>
    <w:link w:val="af3"/>
    <w:uiPriority w:val="99"/>
    <w:rsid w:val="00F2310E"/>
    <w:rPr>
      <w:rFonts w:ascii="Tahoma" w:eastAsia="宋体" w:hAnsi="Tahoma" w:cs="Tahoma"/>
      <w:sz w:val="16"/>
    </w:rPr>
  </w:style>
  <w:style w:type="character" w:styleId="af5">
    <w:name w:val="line number"/>
    <w:basedOn w:val="a0"/>
    <w:uiPriority w:val="99"/>
    <w:semiHidden/>
    <w:unhideWhenUsed/>
    <w:rsid w:val="00A413F5"/>
  </w:style>
  <w:style w:type="paragraph" w:customStyle="1" w:styleId="21">
    <w:name w:val="图注2"/>
    <w:basedOn w:val="4"/>
    <w:next w:val="a"/>
    <w:link w:val="22"/>
    <w:qFormat/>
    <w:rsid w:val="009B3103"/>
    <w:pPr>
      <w:adjustRightInd w:val="0"/>
      <w:snapToGrid w:val="0"/>
    </w:pPr>
    <w:rPr>
      <w:rFonts w:ascii="Times New Roman" w:eastAsia="Times New Roman" w:hAnsi="Times New Roman" w:cs="Times New Roman"/>
      <w:szCs w:val="24"/>
    </w:rPr>
  </w:style>
  <w:style w:type="character" w:customStyle="1" w:styleId="50">
    <w:name w:val="标题 5 字符"/>
    <w:basedOn w:val="a0"/>
    <w:link w:val="5"/>
    <w:uiPriority w:val="9"/>
    <w:semiHidden/>
    <w:rsid w:val="00B56D67"/>
    <w:rPr>
      <w:b/>
      <w:bCs/>
      <w:sz w:val="28"/>
      <w:szCs w:val="28"/>
    </w:rPr>
  </w:style>
  <w:style w:type="character" w:customStyle="1" w:styleId="22">
    <w:name w:val="图注2 字符"/>
    <w:basedOn w:val="a0"/>
    <w:link w:val="21"/>
    <w:rsid w:val="009B3103"/>
    <w:rPr>
      <w:rFonts w:ascii="Times New Roman" w:eastAsia="Times New Roman" w:hAnsi="Times New Roman" w:cs="Times New Roman"/>
      <w:bCs/>
      <w:sz w:val="24"/>
      <w:szCs w:val="24"/>
    </w:rPr>
  </w:style>
  <w:style w:type="paragraph" w:customStyle="1" w:styleId="af6">
    <w:name w:val="参考文献"/>
    <w:link w:val="af7"/>
    <w:qFormat/>
    <w:rsid w:val="00D94552"/>
    <w:pPr>
      <w:adjustRightInd w:val="0"/>
      <w:snapToGrid w:val="0"/>
      <w:spacing w:before="120" w:line="360" w:lineRule="auto"/>
      <w:ind w:left="357" w:hanging="357"/>
    </w:pPr>
    <w:rPr>
      <w:rFonts w:ascii="Times New Roman" w:eastAsia="Times New Roman" w:hAnsi="Times New Roman" w:cs="Times New Roman"/>
      <w:sz w:val="24"/>
      <w:szCs w:val="24"/>
    </w:rPr>
  </w:style>
  <w:style w:type="character" w:customStyle="1" w:styleId="af7">
    <w:name w:val="参考文献 字符"/>
    <w:basedOn w:val="a0"/>
    <w:link w:val="af6"/>
    <w:rsid w:val="00D94552"/>
    <w:rPr>
      <w:rFonts w:ascii="Times New Roman" w:eastAsia="Times New Roman" w:hAnsi="Times New Roman" w:cs="Times New Roman"/>
      <w:sz w:val="24"/>
      <w:szCs w:val="24"/>
    </w:rPr>
  </w:style>
  <w:style w:type="paragraph" w:styleId="af8">
    <w:name w:val="Revision"/>
    <w:hidden/>
    <w:uiPriority w:val="99"/>
    <w:semiHidden/>
    <w:rsid w:val="00CE65C8"/>
    <w:rPr>
      <w:rFonts w:ascii="Times New Roman" w:eastAsia="Times New Roman" w:hAnsi="Times New Roman"/>
      <w:sz w:val="24"/>
    </w:rPr>
  </w:style>
  <w:style w:type="paragraph" w:styleId="af9">
    <w:name w:val="annotation subject"/>
    <w:basedOn w:val="af3"/>
    <w:next w:val="af3"/>
    <w:link w:val="afa"/>
    <w:uiPriority w:val="99"/>
    <w:semiHidden/>
    <w:unhideWhenUsed/>
    <w:rsid w:val="00290C7A"/>
    <w:rPr>
      <w:rFonts w:eastAsia="Times New Roman"/>
      <w:b/>
      <w:bCs/>
    </w:rPr>
  </w:style>
  <w:style w:type="character" w:customStyle="1" w:styleId="afa">
    <w:name w:val="批注主题 字符"/>
    <w:basedOn w:val="af4"/>
    <w:link w:val="af9"/>
    <w:uiPriority w:val="99"/>
    <w:semiHidden/>
    <w:rsid w:val="00290C7A"/>
    <w:rPr>
      <w:rFonts w:ascii="Tahoma" w:eastAsia="Times New Roman" w:hAnsi="Tahoma" w:cs="Tahoma"/>
      <w:b/>
      <w:bCs/>
      <w:sz w:val="16"/>
    </w:rPr>
  </w:style>
  <w:style w:type="paragraph" w:styleId="afb">
    <w:name w:val="Balloon Text"/>
    <w:basedOn w:val="a"/>
    <w:link w:val="afc"/>
    <w:uiPriority w:val="99"/>
    <w:semiHidden/>
    <w:unhideWhenUsed/>
    <w:rsid w:val="00BD4161"/>
    <w:pPr>
      <w:spacing w:before="0" w:line="240" w:lineRule="auto"/>
    </w:pPr>
    <w:rPr>
      <w:rFonts w:ascii="Tahoma" w:hAnsi="Tahoma" w:cs="Tahoma"/>
      <w:sz w:val="16"/>
      <w:szCs w:val="18"/>
    </w:rPr>
  </w:style>
  <w:style w:type="character" w:customStyle="1" w:styleId="afc">
    <w:name w:val="批注框文本 字符"/>
    <w:basedOn w:val="a0"/>
    <w:link w:val="afb"/>
    <w:uiPriority w:val="99"/>
    <w:semiHidden/>
    <w:rsid w:val="00BD4161"/>
    <w:rPr>
      <w:rFonts w:ascii="Tahoma" w:eastAsia="Times New Roman" w:hAnsi="Tahoma" w:cs="Tahoma"/>
      <w:sz w:val="16"/>
      <w:szCs w:val="18"/>
    </w:rPr>
  </w:style>
  <w:style w:type="character" w:styleId="afd">
    <w:name w:val="Unresolved Mention"/>
    <w:basedOn w:val="a0"/>
    <w:uiPriority w:val="99"/>
    <w:semiHidden/>
    <w:unhideWhenUsed/>
    <w:rsid w:val="009A04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175/JCLI-D-12-00836.1" TargetMode="External"/><Relationship Id="rId117" Type="http://schemas.openxmlformats.org/officeDocument/2006/relationships/hyperlink" Target="https://doi.org/10.1029/2006GL028129" TargetMode="External"/><Relationship Id="rId21" Type="http://schemas.openxmlformats.org/officeDocument/2006/relationships/hyperlink" Target="https://tcdata.typhoon.org.cn/%20zjljsjj_zlhq.html" TargetMode="External"/><Relationship Id="rId42" Type="http://schemas.openxmlformats.org/officeDocument/2006/relationships/hyperlink" Target="https://doi.org/10.1175/2010MWR3356.1" TargetMode="External"/><Relationship Id="rId47" Type="http://schemas.openxmlformats.org/officeDocument/2006/relationships/hyperlink" Target="https://doi.org/10.1029/2004RG000150" TargetMode="External"/><Relationship Id="rId63" Type="http://schemas.openxmlformats.org/officeDocument/2006/relationships/hyperlink" Target="https://doi.org/10.1175/JCLI3568.1" TargetMode="External"/><Relationship Id="rId68" Type="http://schemas.openxmlformats.org/officeDocument/2006/relationships/hyperlink" Target="https://doi.org/10.1007/s00376-020-0211-7" TargetMode="External"/><Relationship Id="rId84" Type="http://schemas.openxmlformats.org/officeDocument/2006/relationships/hyperlink" Target="https://doi.org/10.1016/%20j.atmosenv.2020.117808" TargetMode="External"/><Relationship Id="rId89" Type="http://schemas.openxmlformats.org/officeDocument/2006/relationships/hyperlink" Target="https://doi.org/10.1002/joc.5171" TargetMode="External"/><Relationship Id="rId112" Type="http://schemas.openxmlformats.org/officeDocument/2006/relationships/hyperlink" Target="https://doi.org/10.1007/s11430-018-9385-3" TargetMode="External"/><Relationship Id="rId133" Type="http://schemas.openxmlformats.org/officeDocument/2006/relationships/footer" Target="footer3.xml"/><Relationship Id="rId16" Type="http://schemas.openxmlformats.org/officeDocument/2006/relationships/image" Target="media/image8.png"/><Relationship Id="rId107" Type="http://schemas.openxmlformats.org/officeDocument/2006/relationships/hyperlink" Target="https://doi.org/10.1007/s00376-021-1194-8" TargetMode="External"/><Relationship Id="rId11" Type="http://schemas.openxmlformats.org/officeDocument/2006/relationships/image" Target="media/image3.png"/><Relationship Id="rId32" Type="http://schemas.openxmlformats.org/officeDocument/2006/relationships/hyperlink" Target="https://doi.org/10.1175/1520-0469(2002)059%3c2033:IOPAWW%3e2.0.CO;2" TargetMode="External"/><Relationship Id="rId37" Type="http://schemas.openxmlformats.org/officeDocument/2006/relationships/hyperlink" Target="https://doi.org/10.1175/JCLI-D-19-0137.1" TargetMode="External"/><Relationship Id="rId53" Type="http://schemas.openxmlformats.org/officeDocument/2006/relationships/hyperlink" Target="https://doi.org/10.1175/MWR3447.1" TargetMode="External"/><Relationship Id="rId58" Type="http://schemas.openxmlformats.org/officeDocument/2006/relationships/hyperlink" Target="https://doi.org/10.2151/jmsj.79.815" TargetMode="External"/><Relationship Id="rId74" Type="http://schemas.openxmlformats.org/officeDocument/2006/relationships/hyperlink" Target="http://doi.org/10.3878/j.issn.1006-9585.2019.19040" TargetMode="External"/><Relationship Id="rId79" Type="http://schemas.openxmlformats.org/officeDocument/2006/relationships/hyperlink" Target="https://doi.org/10.5194/acp-17-3097-2017" TargetMode="External"/><Relationship Id="rId102" Type="http://schemas.openxmlformats.org/officeDocument/2006/relationships/hyperlink" Target="https://doi.org/10.1175/MWR-D-11-00041.1" TargetMode="External"/><Relationship Id="rId123" Type="http://schemas.openxmlformats.org/officeDocument/2006/relationships/hyperlink" Target="https://doi.org/10.1175/JAS-D-17-0197.1" TargetMode="External"/><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hyperlink" Target="https://doi.org/10.1175/MWR-D-16-0340.1" TargetMode="External"/><Relationship Id="rId95" Type="http://schemas.openxmlformats.org/officeDocument/2006/relationships/hyperlink" Target="https://doi.org/10.1029/%202019JD031266" TargetMode="External"/><Relationship Id="rId14" Type="http://schemas.openxmlformats.org/officeDocument/2006/relationships/image" Target="media/image6.png"/><Relationship Id="rId22" Type="http://schemas.openxmlformats.org/officeDocument/2006/relationships/hyperlink" Target="https://doi.org/10.1175/1520-0450(1984)023%3c1635:%20OTRBDM%3e2.0.CO;2" TargetMode="External"/><Relationship Id="rId27" Type="http://schemas.openxmlformats.org/officeDocument/2006/relationships/hyperlink" Target="https://doi.org/10.1175/1520-0469(2001)058%3c3463:EOPCOT%3e2.0.CO;2" TargetMode="External"/><Relationship Id="rId30" Type="http://schemas.openxmlformats.org/officeDocument/2006/relationships/hyperlink" Target="https://doi.org/10.1175/WAF-D-12-00119.1" TargetMode="External"/><Relationship Id="rId35" Type="http://schemas.openxmlformats.org/officeDocument/2006/relationships/hyperlink" Target="https://doi.org/10.1175/1520-0434(2001)016%3c0329:EODEUP%3e2.0.CO;2" TargetMode="External"/><Relationship Id="rId43" Type="http://schemas.openxmlformats.org/officeDocument/2006/relationships/hyperlink" Target="https://doi.org/10.1002/joc.4917" TargetMode="External"/><Relationship Id="rId48" Type="http://schemas.openxmlformats.org/officeDocument/2006/relationships/hyperlink" Target="https://doi.org/10.1196/annals.1446.019" TargetMode="External"/><Relationship Id="rId56" Type="http://schemas.openxmlformats.org/officeDocument/2006/relationships/hyperlink" Target="https://doi.org/10.1007/s00704-009-0241-7" TargetMode="External"/><Relationship Id="rId64" Type="http://schemas.openxmlformats.org/officeDocument/2006/relationships/hyperlink" Target="https://doi.org/10.1175/JCLI-D-14-00049.1" TargetMode="External"/><Relationship Id="rId69" Type="http://schemas.openxmlformats.org/officeDocument/2006/relationships/hyperlink" Target="https://doi.org/10.1175/JCLI-D-16-0057.1" TargetMode="External"/><Relationship Id="rId77" Type="http://schemas.openxmlformats.org/officeDocument/2006/relationships/hyperlink" Target="https://doi.org/10.1175/MWR3062.1" TargetMode="External"/><Relationship Id="rId100" Type="http://schemas.openxmlformats.org/officeDocument/2006/relationships/hyperlink" Target="https://doi.org/10.1002/joc.1268" TargetMode="External"/><Relationship Id="rId105" Type="http://schemas.openxmlformats.org/officeDocument/2006/relationships/hyperlink" Target="http://mason.gmu.edu/~lzhao9/venues/DeepSpatial2020/%20papers/DeepSpatial_paper_6_camera_ready.pdf" TargetMode="External"/><Relationship Id="rId113" Type="http://schemas.openxmlformats.org/officeDocument/2006/relationships/hyperlink" Target="https://doi.org/10.1175/JCLI-D-14-00491.1" TargetMode="External"/><Relationship Id="rId118" Type="http://schemas.openxmlformats.org/officeDocument/2006/relationships/hyperlink" Target="https://doi.org/10.1029/2019JD031742" TargetMode="External"/><Relationship Id="rId126" Type="http://schemas.openxmlformats.org/officeDocument/2006/relationships/hyperlink" Target="https://doi.org/10.1175/JHM-D-17-0176.1" TargetMode="External"/><Relationship Id="rId134" Type="http://schemas.openxmlformats.org/officeDocument/2006/relationships/fontTable" Target="fontTable.xml"/><Relationship Id="rId8" Type="http://schemas.openxmlformats.org/officeDocument/2006/relationships/hyperlink" Target="mailto:sjh@mail.iap.ac.cn" TargetMode="External"/><Relationship Id="rId51" Type="http://schemas.openxmlformats.org/officeDocument/2006/relationships/hyperlink" Target="https://doi.org/10.1109/TPAMI.2002.1017616" TargetMode="External"/><Relationship Id="rId72" Type="http://schemas.openxmlformats.org/officeDocument/2006/relationships/hyperlink" Target="https://doi.org/10.1175/1520-0493(1998)126%3c1630:%20LCVOMC%3e2.0.CO;2" TargetMode="External"/><Relationship Id="rId80" Type="http://schemas.openxmlformats.org/officeDocument/2006/relationships/hyperlink" Target="https://doi.org/10.1175/1520-0493(1991)119%3c2978:MCCITW%3e2.0.CO;2" TargetMode="External"/><Relationship Id="rId85" Type="http://schemas.openxmlformats.org/officeDocument/2006/relationships/hyperlink" Target="https://doi.org/10.1175/JAS-D-15-0341.1" TargetMode="External"/><Relationship Id="rId93" Type="http://schemas.openxmlformats.org/officeDocument/2006/relationships/hyperlink" Target="https://doi.org/10.1175/1520-0450(1991)030%3c1163:SOOVIT%3e%202.0.CO;2" TargetMode="External"/><Relationship Id="rId98" Type="http://schemas.openxmlformats.org/officeDocument/2006/relationships/hyperlink" Target="https://doi.org/10.1007/s00382-003-0320-x" TargetMode="External"/><Relationship Id="rId121" Type="http://schemas.openxmlformats.org/officeDocument/2006/relationships/hyperlink" Target="https://doi.org/10.1007/s00703-016-0484-7"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doi.org/10.1175/JTECH-D-17-0110.1" TargetMode="External"/><Relationship Id="rId33" Type="http://schemas.openxmlformats.org/officeDocument/2006/relationships/hyperlink" Target="https://doi.org/10.1175/WAF1040.1" TargetMode="External"/><Relationship Id="rId38" Type="http://schemas.openxmlformats.org/officeDocument/2006/relationships/hyperlink" Target="https://doi.org/10.1007/s00376-010-0026-z" TargetMode="External"/><Relationship Id="rId46" Type="http://schemas.openxmlformats.org/officeDocument/2006/relationships/hyperlink" Target="https://doi.org/10.1175/JAMC-D-12-065.1" TargetMode="External"/><Relationship Id="rId59" Type="http://schemas.openxmlformats.org/officeDocument/2006/relationships/hyperlink" Target="https://doi.org/10.1175/WAF931.1" TargetMode="External"/><Relationship Id="rId67" Type="http://schemas.openxmlformats.org/officeDocument/2006/relationships/hyperlink" Target="https://doi.org/10.1016/j.atmosres.2019.06.001" TargetMode="External"/><Relationship Id="rId103" Type="http://schemas.openxmlformats.org/officeDocument/2006/relationships/hyperlink" Target="http://doi.org/10.3878/j.issn.1006-9895.1803.17246" TargetMode="External"/><Relationship Id="rId108" Type="http://schemas.openxmlformats.org/officeDocument/2006/relationships/hyperlink" Target="https://doi.org/10.1175/1520-0493(1987)115%3c0505:SOCOWM%3e2.0.CO;2" TargetMode="External"/><Relationship Id="rId116" Type="http://schemas.openxmlformats.org/officeDocument/2006/relationships/hyperlink" Target="https://doi.org/10.1175/JTECH-D-12-00119.1" TargetMode="External"/><Relationship Id="rId124" Type="http://schemas.openxmlformats.org/officeDocument/2006/relationships/hyperlink" Target="https://doi.org/10.1175/WAF-D-12-00088.1" TargetMode="External"/><Relationship Id="rId129" Type="http://schemas.openxmlformats.org/officeDocument/2006/relationships/header" Target="header2.xml"/><Relationship Id="rId20" Type="http://schemas.openxmlformats.org/officeDocument/2006/relationships/hyperlink" Target="https://cds.climate.copernicus.eu/cdsapp" TargetMode="External"/><Relationship Id="rId41" Type="http://schemas.openxmlformats.org/officeDocument/2006/relationships/hyperlink" Target="https://doi.org/10.1175/WAF-D-11-00008.1" TargetMode="External"/><Relationship Id="rId54" Type="http://schemas.openxmlformats.org/officeDocument/2006/relationships/hyperlink" Target="https://doi.org/10.1175/%202008MWR2703.1" TargetMode="External"/><Relationship Id="rId62" Type="http://schemas.openxmlformats.org/officeDocument/2006/relationships/hyperlink" Target="https://doi.org/10.1016/j.atmosres.2010.04.001" TargetMode="External"/><Relationship Id="rId70" Type="http://schemas.openxmlformats.org/officeDocument/2006/relationships/hyperlink" Target="https://doi.org/10.1175/MWR-D-20-0087.1" TargetMode="External"/><Relationship Id="rId75" Type="http://schemas.openxmlformats.org/officeDocument/2006/relationships/hyperlink" Target="https://doi.org/10.1175/2010WAF2222351.1" TargetMode="External"/><Relationship Id="rId83" Type="http://schemas.openxmlformats.org/officeDocument/2006/relationships/hyperlink" Target="https://doi.org/10.1175/JAMC-D-20-0070.1" TargetMode="External"/><Relationship Id="rId88" Type="http://schemas.openxmlformats.org/officeDocument/2006/relationships/hyperlink" Target="https://doi.org/10.1175/1520-0434(1998)013%3c1148:ABCOSD%3e%202.0.CO;2" TargetMode="External"/><Relationship Id="rId91" Type="http://schemas.openxmlformats.org/officeDocument/2006/relationships/hyperlink" Target="https://doi.org/10.1175/1520-0434(2003)018%3c0562:NSIAGU%3e2.0.CO;2" TargetMode="External"/><Relationship Id="rId96" Type="http://schemas.openxmlformats.org/officeDocument/2006/relationships/hyperlink" Target="https://doi.org/10.1175/%20JCLI-D-19-0089.1" TargetMode="External"/><Relationship Id="rId111" Type="http://schemas.openxmlformats.org/officeDocument/2006/relationships/hyperlink" Target="https://doi.org/10.1175/JCLI-D-19-0453.1" TargetMode="External"/><Relationship Id="rId13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doi.org/10.1175/1520-0493(1988)116%3c0685:MCCOTU%3e2.0.CO;2" TargetMode="External"/><Relationship Id="rId28" Type="http://schemas.openxmlformats.org/officeDocument/2006/relationships/hyperlink" Target="https://doi.org/10.1016/j.jhydrol.2003.11.011" TargetMode="External"/><Relationship Id="rId36" Type="http://schemas.openxmlformats.org/officeDocument/2006/relationships/hyperlink" Target="https://doi.org/10.1029/2018MS001305" TargetMode="External"/><Relationship Id="rId49" Type="http://schemas.openxmlformats.org/officeDocument/2006/relationships/hyperlink" Target="http://doi.org/10.3878/j.issn.1006-9895.2002.02.12" TargetMode="External"/><Relationship Id="rId57" Type="http://schemas.openxmlformats.org/officeDocument/2006/relationships/hyperlink" Target="https://doi.org/10.1016/j.atmosenv.2021.118632" TargetMode="External"/><Relationship Id="rId106" Type="http://schemas.openxmlformats.org/officeDocument/2006/relationships/hyperlink" Target="https://doi.org/10.1029/JD092iD08p09591" TargetMode="External"/><Relationship Id="rId114" Type="http://schemas.openxmlformats.org/officeDocument/2006/relationships/hyperlink" Target="https://doi.org/10.1007/s00376-017-7114-2" TargetMode="External"/><Relationship Id="rId119" Type="http://schemas.openxmlformats.org/officeDocument/2006/relationships/hyperlink" Target="https://doi.org/10.3390/rs13091652" TargetMode="External"/><Relationship Id="rId127" Type="http://schemas.openxmlformats.org/officeDocument/2006/relationships/hyperlink" Target="https://doi.org/10.1175/1520-0493(1977)105%3c1568:MACDAD%3e2.0.CO;2" TargetMode="External"/><Relationship Id="rId10" Type="http://schemas.openxmlformats.org/officeDocument/2006/relationships/image" Target="media/image2.png"/><Relationship Id="rId31" Type="http://schemas.openxmlformats.org/officeDocument/2006/relationships/hyperlink" Target="https://doi.org/10.1175/WAF-D-21-0051.1" TargetMode="External"/><Relationship Id="rId44" Type="http://schemas.openxmlformats.org/officeDocument/2006/relationships/hyperlink" Target="https://doi.org/10.1175/WAF950.1" TargetMode="External"/><Relationship Id="rId52" Type="http://schemas.openxmlformats.org/officeDocument/2006/relationships/hyperlink" Target="https://doi.org/10.1175/JAMC-D-18-0015.1" TargetMode="External"/><Relationship Id="rId60" Type="http://schemas.openxmlformats.org/officeDocument/2006/relationships/hyperlink" Target="https://doi.org/10.1029/2021JD035279" TargetMode="External"/><Relationship Id="rId65" Type="http://schemas.openxmlformats.org/officeDocument/2006/relationships/hyperlink" Target="https://doi.org/10.1175/2008JAMC1695.1" TargetMode="External"/><Relationship Id="rId73" Type="http://schemas.openxmlformats.org/officeDocument/2006/relationships/hyperlink" Target="https://doi.org/10.1175/1520-0477(1980)061%3c1374:MCC%3e2.0.CO;2" TargetMode="External"/><Relationship Id="rId78" Type="http://schemas.openxmlformats.org/officeDocument/2006/relationships/hyperlink" Target="https://doi.org/10.1175/%20JHM-D-20-0167.1" TargetMode="External"/><Relationship Id="rId81" Type="http://schemas.openxmlformats.org/officeDocument/2006/relationships/hyperlink" Target="https://doi.org/10.1175/JCLI-D-20-0851.1" TargetMode="External"/><Relationship Id="rId86" Type="http://schemas.openxmlformats.org/officeDocument/2006/relationships/hyperlink" Target="https://doi.org/10.1175/MWR-D-13-00295.1" TargetMode="External"/><Relationship Id="rId94" Type="http://schemas.openxmlformats.org/officeDocument/2006/relationships/hyperlink" Target="https://doi.org/10.1016/0377-0427(87)90125-7" TargetMode="External"/><Relationship Id="rId99" Type="http://schemas.openxmlformats.org/officeDocument/2006/relationships/hyperlink" Target="https://doi.org/10.1175/JCLI-D-18-0839.1" TargetMode="External"/><Relationship Id="rId101" Type="http://schemas.openxmlformats.org/officeDocument/2006/relationships/hyperlink" Target="https://doi.org/10.1029/2009JD013609" TargetMode="External"/><Relationship Id="rId122" Type="http://schemas.openxmlformats.org/officeDocument/2006/relationships/hyperlink" Target="https://doi.org/10.5194/acp-14-10741-2014" TargetMode="External"/><Relationship Id="rId130" Type="http://schemas.openxmlformats.org/officeDocument/2006/relationships/footer" Target="footer1.xml"/><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doi.org/10.11676/qxxb2011.051" TargetMode="External"/><Relationship Id="rId109" Type="http://schemas.openxmlformats.org/officeDocument/2006/relationships/hyperlink" Target="https://doi.org/10.1175/MWR3069.1" TargetMode="External"/><Relationship Id="rId34" Type="http://schemas.openxmlformats.org/officeDocument/2006/relationships/hyperlink" Target="https://doi.org/10.1016/j.scitotenv.2020.139559" TargetMode="External"/><Relationship Id="rId50" Type="http://schemas.openxmlformats.org/officeDocument/2006/relationships/hyperlink" Target="https://doi.org/10.1016/%20j.atmosres.2008.11.005" TargetMode="External"/><Relationship Id="rId55" Type="http://schemas.openxmlformats.org/officeDocument/2006/relationships/hyperlink" Target="https://doi.org/10.1175/2011MWR3631.1" TargetMode="External"/><Relationship Id="rId76" Type="http://schemas.openxmlformats.org/officeDocument/2006/relationships/hyperlink" Target="https://doi.org/10.1175/%201520-0493(2001)129%3c0664:TSOSSS%3e2.0.CO;2" TargetMode="External"/><Relationship Id="rId97" Type="http://schemas.openxmlformats.org/officeDocument/2006/relationships/hyperlink" Target="https://doi.org/10.1175/2010JAMC2496.1" TargetMode="External"/><Relationship Id="rId104" Type="http://schemas.openxmlformats.org/officeDocument/2006/relationships/hyperlink" Target="https://doi.org/10.1175/JHM-D-14-0200.1" TargetMode="External"/><Relationship Id="rId120" Type="http://schemas.openxmlformats.org/officeDocument/2006/relationships/hyperlink" Target="https://doi.org/10.1029/97JD01012" TargetMode="External"/><Relationship Id="rId125" Type="http://schemas.openxmlformats.org/officeDocument/2006/relationships/hyperlink" Target="https://doi.org/10.1007/s11434-008-0116-9" TargetMode="External"/><Relationship Id="rId7" Type="http://schemas.openxmlformats.org/officeDocument/2006/relationships/endnotes" Target="endnotes.xml"/><Relationship Id="rId71" Type="http://schemas.openxmlformats.org/officeDocument/2006/relationships/hyperlink" Target="https://doi.org/10.1016/j.atmosres.2021.105519" TargetMode="External"/><Relationship Id="rId92" Type="http://schemas.openxmlformats.org/officeDocument/2006/relationships/hyperlink" Target="https://doi.org/10.1175/1520-0493(1983)111%3c2363:%20MCCOTU%3e2.0.CO;2" TargetMode="External"/><Relationship Id="rId2" Type="http://schemas.openxmlformats.org/officeDocument/2006/relationships/numbering" Target="numbering.xml"/><Relationship Id="rId29" Type="http://schemas.openxmlformats.org/officeDocument/2006/relationships/hyperlink" Target="https://doi.org/10.1016/S0169-8095(03)00045-0" TargetMode="External"/><Relationship Id="rId24" Type="http://schemas.openxmlformats.org/officeDocument/2006/relationships/hyperlink" Target="https://doi.org/10.1175/MWR-D-11-00006.1" TargetMode="External"/><Relationship Id="rId40" Type="http://schemas.openxmlformats.org/officeDocument/2006/relationships/hyperlink" Target="https://doi.org/10.1175/JAMC-D-13-0263.1" TargetMode="External"/><Relationship Id="rId45" Type="http://schemas.openxmlformats.org/officeDocument/2006/relationships/hyperlink" Target="https://doi.org/10.1002/qj.3803" TargetMode="External"/><Relationship Id="rId66" Type="http://schemas.openxmlformats.org/officeDocument/2006/relationships/hyperlink" Target="https://doi.org/10.1175/1520-0442(2000)%20013%3c4159:DVOTHC%3e2.0.CO;2" TargetMode="External"/><Relationship Id="rId87" Type="http://schemas.openxmlformats.org/officeDocument/2006/relationships/hyperlink" Target="https://doi.org/10.1175/WAF-D-13-00146.1" TargetMode="External"/><Relationship Id="rId110" Type="http://schemas.openxmlformats.org/officeDocument/2006/relationships/hyperlink" Target="https://doi.org/10.1175/BAMS-D-16-0065.1" TargetMode="External"/><Relationship Id="rId115" Type="http://schemas.openxmlformats.org/officeDocument/2006/relationships/hyperlink" Target="https://doi.org/10.1016/j.atmosres.2020.105342" TargetMode="External"/><Relationship Id="rId131" Type="http://schemas.openxmlformats.org/officeDocument/2006/relationships/footer" Target="footer2.xml"/><Relationship Id="rId61" Type="http://schemas.openxmlformats.org/officeDocument/2006/relationships/hyperlink" Target="https://doi.org/10.1002/qj.49712353807" TargetMode="External"/><Relationship Id="rId82" Type="http://schemas.openxmlformats.org/officeDocument/2006/relationships/hyperlink" Target="https://doi.org/10.1256/003590002320603485" TargetMode="External"/><Relationship Id="rId19" Type="http://schemas.openxmlformats.org/officeDocument/2006/relationships/hyperlink" Target="http://data.cma.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1C38E2-E3B9-4729-AAB7-B146E5773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44</Pages>
  <Words>63179</Words>
  <Characters>360123</Characters>
  <Application>Microsoft Office Word</Application>
  <DocSecurity>0</DocSecurity>
  <Lines>3001</Lines>
  <Paragraphs>844</Paragraphs>
  <ScaleCrop>false</ScaleCrop>
  <Company/>
  <LinksUpToDate>false</LinksUpToDate>
  <CharactersWithSpaces>422458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付亚男</dc:creator>
  <cp:lastModifiedBy>付亚男</cp:lastModifiedBy>
  <cp:revision>16</cp:revision>
  <dcterms:created xsi:type="dcterms:W3CDTF">2023-02-03T08:42:00Z</dcterms:created>
  <dcterms:modified xsi:type="dcterms:W3CDTF">2023-02-03T12:38:00Z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961fb9126868164e1cad30757f3487ece919d24fa799db3fb73d7c2712f26675</vt:lpwstr>
  </property>
  <property fmtid="{D5CDD505-2E9C-101B-9397-08002B2CF9AE}" pid="3" name="LE1">
    <vt:filetime>2023-01-29T02:49:41Z</vt:filetime>
  </property>
  <property fmtid="{D5CDD505-2E9C-101B-9397-08002B2CF9AE}" pid="4" name="ZOTERO_PREF_1">
    <vt:lpwstr>&lt;data data-version="3" zotero-version="6.0.19"&gt;&lt;session id="mhQ4Lrks"/&gt;&lt;style id="http://www.zotero.org/styles/american-geophysical-union" hasBibliography="1" bibliographyStyleHasBeenSet="1"/&gt;&lt;prefs&gt;&lt;pref name="fieldType" value="Field"/&gt;&lt;/prefs&gt;&lt;/data&gt;</vt:lpwstr>
  </property>
  <property fmtid="{D5CDD505-2E9C-101B-9397-08002B2CF9AE}" pid="5" name="ReminderText">
    <vt:lpwstr>_L8XB2YRH</vt:lpwstr>
  </property>
</Properties>
</file>