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17B0F" w14:textId="77777777" w:rsidR="00B8153B" w:rsidRPr="001E1B9C" w:rsidRDefault="00B8153B" w:rsidP="00B8153B">
      <w:pPr>
        <w:pStyle w:val="Heading1"/>
        <w:spacing w:line="360" w:lineRule="auto"/>
        <w:jc w:val="center"/>
        <w:rPr>
          <w:rFonts w:ascii="Times New Roman" w:hAnsi="Times New Roman" w:cs="Times New Roman"/>
          <w:color w:val="auto"/>
          <w:sz w:val="28"/>
          <w:szCs w:val="28"/>
          <w:shd w:val="clear" w:color="auto" w:fill="FFFFFF"/>
        </w:rPr>
      </w:pPr>
      <w:r w:rsidRPr="001E1B9C">
        <w:rPr>
          <w:rFonts w:ascii="Times New Roman" w:hAnsi="Times New Roman" w:cs="Times New Roman"/>
          <w:color w:val="auto"/>
          <w:sz w:val="28"/>
          <w:szCs w:val="28"/>
          <w:shd w:val="clear" w:color="auto" w:fill="FFFFFF"/>
        </w:rPr>
        <w:t>The Trajectory of Pharmacometrics to Support Drug Licensing &amp; Labeling</w:t>
      </w:r>
    </w:p>
    <w:p w14:paraId="5CE393E3" w14:textId="77777777" w:rsidR="00C413B7" w:rsidRPr="001E1B9C" w:rsidRDefault="00C413B7" w:rsidP="00C413B7"/>
    <w:p w14:paraId="155A9B9A" w14:textId="14E237F2" w:rsidR="00C413B7" w:rsidRPr="001E1B9C" w:rsidRDefault="00C413B7" w:rsidP="00C413B7">
      <w:pPr>
        <w:spacing w:line="480" w:lineRule="auto"/>
        <w:jc w:val="center"/>
        <w:rPr>
          <w:rFonts w:ascii="Times New Roman" w:hAnsi="Times New Roman" w:cs="Times New Roman"/>
          <w:vertAlign w:val="superscript"/>
        </w:rPr>
      </w:pPr>
      <w:r w:rsidRPr="001E1B9C">
        <w:rPr>
          <w:rFonts w:ascii="Times New Roman" w:hAnsi="Times New Roman" w:cs="Times New Roman"/>
        </w:rPr>
        <w:t>Allison Dunn, PharmD, MS</w:t>
      </w:r>
      <w:r w:rsidRPr="001E1B9C">
        <w:rPr>
          <w:rFonts w:ascii="Times New Roman" w:hAnsi="Times New Roman" w:cs="Times New Roman"/>
          <w:vertAlign w:val="superscript"/>
        </w:rPr>
        <w:t>1</w:t>
      </w:r>
      <w:r w:rsidRPr="001E1B9C">
        <w:rPr>
          <w:rFonts w:ascii="Times New Roman" w:hAnsi="Times New Roman" w:cs="Times New Roman"/>
        </w:rPr>
        <w:t>; Jogarao V.S. Gobburu, PhD</w:t>
      </w:r>
      <w:r w:rsidRPr="001E1B9C">
        <w:rPr>
          <w:rFonts w:ascii="Times New Roman" w:hAnsi="Times New Roman" w:cs="Times New Roman"/>
          <w:vertAlign w:val="superscript"/>
        </w:rPr>
        <w:t>1</w:t>
      </w:r>
    </w:p>
    <w:p w14:paraId="50102FE5" w14:textId="1D03B300" w:rsidR="00C413B7" w:rsidRPr="001E1B9C" w:rsidRDefault="00C413B7" w:rsidP="00C413B7">
      <w:pPr>
        <w:autoSpaceDE w:val="0"/>
        <w:autoSpaceDN w:val="0"/>
        <w:adjustRightInd w:val="0"/>
        <w:spacing w:after="0" w:line="480" w:lineRule="auto"/>
        <w:jc w:val="center"/>
        <w:rPr>
          <w:rFonts w:ascii="Times New Roman" w:hAnsi="Times New Roman" w:cs="Times New Roman"/>
        </w:rPr>
      </w:pPr>
      <w:r w:rsidRPr="001E1B9C">
        <w:rPr>
          <w:rFonts w:ascii="Times New Roman" w:hAnsi="Times New Roman" w:cs="Times New Roman"/>
          <w:vertAlign w:val="superscript"/>
        </w:rPr>
        <w:t>1</w:t>
      </w:r>
      <w:r w:rsidRPr="001E1B9C">
        <w:rPr>
          <w:rFonts w:ascii="Times New Roman" w:hAnsi="Times New Roman" w:cs="Times New Roman"/>
        </w:rPr>
        <w:t>Center for Translational Medicine, University of Maryland School of Pharmacy, Baltimore, Maryland.</w:t>
      </w:r>
    </w:p>
    <w:p w14:paraId="0AC07BD0" w14:textId="77777777" w:rsidR="00C413B7" w:rsidRPr="001E1B9C" w:rsidRDefault="00C413B7" w:rsidP="008F0D05">
      <w:pPr>
        <w:pStyle w:val="NoSpacing"/>
        <w:spacing w:line="360" w:lineRule="auto"/>
        <w:rPr>
          <w:rFonts w:ascii="Times New Roman" w:hAnsi="Times New Roman" w:cs="Times New Roman"/>
          <w:i/>
          <w:iCs/>
        </w:rPr>
      </w:pPr>
    </w:p>
    <w:p w14:paraId="360D29A6" w14:textId="77777777" w:rsidR="001E1B9C" w:rsidRDefault="001E1B9C" w:rsidP="008F0D05">
      <w:pPr>
        <w:pStyle w:val="NoSpacing"/>
        <w:spacing w:line="360" w:lineRule="auto"/>
        <w:rPr>
          <w:rFonts w:ascii="Times New Roman" w:hAnsi="Times New Roman" w:cs="Times New Roman"/>
          <w:i/>
          <w:iCs/>
        </w:rPr>
      </w:pPr>
    </w:p>
    <w:p w14:paraId="4354B38B" w14:textId="77777777" w:rsidR="001E1B9C" w:rsidRPr="00C413B7" w:rsidRDefault="001E1B9C" w:rsidP="008F0D05">
      <w:pPr>
        <w:pStyle w:val="NoSpacing"/>
        <w:spacing w:line="360" w:lineRule="auto"/>
        <w:rPr>
          <w:rFonts w:ascii="Times New Roman" w:hAnsi="Times New Roman" w:cs="Times New Roman"/>
          <w:i/>
          <w:iCs/>
        </w:rPr>
      </w:pPr>
    </w:p>
    <w:p w14:paraId="379CA264" w14:textId="12380911" w:rsidR="008F0D05" w:rsidRPr="00C413B7" w:rsidRDefault="008F0D05" w:rsidP="008F0D05">
      <w:pPr>
        <w:pStyle w:val="NoSpacing"/>
        <w:spacing w:line="360" w:lineRule="auto"/>
        <w:rPr>
          <w:rFonts w:ascii="Times New Roman" w:hAnsi="Times New Roman" w:cs="Times New Roman"/>
        </w:rPr>
      </w:pPr>
      <w:r w:rsidRPr="00C413B7">
        <w:rPr>
          <w:rFonts w:ascii="Times New Roman" w:hAnsi="Times New Roman" w:cs="Times New Roman"/>
          <w:i/>
          <w:iCs/>
        </w:rPr>
        <w:t>Address Correspondence</w:t>
      </w:r>
      <w:r w:rsidRPr="00C413B7">
        <w:rPr>
          <w:rFonts w:ascii="Times New Roman" w:hAnsi="Times New Roman" w:cs="Times New Roman"/>
        </w:rPr>
        <w:t>:</w:t>
      </w:r>
    </w:p>
    <w:p w14:paraId="0F0E9E56" w14:textId="73E374DD" w:rsidR="008F0D05" w:rsidRPr="00C413B7" w:rsidRDefault="00CB11CB" w:rsidP="008F0D05">
      <w:pPr>
        <w:pStyle w:val="NoSpacing"/>
        <w:spacing w:line="360" w:lineRule="auto"/>
        <w:rPr>
          <w:rFonts w:ascii="Times New Roman" w:hAnsi="Times New Roman" w:cs="Times New Roman"/>
        </w:rPr>
      </w:pPr>
      <w:r>
        <w:rPr>
          <w:rFonts w:ascii="Times New Roman" w:hAnsi="Times New Roman" w:cs="Times New Roman"/>
        </w:rPr>
        <w:t>Jogarao V.S. Gobburu, PhD</w:t>
      </w:r>
    </w:p>
    <w:p w14:paraId="3EDD1213" w14:textId="77777777" w:rsidR="008F0D05" w:rsidRPr="00C413B7" w:rsidRDefault="008F0D05" w:rsidP="008F0D05">
      <w:pPr>
        <w:pStyle w:val="NoSpacing"/>
        <w:spacing w:line="360" w:lineRule="auto"/>
        <w:rPr>
          <w:rFonts w:ascii="Times New Roman" w:hAnsi="Times New Roman" w:cs="Times New Roman"/>
        </w:rPr>
      </w:pPr>
      <w:r w:rsidRPr="00C413B7">
        <w:rPr>
          <w:rFonts w:ascii="Times New Roman" w:hAnsi="Times New Roman" w:cs="Times New Roman"/>
          <w:color w:val="222222"/>
          <w:shd w:val="clear" w:color="auto" w:fill="FFFFFF"/>
        </w:rPr>
        <w:t>Address: 20 N Pine St. Baltimore, MD 21201</w:t>
      </w:r>
    </w:p>
    <w:p w14:paraId="420B2BA8" w14:textId="6389F437" w:rsidR="008F0D05" w:rsidRPr="00C413B7" w:rsidRDefault="008F0D05" w:rsidP="008F0D05">
      <w:pPr>
        <w:pStyle w:val="NoSpacing"/>
        <w:rPr>
          <w:rFonts w:ascii="Times New Roman" w:hAnsi="Times New Roman" w:cs="Times New Roman"/>
        </w:rPr>
      </w:pPr>
      <w:r w:rsidRPr="00C413B7">
        <w:rPr>
          <w:rFonts w:ascii="Times New Roman" w:hAnsi="Times New Roman" w:cs="Times New Roman"/>
        </w:rPr>
        <w:t xml:space="preserve">Email:  </w:t>
      </w:r>
      <w:hyperlink r:id="rId9" w:history="1">
        <w:r w:rsidR="00CB11CB" w:rsidRPr="007F2A76">
          <w:rPr>
            <w:rStyle w:val="Hyperlink"/>
            <w:rFonts w:ascii="Times New Roman" w:hAnsi="Times New Roman" w:cs="Times New Roman"/>
          </w:rPr>
          <w:t>jgobburu@rx.umaryland.edu</w:t>
        </w:r>
      </w:hyperlink>
      <w:r w:rsidRPr="00C413B7">
        <w:rPr>
          <w:rFonts w:ascii="Times New Roman" w:hAnsi="Times New Roman" w:cs="Times New Roman"/>
        </w:rPr>
        <w:t xml:space="preserve"> </w:t>
      </w:r>
    </w:p>
    <w:p w14:paraId="4E6F224F" w14:textId="77777777" w:rsidR="008F0D05" w:rsidRDefault="008F0D05" w:rsidP="008F0D05">
      <w:pPr>
        <w:autoSpaceDE w:val="0"/>
        <w:autoSpaceDN w:val="0"/>
        <w:adjustRightInd w:val="0"/>
        <w:spacing w:after="0" w:line="360" w:lineRule="auto"/>
        <w:rPr>
          <w:rStyle w:val="Hyperlink"/>
          <w:rFonts w:ascii="Times New Roman" w:hAnsi="Times New Roman" w:cs="Times New Roman"/>
          <w:i/>
          <w:iCs/>
          <w:color w:val="auto"/>
        </w:rPr>
      </w:pPr>
    </w:p>
    <w:p w14:paraId="07F4ECB0" w14:textId="77777777" w:rsidR="001E1B9C" w:rsidRPr="00C413B7" w:rsidRDefault="001E1B9C" w:rsidP="008F0D05">
      <w:pPr>
        <w:autoSpaceDE w:val="0"/>
        <w:autoSpaceDN w:val="0"/>
        <w:adjustRightInd w:val="0"/>
        <w:spacing w:after="0" w:line="360" w:lineRule="auto"/>
        <w:rPr>
          <w:rStyle w:val="Hyperlink"/>
          <w:rFonts w:ascii="Times New Roman" w:hAnsi="Times New Roman" w:cs="Times New Roman"/>
          <w:i/>
          <w:iCs/>
          <w:color w:val="auto"/>
        </w:rPr>
      </w:pPr>
    </w:p>
    <w:p w14:paraId="18841388" w14:textId="77777777" w:rsidR="008F0D05" w:rsidRPr="00C413B7" w:rsidRDefault="008F0D05" w:rsidP="008F0D05">
      <w:pPr>
        <w:autoSpaceDE w:val="0"/>
        <w:autoSpaceDN w:val="0"/>
        <w:adjustRightInd w:val="0"/>
        <w:spacing w:after="0" w:line="360" w:lineRule="auto"/>
        <w:rPr>
          <w:rFonts w:ascii="Times New Roman" w:hAnsi="Times New Roman" w:cs="Times New Roman"/>
        </w:rPr>
      </w:pPr>
      <w:r w:rsidRPr="00C413B7">
        <w:rPr>
          <w:rFonts w:ascii="Times New Roman" w:hAnsi="Times New Roman" w:cs="Times New Roman"/>
          <w:i/>
          <w:iCs/>
        </w:rPr>
        <w:t>Key Words</w:t>
      </w:r>
      <w:r w:rsidRPr="00C413B7">
        <w:rPr>
          <w:rFonts w:ascii="Times New Roman" w:hAnsi="Times New Roman" w:cs="Times New Roman"/>
        </w:rPr>
        <w:t xml:space="preserve"> </w:t>
      </w:r>
    </w:p>
    <w:p w14:paraId="1DEE124A" w14:textId="286F6A12" w:rsidR="008F0D05" w:rsidRPr="00C413B7" w:rsidRDefault="003736FC" w:rsidP="008F0D05">
      <w:pPr>
        <w:pStyle w:val="NoSpacing"/>
        <w:rPr>
          <w:rFonts w:ascii="Times New Roman" w:hAnsi="Times New Roman" w:cs="Times New Roman"/>
        </w:rPr>
      </w:pPr>
      <w:r w:rsidRPr="00C413B7">
        <w:rPr>
          <w:rFonts w:ascii="Times New Roman" w:hAnsi="Times New Roman" w:cs="Times New Roman"/>
        </w:rPr>
        <w:t>p</w:t>
      </w:r>
      <w:r w:rsidR="008F0D05" w:rsidRPr="00C413B7">
        <w:rPr>
          <w:rFonts w:ascii="Times New Roman" w:hAnsi="Times New Roman" w:cs="Times New Roman"/>
        </w:rPr>
        <w:t>harmacometrics,</w:t>
      </w:r>
      <w:r w:rsidRPr="00C413B7">
        <w:rPr>
          <w:rFonts w:ascii="Times New Roman" w:hAnsi="Times New Roman" w:cs="Times New Roman"/>
        </w:rPr>
        <w:t xml:space="preserve"> clinical pharmacology, drug development, real-world data, precision medicine</w:t>
      </w:r>
    </w:p>
    <w:p w14:paraId="5140581B" w14:textId="77777777" w:rsidR="008F0D05" w:rsidRPr="00C413B7" w:rsidRDefault="008F0D05" w:rsidP="008F0D05">
      <w:pPr>
        <w:autoSpaceDE w:val="0"/>
        <w:autoSpaceDN w:val="0"/>
        <w:adjustRightInd w:val="0"/>
        <w:spacing w:after="0" w:line="360" w:lineRule="auto"/>
        <w:rPr>
          <w:rStyle w:val="Hyperlink"/>
          <w:rFonts w:ascii="Times New Roman" w:hAnsi="Times New Roman" w:cs="Times New Roman"/>
          <w:i/>
          <w:iCs/>
          <w:color w:val="auto"/>
        </w:rPr>
      </w:pPr>
    </w:p>
    <w:p w14:paraId="2C80D8A1" w14:textId="77777777" w:rsidR="008F0D05" w:rsidRPr="00C413B7" w:rsidRDefault="008F0D05" w:rsidP="008F0D05">
      <w:pPr>
        <w:autoSpaceDE w:val="0"/>
        <w:autoSpaceDN w:val="0"/>
        <w:adjustRightInd w:val="0"/>
        <w:spacing w:after="0" w:line="360" w:lineRule="auto"/>
        <w:rPr>
          <w:rStyle w:val="Hyperlink"/>
          <w:rFonts w:ascii="Times New Roman" w:hAnsi="Times New Roman" w:cs="Times New Roman"/>
          <w:i/>
          <w:iCs/>
          <w:color w:val="auto"/>
        </w:rPr>
      </w:pPr>
    </w:p>
    <w:p w14:paraId="660363A4" w14:textId="77777777" w:rsidR="008F0D05" w:rsidRPr="00C413B7" w:rsidRDefault="008F0D05" w:rsidP="008F0D05">
      <w:pPr>
        <w:autoSpaceDE w:val="0"/>
        <w:autoSpaceDN w:val="0"/>
        <w:adjustRightInd w:val="0"/>
        <w:spacing w:after="0" w:line="360" w:lineRule="auto"/>
        <w:rPr>
          <w:rStyle w:val="Hyperlink"/>
          <w:rFonts w:ascii="Times New Roman" w:hAnsi="Times New Roman" w:cs="Times New Roman"/>
          <w:i/>
          <w:iCs/>
          <w:color w:val="auto"/>
          <w:u w:val="none"/>
        </w:rPr>
      </w:pPr>
      <w:r w:rsidRPr="00C413B7">
        <w:rPr>
          <w:rStyle w:val="Hyperlink"/>
          <w:rFonts w:ascii="Times New Roman" w:hAnsi="Times New Roman" w:cs="Times New Roman"/>
          <w:i/>
          <w:iCs/>
          <w:color w:val="auto"/>
          <w:u w:val="none"/>
        </w:rPr>
        <w:t>Word Count:</w:t>
      </w:r>
    </w:p>
    <w:p w14:paraId="2B126B89" w14:textId="3CD07257" w:rsidR="008F0D05" w:rsidRPr="00C413B7" w:rsidRDefault="008F0D05" w:rsidP="008F0D05">
      <w:pPr>
        <w:autoSpaceDE w:val="0"/>
        <w:autoSpaceDN w:val="0"/>
        <w:adjustRightInd w:val="0"/>
        <w:spacing w:after="0" w:line="360" w:lineRule="auto"/>
        <w:rPr>
          <w:rStyle w:val="Hyperlink"/>
          <w:rFonts w:ascii="Times New Roman" w:hAnsi="Times New Roman" w:cs="Times New Roman"/>
          <w:color w:val="auto"/>
          <w:u w:val="none"/>
        </w:rPr>
      </w:pPr>
      <w:r w:rsidRPr="00C413B7">
        <w:rPr>
          <w:rStyle w:val="Hyperlink"/>
          <w:rFonts w:ascii="Times New Roman" w:hAnsi="Times New Roman" w:cs="Times New Roman"/>
          <w:color w:val="auto"/>
          <w:u w:val="none"/>
        </w:rPr>
        <w:t xml:space="preserve">Abstract: </w:t>
      </w:r>
      <w:r w:rsidR="00C413B7">
        <w:rPr>
          <w:rStyle w:val="Hyperlink"/>
          <w:rFonts w:ascii="Times New Roman" w:hAnsi="Times New Roman" w:cs="Times New Roman"/>
          <w:color w:val="auto"/>
          <w:u w:val="none"/>
        </w:rPr>
        <w:t>143</w:t>
      </w:r>
    </w:p>
    <w:p w14:paraId="7CB44241" w14:textId="53FAFCF6" w:rsidR="008F0D05" w:rsidRPr="00C413B7" w:rsidRDefault="008F0D05" w:rsidP="008F0D05">
      <w:pPr>
        <w:autoSpaceDE w:val="0"/>
        <w:autoSpaceDN w:val="0"/>
        <w:adjustRightInd w:val="0"/>
        <w:spacing w:after="0" w:line="360" w:lineRule="auto"/>
        <w:rPr>
          <w:rStyle w:val="Hyperlink"/>
          <w:rFonts w:ascii="Times New Roman" w:hAnsi="Times New Roman" w:cs="Times New Roman"/>
          <w:color w:val="auto"/>
          <w:u w:val="none"/>
        </w:rPr>
      </w:pPr>
      <w:r w:rsidRPr="00C413B7">
        <w:rPr>
          <w:rStyle w:val="Hyperlink"/>
          <w:rFonts w:ascii="Times New Roman" w:hAnsi="Times New Roman" w:cs="Times New Roman"/>
          <w:color w:val="auto"/>
          <w:u w:val="none"/>
        </w:rPr>
        <w:t xml:space="preserve">Manuscript main text:  </w:t>
      </w:r>
      <w:r w:rsidR="00C413B7">
        <w:rPr>
          <w:rStyle w:val="Hyperlink"/>
          <w:rFonts w:ascii="Times New Roman" w:hAnsi="Times New Roman" w:cs="Times New Roman"/>
          <w:color w:val="auto"/>
          <w:u w:val="none"/>
        </w:rPr>
        <w:t>2,827</w:t>
      </w:r>
    </w:p>
    <w:p w14:paraId="2A5EAF80" w14:textId="77777777" w:rsidR="008F0D05" w:rsidRDefault="008F0D05" w:rsidP="008F0D05">
      <w:pPr>
        <w:autoSpaceDE w:val="0"/>
        <w:autoSpaceDN w:val="0"/>
        <w:adjustRightInd w:val="0"/>
        <w:spacing w:after="0" w:line="360" w:lineRule="auto"/>
        <w:rPr>
          <w:rStyle w:val="Hyperlink"/>
          <w:rFonts w:ascii="Times New Roman" w:hAnsi="Times New Roman" w:cs="Times New Roman"/>
          <w:color w:val="auto"/>
          <w:u w:val="none"/>
        </w:rPr>
      </w:pPr>
    </w:p>
    <w:p w14:paraId="6B64BEC5" w14:textId="77777777" w:rsidR="001E1B9C" w:rsidRPr="00C413B7" w:rsidRDefault="001E1B9C" w:rsidP="008F0D05">
      <w:pPr>
        <w:autoSpaceDE w:val="0"/>
        <w:autoSpaceDN w:val="0"/>
        <w:adjustRightInd w:val="0"/>
        <w:spacing w:after="0" w:line="360" w:lineRule="auto"/>
        <w:rPr>
          <w:rStyle w:val="Hyperlink"/>
          <w:rFonts w:ascii="Times New Roman" w:hAnsi="Times New Roman" w:cs="Times New Roman"/>
          <w:color w:val="auto"/>
          <w:u w:val="none"/>
        </w:rPr>
      </w:pPr>
    </w:p>
    <w:p w14:paraId="0D7F8CF5" w14:textId="7A02C300" w:rsidR="008F0D05" w:rsidRPr="00C413B7" w:rsidRDefault="008F0D05" w:rsidP="008F0D05">
      <w:pPr>
        <w:autoSpaceDE w:val="0"/>
        <w:autoSpaceDN w:val="0"/>
        <w:adjustRightInd w:val="0"/>
        <w:spacing w:after="0" w:line="360" w:lineRule="auto"/>
        <w:rPr>
          <w:rStyle w:val="Hyperlink"/>
          <w:rFonts w:ascii="Times New Roman" w:hAnsi="Times New Roman" w:cs="Times New Roman"/>
          <w:i/>
          <w:iCs/>
          <w:color w:val="auto"/>
          <w:u w:val="none"/>
        </w:rPr>
      </w:pPr>
      <w:r w:rsidRPr="00C413B7">
        <w:rPr>
          <w:rStyle w:val="Hyperlink"/>
          <w:rFonts w:ascii="Times New Roman" w:hAnsi="Times New Roman" w:cs="Times New Roman"/>
          <w:i/>
          <w:iCs/>
          <w:color w:val="auto"/>
          <w:u w:val="none"/>
        </w:rPr>
        <w:t xml:space="preserve">Table Count: </w:t>
      </w:r>
      <w:r w:rsidR="00C413B7">
        <w:rPr>
          <w:rStyle w:val="Hyperlink"/>
          <w:rFonts w:ascii="Times New Roman" w:hAnsi="Times New Roman" w:cs="Times New Roman"/>
          <w:i/>
          <w:iCs/>
          <w:color w:val="auto"/>
          <w:u w:val="none"/>
        </w:rPr>
        <w:t>0</w:t>
      </w:r>
    </w:p>
    <w:p w14:paraId="714F431B" w14:textId="2FE43828" w:rsidR="008F0D05" w:rsidRPr="00C413B7" w:rsidRDefault="008F0D05" w:rsidP="008F0D05">
      <w:pPr>
        <w:autoSpaceDE w:val="0"/>
        <w:autoSpaceDN w:val="0"/>
        <w:adjustRightInd w:val="0"/>
        <w:spacing w:after="0" w:line="360" w:lineRule="auto"/>
        <w:rPr>
          <w:rStyle w:val="Hyperlink"/>
          <w:rFonts w:ascii="Times New Roman" w:hAnsi="Times New Roman" w:cs="Times New Roman"/>
          <w:i/>
          <w:iCs/>
          <w:color w:val="auto"/>
          <w:u w:val="none"/>
        </w:rPr>
      </w:pPr>
      <w:r w:rsidRPr="00C413B7">
        <w:rPr>
          <w:rStyle w:val="Hyperlink"/>
          <w:rFonts w:ascii="Times New Roman" w:hAnsi="Times New Roman" w:cs="Times New Roman"/>
          <w:i/>
          <w:iCs/>
          <w:color w:val="auto"/>
          <w:u w:val="none"/>
        </w:rPr>
        <w:t xml:space="preserve">Figure Count: </w:t>
      </w:r>
      <w:r w:rsidR="00C413B7">
        <w:rPr>
          <w:rStyle w:val="Hyperlink"/>
          <w:rFonts w:ascii="Times New Roman" w:hAnsi="Times New Roman" w:cs="Times New Roman"/>
          <w:i/>
          <w:iCs/>
          <w:color w:val="auto"/>
          <w:u w:val="none"/>
        </w:rPr>
        <w:t>0</w:t>
      </w:r>
    </w:p>
    <w:p w14:paraId="7E3661A1" w14:textId="77777777" w:rsidR="00B354E8" w:rsidRDefault="00B354E8">
      <w:pPr>
        <w:rPr>
          <w:rFonts w:ascii="Times New Roman" w:eastAsiaTheme="majorEastAsia" w:hAnsi="Times New Roman" w:cs="Times New Roman"/>
          <w:color w:val="2F5496" w:themeColor="accent1" w:themeShade="BF"/>
          <w:sz w:val="26"/>
          <w:szCs w:val="26"/>
        </w:rPr>
      </w:pPr>
      <w:r w:rsidRPr="00C413B7">
        <w:rPr>
          <w:rFonts w:ascii="Times New Roman" w:hAnsi="Times New Roman" w:cs="Times New Roman"/>
        </w:rPr>
        <w:br w:type="page"/>
      </w:r>
    </w:p>
    <w:p w14:paraId="1E2AC7EA" w14:textId="2242F825" w:rsidR="00B8153B" w:rsidRPr="001E1B9C" w:rsidRDefault="00B8153B" w:rsidP="00B8153B">
      <w:pPr>
        <w:pStyle w:val="Heading2"/>
        <w:spacing w:line="360" w:lineRule="auto"/>
        <w:rPr>
          <w:rFonts w:ascii="Times New Roman" w:hAnsi="Times New Roman" w:cs="Times New Roman"/>
          <w:color w:val="auto"/>
        </w:rPr>
      </w:pPr>
      <w:r w:rsidRPr="001E1B9C">
        <w:rPr>
          <w:rFonts w:ascii="Times New Roman" w:hAnsi="Times New Roman" w:cs="Times New Roman"/>
          <w:color w:val="auto"/>
        </w:rPr>
        <w:lastRenderedPageBreak/>
        <w:t>Abstract</w:t>
      </w:r>
    </w:p>
    <w:p w14:paraId="691ECF5B" w14:textId="3C299F0F" w:rsidR="00C720D2" w:rsidRDefault="00B8153B" w:rsidP="00B8153B">
      <w:pPr>
        <w:spacing w:line="360" w:lineRule="auto"/>
        <w:ind w:firstLine="720"/>
        <w:rPr>
          <w:rFonts w:ascii="Times New Roman" w:hAnsi="Times New Roman" w:cs="Times New Roman"/>
        </w:rPr>
      </w:pPr>
      <w:r w:rsidRPr="001E1B9C">
        <w:rPr>
          <w:rFonts w:ascii="Times New Roman" w:hAnsi="Times New Roman" w:cs="Times New Roman"/>
        </w:rPr>
        <w:t xml:space="preserve">The field of pharmacometrics has been responsible for countless advancements within the drug development space. In recent years, we have witnessed the implementation of both new and revived analytical methods to increase clinical trial success and even supplement the need for clinical trials all together. </w:t>
      </w:r>
      <w:r w:rsidR="003B64CF" w:rsidRPr="001E1B9C">
        <w:rPr>
          <w:rFonts w:ascii="Times New Roman" w:hAnsi="Times New Roman" w:cs="Times New Roman"/>
        </w:rPr>
        <w:t>Throughout this article we</w:t>
      </w:r>
      <w:r w:rsidR="00F55E60" w:rsidRPr="001E1B9C">
        <w:rPr>
          <w:rFonts w:ascii="Times New Roman" w:hAnsi="Times New Roman" w:cs="Times New Roman"/>
        </w:rPr>
        <w:t xml:space="preserve"> will</w:t>
      </w:r>
      <w:r w:rsidR="003B64CF" w:rsidRPr="001E1B9C">
        <w:rPr>
          <w:rFonts w:ascii="Times New Roman" w:hAnsi="Times New Roman" w:cs="Times New Roman"/>
        </w:rPr>
        <w:t xml:space="preserve"> explore</w:t>
      </w:r>
      <w:r w:rsidR="00155372" w:rsidRPr="001E1B9C">
        <w:rPr>
          <w:rFonts w:ascii="Times New Roman" w:hAnsi="Times New Roman" w:cs="Times New Roman"/>
        </w:rPr>
        <w:t xml:space="preserve"> </w:t>
      </w:r>
      <w:r w:rsidR="003B64CF" w:rsidRPr="001E1B9C">
        <w:rPr>
          <w:rFonts w:ascii="Times New Roman" w:hAnsi="Times New Roman" w:cs="Times New Roman"/>
        </w:rPr>
        <w:t>th</w:t>
      </w:r>
      <w:r w:rsidR="0061037B" w:rsidRPr="001E1B9C">
        <w:rPr>
          <w:rFonts w:ascii="Times New Roman" w:hAnsi="Times New Roman" w:cs="Times New Roman"/>
        </w:rPr>
        <w:t>e</w:t>
      </w:r>
      <w:r w:rsidR="00F55E60" w:rsidRPr="001E1B9C">
        <w:rPr>
          <w:rFonts w:ascii="Times New Roman" w:hAnsi="Times New Roman" w:cs="Times New Roman"/>
        </w:rPr>
        <w:t xml:space="preserve"> path of pharmacometric</w:t>
      </w:r>
      <w:r w:rsidR="0061037B" w:rsidRPr="001E1B9C">
        <w:rPr>
          <w:rFonts w:ascii="Times New Roman" w:hAnsi="Times New Roman" w:cs="Times New Roman"/>
        </w:rPr>
        <w:t>s</w:t>
      </w:r>
      <w:r w:rsidR="00F55E60" w:rsidRPr="001E1B9C">
        <w:rPr>
          <w:rFonts w:ascii="Times New Roman" w:hAnsi="Times New Roman" w:cs="Times New Roman"/>
        </w:rPr>
        <w:t xml:space="preserve"> from its </w:t>
      </w:r>
      <w:r w:rsidR="000251DD" w:rsidRPr="001E1B9C">
        <w:rPr>
          <w:rFonts w:ascii="Times New Roman" w:hAnsi="Times New Roman" w:cs="Times New Roman"/>
        </w:rPr>
        <w:t>in</w:t>
      </w:r>
      <w:r w:rsidR="00F55E60" w:rsidRPr="001E1B9C">
        <w:rPr>
          <w:rFonts w:ascii="Times New Roman" w:hAnsi="Times New Roman" w:cs="Times New Roman"/>
        </w:rPr>
        <w:t xml:space="preserve">ception to present day. At this point in time, </w:t>
      </w:r>
      <w:r w:rsidR="007D7114" w:rsidRPr="001E1B9C">
        <w:rPr>
          <w:rFonts w:ascii="Times New Roman" w:hAnsi="Times New Roman" w:cs="Times New Roman"/>
        </w:rPr>
        <w:t xml:space="preserve">the </w:t>
      </w:r>
      <w:r w:rsidR="007E218E" w:rsidRPr="001E1B9C">
        <w:rPr>
          <w:rFonts w:ascii="Times New Roman" w:hAnsi="Times New Roman" w:cs="Times New Roman"/>
        </w:rPr>
        <w:t>target</w:t>
      </w:r>
      <w:r w:rsidR="00725FE3" w:rsidRPr="001E1B9C">
        <w:rPr>
          <w:rFonts w:ascii="Times New Roman" w:hAnsi="Times New Roman" w:cs="Times New Roman"/>
        </w:rPr>
        <w:t xml:space="preserve"> of </w:t>
      </w:r>
      <w:r w:rsidR="001D1B95" w:rsidRPr="001E1B9C">
        <w:rPr>
          <w:rFonts w:ascii="Times New Roman" w:hAnsi="Times New Roman" w:cs="Times New Roman"/>
        </w:rPr>
        <w:t xml:space="preserve">drug development </w:t>
      </w:r>
      <w:r w:rsidR="007E218E" w:rsidRPr="001E1B9C">
        <w:rPr>
          <w:rFonts w:ascii="Times New Roman" w:hAnsi="Times New Roman" w:cs="Times New Roman"/>
        </w:rPr>
        <w:t xml:space="preserve">has been the average patient, and </w:t>
      </w:r>
      <w:r w:rsidR="00332975" w:rsidRPr="001E1B9C">
        <w:rPr>
          <w:rFonts w:ascii="Times New Roman" w:hAnsi="Times New Roman" w:cs="Times New Roman"/>
        </w:rPr>
        <w:t>populati</w:t>
      </w:r>
      <w:r w:rsidR="0011651B" w:rsidRPr="001E1B9C">
        <w:rPr>
          <w:rFonts w:ascii="Times New Roman" w:hAnsi="Times New Roman" w:cs="Times New Roman"/>
        </w:rPr>
        <w:t>on approaches</w:t>
      </w:r>
      <w:r w:rsidR="007E218E" w:rsidRPr="001E1B9C">
        <w:rPr>
          <w:rFonts w:ascii="Times New Roman" w:hAnsi="Times New Roman" w:cs="Times New Roman"/>
        </w:rPr>
        <w:t xml:space="preserve"> have primarily been </w:t>
      </w:r>
      <w:r w:rsidR="005F7710">
        <w:rPr>
          <w:rFonts w:ascii="Times New Roman" w:hAnsi="Times New Roman" w:cs="Times New Roman"/>
        </w:rPr>
        <w:t>utilized</w:t>
      </w:r>
      <w:r w:rsidR="007E218E" w:rsidRPr="001E1B9C">
        <w:rPr>
          <w:rFonts w:ascii="Times New Roman" w:hAnsi="Times New Roman" w:cs="Times New Roman"/>
        </w:rPr>
        <w:t xml:space="preserve"> to support </w:t>
      </w:r>
      <w:r w:rsidR="00E80EA4" w:rsidRPr="001E1B9C">
        <w:rPr>
          <w:rFonts w:ascii="Times New Roman" w:hAnsi="Times New Roman" w:cs="Times New Roman"/>
        </w:rPr>
        <w:t>just that</w:t>
      </w:r>
      <w:r w:rsidR="00F55E60" w:rsidRPr="001E1B9C">
        <w:rPr>
          <w:rFonts w:ascii="Times New Roman" w:hAnsi="Times New Roman" w:cs="Times New Roman"/>
        </w:rPr>
        <w:t>.</w:t>
      </w:r>
      <w:r w:rsidR="00173515" w:rsidRPr="001E1B9C">
        <w:rPr>
          <w:rFonts w:ascii="Times New Roman" w:hAnsi="Times New Roman" w:cs="Times New Roman"/>
        </w:rPr>
        <w:t xml:space="preserve"> </w:t>
      </w:r>
      <w:r w:rsidR="00BC3E4E" w:rsidRPr="001E1B9C">
        <w:rPr>
          <w:rFonts w:ascii="Times New Roman" w:hAnsi="Times New Roman" w:cs="Times New Roman"/>
        </w:rPr>
        <w:t xml:space="preserve">The </w:t>
      </w:r>
      <w:r w:rsidR="00077325" w:rsidRPr="001E1B9C">
        <w:rPr>
          <w:rFonts w:ascii="Times New Roman" w:hAnsi="Times New Roman" w:cs="Times New Roman"/>
        </w:rPr>
        <w:t>challenge</w:t>
      </w:r>
      <w:r w:rsidR="00BC3E4E" w:rsidRPr="001E1B9C">
        <w:rPr>
          <w:rFonts w:ascii="Times New Roman" w:hAnsi="Times New Roman" w:cs="Times New Roman"/>
        </w:rPr>
        <w:t xml:space="preserve"> we are now facing</w:t>
      </w:r>
      <w:r w:rsidR="00077325" w:rsidRPr="001E1B9C">
        <w:rPr>
          <w:rFonts w:ascii="Times New Roman" w:hAnsi="Times New Roman" w:cs="Times New Roman"/>
        </w:rPr>
        <w:t xml:space="preserve"> involves the</w:t>
      </w:r>
      <w:r w:rsidR="004332CC" w:rsidRPr="001E1B9C">
        <w:rPr>
          <w:rFonts w:ascii="Times New Roman" w:hAnsi="Times New Roman" w:cs="Times New Roman"/>
        </w:rPr>
        <w:t xml:space="preserve"> translation </w:t>
      </w:r>
      <w:r w:rsidR="005534E3" w:rsidRPr="001E1B9C">
        <w:rPr>
          <w:rFonts w:ascii="Times New Roman" w:hAnsi="Times New Roman" w:cs="Times New Roman"/>
        </w:rPr>
        <w:t>from</w:t>
      </w:r>
      <w:r w:rsidR="00AE4E19" w:rsidRPr="001E1B9C">
        <w:rPr>
          <w:rFonts w:ascii="Times New Roman" w:hAnsi="Times New Roman" w:cs="Times New Roman"/>
        </w:rPr>
        <w:t xml:space="preserve"> </w:t>
      </w:r>
      <w:r w:rsidR="000D2AC0" w:rsidRPr="001E1B9C">
        <w:rPr>
          <w:rFonts w:ascii="Times New Roman" w:hAnsi="Times New Roman" w:cs="Times New Roman"/>
        </w:rPr>
        <w:t xml:space="preserve">treating the typical patient to </w:t>
      </w:r>
      <w:r w:rsidR="00221BF5" w:rsidRPr="001E1B9C">
        <w:rPr>
          <w:rFonts w:ascii="Times New Roman" w:hAnsi="Times New Roman" w:cs="Times New Roman"/>
        </w:rPr>
        <w:t>treating the real-world patient.</w:t>
      </w:r>
      <w:r w:rsidR="00F55E60" w:rsidRPr="001E1B9C">
        <w:rPr>
          <w:rFonts w:ascii="Times New Roman" w:hAnsi="Times New Roman" w:cs="Times New Roman"/>
        </w:rPr>
        <w:t xml:space="preserve"> </w:t>
      </w:r>
      <w:r w:rsidR="00BC3E4E" w:rsidRPr="001E1B9C">
        <w:rPr>
          <w:rFonts w:ascii="Times New Roman" w:hAnsi="Times New Roman" w:cs="Times New Roman"/>
        </w:rPr>
        <w:t>For this reason, i</w:t>
      </w:r>
      <w:r w:rsidR="004418C2" w:rsidRPr="001E1B9C">
        <w:rPr>
          <w:rFonts w:ascii="Times New Roman" w:hAnsi="Times New Roman" w:cs="Times New Roman"/>
        </w:rPr>
        <w:t xml:space="preserve">t </w:t>
      </w:r>
      <w:r w:rsidR="00BE4E40" w:rsidRPr="001E1B9C">
        <w:rPr>
          <w:rFonts w:ascii="Times New Roman" w:hAnsi="Times New Roman" w:cs="Times New Roman"/>
        </w:rPr>
        <w:t>is</w:t>
      </w:r>
      <w:r w:rsidR="004418C2" w:rsidRPr="001E1B9C">
        <w:rPr>
          <w:rFonts w:ascii="Times New Roman" w:hAnsi="Times New Roman" w:cs="Times New Roman"/>
        </w:rPr>
        <w:t xml:space="preserve"> our opinion that</w:t>
      </w:r>
      <w:r w:rsidR="00950A49" w:rsidRPr="001E1B9C">
        <w:rPr>
          <w:rFonts w:ascii="Times New Roman" w:hAnsi="Times New Roman" w:cs="Times New Roman"/>
        </w:rPr>
        <w:t xml:space="preserve"> </w:t>
      </w:r>
      <w:r w:rsidR="003A3A15" w:rsidRPr="001E1B9C">
        <w:rPr>
          <w:rFonts w:ascii="Times New Roman" w:hAnsi="Times New Roman" w:cs="Times New Roman"/>
        </w:rPr>
        <w:t>future</w:t>
      </w:r>
      <w:r w:rsidR="00BE4E40" w:rsidRPr="001E1B9C">
        <w:rPr>
          <w:rFonts w:ascii="Times New Roman" w:hAnsi="Times New Roman" w:cs="Times New Roman"/>
        </w:rPr>
        <w:t xml:space="preserve"> </w:t>
      </w:r>
      <w:r w:rsidR="00697E3F" w:rsidRPr="001E1B9C">
        <w:rPr>
          <w:rFonts w:ascii="Times New Roman" w:hAnsi="Times New Roman" w:cs="Times New Roman"/>
        </w:rPr>
        <w:t xml:space="preserve">development </w:t>
      </w:r>
      <w:r w:rsidR="00BE4E40" w:rsidRPr="001E1B9C">
        <w:rPr>
          <w:rFonts w:ascii="Times New Roman" w:hAnsi="Times New Roman" w:cs="Times New Roman"/>
        </w:rPr>
        <w:t>efforts</w:t>
      </w:r>
      <w:r w:rsidR="00785C9D" w:rsidRPr="001E1B9C">
        <w:rPr>
          <w:rFonts w:ascii="Times New Roman" w:hAnsi="Times New Roman" w:cs="Times New Roman"/>
        </w:rPr>
        <w:t xml:space="preserve"> </w:t>
      </w:r>
      <w:r w:rsidR="003827C1" w:rsidRPr="001E1B9C">
        <w:rPr>
          <w:rFonts w:ascii="Times New Roman" w:hAnsi="Times New Roman" w:cs="Times New Roman"/>
        </w:rPr>
        <w:t>should</w:t>
      </w:r>
      <w:r w:rsidR="00D14E1D" w:rsidRPr="001E1B9C">
        <w:rPr>
          <w:rFonts w:ascii="Times New Roman" w:hAnsi="Times New Roman" w:cs="Times New Roman"/>
        </w:rPr>
        <w:t xml:space="preserve"> </w:t>
      </w:r>
      <w:r w:rsidR="00240CC5" w:rsidRPr="001E1B9C">
        <w:rPr>
          <w:rFonts w:ascii="Times New Roman" w:hAnsi="Times New Roman" w:cs="Times New Roman"/>
        </w:rPr>
        <w:t>account more</w:t>
      </w:r>
      <w:r w:rsidR="00E86693" w:rsidRPr="001E1B9C">
        <w:rPr>
          <w:rFonts w:ascii="Times New Roman" w:hAnsi="Times New Roman" w:cs="Times New Roman"/>
        </w:rPr>
        <w:t xml:space="preserve"> for the</w:t>
      </w:r>
      <w:r w:rsidR="00A90BD9" w:rsidRPr="001E1B9C">
        <w:rPr>
          <w:rFonts w:ascii="Times New Roman" w:hAnsi="Times New Roman" w:cs="Times New Roman"/>
        </w:rPr>
        <w:t xml:space="preserve"> individual</w:t>
      </w:r>
      <w:r w:rsidR="00F805C1" w:rsidRPr="001E1B9C">
        <w:rPr>
          <w:rFonts w:ascii="Times New Roman" w:hAnsi="Times New Roman" w:cs="Times New Roman"/>
        </w:rPr>
        <w:t>. With</w:t>
      </w:r>
      <w:r w:rsidR="006E5A2E" w:rsidRPr="001E1B9C">
        <w:rPr>
          <w:rFonts w:ascii="Times New Roman" w:hAnsi="Times New Roman" w:cs="Times New Roman"/>
        </w:rPr>
        <w:t xml:space="preserve"> </w:t>
      </w:r>
      <w:r w:rsidR="00F805C1" w:rsidRPr="001E1B9C">
        <w:rPr>
          <w:rFonts w:ascii="Times New Roman" w:hAnsi="Times New Roman" w:cs="Times New Roman"/>
        </w:rPr>
        <w:t xml:space="preserve">advanced </w:t>
      </w:r>
      <w:r w:rsidR="006E5A2E" w:rsidRPr="001E1B9C">
        <w:rPr>
          <w:rFonts w:ascii="Times New Roman" w:hAnsi="Times New Roman" w:cs="Times New Roman"/>
        </w:rPr>
        <w:t>pharmacometric</w:t>
      </w:r>
      <w:r w:rsidR="00F805C1" w:rsidRPr="001E1B9C">
        <w:rPr>
          <w:rFonts w:ascii="Times New Roman" w:hAnsi="Times New Roman" w:cs="Times New Roman"/>
        </w:rPr>
        <w:t xml:space="preserve"> methods</w:t>
      </w:r>
      <w:r w:rsidR="00F12FE0" w:rsidRPr="001E1B9C">
        <w:rPr>
          <w:rFonts w:ascii="Times New Roman" w:hAnsi="Times New Roman" w:cs="Times New Roman"/>
        </w:rPr>
        <w:t xml:space="preserve"> and</w:t>
      </w:r>
      <w:r w:rsidR="00577398" w:rsidRPr="001E1B9C">
        <w:rPr>
          <w:rFonts w:ascii="Times New Roman" w:hAnsi="Times New Roman" w:cs="Times New Roman"/>
        </w:rPr>
        <w:t xml:space="preserve"> </w:t>
      </w:r>
      <w:r w:rsidR="00F805C1" w:rsidRPr="001E1B9C">
        <w:rPr>
          <w:rFonts w:ascii="Times New Roman" w:hAnsi="Times New Roman" w:cs="Times New Roman"/>
        </w:rPr>
        <w:t xml:space="preserve">growing technological infrastructure, precision medicine can become </w:t>
      </w:r>
      <w:r w:rsidR="0083645A" w:rsidRPr="001E1B9C">
        <w:rPr>
          <w:rFonts w:ascii="Times New Roman" w:hAnsi="Times New Roman" w:cs="Times New Roman"/>
        </w:rPr>
        <w:t xml:space="preserve">a </w:t>
      </w:r>
      <w:r w:rsidR="00342F3F" w:rsidRPr="001E1B9C">
        <w:rPr>
          <w:rFonts w:ascii="Times New Roman" w:hAnsi="Times New Roman" w:cs="Times New Roman"/>
        </w:rPr>
        <w:t>development priority rather than a</w:t>
      </w:r>
      <w:r w:rsidR="0030608B" w:rsidRPr="001E1B9C">
        <w:rPr>
          <w:rFonts w:ascii="Times New Roman" w:hAnsi="Times New Roman" w:cs="Times New Roman"/>
        </w:rPr>
        <w:t xml:space="preserve"> cli</w:t>
      </w:r>
      <w:r w:rsidR="00DE285E" w:rsidRPr="001E1B9C">
        <w:rPr>
          <w:rFonts w:ascii="Times New Roman" w:hAnsi="Times New Roman" w:cs="Times New Roman"/>
        </w:rPr>
        <w:t>nician’s burden</w:t>
      </w:r>
      <w:r w:rsidR="00D64D99" w:rsidRPr="001E1B9C">
        <w:rPr>
          <w:rFonts w:ascii="Times New Roman" w:hAnsi="Times New Roman" w:cs="Times New Roman"/>
        </w:rPr>
        <w:t>.</w:t>
      </w:r>
    </w:p>
    <w:p w14:paraId="3FDD66C3" w14:textId="77777777" w:rsidR="00C720D2" w:rsidRPr="001E1B9C" w:rsidRDefault="00C720D2" w:rsidP="00B8153B">
      <w:pPr>
        <w:spacing w:line="360" w:lineRule="auto"/>
        <w:ind w:firstLine="720"/>
        <w:rPr>
          <w:rFonts w:ascii="Times New Roman" w:hAnsi="Times New Roman" w:cs="Times New Roman"/>
        </w:rPr>
      </w:pPr>
    </w:p>
    <w:p w14:paraId="55205F85" w14:textId="75FDF915" w:rsidR="00B8153B" w:rsidRPr="001E1B9C" w:rsidRDefault="00760DEE" w:rsidP="00B8153B">
      <w:pPr>
        <w:pStyle w:val="Heading2"/>
        <w:spacing w:line="360" w:lineRule="auto"/>
        <w:rPr>
          <w:rFonts w:ascii="Times New Roman" w:hAnsi="Times New Roman" w:cs="Times New Roman"/>
          <w:color w:val="auto"/>
        </w:rPr>
      </w:pPr>
      <w:r w:rsidRPr="001E1B9C">
        <w:rPr>
          <w:rFonts w:ascii="Times New Roman" w:hAnsi="Times New Roman" w:cs="Times New Roman"/>
          <w:color w:val="auto"/>
        </w:rPr>
        <w:t>Introduction</w:t>
      </w:r>
    </w:p>
    <w:p w14:paraId="2522A143" w14:textId="78FFD6A3" w:rsidR="00E6459D" w:rsidRDefault="00291C1E" w:rsidP="00291C1E">
      <w:pPr>
        <w:spacing w:line="360" w:lineRule="auto"/>
        <w:ind w:firstLine="720"/>
        <w:rPr>
          <w:rFonts w:ascii="Times New Roman" w:hAnsi="Times New Roman" w:cs="Times New Roman"/>
        </w:rPr>
      </w:pPr>
      <w:r w:rsidRPr="001E1B9C">
        <w:rPr>
          <w:rFonts w:ascii="Times New Roman" w:hAnsi="Times New Roman" w:cs="Times New Roman"/>
        </w:rPr>
        <w:t xml:space="preserve">Pharmacometrics is one of the most transformative applied sciences in drug development history. The field started as a theory conceived over 60 years ago and has now cascaded into a practice that is heavily relied upon today. As with any successful idea, there is a natural path taken from its birth to its wide-spread use. This </w:t>
      </w:r>
      <w:r w:rsidR="003B02EC" w:rsidRPr="001E1B9C">
        <w:rPr>
          <w:rFonts w:ascii="Times New Roman" w:hAnsi="Times New Roman" w:cs="Times New Roman"/>
        </w:rPr>
        <w:t>course</w:t>
      </w:r>
      <w:r w:rsidRPr="001E1B9C">
        <w:rPr>
          <w:rFonts w:ascii="Times New Roman" w:hAnsi="Times New Roman" w:cs="Times New Roman"/>
        </w:rPr>
        <w:t xml:space="preserve"> can be described in five phases: (1) Inception and growth, (2) Implementation met with hesitation, (3) Legitimization and acceptance, (4) Reliance, and (5) Expansion. </w:t>
      </w:r>
      <w:r w:rsidR="00E6459D" w:rsidRPr="001E1B9C">
        <w:rPr>
          <w:rFonts w:ascii="Times New Roman" w:hAnsi="Times New Roman" w:cs="Times New Roman"/>
        </w:rPr>
        <w:t xml:space="preserve">Throughout this article we are going to explore </w:t>
      </w:r>
      <w:r w:rsidR="005321BF" w:rsidRPr="001E1B9C">
        <w:rPr>
          <w:rFonts w:ascii="Times New Roman" w:hAnsi="Times New Roman" w:cs="Times New Roman"/>
        </w:rPr>
        <w:t xml:space="preserve">this trajectory, </w:t>
      </w:r>
      <w:r w:rsidR="00283220" w:rsidRPr="001E1B9C">
        <w:rPr>
          <w:rFonts w:ascii="Times New Roman" w:hAnsi="Times New Roman" w:cs="Times New Roman"/>
        </w:rPr>
        <w:t>analyze</w:t>
      </w:r>
      <w:r w:rsidR="00760DEE" w:rsidRPr="001E1B9C">
        <w:rPr>
          <w:rFonts w:ascii="Times New Roman" w:hAnsi="Times New Roman" w:cs="Times New Roman"/>
        </w:rPr>
        <w:t xml:space="preserve"> </w:t>
      </w:r>
      <w:r w:rsidR="001E3A04" w:rsidRPr="001E1B9C">
        <w:rPr>
          <w:rFonts w:ascii="Times New Roman" w:hAnsi="Times New Roman" w:cs="Times New Roman"/>
        </w:rPr>
        <w:t xml:space="preserve">its </w:t>
      </w:r>
      <w:r w:rsidR="00760DEE" w:rsidRPr="001E1B9C">
        <w:rPr>
          <w:rFonts w:ascii="Times New Roman" w:hAnsi="Times New Roman" w:cs="Times New Roman"/>
        </w:rPr>
        <w:t>impac</w:t>
      </w:r>
      <w:r w:rsidR="003D5E6D" w:rsidRPr="001E1B9C">
        <w:rPr>
          <w:rFonts w:ascii="Times New Roman" w:hAnsi="Times New Roman" w:cs="Times New Roman"/>
        </w:rPr>
        <w:t>t</w:t>
      </w:r>
      <w:r w:rsidR="003374EB" w:rsidRPr="001E1B9C">
        <w:rPr>
          <w:rFonts w:ascii="Times New Roman" w:hAnsi="Times New Roman" w:cs="Times New Roman"/>
        </w:rPr>
        <w:t xml:space="preserve">, </w:t>
      </w:r>
      <w:r w:rsidR="00AE1C26" w:rsidRPr="001E1B9C">
        <w:rPr>
          <w:rFonts w:ascii="Times New Roman" w:hAnsi="Times New Roman" w:cs="Times New Roman"/>
        </w:rPr>
        <w:t>and ultimately make an inference on wh</w:t>
      </w:r>
      <w:r w:rsidR="000820B1" w:rsidRPr="001E1B9C">
        <w:rPr>
          <w:rFonts w:ascii="Times New Roman" w:hAnsi="Times New Roman" w:cs="Times New Roman"/>
        </w:rPr>
        <w:t xml:space="preserve">ere </w:t>
      </w:r>
      <w:r w:rsidR="003D5E6D" w:rsidRPr="001E1B9C">
        <w:rPr>
          <w:rFonts w:ascii="Times New Roman" w:hAnsi="Times New Roman" w:cs="Times New Roman"/>
        </w:rPr>
        <w:t>we are headed</w:t>
      </w:r>
      <w:r w:rsidR="000820B1" w:rsidRPr="001E1B9C">
        <w:rPr>
          <w:rFonts w:ascii="Times New Roman" w:hAnsi="Times New Roman" w:cs="Times New Roman"/>
        </w:rPr>
        <w:t xml:space="preserve"> next</w:t>
      </w:r>
      <w:r w:rsidR="00AE1C26" w:rsidRPr="001E1B9C">
        <w:rPr>
          <w:rFonts w:ascii="Times New Roman" w:hAnsi="Times New Roman" w:cs="Times New Roman"/>
        </w:rPr>
        <w:t>.</w:t>
      </w:r>
    </w:p>
    <w:p w14:paraId="6C8BF5E1" w14:textId="77777777" w:rsidR="00C720D2" w:rsidRPr="001E1B9C" w:rsidRDefault="00C720D2" w:rsidP="00291C1E">
      <w:pPr>
        <w:spacing w:line="360" w:lineRule="auto"/>
        <w:ind w:firstLine="720"/>
        <w:rPr>
          <w:rFonts w:ascii="Times New Roman" w:hAnsi="Times New Roman" w:cs="Times New Roman"/>
        </w:rPr>
      </w:pPr>
    </w:p>
    <w:p w14:paraId="70CABDDB" w14:textId="6F651C86" w:rsidR="00760DEE" w:rsidRPr="001E1B9C" w:rsidRDefault="00760DEE" w:rsidP="00760DEE">
      <w:pPr>
        <w:pStyle w:val="Heading2"/>
        <w:spacing w:line="360" w:lineRule="auto"/>
        <w:rPr>
          <w:rFonts w:ascii="Times New Roman" w:hAnsi="Times New Roman" w:cs="Times New Roman"/>
          <w:color w:val="auto"/>
        </w:rPr>
      </w:pPr>
      <w:r w:rsidRPr="001E1B9C">
        <w:rPr>
          <w:rFonts w:ascii="Times New Roman" w:hAnsi="Times New Roman" w:cs="Times New Roman"/>
          <w:color w:val="auto"/>
        </w:rPr>
        <w:t>Historical Overview</w:t>
      </w:r>
    </w:p>
    <w:p w14:paraId="261DA843" w14:textId="77777777" w:rsidR="00291C1E" w:rsidRPr="001E1B9C" w:rsidRDefault="00291C1E" w:rsidP="00291C1E">
      <w:pPr>
        <w:pStyle w:val="Heading3"/>
        <w:spacing w:line="360" w:lineRule="auto"/>
        <w:rPr>
          <w:rFonts w:ascii="Times New Roman" w:hAnsi="Times New Roman" w:cs="Times New Roman"/>
          <w:i/>
          <w:iCs/>
          <w:color w:val="auto"/>
        </w:rPr>
      </w:pPr>
      <w:r w:rsidRPr="001E1B9C">
        <w:rPr>
          <w:rFonts w:ascii="Times New Roman" w:hAnsi="Times New Roman" w:cs="Times New Roman"/>
          <w:i/>
          <w:iCs/>
          <w:color w:val="auto"/>
        </w:rPr>
        <w:t>From Inception &amp; Growth to Implementation &amp; Hesitation (1960 – 1990)</w:t>
      </w:r>
    </w:p>
    <w:p w14:paraId="5ACCE22D" w14:textId="77777777" w:rsidR="00291C1E" w:rsidRPr="001E1B9C" w:rsidRDefault="00291C1E" w:rsidP="00291C1E">
      <w:pPr>
        <w:spacing w:line="360" w:lineRule="auto"/>
        <w:ind w:firstLine="720"/>
        <w:rPr>
          <w:rFonts w:ascii="Times New Roman" w:hAnsi="Times New Roman" w:cs="Times New Roman"/>
        </w:rPr>
      </w:pPr>
      <w:r w:rsidRPr="001E1B9C">
        <w:rPr>
          <w:rFonts w:ascii="Times New Roman" w:hAnsi="Times New Roman" w:cs="Times New Roman"/>
        </w:rPr>
        <w:t xml:space="preserve">The birth of pharmacometrics dates back to the 1960s, when the methodology of this applied science was the primary focus. Methods to quantify the fate of drug molecules in the body were introduced, but we did not yet know how to implement this methodology to answer important questions. The challenge of quantifying dose-response needed to first be addressed. Dose-response assessments were initially performed in a pseudo-steady state condition, where scientists would incubate tissue at various drug concentrations, measure changes in the tissue at each concentration level, and ultimately construct a concentration-response relationship. This was a major advancement; however, it did not allow for the component of time to be quantified. The missing piece to this puzzle was how to collapse the delay </w:t>
      </w:r>
      <w:r w:rsidRPr="001E1B9C">
        <w:rPr>
          <w:rFonts w:ascii="Times New Roman" w:hAnsi="Times New Roman" w:cs="Times New Roman"/>
        </w:rPr>
        <w:lastRenderedPageBreak/>
        <w:t>between concentration and pharmacologic response, and it wasn’t until years later that we were able to handle the time course of pharmacokinetic (PK) and pharmacodynamic (PD) effects.</w:t>
      </w:r>
    </w:p>
    <w:p w14:paraId="010DB3A7" w14:textId="22A55AFE" w:rsidR="00291C1E" w:rsidRPr="001E1B9C" w:rsidRDefault="00291C1E" w:rsidP="00CE2002">
      <w:pPr>
        <w:spacing w:line="360" w:lineRule="auto"/>
        <w:ind w:firstLine="720"/>
        <w:rPr>
          <w:rFonts w:ascii="Times New Roman" w:hAnsi="Times New Roman" w:cs="Times New Roman"/>
        </w:rPr>
      </w:pPr>
      <w:r w:rsidRPr="001E1B9C">
        <w:rPr>
          <w:rFonts w:ascii="Times New Roman" w:hAnsi="Times New Roman" w:cs="Times New Roman"/>
        </w:rPr>
        <w:t>The name of this new field was first coined in the 1980s when the Journal of Pharmacokinetics and Biopharmaceutics introduced a new section called “Pharmacometrics” that focused on advanced PK/PD analyses.</w:t>
      </w:r>
      <w:r w:rsidR="009769F8" w:rsidRPr="001E1B9C">
        <w:rPr>
          <w:rFonts w:ascii="Times New Roman" w:hAnsi="Times New Roman" w:cs="Times New Roman"/>
          <w:vertAlign w:val="superscript"/>
        </w:rPr>
        <w:t>1</w:t>
      </w:r>
      <w:r w:rsidRPr="001E1B9C">
        <w:rPr>
          <w:rFonts w:ascii="Times New Roman" w:hAnsi="Times New Roman" w:cs="Times New Roman"/>
        </w:rPr>
        <w:t xml:space="preserve"> After this, we started to see pharmacometric methods being implemented to analyze observational data from clinical trials. Although this field had made big strides by this time, there was still some uncertainty and hesitation surrounding its application. Pharmacometric methods could analyze robust data with fair adequacy, but there was no accessible way to analyze instances where only sparse data could be collected. </w:t>
      </w:r>
      <w:r w:rsidR="006F5310" w:rsidRPr="001E1B9C">
        <w:rPr>
          <w:rFonts w:ascii="Times New Roman" w:hAnsi="Times New Roman" w:cs="Times New Roman"/>
        </w:rPr>
        <w:t>With</w:t>
      </w:r>
      <w:r w:rsidRPr="001E1B9C">
        <w:rPr>
          <w:rFonts w:ascii="Times New Roman" w:hAnsi="Times New Roman" w:cs="Times New Roman"/>
        </w:rPr>
        <w:t xml:space="preserve"> the development of non-linear mixed-effects </w:t>
      </w:r>
      <w:r w:rsidR="00331B77" w:rsidRPr="001E1B9C">
        <w:rPr>
          <w:rFonts w:ascii="Times New Roman" w:hAnsi="Times New Roman" w:cs="Times New Roman"/>
        </w:rPr>
        <w:t xml:space="preserve">(NLME) </w:t>
      </w:r>
      <w:r w:rsidRPr="001E1B9C">
        <w:rPr>
          <w:rFonts w:ascii="Times New Roman" w:hAnsi="Times New Roman" w:cs="Times New Roman"/>
        </w:rPr>
        <w:t>modeling software</w:t>
      </w:r>
      <w:r w:rsidR="006F5310" w:rsidRPr="001E1B9C">
        <w:rPr>
          <w:rFonts w:ascii="Times New Roman" w:hAnsi="Times New Roman" w:cs="Times New Roman"/>
        </w:rPr>
        <w:t xml:space="preserve">, </w:t>
      </w:r>
      <w:r w:rsidRPr="001E1B9C">
        <w:rPr>
          <w:rFonts w:ascii="Times New Roman" w:hAnsi="Times New Roman" w:cs="Times New Roman"/>
        </w:rPr>
        <w:t>the issue of sparse sampling</w:t>
      </w:r>
      <w:r w:rsidR="00F9391D" w:rsidRPr="001E1B9C">
        <w:rPr>
          <w:rFonts w:ascii="Times New Roman" w:hAnsi="Times New Roman" w:cs="Times New Roman"/>
        </w:rPr>
        <w:t xml:space="preserve"> could be a</w:t>
      </w:r>
      <w:r w:rsidR="00201200">
        <w:rPr>
          <w:rFonts w:ascii="Times New Roman" w:hAnsi="Times New Roman" w:cs="Times New Roman"/>
        </w:rPr>
        <w:t>lleviated</w:t>
      </w:r>
      <w:r w:rsidRPr="001E1B9C">
        <w:rPr>
          <w:rFonts w:ascii="Times New Roman" w:hAnsi="Times New Roman" w:cs="Times New Roman"/>
        </w:rPr>
        <w:t>.</w:t>
      </w:r>
      <w:r w:rsidR="007A0876" w:rsidRPr="001E1B9C">
        <w:rPr>
          <w:rFonts w:ascii="Times New Roman" w:hAnsi="Times New Roman" w:cs="Times New Roman"/>
        </w:rPr>
        <w:t xml:space="preserve"> </w:t>
      </w:r>
      <w:r w:rsidR="008316EB" w:rsidRPr="001E1B9C">
        <w:rPr>
          <w:rFonts w:ascii="Times New Roman" w:hAnsi="Times New Roman" w:cs="Times New Roman"/>
        </w:rPr>
        <w:t>Scientists</w:t>
      </w:r>
      <w:r w:rsidR="007A0876" w:rsidRPr="001E1B9C">
        <w:rPr>
          <w:rFonts w:ascii="Times New Roman" w:hAnsi="Times New Roman" w:cs="Times New Roman"/>
        </w:rPr>
        <w:t xml:space="preserve"> had long recognized that the heterogenous nature of patients </w:t>
      </w:r>
      <w:r w:rsidR="00DF1E0E" w:rsidRPr="001E1B9C">
        <w:rPr>
          <w:rFonts w:ascii="Times New Roman" w:hAnsi="Times New Roman" w:cs="Times New Roman"/>
        </w:rPr>
        <w:t>had an impact on PK</w:t>
      </w:r>
      <w:r w:rsidR="007A0876" w:rsidRPr="001E1B9C">
        <w:rPr>
          <w:rFonts w:ascii="Times New Roman" w:hAnsi="Times New Roman" w:cs="Times New Roman"/>
        </w:rPr>
        <w:t xml:space="preserve">, and many saw </w:t>
      </w:r>
      <w:r w:rsidR="00C42807" w:rsidRPr="001E1B9C">
        <w:rPr>
          <w:rFonts w:ascii="Times New Roman" w:hAnsi="Times New Roman" w:cs="Times New Roman"/>
        </w:rPr>
        <w:t>the accessibility of such software as a solution</w:t>
      </w:r>
      <w:r w:rsidR="00DF1E0E" w:rsidRPr="001E1B9C">
        <w:rPr>
          <w:rFonts w:ascii="Times New Roman" w:hAnsi="Times New Roman" w:cs="Times New Roman"/>
        </w:rPr>
        <w:t xml:space="preserve"> to characterizing th</w:t>
      </w:r>
      <w:r w:rsidR="00F628D9" w:rsidRPr="001E1B9C">
        <w:rPr>
          <w:rFonts w:ascii="Times New Roman" w:hAnsi="Times New Roman" w:cs="Times New Roman"/>
        </w:rPr>
        <w:t>ese differences</w:t>
      </w:r>
      <w:r w:rsidR="00C42807" w:rsidRPr="001E1B9C">
        <w:rPr>
          <w:rFonts w:ascii="Times New Roman" w:hAnsi="Times New Roman" w:cs="Times New Roman"/>
        </w:rPr>
        <w:t xml:space="preserve">. </w:t>
      </w:r>
      <w:r w:rsidR="00DF1E0E" w:rsidRPr="001E1B9C">
        <w:rPr>
          <w:rFonts w:ascii="Times New Roman" w:hAnsi="Times New Roman" w:cs="Times New Roman"/>
        </w:rPr>
        <w:t xml:space="preserve">The focus </w:t>
      </w:r>
      <w:r w:rsidR="007A46FB" w:rsidRPr="001E1B9C">
        <w:rPr>
          <w:rFonts w:ascii="Times New Roman" w:hAnsi="Times New Roman" w:cs="Times New Roman"/>
        </w:rPr>
        <w:t xml:space="preserve">at this time </w:t>
      </w:r>
      <w:r w:rsidR="00DF1E0E" w:rsidRPr="001E1B9C">
        <w:rPr>
          <w:rFonts w:ascii="Times New Roman" w:hAnsi="Times New Roman" w:cs="Times New Roman"/>
        </w:rPr>
        <w:t xml:space="preserve">was </w:t>
      </w:r>
      <w:r w:rsidR="001C7137">
        <w:rPr>
          <w:rFonts w:ascii="Times New Roman" w:hAnsi="Times New Roman" w:cs="Times New Roman"/>
        </w:rPr>
        <w:t>to address</w:t>
      </w:r>
      <w:r w:rsidR="005A4FF5" w:rsidRPr="001E1B9C">
        <w:rPr>
          <w:rFonts w:ascii="Times New Roman" w:hAnsi="Times New Roman" w:cs="Times New Roman"/>
        </w:rPr>
        <w:t xml:space="preserve"> drug PK/PD at a</w:t>
      </w:r>
      <w:r w:rsidR="00C42807" w:rsidRPr="001E1B9C">
        <w:rPr>
          <w:rFonts w:ascii="Times New Roman" w:hAnsi="Times New Roman" w:cs="Times New Roman"/>
        </w:rPr>
        <w:t xml:space="preserve"> population level and </w:t>
      </w:r>
      <w:r w:rsidR="0061366F">
        <w:rPr>
          <w:rFonts w:ascii="Times New Roman" w:hAnsi="Times New Roman" w:cs="Times New Roman"/>
        </w:rPr>
        <w:t xml:space="preserve">to </w:t>
      </w:r>
      <w:r w:rsidR="00B147C4">
        <w:rPr>
          <w:rFonts w:ascii="Times New Roman" w:hAnsi="Times New Roman" w:cs="Times New Roman"/>
        </w:rPr>
        <w:t>bridge</w:t>
      </w:r>
      <w:r w:rsidR="005A4FF5" w:rsidRPr="001E1B9C">
        <w:rPr>
          <w:rFonts w:ascii="Times New Roman" w:hAnsi="Times New Roman" w:cs="Times New Roman"/>
        </w:rPr>
        <w:t xml:space="preserve"> drug</w:t>
      </w:r>
      <w:r w:rsidR="00C42807" w:rsidRPr="001E1B9C">
        <w:rPr>
          <w:rFonts w:ascii="Times New Roman" w:hAnsi="Times New Roman" w:cs="Times New Roman"/>
        </w:rPr>
        <w:t xml:space="preserve"> efficacy/safety across</w:t>
      </w:r>
      <w:r w:rsidR="005A4FF5" w:rsidRPr="001E1B9C">
        <w:rPr>
          <w:rFonts w:ascii="Times New Roman" w:hAnsi="Times New Roman" w:cs="Times New Roman"/>
        </w:rPr>
        <w:t xml:space="preserve"> </w:t>
      </w:r>
      <w:r w:rsidR="00BD02C0" w:rsidRPr="001E1B9C">
        <w:rPr>
          <w:rFonts w:ascii="Times New Roman" w:hAnsi="Times New Roman" w:cs="Times New Roman"/>
        </w:rPr>
        <w:t>such</w:t>
      </w:r>
      <w:r w:rsidR="00C42807" w:rsidRPr="001E1B9C">
        <w:rPr>
          <w:rFonts w:ascii="Times New Roman" w:hAnsi="Times New Roman" w:cs="Times New Roman"/>
        </w:rPr>
        <w:t xml:space="preserve"> diverse populations. </w:t>
      </w:r>
      <w:r w:rsidR="00F628D9" w:rsidRPr="001E1B9C">
        <w:rPr>
          <w:rFonts w:ascii="Times New Roman" w:hAnsi="Times New Roman" w:cs="Times New Roman"/>
        </w:rPr>
        <w:t xml:space="preserve">By the 1990s </w:t>
      </w:r>
      <w:r w:rsidR="00E53211" w:rsidRPr="001E1B9C">
        <w:rPr>
          <w:rFonts w:ascii="Times New Roman" w:hAnsi="Times New Roman" w:cs="Times New Roman"/>
        </w:rPr>
        <w:t>pharmacometricians</w:t>
      </w:r>
      <w:r w:rsidR="005A4FF5" w:rsidRPr="001E1B9C">
        <w:rPr>
          <w:rFonts w:ascii="Times New Roman" w:hAnsi="Times New Roman" w:cs="Times New Roman"/>
        </w:rPr>
        <w:t xml:space="preserve"> had </w:t>
      </w:r>
      <w:r w:rsidR="00F628D9" w:rsidRPr="001E1B9C">
        <w:rPr>
          <w:rFonts w:ascii="Times New Roman" w:hAnsi="Times New Roman" w:cs="Times New Roman"/>
        </w:rPr>
        <w:t xml:space="preserve">identified </w:t>
      </w:r>
      <w:r w:rsidR="005A4FF5" w:rsidRPr="001E1B9C">
        <w:rPr>
          <w:rFonts w:ascii="Times New Roman" w:hAnsi="Times New Roman" w:cs="Times New Roman"/>
        </w:rPr>
        <w:t>th</w:t>
      </w:r>
      <w:r w:rsidR="003F7B19" w:rsidRPr="001E1B9C">
        <w:rPr>
          <w:rFonts w:ascii="Times New Roman" w:hAnsi="Times New Roman" w:cs="Times New Roman"/>
        </w:rPr>
        <w:t>is</w:t>
      </w:r>
      <w:r w:rsidR="005A4FF5" w:rsidRPr="001E1B9C">
        <w:rPr>
          <w:rFonts w:ascii="Times New Roman" w:hAnsi="Times New Roman" w:cs="Times New Roman"/>
        </w:rPr>
        <w:t xml:space="preserve"> problem, </w:t>
      </w:r>
      <w:r w:rsidR="0017589A" w:rsidRPr="001E1B9C">
        <w:rPr>
          <w:rFonts w:ascii="Times New Roman" w:hAnsi="Times New Roman" w:cs="Times New Roman"/>
        </w:rPr>
        <w:t xml:space="preserve">proposed a potential </w:t>
      </w:r>
      <w:r w:rsidR="005A4FF5" w:rsidRPr="001E1B9C">
        <w:rPr>
          <w:rFonts w:ascii="Times New Roman" w:hAnsi="Times New Roman" w:cs="Times New Roman"/>
        </w:rPr>
        <w:t>solution, and now all that was needed was</w:t>
      </w:r>
      <w:r w:rsidR="008316EB" w:rsidRPr="001E1B9C">
        <w:rPr>
          <w:rFonts w:ascii="Times New Roman" w:hAnsi="Times New Roman" w:cs="Times New Roman"/>
        </w:rPr>
        <w:t xml:space="preserve"> </w:t>
      </w:r>
      <w:r w:rsidR="00EA7BE3" w:rsidRPr="001E1B9C">
        <w:rPr>
          <w:rFonts w:ascii="Times New Roman" w:hAnsi="Times New Roman" w:cs="Times New Roman"/>
        </w:rPr>
        <w:t>regulatory</w:t>
      </w:r>
      <w:r w:rsidR="000A1658" w:rsidRPr="001E1B9C">
        <w:rPr>
          <w:rFonts w:ascii="Times New Roman" w:hAnsi="Times New Roman" w:cs="Times New Roman"/>
        </w:rPr>
        <w:t xml:space="preserve"> support and infrastructure</w:t>
      </w:r>
      <w:r w:rsidR="00E64B71" w:rsidRPr="001E1B9C">
        <w:rPr>
          <w:rFonts w:ascii="Times New Roman" w:hAnsi="Times New Roman" w:cs="Times New Roman"/>
        </w:rPr>
        <w:t xml:space="preserve">. </w:t>
      </w:r>
    </w:p>
    <w:p w14:paraId="05B1BAA1" w14:textId="77777777" w:rsidR="00291C1E" w:rsidRPr="001E1B9C" w:rsidRDefault="00291C1E" w:rsidP="00291C1E">
      <w:pPr>
        <w:pStyle w:val="Heading3"/>
        <w:spacing w:line="360" w:lineRule="auto"/>
        <w:rPr>
          <w:rFonts w:ascii="Times New Roman" w:hAnsi="Times New Roman" w:cs="Times New Roman"/>
          <w:i/>
          <w:iCs/>
          <w:color w:val="auto"/>
        </w:rPr>
      </w:pPr>
      <w:r w:rsidRPr="001E1B9C">
        <w:rPr>
          <w:rFonts w:ascii="Times New Roman" w:hAnsi="Times New Roman" w:cs="Times New Roman"/>
          <w:i/>
          <w:iCs/>
          <w:color w:val="auto"/>
        </w:rPr>
        <w:t xml:space="preserve">From Legitimization &amp; Acceptance to Reliance (1990 – 2010) </w:t>
      </w:r>
    </w:p>
    <w:p w14:paraId="0E51655E" w14:textId="0BF4FF3B" w:rsidR="00291C1E" w:rsidRPr="001E1B9C" w:rsidRDefault="00291C1E" w:rsidP="00291C1E">
      <w:pPr>
        <w:spacing w:line="360" w:lineRule="auto"/>
        <w:ind w:firstLine="720"/>
        <w:rPr>
          <w:rFonts w:ascii="Times New Roman" w:hAnsi="Times New Roman" w:cs="Times New Roman"/>
        </w:rPr>
      </w:pPr>
      <w:r w:rsidRPr="001E1B9C">
        <w:rPr>
          <w:rFonts w:ascii="Times New Roman" w:hAnsi="Times New Roman" w:cs="Times New Roman"/>
        </w:rPr>
        <w:t>In the U.S. the demand for pharmacometrics truly propelled once the</w:t>
      </w:r>
      <w:r w:rsidR="002C7E09" w:rsidRPr="001E1B9C">
        <w:rPr>
          <w:rFonts w:ascii="Times New Roman" w:hAnsi="Times New Roman" w:cs="Times New Roman"/>
        </w:rPr>
        <w:t xml:space="preserve"> Food and Drug Administration</w:t>
      </w:r>
      <w:r w:rsidRPr="001E1B9C">
        <w:rPr>
          <w:rFonts w:ascii="Times New Roman" w:hAnsi="Times New Roman" w:cs="Times New Roman"/>
        </w:rPr>
        <w:t xml:space="preserve"> </w:t>
      </w:r>
      <w:r w:rsidR="002C7E09" w:rsidRPr="001E1B9C">
        <w:rPr>
          <w:rFonts w:ascii="Times New Roman" w:hAnsi="Times New Roman" w:cs="Times New Roman"/>
        </w:rPr>
        <w:t>(</w:t>
      </w:r>
      <w:r w:rsidRPr="001E1B9C">
        <w:rPr>
          <w:rFonts w:ascii="Times New Roman" w:hAnsi="Times New Roman" w:cs="Times New Roman"/>
        </w:rPr>
        <w:t>FDA</w:t>
      </w:r>
      <w:r w:rsidR="002C7E09" w:rsidRPr="001E1B9C">
        <w:rPr>
          <w:rFonts w:ascii="Times New Roman" w:hAnsi="Times New Roman" w:cs="Times New Roman"/>
        </w:rPr>
        <w:t>)</w:t>
      </w:r>
      <w:r w:rsidRPr="001E1B9C">
        <w:rPr>
          <w:rFonts w:ascii="Times New Roman" w:hAnsi="Times New Roman" w:cs="Times New Roman"/>
        </w:rPr>
        <w:t xml:space="preserve"> started to endorse these approaches. </w:t>
      </w:r>
      <w:r w:rsidR="00BF3654" w:rsidRPr="001E1B9C">
        <w:rPr>
          <w:rFonts w:ascii="Times New Roman" w:hAnsi="Times New Roman" w:cs="Times New Roman"/>
        </w:rPr>
        <w:t>First, th</w:t>
      </w:r>
      <w:r w:rsidRPr="001E1B9C">
        <w:rPr>
          <w:rFonts w:ascii="Times New Roman" w:hAnsi="Times New Roman" w:cs="Times New Roman"/>
        </w:rPr>
        <w:t>e FDA began to publicly focus on how the concentration-response relationship was a better linkage from animals to humans and across clinical development, supporting the acceptance of pharmacometric methods. Then, the first written effort to introduce pharmacometrics using sparse sampling came in the 1994 FDA Guidance, Studies in Support of Special Populations: Geriatrics where they discuss</w:t>
      </w:r>
      <w:r w:rsidR="0067621C">
        <w:rPr>
          <w:rFonts w:ascii="Times New Roman" w:hAnsi="Times New Roman" w:cs="Times New Roman"/>
        </w:rPr>
        <w:t>ed</w:t>
      </w:r>
      <w:r w:rsidRPr="001E1B9C">
        <w:rPr>
          <w:rFonts w:ascii="Times New Roman" w:hAnsi="Times New Roman" w:cs="Times New Roman"/>
        </w:rPr>
        <w:t xml:space="preserve"> the concept of pharmacokinetic screening.</w:t>
      </w:r>
      <w:r w:rsidR="00414727" w:rsidRPr="001E1B9C">
        <w:rPr>
          <w:rFonts w:ascii="Times New Roman" w:hAnsi="Times New Roman" w:cs="Times New Roman"/>
          <w:vertAlign w:val="superscript"/>
        </w:rPr>
        <w:t>2</w:t>
      </w:r>
      <w:r w:rsidRPr="001E1B9C">
        <w:rPr>
          <w:rFonts w:ascii="Times New Roman" w:hAnsi="Times New Roman" w:cs="Times New Roman"/>
        </w:rPr>
        <w:t xml:space="preserve"> The FDA had identified a clear gap that needed to be filled because PK data was not routinely collected in geriatric patients. Therefore, the FDA proposed that Sponsors begin collecting sparse PK samples in geriatric patients during registration </w:t>
      </w:r>
      <w:r w:rsidR="009769F8" w:rsidRPr="001E1B9C">
        <w:rPr>
          <w:rFonts w:ascii="Times New Roman" w:hAnsi="Times New Roman" w:cs="Times New Roman"/>
        </w:rPr>
        <w:t>trials</w:t>
      </w:r>
      <w:r w:rsidRPr="001E1B9C">
        <w:rPr>
          <w:rFonts w:ascii="Times New Roman" w:hAnsi="Times New Roman" w:cs="Times New Roman"/>
        </w:rPr>
        <w:t xml:space="preserve"> and </w:t>
      </w:r>
      <w:r w:rsidR="005D32FE" w:rsidRPr="001E1B9C">
        <w:rPr>
          <w:rFonts w:ascii="Times New Roman" w:hAnsi="Times New Roman" w:cs="Times New Roman"/>
        </w:rPr>
        <w:t>then</w:t>
      </w:r>
      <w:r w:rsidRPr="001E1B9C">
        <w:rPr>
          <w:rFonts w:ascii="Times New Roman" w:hAnsi="Times New Roman" w:cs="Times New Roman"/>
        </w:rPr>
        <w:t xml:space="preserve"> compare their PK with younger patients. This </w:t>
      </w:r>
      <w:r w:rsidR="00600801" w:rsidRPr="001E1B9C">
        <w:rPr>
          <w:rFonts w:ascii="Times New Roman" w:hAnsi="Times New Roman" w:cs="Times New Roman"/>
        </w:rPr>
        <w:t>reinforced</w:t>
      </w:r>
      <w:r w:rsidRPr="001E1B9C">
        <w:rPr>
          <w:rFonts w:ascii="Times New Roman" w:hAnsi="Times New Roman" w:cs="Times New Roman"/>
        </w:rPr>
        <w:t xml:space="preserve"> that there could be big differences</w:t>
      </w:r>
      <w:r w:rsidR="00600801" w:rsidRPr="001E1B9C">
        <w:rPr>
          <w:rFonts w:ascii="Times New Roman" w:hAnsi="Times New Roman" w:cs="Times New Roman"/>
        </w:rPr>
        <w:t xml:space="preserve"> in PK</w:t>
      </w:r>
      <w:r w:rsidRPr="001E1B9C">
        <w:rPr>
          <w:rFonts w:ascii="Times New Roman" w:hAnsi="Times New Roman" w:cs="Times New Roman"/>
        </w:rPr>
        <w:t xml:space="preserve"> present, leading to necessary dose adjustments and further legitimizing pharmacometric</w:t>
      </w:r>
      <w:r w:rsidR="00600801" w:rsidRPr="001E1B9C">
        <w:rPr>
          <w:rFonts w:ascii="Times New Roman" w:hAnsi="Times New Roman" w:cs="Times New Roman"/>
        </w:rPr>
        <w:t xml:space="preserve"> methods</w:t>
      </w:r>
      <w:r w:rsidRPr="001E1B9C">
        <w:rPr>
          <w:rFonts w:ascii="Times New Roman" w:hAnsi="Times New Roman" w:cs="Times New Roman"/>
        </w:rPr>
        <w:t>. Although th</w:t>
      </w:r>
      <w:r w:rsidR="00BC1811" w:rsidRPr="001E1B9C">
        <w:rPr>
          <w:rFonts w:ascii="Times New Roman" w:hAnsi="Times New Roman" w:cs="Times New Roman"/>
        </w:rPr>
        <w:t>e FDA G</w:t>
      </w:r>
      <w:r w:rsidRPr="001E1B9C">
        <w:rPr>
          <w:rFonts w:ascii="Times New Roman" w:hAnsi="Times New Roman" w:cs="Times New Roman"/>
        </w:rPr>
        <w:t xml:space="preserve">uidance referred to this practice as </w:t>
      </w:r>
      <w:r w:rsidR="00AB0B3C" w:rsidRPr="001E1B9C">
        <w:rPr>
          <w:rFonts w:ascii="Times New Roman" w:hAnsi="Times New Roman" w:cs="Times New Roman"/>
        </w:rPr>
        <w:t>“</w:t>
      </w:r>
      <w:r w:rsidRPr="001E1B9C">
        <w:rPr>
          <w:rFonts w:ascii="Times New Roman" w:hAnsi="Times New Roman" w:cs="Times New Roman"/>
        </w:rPr>
        <w:t>pharmacokinetic screening</w:t>
      </w:r>
      <w:r w:rsidR="00AB0B3C" w:rsidRPr="001E1B9C">
        <w:rPr>
          <w:rFonts w:ascii="Times New Roman" w:hAnsi="Times New Roman" w:cs="Times New Roman"/>
        </w:rPr>
        <w:t>”</w:t>
      </w:r>
      <w:r w:rsidRPr="001E1B9C">
        <w:rPr>
          <w:rFonts w:ascii="Times New Roman" w:hAnsi="Times New Roman" w:cs="Times New Roman"/>
        </w:rPr>
        <w:t>, it was really the inception of population PK as we know it today. Following this in 1999 came the first</w:t>
      </w:r>
      <w:r w:rsidR="00230A35" w:rsidRPr="001E1B9C">
        <w:rPr>
          <w:rFonts w:ascii="Times New Roman" w:hAnsi="Times New Roman" w:cs="Times New Roman"/>
        </w:rPr>
        <w:t xml:space="preserve"> ever</w:t>
      </w:r>
      <w:r w:rsidRPr="001E1B9C">
        <w:rPr>
          <w:rFonts w:ascii="Times New Roman" w:hAnsi="Times New Roman" w:cs="Times New Roman"/>
        </w:rPr>
        <w:t xml:space="preserve"> FDA </w:t>
      </w:r>
      <w:r w:rsidR="00571EC8" w:rsidRPr="001E1B9C">
        <w:rPr>
          <w:rFonts w:ascii="Times New Roman" w:hAnsi="Times New Roman" w:cs="Times New Roman"/>
        </w:rPr>
        <w:t>G</w:t>
      </w:r>
      <w:r w:rsidRPr="001E1B9C">
        <w:rPr>
          <w:rFonts w:ascii="Times New Roman" w:hAnsi="Times New Roman" w:cs="Times New Roman"/>
        </w:rPr>
        <w:t xml:space="preserve">uidance for </w:t>
      </w:r>
      <w:r w:rsidR="00571EC8" w:rsidRPr="001E1B9C">
        <w:rPr>
          <w:rFonts w:ascii="Times New Roman" w:hAnsi="Times New Roman" w:cs="Times New Roman"/>
        </w:rPr>
        <w:t>I</w:t>
      </w:r>
      <w:r w:rsidRPr="001E1B9C">
        <w:rPr>
          <w:rFonts w:ascii="Times New Roman" w:hAnsi="Times New Roman" w:cs="Times New Roman"/>
        </w:rPr>
        <w:t>ndustry on the use of population PK modeling.</w:t>
      </w:r>
      <w:r w:rsidR="00DD34BA" w:rsidRPr="001E1B9C">
        <w:rPr>
          <w:rFonts w:ascii="Times New Roman" w:hAnsi="Times New Roman" w:cs="Times New Roman"/>
          <w:vertAlign w:val="superscript"/>
        </w:rPr>
        <w:t>3</w:t>
      </w:r>
      <w:r w:rsidRPr="001E1B9C">
        <w:rPr>
          <w:rFonts w:ascii="Times New Roman" w:hAnsi="Times New Roman" w:cs="Times New Roman"/>
        </w:rPr>
        <w:t xml:space="preserve"> This was vital for the field of pharmacometrics, and as a result population PK analyses have be</w:t>
      </w:r>
      <w:r w:rsidR="00AC7C0B" w:rsidRPr="001E1B9C">
        <w:rPr>
          <w:rFonts w:ascii="Times New Roman" w:hAnsi="Times New Roman" w:cs="Times New Roman"/>
        </w:rPr>
        <w:t xml:space="preserve">come a gold-standard </w:t>
      </w:r>
      <w:r w:rsidR="00A53071" w:rsidRPr="001E1B9C">
        <w:rPr>
          <w:rFonts w:ascii="Times New Roman" w:hAnsi="Times New Roman" w:cs="Times New Roman"/>
        </w:rPr>
        <w:t>within</w:t>
      </w:r>
      <w:r w:rsidR="00AC7C0B" w:rsidRPr="001E1B9C">
        <w:rPr>
          <w:rFonts w:ascii="Times New Roman" w:hAnsi="Times New Roman" w:cs="Times New Roman"/>
        </w:rPr>
        <w:t xml:space="preserve"> drug development</w:t>
      </w:r>
      <w:r w:rsidRPr="001E1B9C">
        <w:rPr>
          <w:rFonts w:ascii="Times New Roman" w:hAnsi="Times New Roman" w:cs="Times New Roman"/>
        </w:rPr>
        <w:t>.</w:t>
      </w:r>
    </w:p>
    <w:p w14:paraId="63AA92EF" w14:textId="77D0108E" w:rsidR="00291C1E" w:rsidRPr="001E1B9C" w:rsidRDefault="00291C1E" w:rsidP="007C692D">
      <w:pPr>
        <w:spacing w:line="360" w:lineRule="auto"/>
        <w:ind w:firstLine="720"/>
        <w:rPr>
          <w:rFonts w:ascii="Times New Roman" w:hAnsi="Times New Roman" w:cs="Times New Roman"/>
        </w:rPr>
      </w:pPr>
      <w:r w:rsidRPr="001E1B9C">
        <w:rPr>
          <w:rFonts w:ascii="Times New Roman" w:hAnsi="Times New Roman" w:cs="Times New Roman"/>
        </w:rPr>
        <w:t xml:space="preserve">This new </w:t>
      </w:r>
      <w:r w:rsidR="001E359A" w:rsidRPr="001E1B9C">
        <w:rPr>
          <w:rFonts w:ascii="Times New Roman" w:hAnsi="Times New Roman" w:cs="Times New Roman"/>
        </w:rPr>
        <w:t>acceptance</w:t>
      </w:r>
      <w:r w:rsidRPr="001E1B9C">
        <w:rPr>
          <w:rFonts w:ascii="Times New Roman" w:hAnsi="Times New Roman" w:cs="Times New Roman"/>
        </w:rPr>
        <w:t xml:space="preserve"> was </w:t>
      </w:r>
      <w:r w:rsidR="00A54627" w:rsidRPr="001E1B9C">
        <w:rPr>
          <w:rFonts w:ascii="Times New Roman" w:hAnsi="Times New Roman" w:cs="Times New Roman"/>
        </w:rPr>
        <w:t xml:space="preserve">further </w:t>
      </w:r>
      <w:r w:rsidRPr="001E1B9C">
        <w:rPr>
          <w:rFonts w:ascii="Times New Roman" w:hAnsi="Times New Roman" w:cs="Times New Roman"/>
        </w:rPr>
        <w:t>reflected in 2004 by the FDA’s critical path initiative, which was intended to address the issue of reduced productivity in modern drug development.</w:t>
      </w:r>
      <w:r w:rsidR="000D4287" w:rsidRPr="001E1B9C">
        <w:rPr>
          <w:rFonts w:ascii="Times New Roman" w:hAnsi="Times New Roman" w:cs="Times New Roman"/>
          <w:vertAlign w:val="superscript"/>
        </w:rPr>
        <w:t>4</w:t>
      </w:r>
      <w:r w:rsidRPr="001E1B9C">
        <w:rPr>
          <w:rFonts w:ascii="Times New Roman" w:hAnsi="Times New Roman" w:cs="Times New Roman"/>
        </w:rPr>
        <w:t xml:space="preserve"> The need to </w:t>
      </w:r>
      <w:r w:rsidRPr="001E1B9C">
        <w:rPr>
          <w:rFonts w:ascii="Times New Roman" w:hAnsi="Times New Roman" w:cs="Times New Roman"/>
        </w:rPr>
        <w:lastRenderedPageBreak/>
        <w:t>strength this discipline was identified as a major solution to</w:t>
      </w:r>
      <w:r w:rsidR="00AF6F43" w:rsidRPr="001E1B9C">
        <w:rPr>
          <w:rFonts w:ascii="Times New Roman" w:hAnsi="Times New Roman" w:cs="Times New Roman"/>
        </w:rPr>
        <w:t xml:space="preserve"> their</w:t>
      </w:r>
      <w:r w:rsidR="005B4E17" w:rsidRPr="001E1B9C">
        <w:rPr>
          <w:rFonts w:ascii="Times New Roman" w:hAnsi="Times New Roman" w:cs="Times New Roman"/>
        </w:rPr>
        <w:t xml:space="preserve"> proposed</w:t>
      </w:r>
      <w:r w:rsidRPr="001E1B9C">
        <w:rPr>
          <w:rFonts w:ascii="Times New Roman" w:hAnsi="Times New Roman" w:cs="Times New Roman"/>
        </w:rPr>
        <w:t xml:space="preserve"> initiatives, su</w:t>
      </w:r>
      <w:r w:rsidR="006B1D47" w:rsidRPr="001E1B9C">
        <w:rPr>
          <w:rFonts w:ascii="Times New Roman" w:hAnsi="Times New Roman" w:cs="Times New Roman"/>
        </w:rPr>
        <w:t>ch as improving</w:t>
      </w:r>
      <w:r w:rsidRPr="001E1B9C">
        <w:rPr>
          <w:rFonts w:ascii="Times New Roman" w:hAnsi="Times New Roman" w:cs="Times New Roman"/>
        </w:rPr>
        <w:t xml:space="preserve"> evaluation tools and bridging across animal and human studies.</w:t>
      </w:r>
      <w:r w:rsidR="00575D6F" w:rsidRPr="001E1B9C">
        <w:rPr>
          <w:rFonts w:ascii="Times New Roman" w:hAnsi="Times New Roman" w:cs="Times New Roman"/>
          <w:vertAlign w:val="superscript"/>
        </w:rPr>
        <w:t>5</w:t>
      </w:r>
      <w:r w:rsidRPr="001E1B9C">
        <w:rPr>
          <w:rFonts w:ascii="Times New Roman" w:hAnsi="Times New Roman" w:cs="Times New Roman"/>
        </w:rPr>
        <w:t xml:space="preserve"> After this initiative was announced, we started to see a true boom in pharmacometric methods. Modeling and simulation was used to address developmental </w:t>
      </w:r>
      <w:r w:rsidR="005C5731" w:rsidRPr="001E1B9C">
        <w:rPr>
          <w:rFonts w:ascii="Times New Roman" w:hAnsi="Times New Roman" w:cs="Times New Roman"/>
        </w:rPr>
        <w:t>challenges</w:t>
      </w:r>
      <w:r w:rsidRPr="001E1B9C">
        <w:rPr>
          <w:rFonts w:ascii="Times New Roman" w:hAnsi="Times New Roman" w:cs="Times New Roman"/>
        </w:rPr>
        <w:t xml:space="preserve">, such as highly variable PK, </w:t>
      </w:r>
      <w:r w:rsidR="00116A1C" w:rsidRPr="001E1B9C">
        <w:rPr>
          <w:rFonts w:ascii="Times New Roman" w:hAnsi="Times New Roman" w:cs="Times New Roman"/>
        </w:rPr>
        <w:t xml:space="preserve">uncertainty </w:t>
      </w:r>
      <w:r w:rsidR="00FA69E7" w:rsidRPr="001E1B9C">
        <w:rPr>
          <w:rFonts w:ascii="Times New Roman" w:hAnsi="Times New Roman" w:cs="Times New Roman"/>
        </w:rPr>
        <w:t>in</w:t>
      </w:r>
      <w:r w:rsidR="00116A1C" w:rsidRPr="001E1B9C">
        <w:rPr>
          <w:rFonts w:ascii="Times New Roman" w:hAnsi="Times New Roman" w:cs="Times New Roman"/>
        </w:rPr>
        <w:t xml:space="preserve"> dose selection</w:t>
      </w:r>
      <w:r w:rsidRPr="001E1B9C">
        <w:rPr>
          <w:rFonts w:ascii="Times New Roman" w:hAnsi="Times New Roman" w:cs="Times New Roman"/>
        </w:rPr>
        <w:t>, an</w:t>
      </w:r>
      <w:r w:rsidR="00FA69E7" w:rsidRPr="001E1B9C">
        <w:rPr>
          <w:rFonts w:ascii="Times New Roman" w:hAnsi="Times New Roman" w:cs="Times New Roman"/>
        </w:rPr>
        <w:t>d long</w:t>
      </w:r>
      <w:r w:rsidRPr="001E1B9C">
        <w:rPr>
          <w:rFonts w:ascii="Times New Roman" w:hAnsi="Times New Roman" w:cs="Times New Roman"/>
        </w:rPr>
        <w:t xml:space="preserve"> approval</w:t>
      </w:r>
      <w:r w:rsidR="00FA69E7" w:rsidRPr="001E1B9C">
        <w:rPr>
          <w:rFonts w:ascii="Times New Roman" w:hAnsi="Times New Roman" w:cs="Times New Roman"/>
        </w:rPr>
        <w:t xml:space="preserve"> times</w:t>
      </w:r>
      <w:r w:rsidRPr="001E1B9C">
        <w:rPr>
          <w:rFonts w:ascii="Times New Roman" w:hAnsi="Times New Roman" w:cs="Times New Roman"/>
        </w:rPr>
        <w:t xml:space="preserve">. For example, when tacrolimus was studied for its potential therapeutic benefit in ulcerative colitis, its highly variable PK and high trough concentrations in Phase II trials posed a major </w:t>
      </w:r>
      <w:r w:rsidR="005C5731" w:rsidRPr="001E1B9C">
        <w:rPr>
          <w:rFonts w:ascii="Times New Roman" w:hAnsi="Times New Roman" w:cs="Times New Roman"/>
        </w:rPr>
        <w:t xml:space="preserve">hurdle </w:t>
      </w:r>
      <w:r w:rsidRPr="001E1B9C">
        <w:rPr>
          <w:rFonts w:ascii="Times New Roman" w:hAnsi="Times New Roman" w:cs="Times New Roman"/>
        </w:rPr>
        <w:t>to development.</w:t>
      </w:r>
      <w:r w:rsidR="00C920B9" w:rsidRPr="001E1B9C">
        <w:rPr>
          <w:rFonts w:ascii="Times New Roman" w:hAnsi="Times New Roman" w:cs="Times New Roman"/>
          <w:vertAlign w:val="superscript"/>
        </w:rPr>
        <w:t>6,7</w:t>
      </w:r>
      <w:r w:rsidRPr="001E1B9C">
        <w:rPr>
          <w:rFonts w:ascii="Times New Roman" w:hAnsi="Times New Roman" w:cs="Times New Roman"/>
        </w:rPr>
        <w:t xml:space="preserve"> </w:t>
      </w:r>
      <w:r w:rsidR="009C7C9A" w:rsidRPr="001E1B9C">
        <w:rPr>
          <w:rFonts w:ascii="Times New Roman" w:hAnsi="Times New Roman" w:cs="Times New Roman"/>
        </w:rPr>
        <w:t>By using l</w:t>
      </w:r>
      <w:r w:rsidRPr="001E1B9C">
        <w:rPr>
          <w:rFonts w:ascii="Times New Roman" w:hAnsi="Times New Roman" w:cs="Times New Roman"/>
        </w:rPr>
        <w:t>ogistic analys</w:t>
      </w:r>
      <w:r w:rsidR="009C7C9A" w:rsidRPr="001E1B9C">
        <w:rPr>
          <w:rFonts w:ascii="Times New Roman" w:hAnsi="Times New Roman" w:cs="Times New Roman"/>
        </w:rPr>
        <w:t>e</w:t>
      </w:r>
      <w:r w:rsidRPr="001E1B9C">
        <w:rPr>
          <w:rFonts w:ascii="Times New Roman" w:hAnsi="Times New Roman" w:cs="Times New Roman"/>
        </w:rPr>
        <w:t>s of the PK</w:t>
      </w:r>
      <w:r w:rsidR="009C7C9A" w:rsidRPr="001E1B9C">
        <w:rPr>
          <w:rFonts w:ascii="Times New Roman" w:hAnsi="Times New Roman" w:cs="Times New Roman"/>
        </w:rPr>
        <w:t>PD</w:t>
      </w:r>
      <w:r w:rsidRPr="001E1B9C">
        <w:rPr>
          <w:rFonts w:ascii="Times New Roman" w:hAnsi="Times New Roman" w:cs="Times New Roman"/>
        </w:rPr>
        <w:t xml:space="preserve"> relationship</w:t>
      </w:r>
      <w:r w:rsidR="009C7C9A" w:rsidRPr="001E1B9C">
        <w:rPr>
          <w:rFonts w:ascii="Times New Roman" w:hAnsi="Times New Roman" w:cs="Times New Roman"/>
        </w:rPr>
        <w:t xml:space="preserve">, the Sponsor </w:t>
      </w:r>
      <w:r w:rsidRPr="001E1B9C">
        <w:rPr>
          <w:rFonts w:ascii="Times New Roman" w:hAnsi="Times New Roman" w:cs="Times New Roman"/>
        </w:rPr>
        <w:t>demonstrated how trough concentrations were an adequate predictor of response</w:t>
      </w:r>
      <w:r w:rsidR="00F538EF" w:rsidRPr="001E1B9C">
        <w:rPr>
          <w:rFonts w:ascii="Times New Roman" w:hAnsi="Times New Roman" w:cs="Times New Roman"/>
        </w:rPr>
        <w:t xml:space="preserve"> and dose escalation simulations could be performed</w:t>
      </w:r>
      <w:r w:rsidR="004F3071" w:rsidRPr="001E1B9C">
        <w:rPr>
          <w:rFonts w:ascii="Times New Roman" w:hAnsi="Times New Roman" w:cs="Times New Roman"/>
        </w:rPr>
        <w:t>. This</w:t>
      </w:r>
      <w:r w:rsidRPr="001E1B9C">
        <w:rPr>
          <w:rFonts w:ascii="Times New Roman" w:hAnsi="Times New Roman" w:cs="Times New Roman"/>
        </w:rPr>
        <w:t xml:space="preserve"> ultimately</w:t>
      </w:r>
      <w:r w:rsidR="004F3071" w:rsidRPr="001E1B9C">
        <w:rPr>
          <w:rFonts w:ascii="Times New Roman" w:hAnsi="Times New Roman" w:cs="Times New Roman"/>
        </w:rPr>
        <w:t xml:space="preserve"> allowed the Sponsor to justify a Phase III dose </w:t>
      </w:r>
      <w:r w:rsidR="00F538EF" w:rsidRPr="001E1B9C">
        <w:rPr>
          <w:rFonts w:ascii="Times New Roman" w:hAnsi="Times New Roman" w:cs="Times New Roman"/>
        </w:rPr>
        <w:t>in an otherwise unpredictable scenario</w:t>
      </w:r>
      <w:r w:rsidR="00812AF9" w:rsidRPr="001E1B9C">
        <w:rPr>
          <w:rFonts w:ascii="Times New Roman" w:hAnsi="Times New Roman" w:cs="Times New Roman"/>
        </w:rPr>
        <w:t xml:space="preserve">. </w:t>
      </w:r>
      <w:r w:rsidRPr="001E1B9C">
        <w:rPr>
          <w:rFonts w:ascii="Times New Roman" w:hAnsi="Times New Roman" w:cs="Times New Roman"/>
        </w:rPr>
        <w:t>Similarly</w:t>
      </w:r>
      <w:r w:rsidR="00DE2B30" w:rsidRPr="001E1B9C">
        <w:rPr>
          <w:rFonts w:ascii="Times New Roman" w:hAnsi="Times New Roman" w:cs="Times New Roman"/>
        </w:rPr>
        <w:t>,</w:t>
      </w:r>
      <w:r w:rsidR="00D25052" w:rsidRPr="001E1B9C">
        <w:rPr>
          <w:rFonts w:ascii="Times New Roman" w:hAnsi="Times New Roman" w:cs="Times New Roman"/>
        </w:rPr>
        <w:t xml:space="preserve"> during this time</w:t>
      </w:r>
      <w:r w:rsidRPr="001E1B9C">
        <w:rPr>
          <w:rFonts w:ascii="Times New Roman" w:hAnsi="Times New Roman" w:cs="Times New Roman"/>
        </w:rPr>
        <w:t xml:space="preserve"> random-effects models </w:t>
      </w:r>
      <w:r w:rsidR="00694A78" w:rsidRPr="001E1B9C">
        <w:rPr>
          <w:rFonts w:ascii="Times New Roman" w:hAnsi="Times New Roman" w:cs="Times New Roman"/>
        </w:rPr>
        <w:t>started being</w:t>
      </w:r>
      <w:r w:rsidRPr="001E1B9C">
        <w:rPr>
          <w:rFonts w:ascii="Times New Roman" w:hAnsi="Times New Roman" w:cs="Times New Roman"/>
        </w:rPr>
        <w:t xml:space="preserve"> </w:t>
      </w:r>
      <w:r w:rsidR="00130644">
        <w:rPr>
          <w:rFonts w:ascii="Times New Roman" w:hAnsi="Times New Roman" w:cs="Times New Roman"/>
        </w:rPr>
        <w:t>implemented</w:t>
      </w:r>
      <w:r w:rsidRPr="001E1B9C">
        <w:rPr>
          <w:rFonts w:ascii="Times New Roman" w:hAnsi="Times New Roman" w:cs="Times New Roman"/>
        </w:rPr>
        <w:t xml:space="preserve"> to demonstrate the predictability of the</w:t>
      </w:r>
      <w:r w:rsidR="00D1786C" w:rsidRPr="001E1B9C">
        <w:rPr>
          <w:rFonts w:ascii="Times New Roman" w:hAnsi="Times New Roman" w:cs="Times New Roman"/>
        </w:rPr>
        <w:t xml:space="preserve"> exposure-response relationship, such as </w:t>
      </w:r>
      <w:r w:rsidR="005034FD" w:rsidRPr="001E1B9C">
        <w:rPr>
          <w:rFonts w:ascii="Times New Roman" w:hAnsi="Times New Roman" w:cs="Times New Roman"/>
        </w:rPr>
        <w:t>with</w:t>
      </w:r>
      <w:r w:rsidRPr="001E1B9C">
        <w:rPr>
          <w:rFonts w:ascii="Times New Roman" w:hAnsi="Times New Roman" w:cs="Times New Roman"/>
        </w:rPr>
        <w:t xml:space="preserve"> gabapentin</w:t>
      </w:r>
      <w:r w:rsidR="005034FD" w:rsidRPr="001E1B9C">
        <w:rPr>
          <w:rFonts w:ascii="Times New Roman" w:hAnsi="Times New Roman" w:cs="Times New Roman"/>
        </w:rPr>
        <w:t>.</w:t>
      </w:r>
      <w:r w:rsidR="003520D8" w:rsidRPr="001E1B9C">
        <w:rPr>
          <w:rFonts w:ascii="Times New Roman" w:hAnsi="Times New Roman" w:cs="Times New Roman"/>
          <w:vertAlign w:val="superscript"/>
        </w:rPr>
        <w:t>7,8</w:t>
      </w:r>
      <w:r w:rsidR="005034FD" w:rsidRPr="001E1B9C">
        <w:rPr>
          <w:rFonts w:ascii="Times New Roman" w:hAnsi="Times New Roman" w:cs="Times New Roman"/>
        </w:rPr>
        <w:t xml:space="preserve"> These models </w:t>
      </w:r>
      <w:r w:rsidR="00E74989" w:rsidRPr="001E1B9C">
        <w:rPr>
          <w:rFonts w:ascii="Times New Roman" w:hAnsi="Times New Roman" w:cs="Times New Roman"/>
        </w:rPr>
        <w:t>allowed for</w:t>
      </w:r>
      <w:r w:rsidR="005034FD" w:rsidRPr="001E1B9C">
        <w:rPr>
          <w:rFonts w:ascii="Times New Roman" w:hAnsi="Times New Roman" w:cs="Times New Roman"/>
        </w:rPr>
        <w:t xml:space="preserve"> the gabapentin</w:t>
      </w:r>
      <w:r w:rsidRPr="001E1B9C">
        <w:rPr>
          <w:rFonts w:ascii="Times New Roman" w:hAnsi="Times New Roman" w:cs="Times New Roman"/>
        </w:rPr>
        <w:t>-pain score relationship</w:t>
      </w:r>
      <w:r w:rsidR="005034FD" w:rsidRPr="001E1B9C">
        <w:rPr>
          <w:rFonts w:ascii="Times New Roman" w:hAnsi="Times New Roman" w:cs="Times New Roman"/>
        </w:rPr>
        <w:t xml:space="preserve"> to be adequate described</w:t>
      </w:r>
      <w:r w:rsidRPr="001E1B9C">
        <w:rPr>
          <w:rFonts w:ascii="Times New Roman" w:hAnsi="Times New Roman" w:cs="Times New Roman"/>
        </w:rPr>
        <w:t xml:space="preserve">, </w:t>
      </w:r>
      <w:r w:rsidR="00AD5C51" w:rsidRPr="001E1B9C">
        <w:rPr>
          <w:rFonts w:ascii="Times New Roman" w:hAnsi="Times New Roman" w:cs="Times New Roman"/>
        </w:rPr>
        <w:t>avoiding the need for</w:t>
      </w:r>
      <w:r w:rsidRPr="001E1B9C">
        <w:rPr>
          <w:rFonts w:ascii="Times New Roman" w:hAnsi="Times New Roman" w:cs="Times New Roman"/>
        </w:rPr>
        <w:t xml:space="preserve"> </w:t>
      </w:r>
      <w:r w:rsidR="00CD4B20" w:rsidRPr="001E1B9C">
        <w:rPr>
          <w:rFonts w:ascii="Times New Roman" w:hAnsi="Times New Roman" w:cs="Times New Roman"/>
        </w:rPr>
        <w:t xml:space="preserve">replicate trials that would increase the duration </w:t>
      </w:r>
      <w:r w:rsidR="0097176B">
        <w:rPr>
          <w:rFonts w:ascii="Times New Roman" w:hAnsi="Times New Roman" w:cs="Times New Roman"/>
        </w:rPr>
        <w:t>to</w:t>
      </w:r>
      <w:r w:rsidR="00CD4B20" w:rsidRPr="001E1B9C">
        <w:rPr>
          <w:rFonts w:ascii="Times New Roman" w:hAnsi="Times New Roman" w:cs="Times New Roman"/>
        </w:rPr>
        <w:t xml:space="preserve"> approval.</w:t>
      </w:r>
      <w:r w:rsidRPr="001E1B9C">
        <w:rPr>
          <w:rFonts w:ascii="Times New Roman" w:hAnsi="Times New Roman" w:cs="Times New Roman"/>
        </w:rPr>
        <w:t xml:space="preserve"> </w:t>
      </w:r>
      <w:r w:rsidR="00160B10" w:rsidRPr="001E1B9C">
        <w:rPr>
          <w:rFonts w:ascii="Times New Roman" w:hAnsi="Times New Roman" w:cs="Times New Roman"/>
        </w:rPr>
        <w:t xml:space="preserve">A </w:t>
      </w:r>
      <w:r w:rsidR="003F5687" w:rsidRPr="001E1B9C">
        <w:rPr>
          <w:rFonts w:ascii="Times New Roman" w:hAnsi="Times New Roman" w:cs="Times New Roman"/>
        </w:rPr>
        <w:t>comprehensive overview</w:t>
      </w:r>
      <w:r w:rsidR="00160B10" w:rsidRPr="001E1B9C">
        <w:rPr>
          <w:rFonts w:ascii="Times New Roman" w:hAnsi="Times New Roman" w:cs="Times New Roman"/>
        </w:rPr>
        <w:t xml:space="preserve"> </w:t>
      </w:r>
      <w:r w:rsidR="00940326" w:rsidRPr="001E1B9C">
        <w:rPr>
          <w:rFonts w:ascii="Times New Roman" w:hAnsi="Times New Roman" w:cs="Times New Roman"/>
        </w:rPr>
        <w:t xml:space="preserve">of 198 </w:t>
      </w:r>
      <w:r w:rsidR="000B25A3" w:rsidRPr="001E1B9C">
        <w:rPr>
          <w:rFonts w:ascii="Times New Roman" w:hAnsi="Times New Roman" w:cs="Times New Roman"/>
        </w:rPr>
        <w:t xml:space="preserve">other </w:t>
      </w:r>
      <w:r w:rsidR="00940326" w:rsidRPr="001E1B9C">
        <w:rPr>
          <w:rFonts w:ascii="Times New Roman" w:hAnsi="Times New Roman" w:cs="Times New Roman"/>
        </w:rPr>
        <w:t xml:space="preserve">submissions </w:t>
      </w:r>
      <w:r w:rsidR="00160B10" w:rsidRPr="001E1B9C">
        <w:rPr>
          <w:rFonts w:ascii="Times New Roman" w:hAnsi="Times New Roman" w:cs="Times New Roman"/>
        </w:rPr>
        <w:t>during this time period has previously been published.</w:t>
      </w:r>
      <w:r w:rsidR="007D4FBF" w:rsidRPr="001E1B9C">
        <w:rPr>
          <w:rFonts w:ascii="Times New Roman" w:hAnsi="Times New Roman" w:cs="Times New Roman"/>
          <w:vertAlign w:val="superscript"/>
        </w:rPr>
        <w:t>9</w:t>
      </w:r>
      <w:r w:rsidR="00160B10" w:rsidRPr="001E1B9C">
        <w:rPr>
          <w:rFonts w:ascii="Times New Roman" w:hAnsi="Times New Roman" w:cs="Times New Roman"/>
        </w:rPr>
        <w:t xml:space="preserve"> </w:t>
      </w:r>
      <w:r w:rsidR="00A810F4" w:rsidRPr="001E1B9C">
        <w:rPr>
          <w:rFonts w:ascii="Times New Roman" w:hAnsi="Times New Roman" w:cs="Times New Roman"/>
        </w:rPr>
        <w:t xml:space="preserve">By doing so, </w:t>
      </w:r>
      <w:r w:rsidR="003F5687" w:rsidRPr="001E1B9C">
        <w:rPr>
          <w:rFonts w:ascii="Times New Roman" w:hAnsi="Times New Roman" w:cs="Times New Roman"/>
        </w:rPr>
        <w:t>Lee et al.</w:t>
      </w:r>
      <w:r w:rsidR="0011536D" w:rsidRPr="001E1B9C">
        <w:rPr>
          <w:rFonts w:ascii="Times New Roman" w:hAnsi="Times New Roman" w:cs="Times New Roman"/>
        </w:rPr>
        <w:t xml:space="preserve"> </w:t>
      </w:r>
      <w:r w:rsidR="00610A94" w:rsidRPr="001E1B9C">
        <w:rPr>
          <w:rFonts w:ascii="Times New Roman" w:hAnsi="Times New Roman" w:cs="Times New Roman"/>
        </w:rPr>
        <w:t>demonstrate th</w:t>
      </w:r>
      <w:r w:rsidR="0027698F" w:rsidRPr="001E1B9C">
        <w:rPr>
          <w:rFonts w:ascii="Times New Roman" w:hAnsi="Times New Roman" w:cs="Times New Roman"/>
        </w:rPr>
        <w:t>e</w:t>
      </w:r>
      <w:r w:rsidR="00610A94" w:rsidRPr="001E1B9C">
        <w:rPr>
          <w:rFonts w:ascii="Times New Roman" w:hAnsi="Times New Roman" w:cs="Times New Roman"/>
        </w:rPr>
        <w:t xml:space="preserve"> </w:t>
      </w:r>
      <w:r w:rsidR="00940326" w:rsidRPr="001E1B9C">
        <w:rPr>
          <w:rFonts w:ascii="Times New Roman" w:hAnsi="Times New Roman" w:cs="Times New Roman"/>
        </w:rPr>
        <w:t>dramatic increase in</w:t>
      </w:r>
      <w:r w:rsidR="00D65BB8" w:rsidRPr="001E1B9C">
        <w:rPr>
          <w:rFonts w:ascii="Times New Roman" w:hAnsi="Times New Roman" w:cs="Times New Roman"/>
        </w:rPr>
        <w:t xml:space="preserve"> reviews with pharmacometric analyses and </w:t>
      </w:r>
      <w:r w:rsidR="0027698F" w:rsidRPr="001E1B9C">
        <w:rPr>
          <w:rFonts w:ascii="Times New Roman" w:hAnsi="Times New Roman" w:cs="Times New Roman"/>
        </w:rPr>
        <w:t>their</w:t>
      </w:r>
      <w:r w:rsidR="00940326" w:rsidRPr="001E1B9C">
        <w:rPr>
          <w:rFonts w:ascii="Times New Roman" w:hAnsi="Times New Roman" w:cs="Times New Roman"/>
        </w:rPr>
        <w:t xml:space="preserve"> </w:t>
      </w:r>
      <w:r w:rsidR="00D65BB8" w:rsidRPr="001E1B9C">
        <w:rPr>
          <w:rFonts w:ascii="Times New Roman" w:hAnsi="Times New Roman" w:cs="Times New Roman"/>
        </w:rPr>
        <w:t xml:space="preserve">impact on </w:t>
      </w:r>
      <w:r w:rsidR="00940326" w:rsidRPr="001E1B9C">
        <w:rPr>
          <w:rFonts w:ascii="Times New Roman" w:hAnsi="Times New Roman" w:cs="Times New Roman"/>
        </w:rPr>
        <w:t xml:space="preserve">both </w:t>
      </w:r>
      <w:r w:rsidR="00D65BB8" w:rsidRPr="001E1B9C">
        <w:rPr>
          <w:rFonts w:ascii="Times New Roman" w:hAnsi="Times New Roman" w:cs="Times New Roman"/>
        </w:rPr>
        <w:t>approval</w:t>
      </w:r>
      <w:r w:rsidR="00940326" w:rsidRPr="001E1B9C">
        <w:rPr>
          <w:rFonts w:ascii="Times New Roman" w:hAnsi="Times New Roman" w:cs="Times New Roman"/>
        </w:rPr>
        <w:t xml:space="preserve"> and </w:t>
      </w:r>
      <w:r w:rsidR="00D65BB8" w:rsidRPr="001E1B9C">
        <w:rPr>
          <w:rFonts w:ascii="Times New Roman" w:hAnsi="Times New Roman" w:cs="Times New Roman"/>
        </w:rPr>
        <w:t>labelin</w:t>
      </w:r>
      <w:r w:rsidR="0027698F" w:rsidRPr="001E1B9C">
        <w:rPr>
          <w:rFonts w:ascii="Times New Roman" w:hAnsi="Times New Roman" w:cs="Times New Roman"/>
        </w:rPr>
        <w:t>g</w:t>
      </w:r>
      <w:r w:rsidR="00D65BB8" w:rsidRPr="001E1B9C">
        <w:rPr>
          <w:rFonts w:ascii="Times New Roman" w:hAnsi="Times New Roman" w:cs="Times New Roman"/>
        </w:rPr>
        <w:t xml:space="preserve">. </w:t>
      </w:r>
    </w:p>
    <w:p w14:paraId="383FFFCE" w14:textId="6A137582" w:rsidR="00685A90" w:rsidRPr="001E1B9C" w:rsidRDefault="00264502" w:rsidP="00291C1E">
      <w:pPr>
        <w:spacing w:line="360" w:lineRule="auto"/>
        <w:ind w:firstLine="720"/>
        <w:rPr>
          <w:rFonts w:ascii="Times New Roman" w:hAnsi="Times New Roman" w:cs="Times New Roman"/>
        </w:rPr>
      </w:pPr>
      <w:r w:rsidRPr="001E1B9C">
        <w:rPr>
          <w:rFonts w:ascii="Times New Roman" w:hAnsi="Times New Roman" w:cs="Times New Roman"/>
        </w:rPr>
        <w:t xml:space="preserve">In addition to its benefit to </w:t>
      </w:r>
      <w:r w:rsidR="00FE0130" w:rsidRPr="001E1B9C">
        <w:rPr>
          <w:rFonts w:ascii="Times New Roman" w:hAnsi="Times New Roman" w:cs="Times New Roman"/>
        </w:rPr>
        <w:t>industry</w:t>
      </w:r>
      <w:r w:rsidRPr="001E1B9C">
        <w:rPr>
          <w:rFonts w:ascii="Times New Roman" w:hAnsi="Times New Roman" w:cs="Times New Roman"/>
        </w:rPr>
        <w:t>, pharmacometric analyses were</w:t>
      </w:r>
      <w:r w:rsidR="0069291E" w:rsidRPr="001E1B9C">
        <w:rPr>
          <w:rFonts w:ascii="Times New Roman" w:hAnsi="Times New Roman" w:cs="Times New Roman"/>
        </w:rPr>
        <w:t xml:space="preserve"> </w:t>
      </w:r>
      <w:r w:rsidR="002078D5" w:rsidRPr="001E1B9C">
        <w:rPr>
          <w:rFonts w:ascii="Times New Roman" w:hAnsi="Times New Roman" w:cs="Times New Roman"/>
        </w:rPr>
        <w:t>ac</w:t>
      </w:r>
      <w:r w:rsidRPr="001E1B9C">
        <w:rPr>
          <w:rFonts w:ascii="Times New Roman" w:hAnsi="Times New Roman" w:cs="Times New Roman"/>
        </w:rPr>
        <w:t xml:space="preserve">credited for </w:t>
      </w:r>
      <w:r w:rsidR="00C43C22" w:rsidRPr="001E1B9C">
        <w:rPr>
          <w:rFonts w:ascii="Times New Roman" w:hAnsi="Times New Roman" w:cs="Times New Roman"/>
        </w:rPr>
        <w:t>major</w:t>
      </w:r>
      <w:r w:rsidRPr="001E1B9C">
        <w:rPr>
          <w:rFonts w:ascii="Times New Roman" w:hAnsi="Times New Roman" w:cs="Times New Roman"/>
        </w:rPr>
        <w:t xml:space="preserve"> policy changes. </w:t>
      </w:r>
      <w:r w:rsidR="00FF3F76" w:rsidRPr="001E1B9C">
        <w:rPr>
          <w:rFonts w:ascii="Times New Roman" w:hAnsi="Times New Roman" w:cs="Times New Roman"/>
        </w:rPr>
        <w:t>Pharmacometric methods helped</w:t>
      </w:r>
      <w:r w:rsidR="003F6547" w:rsidRPr="001E1B9C">
        <w:rPr>
          <w:rFonts w:ascii="Times New Roman" w:hAnsi="Times New Roman" w:cs="Times New Roman"/>
        </w:rPr>
        <w:t xml:space="preserve"> identify pivotal bioequivalence criteria, compar</w:t>
      </w:r>
      <w:r w:rsidR="00FF3F76" w:rsidRPr="001E1B9C">
        <w:rPr>
          <w:rFonts w:ascii="Times New Roman" w:hAnsi="Times New Roman" w:cs="Times New Roman"/>
        </w:rPr>
        <w:t>e</w:t>
      </w:r>
      <w:r w:rsidR="003F6547" w:rsidRPr="001E1B9C">
        <w:rPr>
          <w:rFonts w:ascii="Times New Roman" w:hAnsi="Times New Roman" w:cs="Times New Roman"/>
        </w:rPr>
        <w:t xml:space="preserve"> recommendations included in FDA Guidances, and evaluat</w:t>
      </w:r>
      <w:r w:rsidR="00FF3F76" w:rsidRPr="001E1B9C">
        <w:rPr>
          <w:rFonts w:ascii="Times New Roman" w:hAnsi="Times New Roman" w:cs="Times New Roman"/>
        </w:rPr>
        <w:t>e</w:t>
      </w:r>
      <w:r w:rsidR="003F6547" w:rsidRPr="001E1B9C">
        <w:rPr>
          <w:rFonts w:ascii="Times New Roman" w:hAnsi="Times New Roman" w:cs="Times New Roman"/>
        </w:rPr>
        <w:t xml:space="preserve"> gold-standard analysis methods against alternatives.</w:t>
      </w:r>
      <w:r w:rsidR="00FF21A6" w:rsidRPr="001E1B9C">
        <w:rPr>
          <w:rFonts w:ascii="Times New Roman" w:hAnsi="Times New Roman" w:cs="Times New Roman"/>
          <w:vertAlign w:val="superscript"/>
        </w:rPr>
        <w:t>10</w:t>
      </w:r>
      <w:r w:rsidR="00FF3F76" w:rsidRPr="001E1B9C">
        <w:rPr>
          <w:rFonts w:ascii="Times New Roman" w:hAnsi="Times New Roman" w:cs="Times New Roman"/>
        </w:rPr>
        <w:t xml:space="preserve"> This </w:t>
      </w:r>
      <w:r w:rsidR="00A54627" w:rsidRPr="001E1B9C">
        <w:rPr>
          <w:rFonts w:ascii="Times New Roman" w:hAnsi="Times New Roman" w:cs="Times New Roman"/>
        </w:rPr>
        <w:t>new reliance by regulators was then further</w:t>
      </w:r>
      <w:r w:rsidR="00FF3F76" w:rsidRPr="001E1B9C">
        <w:rPr>
          <w:rFonts w:ascii="Times New Roman" w:hAnsi="Times New Roman" w:cs="Times New Roman"/>
        </w:rPr>
        <w:t xml:space="preserve"> demonstrated in 2007 when the Division of Pharmacometrics was founded under the Center for Drug Evaluation and Research of the FDA. </w:t>
      </w:r>
      <w:r w:rsidR="00622783" w:rsidRPr="001E1B9C">
        <w:rPr>
          <w:rFonts w:ascii="Times New Roman" w:hAnsi="Times New Roman" w:cs="Times New Roman"/>
        </w:rPr>
        <w:t xml:space="preserve">The expansion </w:t>
      </w:r>
      <w:r w:rsidR="00A85CD5" w:rsidRPr="001E1B9C">
        <w:rPr>
          <w:rFonts w:ascii="Times New Roman" w:hAnsi="Times New Roman" w:cs="Times New Roman"/>
        </w:rPr>
        <w:t>by</w:t>
      </w:r>
      <w:r w:rsidR="00622783" w:rsidRPr="001E1B9C">
        <w:rPr>
          <w:rFonts w:ascii="Times New Roman" w:hAnsi="Times New Roman" w:cs="Times New Roman"/>
        </w:rPr>
        <w:t xml:space="preserve"> the Agency to include this division was </w:t>
      </w:r>
      <w:r w:rsidR="00E200A6">
        <w:rPr>
          <w:rFonts w:ascii="Times New Roman" w:hAnsi="Times New Roman" w:cs="Times New Roman"/>
        </w:rPr>
        <w:t xml:space="preserve">ultimately </w:t>
      </w:r>
      <w:r w:rsidR="00622783" w:rsidRPr="001E1B9C">
        <w:rPr>
          <w:rFonts w:ascii="Times New Roman" w:hAnsi="Times New Roman" w:cs="Times New Roman"/>
        </w:rPr>
        <w:t>motivated by</w:t>
      </w:r>
      <w:r w:rsidR="00FC3B4D" w:rsidRPr="001E1B9C">
        <w:rPr>
          <w:rFonts w:ascii="Times New Roman" w:hAnsi="Times New Roman" w:cs="Times New Roman"/>
        </w:rPr>
        <w:t xml:space="preserve"> this growing number of pharmacometric analyses </w:t>
      </w:r>
      <w:r w:rsidR="00352FB5" w:rsidRPr="001E1B9C">
        <w:rPr>
          <w:rFonts w:ascii="Times New Roman" w:hAnsi="Times New Roman" w:cs="Times New Roman"/>
        </w:rPr>
        <w:t>in submissions</w:t>
      </w:r>
      <w:r w:rsidR="00070F11" w:rsidRPr="001E1B9C">
        <w:rPr>
          <w:rFonts w:ascii="Times New Roman" w:hAnsi="Times New Roman" w:cs="Times New Roman"/>
        </w:rPr>
        <w:t>.</w:t>
      </w:r>
    </w:p>
    <w:p w14:paraId="442BCC32" w14:textId="12B8D43B" w:rsidR="00460E35" w:rsidRPr="001E1B9C" w:rsidRDefault="003031B7" w:rsidP="003031B7">
      <w:pPr>
        <w:spacing w:line="360" w:lineRule="auto"/>
        <w:ind w:firstLine="720"/>
        <w:rPr>
          <w:rFonts w:ascii="Times New Roman" w:hAnsi="Times New Roman" w:cs="Times New Roman"/>
        </w:rPr>
      </w:pPr>
      <w:r w:rsidRPr="001E1B9C">
        <w:rPr>
          <w:rFonts w:ascii="Times New Roman" w:hAnsi="Times New Roman" w:cs="Times New Roman"/>
        </w:rPr>
        <w:t xml:space="preserve">The final major </w:t>
      </w:r>
      <w:r w:rsidR="00C140F7" w:rsidRPr="001E1B9C">
        <w:rPr>
          <w:rFonts w:ascii="Times New Roman" w:hAnsi="Times New Roman" w:cs="Times New Roman"/>
        </w:rPr>
        <w:t>landmark</w:t>
      </w:r>
      <w:r w:rsidRPr="001E1B9C">
        <w:rPr>
          <w:rFonts w:ascii="Times New Roman" w:hAnsi="Times New Roman" w:cs="Times New Roman"/>
        </w:rPr>
        <w:t xml:space="preserve"> during th</w:t>
      </w:r>
      <w:r w:rsidR="00DD0DED" w:rsidRPr="001E1B9C">
        <w:rPr>
          <w:rFonts w:ascii="Times New Roman" w:hAnsi="Times New Roman" w:cs="Times New Roman"/>
        </w:rPr>
        <w:t>is</w:t>
      </w:r>
      <w:r w:rsidRPr="001E1B9C">
        <w:rPr>
          <w:rFonts w:ascii="Times New Roman" w:hAnsi="Times New Roman" w:cs="Times New Roman"/>
        </w:rPr>
        <w:t xml:space="preserve"> phase came i</w:t>
      </w:r>
      <w:r w:rsidR="00685A90" w:rsidRPr="001E1B9C">
        <w:rPr>
          <w:rFonts w:ascii="Times New Roman" w:hAnsi="Times New Roman" w:cs="Times New Roman"/>
        </w:rPr>
        <w:t>n</w:t>
      </w:r>
      <w:r w:rsidR="00291C1E" w:rsidRPr="001E1B9C">
        <w:rPr>
          <w:rFonts w:ascii="Times New Roman" w:hAnsi="Times New Roman" w:cs="Times New Roman"/>
        </w:rPr>
        <w:t xml:space="preserve"> 2008 when the very first American Conference of Pharmacometrics (ACoP) was held.</w:t>
      </w:r>
      <w:r w:rsidR="002324C7" w:rsidRPr="001E1B9C">
        <w:rPr>
          <w:rFonts w:ascii="Times New Roman" w:hAnsi="Times New Roman" w:cs="Times New Roman"/>
          <w:vertAlign w:val="superscript"/>
        </w:rPr>
        <w:t>7</w:t>
      </w:r>
      <w:r w:rsidR="00291C1E" w:rsidRPr="001E1B9C">
        <w:rPr>
          <w:rFonts w:ascii="Times New Roman" w:hAnsi="Times New Roman" w:cs="Times New Roman"/>
        </w:rPr>
        <w:t xml:space="preserve"> The purpose of this meeting was to recognize the need for an established community of pharmacometricians. The opening session was presented by leaders from 4 companies (Bristol-Myers Squibb, Eli Lilly, Novartis, and Pfizer) in which they discussed how model-based methods could be used in drug development.</w:t>
      </w:r>
      <w:r w:rsidR="00291C1E" w:rsidRPr="001E1B9C">
        <w:rPr>
          <w:rFonts w:ascii="Times New Roman" w:hAnsi="Times New Roman" w:cs="Times New Roman"/>
          <w:vertAlign w:val="superscript"/>
        </w:rPr>
        <w:t xml:space="preserve"> </w:t>
      </w:r>
      <w:r w:rsidR="002324C7" w:rsidRPr="001E1B9C">
        <w:rPr>
          <w:rFonts w:ascii="Times New Roman" w:hAnsi="Times New Roman" w:cs="Times New Roman"/>
          <w:vertAlign w:val="superscript"/>
        </w:rPr>
        <w:t>7</w:t>
      </w:r>
      <w:r w:rsidR="00291C1E" w:rsidRPr="001E1B9C">
        <w:rPr>
          <w:rFonts w:ascii="Times New Roman" w:hAnsi="Times New Roman" w:cs="Times New Roman"/>
        </w:rPr>
        <w:t xml:space="preserve"> They focused on how modeling and simulation can provide supporting evidence for key decisions, touching both on prior successes and failures. This was an important moment in </w:t>
      </w:r>
      <w:r w:rsidR="00070F11" w:rsidRPr="001E1B9C">
        <w:rPr>
          <w:rFonts w:ascii="Times New Roman" w:hAnsi="Times New Roman" w:cs="Times New Roman"/>
        </w:rPr>
        <w:t>history because</w:t>
      </w:r>
      <w:r w:rsidR="00291C1E" w:rsidRPr="001E1B9C">
        <w:rPr>
          <w:rFonts w:ascii="Times New Roman" w:hAnsi="Times New Roman" w:cs="Times New Roman"/>
        </w:rPr>
        <w:t xml:space="preserve"> it showed how essential pharmacometric methods had become for many different stakeholders.</w:t>
      </w:r>
    </w:p>
    <w:p w14:paraId="51F3F569" w14:textId="77777777" w:rsidR="00291C1E" w:rsidRPr="001E1B9C" w:rsidRDefault="00291C1E" w:rsidP="00291C1E">
      <w:pPr>
        <w:pStyle w:val="Heading3"/>
        <w:spacing w:line="360" w:lineRule="auto"/>
        <w:rPr>
          <w:rFonts w:ascii="Times New Roman" w:hAnsi="Times New Roman" w:cs="Times New Roman"/>
          <w:i/>
          <w:iCs/>
          <w:color w:val="auto"/>
        </w:rPr>
      </w:pPr>
      <w:r w:rsidRPr="001E1B9C">
        <w:rPr>
          <w:rFonts w:ascii="Times New Roman" w:hAnsi="Times New Roman" w:cs="Times New Roman"/>
          <w:i/>
          <w:iCs/>
          <w:color w:val="auto"/>
        </w:rPr>
        <w:t xml:space="preserve">The Final Phase: Expansion (2010 – Present) </w:t>
      </w:r>
    </w:p>
    <w:p w14:paraId="171AA419" w14:textId="68FCB8F0" w:rsidR="00291C1E" w:rsidRPr="001E1B9C" w:rsidRDefault="00291C1E" w:rsidP="00291C1E">
      <w:pPr>
        <w:pStyle w:val="NoSpacing"/>
        <w:spacing w:line="360" w:lineRule="auto"/>
        <w:rPr>
          <w:rFonts w:ascii="Times New Roman" w:hAnsi="Times New Roman" w:cs="Times New Roman"/>
        </w:rPr>
      </w:pPr>
      <w:r w:rsidRPr="001E1B9C">
        <w:rPr>
          <w:rFonts w:ascii="Times New Roman" w:hAnsi="Times New Roman" w:cs="Times New Roman"/>
        </w:rPr>
        <w:tab/>
        <w:t xml:space="preserve">The observed growth during this final phase revolves around the expansion of pharmacometric </w:t>
      </w:r>
      <w:r w:rsidR="00445807" w:rsidRPr="001E1B9C">
        <w:rPr>
          <w:rFonts w:ascii="Times New Roman" w:hAnsi="Times New Roman" w:cs="Times New Roman"/>
        </w:rPr>
        <w:t xml:space="preserve">capabilities, </w:t>
      </w:r>
      <w:r w:rsidRPr="001E1B9C">
        <w:rPr>
          <w:rFonts w:ascii="Times New Roman" w:hAnsi="Times New Roman" w:cs="Times New Roman"/>
        </w:rPr>
        <w:t>support</w:t>
      </w:r>
      <w:r w:rsidR="00FE6512" w:rsidRPr="001E1B9C">
        <w:rPr>
          <w:rFonts w:ascii="Times New Roman" w:hAnsi="Times New Roman" w:cs="Times New Roman"/>
        </w:rPr>
        <w:t>,</w:t>
      </w:r>
      <w:r w:rsidRPr="001E1B9C">
        <w:rPr>
          <w:rFonts w:ascii="Times New Roman" w:hAnsi="Times New Roman" w:cs="Times New Roman"/>
        </w:rPr>
        <w:t xml:space="preserve"> </w:t>
      </w:r>
      <w:r w:rsidR="00445807" w:rsidRPr="001E1B9C">
        <w:rPr>
          <w:rFonts w:ascii="Times New Roman" w:hAnsi="Times New Roman" w:cs="Times New Roman"/>
        </w:rPr>
        <w:t xml:space="preserve">and </w:t>
      </w:r>
      <w:r w:rsidRPr="001E1B9C">
        <w:rPr>
          <w:rFonts w:ascii="Times New Roman" w:hAnsi="Times New Roman" w:cs="Times New Roman"/>
        </w:rPr>
        <w:t xml:space="preserve">infrastructure. In 2011 the American Society of Pharmacometrics (ASoP) was </w:t>
      </w:r>
      <w:r w:rsidRPr="001E1B9C">
        <w:rPr>
          <w:rFonts w:ascii="Times New Roman" w:hAnsi="Times New Roman" w:cs="Times New Roman"/>
        </w:rPr>
        <w:lastRenderedPageBreak/>
        <w:t>founded to promote and advance the field, later becoming the International Society of Pharmacometrics (ISoP) to reflect its multi-national network.</w:t>
      </w:r>
      <w:r w:rsidR="00A05131" w:rsidRPr="001E1B9C">
        <w:rPr>
          <w:rFonts w:ascii="Times New Roman" w:hAnsi="Times New Roman" w:cs="Times New Roman"/>
          <w:vertAlign w:val="superscript"/>
        </w:rPr>
        <w:t>11</w:t>
      </w:r>
      <w:r w:rsidRPr="001E1B9C">
        <w:rPr>
          <w:rFonts w:ascii="Times New Roman" w:hAnsi="Times New Roman" w:cs="Times New Roman"/>
        </w:rPr>
        <w:t xml:space="preserve"> There was this monumental interest and desire to further the discipline, as signified by the 600 members who joined in the first 6-months</w:t>
      </w:r>
      <w:r w:rsidR="00D40D63" w:rsidRPr="001E1B9C">
        <w:rPr>
          <w:rFonts w:ascii="Times New Roman" w:hAnsi="Times New Roman" w:cs="Times New Roman"/>
        </w:rPr>
        <w:t xml:space="preserve"> of</w:t>
      </w:r>
      <w:r w:rsidR="00740C3E" w:rsidRPr="001E1B9C">
        <w:rPr>
          <w:rFonts w:ascii="Times New Roman" w:hAnsi="Times New Roman" w:cs="Times New Roman"/>
        </w:rPr>
        <w:t xml:space="preserve"> its existence</w:t>
      </w:r>
      <w:r w:rsidRPr="001E1B9C">
        <w:rPr>
          <w:rFonts w:ascii="Times New Roman" w:hAnsi="Times New Roman" w:cs="Times New Roman"/>
        </w:rPr>
        <w:t>. Today, ISoP has over 1000 members from approximately 30 different countries.</w:t>
      </w:r>
      <w:r w:rsidR="001E3DE7" w:rsidRPr="001E1B9C">
        <w:rPr>
          <w:rFonts w:ascii="Times New Roman" w:hAnsi="Times New Roman" w:cs="Times New Roman"/>
          <w:vertAlign w:val="superscript"/>
        </w:rPr>
        <w:t>12</w:t>
      </w:r>
      <w:r w:rsidRPr="001E1B9C">
        <w:rPr>
          <w:rFonts w:ascii="Times New Roman" w:hAnsi="Times New Roman" w:cs="Times New Roman"/>
        </w:rPr>
        <w:t xml:space="preserve"> </w:t>
      </w:r>
      <w:r w:rsidR="00F717AC" w:rsidRPr="001E1B9C">
        <w:rPr>
          <w:rFonts w:ascii="Times New Roman" w:hAnsi="Times New Roman" w:cs="Times New Roman"/>
        </w:rPr>
        <w:t>This organization serve</w:t>
      </w:r>
      <w:r w:rsidR="009C1A55" w:rsidRPr="001E1B9C">
        <w:rPr>
          <w:rFonts w:ascii="Times New Roman" w:hAnsi="Times New Roman" w:cs="Times New Roman"/>
        </w:rPr>
        <w:t>s</w:t>
      </w:r>
      <w:r w:rsidR="00F717AC" w:rsidRPr="001E1B9C">
        <w:rPr>
          <w:rFonts w:ascii="Times New Roman" w:hAnsi="Times New Roman" w:cs="Times New Roman"/>
        </w:rPr>
        <w:t xml:space="preserve"> as a place where </w:t>
      </w:r>
      <w:r w:rsidR="00EC28F1" w:rsidRPr="001E1B9C">
        <w:rPr>
          <w:rFonts w:ascii="Times New Roman" w:hAnsi="Times New Roman" w:cs="Times New Roman"/>
        </w:rPr>
        <w:t xml:space="preserve">pharmacometricians </w:t>
      </w:r>
      <w:r w:rsidR="000A18F8" w:rsidRPr="001E1B9C">
        <w:rPr>
          <w:rFonts w:ascii="Times New Roman" w:hAnsi="Times New Roman" w:cs="Times New Roman"/>
        </w:rPr>
        <w:t>can</w:t>
      </w:r>
      <w:r w:rsidR="00933D4A" w:rsidRPr="001E1B9C">
        <w:rPr>
          <w:rFonts w:ascii="Times New Roman" w:hAnsi="Times New Roman" w:cs="Times New Roman"/>
        </w:rPr>
        <w:t xml:space="preserve"> </w:t>
      </w:r>
      <w:r w:rsidR="00DF0DC3" w:rsidRPr="001E1B9C">
        <w:rPr>
          <w:rFonts w:ascii="Times New Roman" w:hAnsi="Times New Roman" w:cs="Times New Roman"/>
        </w:rPr>
        <w:t>learn, form partnerships, and advocate</w:t>
      </w:r>
      <w:r w:rsidR="0074740F" w:rsidRPr="001E1B9C">
        <w:rPr>
          <w:rFonts w:ascii="Times New Roman" w:hAnsi="Times New Roman" w:cs="Times New Roman"/>
        </w:rPr>
        <w:t xml:space="preserve"> for </w:t>
      </w:r>
      <w:r w:rsidR="00FE7316" w:rsidRPr="001E1B9C">
        <w:rPr>
          <w:rFonts w:ascii="Times New Roman" w:hAnsi="Times New Roman" w:cs="Times New Roman"/>
        </w:rPr>
        <w:t>the discipline</w:t>
      </w:r>
      <w:r w:rsidR="0074740F" w:rsidRPr="001E1B9C">
        <w:rPr>
          <w:rFonts w:ascii="Times New Roman" w:hAnsi="Times New Roman" w:cs="Times New Roman"/>
        </w:rPr>
        <w:t>.</w:t>
      </w:r>
      <w:r w:rsidR="00661C5B" w:rsidRPr="001E1B9C">
        <w:rPr>
          <w:rFonts w:ascii="Times New Roman" w:hAnsi="Times New Roman" w:cs="Times New Roman"/>
        </w:rPr>
        <w:t xml:space="preserve"> Its </w:t>
      </w:r>
      <w:r w:rsidR="007D67C4" w:rsidRPr="001E1B9C">
        <w:rPr>
          <w:rFonts w:ascii="Times New Roman" w:hAnsi="Times New Roman" w:cs="Times New Roman"/>
        </w:rPr>
        <w:t>creation</w:t>
      </w:r>
      <w:r w:rsidR="00661C5B" w:rsidRPr="001E1B9C">
        <w:rPr>
          <w:rFonts w:ascii="Times New Roman" w:hAnsi="Times New Roman" w:cs="Times New Roman"/>
        </w:rPr>
        <w:t xml:space="preserve"> and continu</w:t>
      </w:r>
      <w:r w:rsidR="00EB5742" w:rsidRPr="001E1B9C">
        <w:rPr>
          <w:rFonts w:ascii="Times New Roman" w:hAnsi="Times New Roman" w:cs="Times New Roman"/>
        </w:rPr>
        <w:t>ed</w:t>
      </w:r>
      <w:r w:rsidR="00661C5B" w:rsidRPr="001E1B9C">
        <w:rPr>
          <w:rFonts w:ascii="Times New Roman" w:hAnsi="Times New Roman" w:cs="Times New Roman"/>
        </w:rPr>
        <w:t xml:space="preserve"> growth </w:t>
      </w:r>
      <w:r w:rsidR="00EB5742" w:rsidRPr="001E1B9C">
        <w:rPr>
          <w:rFonts w:ascii="Times New Roman" w:hAnsi="Times New Roman" w:cs="Times New Roman"/>
        </w:rPr>
        <w:t>during this period is a direct reflection of the growing need for well</w:t>
      </w:r>
      <w:r w:rsidR="00F853F2" w:rsidRPr="001E1B9C">
        <w:rPr>
          <w:rFonts w:ascii="Times New Roman" w:hAnsi="Times New Roman" w:cs="Times New Roman"/>
        </w:rPr>
        <w:t>-</w:t>
      </w:r>
      <w:r w:rsidR="00EB5742" w:rsidRPr="001E1B9C">
        <w:rPr>
          <w:rFonts w:ascii="Times New Roman" w:hAnsi="Times New Roman" w:cs="Times New Roman"/>
        </w:rPr>
        <w:t xml:space="preserve">trained pharmacometricians. </w:t>
      </w:r>
      <w:r w:rsidR="003F2CA6" w:rsidRPr="001E1B9C">
        <w:rPr>
          <w:rFonts w:ascii="Times New Roman" w:hAnsi="Times New Roman" w:cs="Times New Roman"/>
        </w:rPr>
        <w:t xml:space="preserve"> </w:t>
      </w:r>
    </w:p>
    <w:p w14:paraId="0CD4E4CA" w14:textId="5AF8C65E" w:rsidR="00B76979" w:rsidRPr="001E1B9C" w:rsidRDefault="00B76979" w:rsidP="00291C1E">
      <w:pPr>
        <w:pStyle w:val="NoSpacing"/>
        <w:spacing w:line="360" w:lineRule="auto"/>
        <w:rPr>
          <w:rFonts w:ascii="Times New Roman" w:hAnsi="Times New Roman" w:cs="Times New Roman"/>
        </w:rPr>
      </w:pPr>
      <w:r w:rsidRPr="001E1B9C">
        <w:rPr>
          <w:rFonts w:ascii="Times New Roman" w:hAnsi="Times New Roman" w:cs="Times New Roman"/>
        </w:rPr>
        <w:tab/>
        <w:t xml:space="preserve">The expansion of pharmacometrics for other stakeholders, including regulatory agencies, has followed a similar trend. </w:t>
      </w:r>
      <w:r w:rsidR="00CE7667" w:rsidRPr="001E1B9C">
        <w:rPr>
          <w:rFonts w:ascii="Times New Roman" w:hAnsi="Times New Roman" w:cs="Times New Roman"/>
        </w:rPr>
        <w:t>One major contribution was the FDA’s</w:t>
      </w:r>
      <w:r w:rsidRPr="001E1B9C">
        <w:rPr>
          <w:rFonts w:ascii="Times New Roman" w:hAnsi="Times New Roman" w:cs="Times New Roman"/>
        </w:rPr>
        <w:t xml:space="preserve"> Model-informed drug development (MIDD) Paired Meeting Pilot program.</w:t>
      </w:r>
      <w:r w:rsidR="00182B32" w:rsidRPr="001E1B9C">
        <w:rPr>
          <w:rFonts w:ascii="Times New Roman" w:hAnsi="Times New Roman" w:cs="Times New Roman"/>
          <w:vertAlign w:val="superscript"/>
        </w:rPr>
        <w:t>13</w:t>
      </w:r>
      <w:r w:rsidRPr="001E1B9C">
        <w:rPr>
          <w:rFonts w:ascii="Times New Roman" w:hAnsi="Times New Roman" w:cs="Times New Roman"/>
        </w:rPr>
        <w:t xml:space="preserve"> </w:t>
      </w:r>
      <w:r w:rsidR="00290C1D" w:rsidRPr="001E1B9C">
        <w:rPr>
          <w:rFonts w:ascii="Times New Roman" w:hAnsi="Times New Roman" w:cs="Times New Roman"/>
        </w:rPr>
        <w:t>The purpose of this pilot was to promote the use of exposure-based, biological, and statistical models during the development and review process</w:t>
      </w:r>
      <w:r w:rsidR="00CE7667" w:rsidRPr="001E1B9C">
        <w:rPr>
          <w:rFonts w:ascii="Times New Roman" w:hAnsi="Times New Roman" w:cs="Times New Roman"/>
        </w:rPr>
        <w:t>.</w:t>
      </w:r>
      <w:r w:rsidR="00253BC0" w:rsidRPr="001E1B9C">
        <w:rPr>
          <w:rFonts w:ascii="Times New Roman" w:hAnsi="Times New Roman" w:cs="Times New Roman"/>
        </w:rPr>
        <w:t xml:space="preserve"> The MIDD Meeting Program information page states</w:t>
      </w:r>
      <w:r w:rsidR="00C21279" w:rsidRPr="001E1B9C">
        <w:rPr>
          <w:rFonts w:ascii="Times New Roman" w:hAnsi="Times New Roman" w:cs="Times New Roman"/>
        </w:rPr>
        <w:t xml:space="preserve"> </w:t>
      </w:r>
      <w:r w:rsidR="00AA36D9" w:rsidRPr="001E1B9C">
        <w:rPr>
          <w:rFonts w:ascii="Times New Roman" w:hAnsi="Times New Roman" w:cs="Times New Roman"/>
        </w:rPr>
        <w:t>that,</w:t>
      </w:r>
      <w:r w:rsidR="00253BC0" w:rsidRPr="001E1B9C">
        <w:rPr>
          <w:rFonts w:ascii="Times New Roman" w:hAnsi="Times New Roman" w:cs="Times New Roman"/>
        </w:rPr>
        <w:t xml:space="preserve"> “</w:t>
      </w:r>
      <w:r w:rsidR="00B21BE0" w:rsidRPr="001E1B9C">
        <w:rPr>
          <w:rFonts w:ascii="Times New Roman" w:hAnsi="Times New Roman" w:cs="Times New Roman"/>
        </w:rPr>
        <w:t>MIDD approaches can improve clinical trial efficiency, increase the probability of regulatory success, and optimize drug dosing/therapeutic individualization in the absence of dedicated trials</w:t>
      </w:r>
      <w:r w:rsidR="00BB5495" w:rsidRPr="001E1B9C">
        <w:rPr>
          <w:rFonts w:ascii="Times New Roman" w:hAnsi="Times New Roman" w:cs="Times New Roman"/>
        </w:rPr>
        <w:t>”.</w:t>
      </w:r>
      <w:r w:rsidR="00137CB2" w:rsidRPr="001E1B9C">
        <w:rPr>
          <w:rFonts w:ascii="Times New Roman" w:hAnsi="Times New Roman" w:cs="Times New Roman"/>
          <w:vertAlign w:val="superscript"/>
        </w:rPr>
        <w:t xml:space="preserve"> </w:t>
      </w:r>
      <w:r w:rsidR="00182B32" w:rsidRPr="001E1B9C">
        <w:rPr>
          <w:rFonts w:ascii="Times New Roman" w:hAnsi="Times New Roman" w:cs="Times New Roman"/>
          <w:vertAlign w:val="superscript"/>
        </w:rPr>
        <w:t>13</w:t>
      </w:r>
      <w:r w:rsidR="00A9250C" w:rsidRPr="001E1B9C">
        <w:rPr>
          <w:rFonts w:ascii="Times New Roman" w:hAnsi="Times New Roman" w:cs="Times New Roman"/>
        </w:rPr>
        <w:t xml:space="preserve"> The motivations and applications of this program</w:t>
      </w:r>
      <w:r w:rsidR="005E52E4" w:rsidRPr="001E1B9C">
        <w:rPr>
          <w:rFonts w:ascii="Times New Roman" w:hAnsi="Times New Roman" w:cs="Times New Roman"/>
        </w:rPr>
        <w:t xml:space="preserve"> truly</w:t>
      </w:r>
      <w:r w:rsidR="00A9250C" w:rsidRPr="001E1B9C">
        <w:rPr>
          <w:rFonts w:ascii="Times New Roman" w:hAnsi="Times New Roman" w:cs="Times New Roman"/>
        </w:rPr>
        <w:t xml:space="preserve"> highlight how we have now </w:t>
      </w:r>
      <w:r w:rsidR="00085933" w:rsidRPr="001E1B9C">
        <w:rPr>
          <w:rFonts w:ascii="Times New Roman" w:hAnsi="Times New Roman" w:cs="Times New Roman"/>
        </w:rPr>
        <w:t xml:space="preserve">expanded </w:t>
      </w:r>
      <w:r w:rsidR="002C431E" w:rsidRPr="001E1B9C">
        <w:rPr>
          <w:rFonts w:ascii="Times New Roman" w:hAnsi="Times New Roman" w:cs="Times New Roman"/>
        </w:rPr>
        <w:t>pharmacometric applications</w:t>
      </w:r>
      <w:r w:rsidR="00B26B6B" w:rsidRPr="001E1B9C">
        <w:rPr>
          <w:rFonts w:ascii="Times New Roman" w:hAnsi="Times New Roman" w:cs="Times New Roman"/>
        </w:rPr>
        <w:t xml:space="preserve"> from</w:t>
      </w:r>
      <w:r w:rsidR="00292899" w:rsidRPr="001E1B9C">
        <w:rPr>
          <w:rFonts w:ascii="Times New Roman" w:hAnsi="Times New Roman" w:cs="Times New Roman"/>
        </w:rPr>
        <w:t xml:space="preserve"> just</w:t>
      </w:r>
      <w:r w:rsidR="00B26B6B" w:rsidRPr="001E1B9C">
        <w:rPr>
          <w:rFonts w:ascii="Times New Roman" w:hAnsi="Times New Roman" w:cs="Times New Roman"/>
        </w:rPr>
        <w:t xml:space="preserve"> improving clinical trials to supplementing them all together.</w:t>
      </w:r>
      <w:r w:rsidR="00CE7667" w:rsidRPr="001E1B9C">
        <w:rPr>
          <w:rFonts w:ascii="Times New Roman" w:hAnsi="Times New Roman" w:cs="Times New Roman"/>
        </w:rPr>
        <w:t xml:space="preserve"> </w:t>
      </w:r>
      <w:r w:rsidRPr="001E1B9C">
        <w:rPr>
          <w:rFonts w:ascii="Times New Roman" w:hAnsi="Times New Roman" w:cs="Times New Roman"/>
        </w:rPr>
        <w:t xml:space="preserve">This </w:t>
      </w:r>
      <w:r w:rsidR="006F78F4" w:rsidRPr="001E1B9C">
        <w:rPr>
          <w:rFonts w:ascii="Times New Roman" w:hAnsi="Times New Roman" w:cs="Times New Roman"/>
        </w:rPr>
        <w:t>proved to be</w:t>
      </w:r>
      <w:r w:rsidR="002005AD" w:rsidRPr="001E1B9C">
        <w:rPr>
          <w:rFonts w:ascii="Times New Roman" w:hAnsi="Times New Roman" w:cs="Times New Roman"/>
        </w:rPr>
        <w:t xml:space="preserve"> overtly</w:t>
      </w:r>
      <w:r w:rsidR="006F78F4" w:rsidRPr="001E1B9C">
        <w:rPr>
          <w:rFonts w:ascii="Times New Roman" w:hAnsi="Times New Roman" w:cs="Times New Roman"/>
        </w:rPr>
        <w:t xml:space="preserve"> successful, and as a result it has</w:t>
      </w:r>
      <w:r w:rsidRPr="001E1B9C">
        <w:rPr>
          <w:rFonts w:ascii="Times New Roman" w:hAnsi="Times New Roman" w:cs="Times New Roman"/>
        </w:rPr>
        <w:t xml:space="preserve"> now </w:t>
      </w:r>
      <w:r w:rsidR="006F78F4" w:rsidRPr="001E1B9C">
        <w:rPr>
          <w:rFonts w:ascii="Times New Roman" w:hAnsi="Times New Roman" w:cs="Times New Roman"/>
        </w:rPr>
        <w:t>transition into a permanent program</w:t>
      </w:r>
      <w:r w:rsidR="0071605D" w:rsidRPr="001E1B9C">
        <w:rPr>
          <w:rFonts w:ascii="Times New Roman" w:hAnsi="Times New Roman" w:cs="Times New Roman"/>
        </w:rPr>
        <w:t xml:space="preserve">. </w:t>
      </w:r>
    </w:p>
    <w:p w14:paraId="39509234" w14:textId="03D7EAD2" w:rsidR="00C720D2" w:rsidRDefault="00291C1E" w:rsidP="00C720D2">
      <w:pPr>
        <w:pStyle w:val="NoSpacing"/>
        <w:spacing w:line="360" w:lineRule="auto"/>
        <w:ind w:firstLine="720"/>
        <w:rPr>
          <w:rFonts w:ascii="Times New Roman" w:hAnsi="Times New Roman" w:cs="Times New Roman"/>
        </w:rPr>
      </w:pPr>
      <w:r w:rsidRPr="001E1B9C">
        <w:rPr>
          <w:rFonts w:ascii="Times New Roman" w:hAnsi="Times New Roman" w:cs="Times New Roman"/>
        </w:rPr>
        <w:t xml:space="preserve">Not only has the pharmacometric infrastructure expanded, but so has its </w:t>
      </w:r>
      <w:r w:rsidR="005165B7" w:rsidRPr="001E1B9C">
        <w:rPr>
          <w:rFonts w:ascii="Times New Roman" w:hAnsi="Times New Roman" w:cs="Times New Roman"/>
        </w:rPr>
        <w:t>utility</w:t>
      </w:r>
      <w:r w:rsidRPr="001E1B9C">
        <w:rPr>
          <w:rFonts w:ascii="Times New Roman" w:hAnsi="Times New Roman" w:cs="Times New Roman"/>
        </w:rPr>
        <w:t xml:space="preserve">. </w:t>
      </w:r>
      <w:r w:rsidR="00C43795" w:rsidRPr="001E1B9C">
        <w:rPr>
          <w:rFonts w:ascii="Times New Roman" w:hAnsi="Times New Roman" w:cs="Times New Roman"/>
        </w:rPr>
        <w:t>Prior to this point we</w:t>
      </w:r>
      <w:r w:rsidR="004970A9" w:rsidRPr="001E1B9C">
        <w:rPr>
          <w:rFonts w:ascii="Times New Roman" w:hAnsi="Times New Roman" w:cs="Times New Roman"/>
        </w:rPr>
        <w:t xml:space="preserve"> had limited ability to address</w:t>
      </w:r>
      <w:r w:rsidR="000E5CD4" w:rsidRPr="001E1B9C">
        <w:rPr>
          <w:rFonts w:ascii="Times New Roman" w:hAnsi="Times New Roman" w:cs="Times New Roman"/>
        </w:rPr>
        <w:t xml:space="preserve"> </w:t>
      </w:r>
      <w:r w:rsidR="001903B3" w:rsidRPr="001E1B9C">
        <w:rPr>
          <w:rFonts w:ascii="Times New Roman" w:hAnsi="Times New Roman" w:cs="Times New Roman"/>
        </w:rPr>
        <w:t>more</w:t>
      </w:r>
      <w:r w:rsidR="00F0467A" w:rsidRPr="001E1B9C">
        <w:rPr>
          <w:rFonts w:ascii="Times New Roman" w:hAnsi="Times New Roman" w:cs="Times New Roman"/>
        </w:rPr>
        <w:t xml:space="preserve"> </w:t>
      </w:r>
      <w:r w:rsidR="007F50FD" w:rsidRPr="001E1B9C">
        <w:rPr>
          <w:rFonts w:ascii="Times New Roman" w:hAnsi="Times New Roman" w:cs="Times New Roman"/>
        </w:rPr>
        <w:t>complicated</w:t>
      </w:r>
      <w:r w:rsidR="00321A0D" w:rsidRPr="001E1B9C">
        <w:rPr>
          <w:rFonts w:ascii="Times New Roman" w:hAnsi="Times New Roman" w:cs="Times New Roman"/>
        </w:rPr>
        <w:t xml:space="preserve"> </w:t>
      </w:r>
      <w:r w:rsidR="004970A9" w:rsidRPr="001E1B9C">
        <w:rPr>
          <w:rFonts w:ascii="Times New Roman" w:hAnsi="Times New Roman" w:cs="Times New Roman"/>
        </w:rPr>
        <w:t>issues</w:t>
      </w:r>
      <w:r w:rsidR="000E5CD4" w:rsidRPr="001E1B9C">
        <w:rPr>
          <w:rFonts w:ascii="Times New Roman" w:hAnsi="Times New Roman" w:cs="Times New Roman"/>
        </w:rPr>
        <w:t xml:space="preserve">, </w:t>
      </w:r>
      <w:r w:rsidR="007F50FD" w:rsidRPr="001E1B9C">
        <w:rPr>
          <w:rFonts w:ascii="Times New Roman" w:hAnsi="Times New Roman" w:cs="Times New Roman"/>
        </w:rPr>
        <w:t>such as with</w:t>
      </w:r>
      <w:r w:rsidR="009F0D80" w:rsidRPr="001E1B9C">
        <w:rPr>
          <w:rFonts w:ascii="Times New Roman" w:hAnsi="Times New Roman" w:cs="Times New Roman"/>
        </w:rPr>
        <w:t xml:space="preserve"> special populations and rare diseases.</w:t>
      </w:r>
      <w:r w:rsidR="00C43795" w:rsidRPr="001E1B9C">
        <w:rPr>
          <w:rFonts w:ascii="Times New Roman" w:hAnsi="Times New Roman" w:cs="Times New Roman"/>
        </w:rPr>
        <w:t xml:space="preserve"> </w:t>
      </w:r>
      <w:r w:rsidRPr="001E1B9C">
        <w:rPr>
          <w:rFonts w:ascii="Times New Roman" w:hAnsi="Times New Roman" w:cs="Times New Roman"/>
        </w:rPr>
        <w:t xml:space="preserve">New and revived techniques, </w:t>
      </w:r>
      <w:r w:rsidR="004731C6" w:rsidRPr="001E1B9C">
        <w:rPr>
          <w:rFonts w:ascii="Times New Roman" w:hAnsi="Times New Roman" w:cs="Times New Roman"/>
        </w:rPr>
        <w:t>including</w:t>
      </w:r>
      <w:r w:rsidRPr="001E1B9C">
        <w:rPr>
          <w:rFonts w:ascii="Times New Roman" w:hAnsi="Times New Roman" w:cs="Times New Roman"/>
        </w:rPr>
        <w:t xml:space="preserve"> quantitative systems pharmacology (QSP)</w:t>
      </w:r>
      <w:r w:rsidR="003139A0" w:rsidRPr="001E1B9C">
        <w:rPr>
          <w:rFonts w:ascii="Times New Roman" w:hAnsi="Times New Roman" w:cs="Times New Roman"/>
        </w:rPr>
        <w:t xml:space="preserve">, </w:t>
      </w:r>
      <w:r w:rsidRPr="001E1B9C">
        <w:rPr>
          <w:rFonts w:ascii="Times New Roman" w:hAnsi="Times New Roman" w:cs="Times New Roman"/>
        </w:rPr>
        <w:t>physiologically-based PK (PBPK) modeling,</w:t>
      </w:r>
      <w:r w:rsidR="003139A0" w:rsidRPr="001E1B9C">
        <w:rPr>
          <w:rFonts w:ascii="Times New Roman" w:hAnsi="Times New Roman" w:cs="Times New Roman"/>
        </w:rPr>
        <w:t xml:space="preserve"> model-based </w:t>
      </w:r>
      <w:r w:rsidR="004B1D3B" w:rsidRPr="001E1B9C">
        <w:rPr>
          <w:rFonts w:ascii="Times New Roman" w:hAnsi="Times New Roman" w:cs="Times New Roman"/>
        </w:rPr>
        <w:t>meta-analysis</w:t>
      </w:r>
      <w:r w:rsidR="003139A0" w:rsidRPr="001E1B9C">
        <w:rPr>
          <w:rFonts w:ascii="Times New Roman" w:hAnsi="Times New Roman" w:cs="Times New Roman"/>
        </w:rPr>
        <w:t xml:space="preserve"> (MBMA), Bayesian statistics, and machine learning (ML)</w:t>
      </w:r>
      <w:r w:rsidR="004731C6" w:rsidRPr="001E1B9C">
        <w:rPr>
          <w:rFonts w:ascii="Times New Roman" w:hAnsi="Times New Roman" w:cs="Times New Roman"/>
        </w:rPr>
        <w:t xml:space="preserve">, </w:t>
      </w:r>
      <w:r w:rsidRPr="001E1B9C">
        <w:rPr>
          <w:rFonts w:ascii="Times New Roman" w:hAnsi="Times New Roman" w:cs="Times New Roman"/>
        </w:rPr>
        <w:t xml:space="preserve">have </w:t>
      </w:r>
      <w:r w:rsidR="00886107" w:rsidRPr="001E1B9C">
        <w:rPr>
          <w:rFonts w:ascii="Times New Roman" w:hAnsi="Times New Roman" w:cs="Times New Roman"/>
        </w:rPr>
        <w:t xml:space="preserve">each </w:t>
      </w:r>
      <w:r w:rsidRPr="001E1B9C">
        <w:rPr>
          <w:rFonts w:ascii="Times New Roman" w:hAnsi="Times New Roman" w:cs="Times New Roman"/>
        </w:rPr>
        <w:t>been</w:t>
      </w:r>
      <w:r w:rsidR="00886107" w:rsidRPr="001E1B9C">
        <w:rPr>
          <w:rFonts w:ascii="Times New Roman" w:hAnsi="Times New Roman" w:cs="Times New Roman"/>
        </w:rPr>
        <w:t xml:space="preserve"> explored</w:t>
      </w:r>
      <w:r w:rsidRPr="001E1B9C">
        <w:rPr>
          <w:rFonts w:ascii="Times New Roman" w:hAnsi="Times New Roman" w:cs="Times New Roman"/>
        </w:rPr>
        <w:t xml:space="preserve"> to</w:t>
      </w:r>
      <w:r w:rsidR="00B06B9F" w:rsidRPr="001E1B9C">
        <w:rPr>
          <w:rFonts w:ascii="Times New Roman" w:hAnsi="Times New Roman" w:cs="Times New Roman"/>
        </w:rPr>
        <w:t xml:space="preserve"> </w:t>
      </w:r>
      <w:r w:rsidR="00BB3797" w:rsidRPr="001E1B9C">
        <w:rPr>
          <w:rFonts w:ascii="Times New Roman" w:hAnsi="Times New Roman" w:cs="Times New Roman"/>
        </w:rPr>
        <w:t>address these</w:t>
      </w:r>
      <w:r w:rsidR="003D127C">
        <w:rPr>
          <w:rFonts w:ascii="Times New Roman" w:hAnsi="Times New Roman" w:cs="Times New Roman"/>
        </w:rPr>
        <w:t xml:space="preserve"> challenges</w:t>
      </w:r>
      <w:r w:rsidRPr="001E1B9C">
        <w:rPr>
          <w:rFonts w:ascii="Times New Roman" w:hAnsi="Times New Roman" w:cs="Times New Roman"/>
        </w:rPr>
        <w:t xml:space="preserve">. </w:t>
      </w:r>
      <w:r w:rsidR="00356071" w:rsidRPr="001E1B9C">
        <w:rPr>
          <w:rFonts w:ascii="Times New Roman" w:hAnsi="Times New Roman" w:cs="Times New Roman"/>
        </w:rPr>
        <w:t xml:space="preserve">For example, </w:t>
      </w:r>
      <w:r w:rsidR="0040109B" w:rsidRPr="001E1B9C">
        <w:rPr>
          <w:rFonts w:ascii="Times New Roman" w:hAnsi="Times New Roman" w:cs="Times New Roman"/>
        </w:rPr>
        <w:t>Bayesian borrowing has</w:t>
      </w:r>
      <w:r w:rsidR="00D064CB" w:rsidRPr="001E1B9C">
        <w:rPr>
          <w:rFonts w:ascii="Times New Roman" w:hAnsi="Times New Roman" w:cs="Times New Roman"/>
        </w:rPr>
        <w:t xml:space="preserve"> supplemented</w:t>
      </w:r>
      <w:r w:rsidR="00473A54" w:rsidRPr="001E1B9C">
        <w:rPr>
          <w:rFonts w:ascii="Times New Roman" w:hAnsi="Times New Roman" w:cs="Times New Roman"/>
        </w:rPr>
        <w:t xml:space="preserve"> statistical evidence in the case of pediatric rare disease</w:t>
      </w:r>
      <w:r w:rsidR="00D064CB" w:rsidRPr="001E1B9C">
        <w:rPr>
          <w:rFonts w:ascii="Times New Roman" w:hAnsi="Times New Roman" w:cs="Times New Roman"/>
        </w:rPr>
        <w:t xml:space="preserve"> trial</w:t>
      </w:r>
      <w:r w:rsidR="00B6305D" w:rsidRPr="001E1B9C">
        <w:rPr>
          <w:rFonts w:ascii="Times New Roman" w:hAnsi="Times New Roman" w:cs="Times New Roman"/>
        </w:rPr>
        <w:t>s</w:t>
      </w:r>
      <w:r w:rsidR="00473A54" w:rsidRPr="001E1B9C">
        <w:rPr>
          <w:rFonts w:ascii="Times New Roman" w:hAnsi="Times New Roman" w:cs="Times New Roman"/>
        </w:rPr>
        <w:t xml:space="preserve"> where </w:t>
      </w:r>
      <w:r w:rsidR="00196E14" w:rsidRPr="001E1B9C">
        <w:rPr>
          <w:rFonts w:ascii="Times New Roman" w:hAnsi="Times New Roman" w:cs="Times New Roman"/>
        </w:rPr>
        <w:t xml:space="preserve">sample size is </w:t>
      </w:r>
      <w:r w:rsidR="00BF41BC" w:rsidRPr="001E1B9C">
        <w:rPr>
          <w:rFonts w:ascii="Times New Roman" w:hAnsi="Times New Roman" w:cs="Times New Roman"/>
        </w:rPr>
        <w:t xml:space="preserve">highly </w:t>
      </w:r>
      <w:r w:rsidR="00196E14" w:rsidRPr="001E1B9C">
        <w:rPr>
          <w:rFonts w:ascii="Times New Roman" w:hAnsi="Times New Roman" w:cs="Times New Roman"/>
        </w:rPr>
        <w:t>limited</w:t>
      </w:r>
      <w:r w:rsidR="00473A54" w:rsidRPr="001E1B9C">
        <w:rPr>
          <w:rFonts w:ascii="Times New Roman" w:hAnsi="Times New Roman" w:cs="Times New Roman"/>
        </w:rPr>
        <w:t>.</w:t>
      </w:r>
      <w:r w:rsidR="008C7E19" w:rsidRPr="001E1B9C">
        <w:rPr>
          <w:rFonts w:ascii="Times New Roman" w:hAnsi="Times New Roman" w:cs="Times New Roman"/>
          <w:vertAlign w:val="superscript"/>
        </w:rPr>
        <w:t>14</w:t>
      </w:r>
      <w:r w:rsidR="00473A54" w:rsidRPr="001E1B9C">
        <w:rPr>
          <w:rFonts w:ascii="Times New Roman" w:hAnsi="Times New Roman" w:cs="Times New Roman"/>
        </w:rPr>
        <w:t xml:space="preserve"> </w:t>
      </w:r>
      <w:r w:rsidRPr="001E1B9C">
        <w:rPr>
          <w:rFonts w:ascii="Times New Roman" w:hAnsi="Times New Roman" w:cs="Times New Roman"/>
        </w:rPr>
        <w:t>PBPK has been widely used to assess drug-drug interaction potential based on both in vitro and in vivo observations</w:t>
      </w:r>
      <w:r w:rsidR="005F672B" w:rsidRPr="001E1B9C">
        <w:rPr>
          <w:rFonts w:ascii="Times New Roman" w:hAnsi="Times New Roman" w:cs="Times New Roman"/>
        </w:rPr>
        <w:t>.</w:t>
      </w:r>
      <w:r w:rsidR="00556A3F" w:rsidRPr="001E1B9C">
        <w:rPr>
          <w:rFonts w:ascii="Times New Roman" w:hAnsi="Times New Roman" w:cs="Times New Roman"/>
          <w:vertAlign w:val="superscript"/>
        </w:rPr>
        <w:t>15</w:t>
      </w:r>
      <w:r w:rsidRPr="001E1B9C">
        <w:rPr>
          <w:rFonts w:ascii="Times New Roman" w:hAnsi="Times New Roman" w:cs="Times New Roman"/>
        </w:rPr>
        <w:t xml:space="preserve"> QSP has been assessed for its ability to better understand conditions related to medical countermeasures and predict the pharmacological response of medications unable to be tested in humans.</w:t>
      </w:r>
      <w:r w:rsidR="0078609D" w:rsidRPr="001E1B9C">
        <w:rPr>
          <w:rFonts w:ascii="Times New Roman" w:hAnsi="Times New Roman" w:cs="Times New Roman"/>
          <w:vertAlign w:val="superscript"/>
        </w:rPr>
        <w:t>16</w:t>
      </w:r>
      <w:r w:rsidRPr="001E1B9C">
        <w:rPr>
          <w:rFonts w:ascii="Times New Roman" w:hAnsi="Times New Roman" w:cs="Times New Roman"/>
        </w:rPr>
        <w:t xml:space="preserve"> </w:t>
      </w:r>
      <w:r w:rsidR="002D5EF3" w:rsidRPr="001E1B9C">
        <w:rPr>
          <w:rFonts w:ascii="Times New Roman" w:hAnsi="Times New Roman" w:cs="Times New Roman"/>
        </w:rPr>
        <w:t xml:space="preserve">Most all </w:t>
      </w:r>
      <w:r w:rsidR="003139A0" w:rsidRPr="001E1B9C">
        <w:rPr>
          <w:rFonts w:ascii="Times New Roman" w:hAnsi="Times New Roman" w:cs="Times New Roman"/>
        </w:rPr>
        <w:t>of these</w:t>
      </w:r>
      <w:r w:rsidRPr="001E1B9C">
        <w:rPr>
          <w:rFonts w:ascii="Times New Roman" w:hAnsi="Times New Roman" w:cs="Times New Roman"/>
        </w:rPr>
        <w:t xml:space="preserve"> approaches have been leveraged to support dosing recommendations in the case of </w:t>
      </w:r>
      <w:r w:rsidR="00AB4918" w:rsidRPr="001E1B9C">
        <w:rPr>
          <w:rFonts w:ascii="Times New Roman" w:hAnsi="Times New Roman" w:cs="Times New Roman"/>
        </w:rPr>
        <w:t>underserved populations</w:t>
      </w:r>
      <w:r w:rsidR="00400475" w:rsidRPr="001E1B9C">
        <w:rPr>
          <w:rFonts w:ascii="Times New Roman" w:hAnsi="Times New Roman" w:cs="Times New Roman"/>
        </w:rPr>
        <w:t>.</w:t>
      </w:r>
      <w:r w:rsidRPr="001E1B9C">
        <w:rPr>
          <w:rFonts w:ascii="Times New Roman" w:hAnsi="Times New Roman" w:cs="Times New Roman"/>
        </w:rPr>
        <w:t xml:space="preserve"> There is an abundance of new techniques such as these, each revealing the exponential growth of pharmacometrics over the last 10 years.</w:t>
      </w:r>
    </w:p>
    <w:p w14:paraId="2E7D0075" w14:textId="77777777" w:rsidR="00C720D2" w:rsidRDefault="00C720D2" w:rsidP="00C720D2">
      <w:pPr>
        <w:pStyle w:val="NoSpacing"/>
        <w:spacing w:line="360" w:lineRule="auto"/>
        <w:ind w:firstLine="720"/>
        <w:rPr>
          <w:rFonts w:ascii="Times New Roman" w:hAnsi="Times New Roman" w:cs="Times New Roman"/>
        </w:rPr>
      </w:pPr>
    </w:p>
    <w:p w14:paraId="42239BD8" w14:textId="1154DC4B" w:rsidR="00E24C19" w:rsidRPr="00C720D2" w:rsidRDefault="00E24C19" w:rsidP="00C720D2">
      <w:pPr>
        <w:pStyle w:val="Heading2"/>
        <w:spacing w:after="240"/>
        <w:rPr>
          <w:rFonts w:ascii="Times New Roman" w:hAnsi="Times New Roman" w:cs="Times New Roman"/>
          <w:color w:val="auto"/>
        </w:rPr>
      </w:pPr>
      <w:r w:rsidRPr="00C720D2">
        <w:rPr>
          <w:rFonts w:ascii="Times New Roman" w:hAnsi="Times New Roman" w:cs="Times New Roman"/>
          <w:color w:val="auto"/>
        </w:rPr>
        <w:t xml:space="preserve">Future Direction </w:t>
      </w:r>
    </w:p>
    <w:p w14:paraId="39001FAF" w14:textId="3775DDEA" w:rsidR="00CC73DB" w:rsidRPr="001E1B9C" w:rsidRDefault="00D952E4" w:rsidP="00C720D2">
      <w:pPr>
        <w:pStyle w:val="NoSpacing"/>
        <w:spacing w:after="240" w:line="360" w:lineRule="auto"/>
        <w:ind w:firstLine="720"/>
        <w:rPr>
          <w:rFonts w:ascii="Times New Roman" w:hAnsi="Times New Roman" w:cs="Times New Roman"/>
        </w:rPr>
      </w:pPr>
      <w:r w:rsidRPr="001E1B9C">
        <w:rPr>
          <w:rFonts w:ascii="Times New Roman" w:hAnsi="Times New Roman" w:cs="Times New Roman"/>
        </w:rPr>
        <w:t xml:space="preserve">Throughout </w:t>
      </w:r>
      <w:r w:rsidR="00E35F38" w:rsidRPr="001E1B9C">
        <w:rPr>
          <w:rFonts w:ascii="Times New Roman" w:hAnsi="Times New Roman" w:cs="Times New Roman"/>
        </w:rPr>
        <w:t>its</w:t>
      </w:r>
      <w:r w:rsidR="004B60DE" w:rsidRPr="001E1B9C">
        <w:rPr>
          <w:rFonts w:ascii="Times New Roman" w:hAnsi="Times New Roman" w:cs="Times New Roman"/>
        </w:rPr>
        <w:t xml:space="preserve"> 60-year </w:t>
      </w:r>
      <w:r w:rsidRPr="001E1B9C">
        <w:rPr>
          <w:rFonts w:ascii="Times New Roman" w:hAnsi="Times New Roman" w:cs="Times New Roman"/>
        </w:rPr>
        <w:t>history</w:t>
      </w:r>
      <w:r w:rsidR="00E35F38" w:rsidRPr="001E1B9C">
        <w:rPr>
          <w:rFonts w:ascii="Times New Roman" w:hAnsi="Times New Roman" w:cs="Times New Roman"/>
        </w:rPr>
        <w:t>, scientists</w:t>
      </w:r>
      <w:r w:rsidR="00C5633C" w:rsidRPr="001E1B9C">
        <w:rPr>
          <w:rFonts w:ascii="Times New Roman" w:hAnsi="Times New Roman" w:cs="Times New Roman"/>
        </w:rPr>
        <w:t xml:space="preserve"> have found </w:t>
      </w:r>
      <w:r w:rsidRPr="001E1B9C">
        <w:rPr>
          <w:rFonts w:ascii="Times New Roman" w:hAnsi="Times New Roman" w:cs="Times New Roman"/>
        </w:rPr>
        <w:t xml:space="preserve">new </w:t>
      </w:r>
      <w:r w:rsidR="004D66F2" w:rsidRPr="001E1B9C">
        <w:rPr>
          <w:rFonts w:ascii="Times New Roman" w:hAnsi="Times New Roman" w:cs="Times New Roman"/>
        </w:rPr>
        <w:t xml:space="preserve">ways for pharmacometric methods to </w:t>
      </w:r>
      <w:r w:rsidR="00CB303B" w:rsidRPr="001E1B9C">
        <w:rPr>
          <w:rFonts w:ascii="Times New Roman" w:hAnsi="Times New Roman" w:cs="Times New Roman"/>
        </w:rPr>
        <w:t>facilitate</w:t>
      </w:r>
      <w:r w:rsidR="0023735D" w:rsidRPr="001E1B9C">
        <w:rPr>
          <w:rFonts w:ascii="Times New Roman" w:hAnsi="Times New Roman" w:cs="Times New Roman"/>
        </w:rPr>
        <w:t xml:space="preserve"> and expedite </w:t>
      </w:r>
      <w:r w:rsidR="00CB303B" w:rsidRPr="001E1B9C">
        <w:rPr>
          <w:rFonts w:ascii="Times New Roman" w:hAnsi="Times New Roman" w:cs="Times New Roman"/>
        </w:rPr>
        <w:t>development</w:t>
      </w:r>
      <w:r w:rsidR="00E35F38" w:rsidRPr="001E1B9C">
        <w:rPr>
          <w:rFonts w:ascii="Times New Roman" w:hAnsi="Times New Roman" w:cs="Times New Roman"/>
        </w:rPr>
        <w:t>;</w:t>
      </w:r>
      <w:r w:rsidR="00CB303B" w:rsidRPr="001E1B9C">
        <w:rPr>
          <w:rFonts w:ascii="Times New Roman" w:hAnsi="Times New Roman" w:cs="Times New Roman"/>
        </w:rPr>
        <w:t xml:space="preserve"> </w:t>
      </w:r>
      <w:r w:rsidR="00E35F38" w:rsidRPr="001E1B9C">
        <w:rPr>
          <w:rFonts w:ascii="Times New Roman" w:hAnsi="Times New Roman" w:cs="Times New Roman"/>
        </w:rPr>
        <w:t>however,</w:t>
      </w:r>
      <w:r w:rsidR="00CB303B" w:rsidRPr="001E1B9C">
        <w:rPr>
          <w:rFonts w:ascii="Times New Roman" w:hAnsi="Times New Roman" w:cs="Times New Roman"/>
        </w:rPr>
        <w:t xml:space="preserve"> we have not yet fully harnessed its ability to disrupt </w:t>
      </w:r>
      <w:r w:rsidR="002E25DE" w:rsidRPr="001E1B9C">
        <w:rPr>
          <w:rFonts w:ascii="Times New Roman" w:hAnsi="Times New Roman" w:cs="Times New Roman"/>
        </w:rPr>
        <w:t xml:space="preserve">the </w:t>
      </w:r>
      <w:r w:rsidR="002E25DE" w:rsidRPr="001E1B9C">
        <w:rPr>
          <w:rFonts w:ascii="Times New Roman" w:hAnsi="Times New Roman" w:cs="Times New Roman"/>
        </w:rPr>
        <w:lastRenderedPageBreak/>
        <w:t>process as we know it</w:t>
      </w:r>
      <w:r w:rsidR="00CB303B" w:rsidRPr="001E1B9C">
        <w:rPr>
          <w:rFonts w:ascii="Times New Roman" w:hAnsi="Times New Roman" w:cs="Times New Roman"/>
        </w:rPr>
        <w:t>.</w:t>
      </w:r>
      <w:r w:rsidR="00905EAC" w:rsidRPr="001E1B9C">
        <w:rPr>
          <w:rFonts w:ascii="Times New Roman" w:hAnsi="Times New Roman" w:cs="Times New Roman"/>
        </w:rPr>
        <w:t xml:space="preserve"> </w:t>
      </w:r>
      <w:r w:rsidR="00CD3AC3" w:rsidRPr="001E1B9C">
        <w:rPr>
          <w:rFonts w:ascii="Times New Roman" w:hAnsi="Times New Roman" w:cs="Times New Roman"/>
        </w:rPr>
        <w:t>T</w:t>
      </w:r>
      <w:r w:rsidR="001B33BE" w:rsidRPr="001E1B9C">
        <w:rPr>
          <w:rFonts w:ascii="Times New Roman" w:hAnsi="Times New Roman" w:cs="Times New Roman"/>
        </w:rPr>
        <w:t xml:space="preserve">here are two major issues </w:t>
      </w:r>
      <w:r w:rsidR="007603B9" w:rsidRPr="001E1B9C">
        <w:rPr>
          <w:rFonts w:ascii="Times New Roman" w:hAnsi="Times New Roman" w:cs="Times New Roman"/>
        </w:rPr>
        <w:t>that</w:t>
      </w:r>
      <w:r w:rsidR="00FA3AB4" w:rsidRPr="001E1B9C">
        <w:rPr>
          <w:rFonts w:ascii="Times New Roman" w:hAnsi="Times New Roman" w:cs="Times New Roman"/>
        </w:rPr>
        <w:t xml:space="preserve"> we face today</w:t>
      </w:r>
      <w:r w:rsidR="0013235A" w:rsidRPr="001E1B9C">
        <w:rPr>
          <w:rFonts w:ascii="Times New Roman" w:hAnsi="Times New Roman" w:cs="Times New Roman"/>
        </w:rPr>
        <w:t>.</w:t>
      </w:r>
      <w:r w:rsidR="007603B9" w:rsidRPr="001E1B9C">
        <w:rPr>
          <w:rFonts w:ascii="Times New Roman" w:hAnsi="Times New Roman" w:cs="Times New Roman"/>
        </w:rPr>
        <w:t xml:space="preserve"> </w:t>
      </w:r>
      <w:r w:rsidR="001B33BE" w:rsidRPr="001E1B9C">
        <w:rPr>
          <w:rFonts w:ascii="Times New Roman" w:hAnsi="Times New Roman" w:cs="Times New Roman"/>
        </w:rPr>
        <w:t xml:space="preserve">The first </w:t>
      </w:r>
      <w:r w:rsidR="00C51E61" w:rsidRPr="001E1B9C">
        <w:rPr>
          <w:rFonts w:ascii="Times New Roman" w:hAnsi="Times New Roman" w:cs="Times New Roman"/>
        </w:rPr>
        <w:t>involves the current structure and end-goal of most development efforts</w:t>
      </w:r>
      <w:r w:rsidR="009D7C37" w:rsidRPr="001E1B9C">
        <w:rPr>
          <w:rFonts w:ascii="Times New Roman" w:hAnsi="Times New Roman" w:cs="Times New Roman"/>
        </w:rPr>
        <w:t>. The focus of drug development up until this point has been at a population level</w:t>
      </w:r>
      <w:r w:rsidR="006D349B" w:rsidRPr="001E1B9C">
        <w:rPr>
          <w:rFonts w:ascii="Times New Roman" w:hAnsi="Times New Roman" w:cs="Times New Roman"/>
        </w:rPr>
        <w:t xml:space="preserve">, with treatments being developed </w:t>
      </w:r>
      <w:r w:rsidR="00A418EA" w:rsidRPr="001E1B9C">
        <w:rPr>
          <w:rFonts w:ascii="Times New Roman" w:hAnsi="Times New Roman" w:cs="Times New Roman"/>
        </w:rPr>
        <w:t>for</w:t>
      </w:r>
      <w:r w:rsidR="006D349B" w:rsidRPr="001E1B9C">
        <w:rPr>
          <w:rFonts w:ascii="Times New Roman" w:hAnsi="Times New Roman" w:cs="Times New Roman"/>
        </w:rPr>
        <w:t xml:space="preserve"> the average patien</w:t>
      </w:r>
      <w:r w:rsidR="003D15F0" w:rsidRPr="001E1B9C">
        <w:rPr>
          <w:rFonts w:ascii="Times New Roman" w:hAnsi="Times New Roman" w:cs="Times New Roman"/>
        </w:rPr>
        <w:t>t</w:t>
      </w:r>
      <w:r w:rsidR="009D7C37" w:rsidRPr="001E1B9C">
        <w:rPr>
          <w:rFonts w:ascii="Times New Roman" w:hAnsi="Times New Roman" w:cs="Times New Roman"/>
        </w:rPr>
        <w:t>.</w:t>
      </w:r>
      <w:r w:rsidR="00A51DC7" w:rsidRPr="001E1B9C">
        <w:rPr>
          <w:rFonts w:ascii="Times New Roman" w:hAnsi="Times New Roman" w:cs="Times New Roman"/>
        </w:rPr>
        <w:t xml:space="preserve"> </w:t>
      </w:r>
      <w:r w:rsidR="00A858FA" w:rsidRPr="001E1B9C">
        <w:rPr>
          <w:rFonts w:ascii="Times New Roman" w:hAnsi="Times New Roman" w:cs="Times New Roman"/>
        </w:rPr>
        <w:t xml:space="preserve">This poses a problem </w:t>
      </w:r>
      <w:r w:rsidR="00A37651" w:rsidRPr="001E1B9C">
        <w:rPr>
          <w:rFonts w:ascii="Times New Roman" w:hAnsi="Times New Roman" w:cs="Times New Roman"/>
        </w:rPr>
        <w:t xml:space="preserve">for clinicians when treating in the real-world, and often the burden of personalized medicine </w:t>
      </w:r>
      <w:r w:rsidR="003D15F0" w:rsidRPr="001E1B9C">
        <w:rPr>
          <w:rFonts w:ascii="Times New Roman" w:hAnsi="Times New Roman" w:cs="Times New Roman"/>
        </w:rPr>
        <w:t>falls on them</w:t>
      </w:r>
      <w:r w:rsidR="00A37651" w:rsidRPr="001E1B9C">
        <w:rPr>
          <w:rFonts w:ascii="Times New Roman" w:hAnsi="Times New Roman" w:cs="Times New Roman"/>
        </w:rPr>
        <w:t xml:space="preserve">. </w:t>
      </w:r>
      <w:r w:rsidR="00316B09" w:rsidRPr="001E1B9C">
        <w:rPr>
          <w:rFonts w:ascii="Times New Roman" w:hAnsi="Times New Roman" w:cs="Times New Roman"/>
        </w:rPr>
        <w:t xml:space="preserve">The second </w:t>
      </w:r>
      <w:r w:rsidR="00A51DC7" w:rsidRPr="001E1B9C">
        <w:rPr>
          <w:rFonts w:ascii="Times New Roman" w:hAnsi="Times New Roman" w:cs="Times New Roman"/>
        </w:rPr>
        <w:t>issue is the under-utilization of real-world da</w:t>
      </w:r>
      <w:r w:rsidR="00FE0478" w:rsidRPr="001E1B9C">
        <w:rPr>
          <w:rFonts w:ascii="Times New Roman" w:hAnsi="Times New Roman" w:cs="Times New Roman"/>
        </w:rPr>
        <w:t>ta</w:t>
      </w:r>
      <w:r w:rsidR="00A51DC7" w:rsidRPr="001E1B9C">
        <w:rPr>
          <w:rFonts w:ascii="Times New Roman" w:hAnsi="Times New Roman" w:cs="Times New Roman"/>
        </w:rPr>
        <w:t>. There has been a lot of</w:t>
      </w:r>
      <w:r w:rsidR="003345DF" w:rsidRPr="001E1B9C">
        <w:rPr>
          <w:rFonts w:ascii="Times New Roman" w:hAnsi="Times New Roman" w:cs="Times New Roman"/>
        </w:rPr>
        <w:t xml:space="preserve"> excitement about</w:t>
      </w:r>
      <w:r w:rsidR="00A51DC7" w:rsidRPr="001E1B9C">
        <w:rPr>
          <w:rFonts w:ascii="Times New Roman" w:hAnsi="Times New Roman" w:cs="Times New Roman"/>
        </w:rPr>
        <w:t xml:space="preserve"> </w:t>
      </w:r>
      <w:r w:rsidR="00FE0478" w:rsidRPr="001E1B9C">
        <w:rPr>
          <w:rFonts w:ascii="Times New Roman" w:hAnsi="Times New Roman" w:cs="Times New Roman"/>
        </w:rPr>
        <w:t>real-world data</w:t>
      </w:r>
      <w:r w:rsidR="00A51DC7" w:rsidRPr="001E1B9C">
        <w:rPr>
          <w:rFonts w:ascii="Times New Roman" w:hAnsi="Times New Roman" w:cs="Times New Roman"/>
        </w:rPr>
        <w:t>, but its application and methodology of use has been unclear.</w:t>
      </w:r>
      <w:r w:rsidR="00FA3AB4" w:rsidRPr="001E1B9C">
        <w:rPr>
          <w:rFonts w:ascii="Times New Roman" w:hAnsi="Times New Roman" w:cs="Times New Roman"/>
        </w:rPr>
        <w:t xml:space="preserve"> We believe each of these issues should and will become the major focus of future efforts. </w:t>
      </w:r>
    </w:p>
    <w:p w14:paraId="0B4B499E" w14:textId="5AA6A41D" w:rsidR="00E24C19" w:rsidRPr="001E1B9C" w:rsidRDefault="008A1A4B" w:rsidP="00E24C19">
      <w:pPr>
        <w:pStyle w:val="Heading3"/>
        <w:spacing w:line="360" w:lineRule="auto"/>
        <w:rPr>
          <w:rFonts w:ascii="Times New Roman" w:hAnsi="Times New Roman" w:cs="Times New Roman"/>
          <w:color w:val="auto"/>
        </w:rPr>
      </w:pPr>
      <w:r w:rsidRPr="001E1B9C">
        <w:rPr>
          <w:rFonts w:ascii="Times New Roman" w:hAnsi="Times New Roman" w:cs="Times New Roman"/>
          <w:i/>
          <w:iCs/>
          <w:color w:val="auto"/>
        </w:rPr>
        <w:t>Precision Medicine</w:t>
      </w:r>
    </w:p>
    <w:p w14:paraId="7BF3E104" w14:textId="57FE0D1E" w:rsidR="001F625C" w:rsidRPr="001E1B9C" w:rsidRDefault="00AE0497" w:rsidP="00EA7259">
      <w:pPr>
        <w:spacing w:line="360" w:lineRule="auto"/>
        <w:rPr>
          <w:rFonts w:ascii="Times New Roman" w:hAnsi="Times New Roman" w:cs="Times New Roman"/>
        </w:rPr>
      </w:pPr>
      <w:r w:rsidRPr="001E1B9C">
        <w:rPr>
          <w:rFonts w:ascii="Times New Roman" w:hAnsi="Times New Roman" w:cs="Times New Roman"/>
        </w:rPr>
        <w:tab/>
        <w:t xml:space="preserve">Precision medicine </w:t>
      </w:r>
      <w:r w:rsidR="00E50BF5" w:rsidRPr="001E1B9C">
        <w:rPr>
          <w:rFonts w:ascii="Times New Roman" w:hAnsi="Times New Roman" w:cs="Times New Roman"/>
        </w:rPr>
        <w:t>has previously been de</w:t>
      </w:r>
      <w:r w:rsidR="00D077F2" w:rsidRPr="001E1B9C">
        <w:rPr>
          <w:rFonts w:ascii="Times New Roman" w:hAnsi="Times New Roman" w:cs="Times New Roman"/>
        </w:rPr>
        <w:t>scribed</w:t>
      </w:r>
      <w:r w:rsidR="00E50BF5" w:rsidRPr="001E1B9C">
        <w:rPr>
          <w:rFonts w:ascii="Times New Roman" w:hAnsi="Times New Roman" w:cs="Times New Roman"/>
        </w:rPr>
        <w:t xml:space="preserve"> as, “</w:t>
      </w:r>
      <w:r w:rsidR="00723803" w:rsidRPr="001E1B9C">
        <w:rPr>
          <w:rFonts w:ascii="Times New Roman" w:hAnsi="Times New Roman" w:cs="Times New Roman"/>
        </w:rPr>
        <w:t>an innovative approach to tailoring disease prevention and treatment that takes into account differences in people's genes, environments, and lifestyles</w:t>
      </w:r>
      <w:r w:rsidR="00E50BF5" w:rsidRPr="001E1B9C">
        <w:rPr>
          <w:rFonts w:ascii="Times New Roman" w:hAnsi="Times New Roman" w:cs="Times New Roman"/>
        </w:rPr>
        <w:t>”.</w:t>
      </w:r>
      <w:r w:rsidR="0078726D" w:rsidRPr="001E1B9C">
        <w:rPr>
          <w:rFonts w:ascii="Times New Roman" w:hAnsi="Times New Roman" w:cs="Times New Roman"/>
          <w:vertAlign w:val="superscript"/>
        </w:rPr>
        <w:t>17</w:t>
      </w:r>
      <w:r w:rsidR="00BD0DC5" w:rsidRPr="001E1B9C">
        <w:rPr>
          <w:rFonts w:ascii="Times New Roman" w:hAnsi="Times New Roman" w:cs="Times New Roman"/>
        </w:rPr>
        <w:t xml:space="preserve"> </w:t>
      </w:r>
      <w:r w:rsidR="00C015C3" w:rsidRPr="001E1B9C">
        <w:rPr>
          <w:rFonts w:ascii="Times New Roman" w:hAnsi="Times New Roman" w:cs="Times New Roman"/>
        </w:rPr>
        <w:t xml:space="preserve">This </w:t>
      </w:r>
      <w:r w:rsidR="00780F8C" w:rsidRPr="001E1B9C">
        <w:rPr>
          <w:rFonts w:ascii="Times New Roman" w:hAnsi="Times New Roman" w:cs="Times New Roman"/>
        </w:rPr>
        <w:t xml:space="preserve">could </w:t>
      </w:r>
      <w:r w:rsidR="007C6017" w:rsidRPr="001E1B9C">
        <w:rPr>
          <w:rFonts w:ascii="Times New Roman" w:hAnsi="Times New Roman" w:cs="Times New Roman"/>
        </w:rPr>
        <w:t>be</w:t>
      </w:r>
      <w:r w:rsidR="00780F8C" w:rsidRPr="001E1B9C">
        <w:rPr>
          <w:rFonts w:ascii="Times New Roman" w:hAnsi="Times New Roman" w:cs="Times New Roman"/>
        </w:rPr>
        <w:t xml:space="preserve"> </w:t>
      </w:r>
      <w:r w:rsidR="00930DFC">
        <w:rPr>
          <w:rFonts w:ascii="Times New Roman" w:hAnsi="Times New Roman" w:cs="Times New Roman"/>
        </w:rPr>
        <w:t xml:space="preserve">considered </w:t>
      </w:r>
      <w:r w:rsidR="00780F8C" w:rsidRPr="001E1B9C">
        <w:rPr>
          <w:rFonts w:ascii="Times New Roman" w:hAnsi="Times New Roman" w:cs="Times New Roman"/>
        </w:rPr>
        <w:t xml:space="preserve">advanced </w:t>
      </w:r>
      <w:r w:rsidR="00D83D4F" w:rsidRPr="001E1B9C">
        <w:rPr>
          <w:rFonts w:ascii="Times New Roman" w:hAnsi="Times New Roman" w:cs="Times New Roman"/>
        </w:rPr>
        <w:t>gene therapies</w:t>
      </w:r>
      <w:r w:rsidR="00780F8C" w:rsidRPr="001E1B9C">
        <w:rPr>
          <w:rFonts w:ascii="Times New Roman" w:hAnsi="Times New Roman" w:cs="Times New Roman"/>
        </w:rPr>
        <w:t>,</w:t>
      </w:r>
      <w:r w:rsidR="00C015C3" w:rsidRPr="001E1B9C">
        <w:rPr>
          <w:rFonts w:ascii="Times New Roman" w:hAnsi="Times New Roman" w:cs="Times New Roman"/>
        </w:rPr>
        <w:t xml:space="preserve"> </w:t>
      </w:r>
      <w:r w:rsidR="00D83D4F" w:rsidRPr="001E1B9C">
        <w:rPr>
          <w:rFonts w:ascii="Times New Roman" w:hAnsi="Times New Roman" w:cs="Times New Roman"/>
        </w:rPr>
        <w:t>dose optimiz</w:t>
      </w:r>
      <w:r w:rsidR="00201741" w:rsidRPr="001E1B9C">
        <w:rPr>
          <w:rFonts w:ascii="Times New Roman" w:hAnsi="Times New Roman" w:cs="Times New Roman"/>
        </w:rPr>
        <w:t>ation</w:t>
      </w:r>
      <w:r w:rsidR="00D83D4F" w:rsidRPr="001E1B9C">
        <w:rPr>
          <w:rFonts w:ascii="Times New Roman" w:hAnsi="Times New Roman" w:cs="Times New Roman"/>
        </w:rPr>
        <w:t xml:space="preserve"> based on patient-related variables</w:t>
      </w:r>
      <w:r w:rsidR="00780F8C" w:rsidRPr="001E1B9C">
        <w:rPr>
          <w:rFonts w:ascii="Times New Roman" w:hAnsi="Times New Roman" w:cs="Times New Roman"/>
        </w:rPr>
        <w:t xml:space="preserve">, or simply </w:t>
      </w:r>
      <w:r w:rsidR="00440350" w:rsidRPr="001E1B9C">
        <w:rPr>
          <w:rFonts w:ascii="Times New Roman" w:hAnsi="Times New Roman" w:cs="Times New Roman"/>
        </w:rPr>
        <w:t>customized monitoring plans</w:t>
      </w:r>
      <w:r w:rsidR="00D83D4F" w:rsidRPr="001E1B9C">
        <w:rPr>
          <w:rFonts w:ascii="Times New Roman" w:hAnsi="Times New Roman" w:cs="Times New Roman"/>
        </w:rPr>
        <w:t xml:space="preserve">. </w:t>
      </w:r>
      <w:r w:rsidR="00C7222A" w:rsidRPr="001E1B9C">
        <w:rPr>
          <w:rFonts w:ascii="Times New Roman" w:hAnsi="Times New Roman" w:cs="Times New Roman"/>
        </w:rPr>
        <w:t xml:space="preserve">We have </w:t>
      </w:r>
      <w:r w:rsidR="006E3E3B" w:rsidRPr="001E1B9C">
        <w:rPr>
          <w:rFonts w:ascii="Times New Roman" w:hAnsi="Times New Roman" w:cs="Times New Roman"/>
        </w:rPr>
        <w:t>made gr</w:t>
      </w:r>
      <w:r w:rsidR="007C3C8C" w:rsidRPr="001E1B9C">
        <w:rPr>
          <w:rFonts w:ascii="Times New Roman" w:hAnsi="Times New Roman" w:cs="Times New Roman"/>
        </w:rPr>
        <w:t>eat</w:t>
      </w:r>
      <w:r w:rsidR="006E3E3B" w:rsidRPr="001E1B9C">
        <w:rPr>
          <w:rFonts w:ascii="Times New Roman" w:hAnsi="Times New Roman" w:cs="Times New Roman"/>
        </w:rPr>
        <w:t xml:space="preserve"> strides in </w:t>
      </w:r>
      <w:r w:rsidR="00C7222A" w:rsidRPr="001E1B9C">
        <w:rPr>
          <w:rFonts w:ascii="Times New Roman" w:hAnsi="Times New Roman" w:cs="Times New Roman"/>
        </w:rPr>
        <w:t xml:space="preserve">the </w:t>
      </w:r>
      <w:r w:rsidR="00BD0997" w:rsidRPr="001E1B9C">
        <w:rPr>
          <w:rFonts w:ascii="Times New Roman" w:hAnsi="Times New Roman" w:cs="Times New Roman"/>
        </w:rPr>
        <w:t>approval</w:t>
      </w:r>
      <w:r w:rsidR="00C7222A" w:rsidRPr="001E1B9C">
        <w:rPr>
          <w:rFonts w:ascii="Times New Roman" w:hAnsi="Times New Roman" w:cs="Times New Roman"/>
        </w:rPr>
        <w:t xml:space="preserve"> of</w:t>
      </w:r>
      <w:r w:rsidR="00BD0997" w:rsidRPr="001E1B9C">
        <w:rPr>
          <w:rFonts w:ascii="Times New Roman" w:hAnsi="Times New Roman" w:cs="Times New Roman"/>
        </w:rPr>
        <w:t xml:space="preserve"> targeted therapies for specific genetic predispositions, </w:t>
      </w:r>
      <w:r w:rsidR="00C7222A" w:rsidRPr="001E1B9C">
        <w:rPr>
          <w:rFonts w:ascii="Times New Roman" w:hAnsi="Times New Roman" w:cs="Times New Roman"/>
        </w:rPr>
        <w:t>but</w:t>
      </w:r>
      <w:r w:rsidR="00BD0997" w:rsidRPr="001E1B9C">
        <w:rPr>
          <w:rFonts w:ascii="Times New Roman" w:hAnsi="Times New Roman" w:cs="Times New Roman"/>
        </w:rPr>
        <w:t xml:space="preserve"> this is </w:t>
      </w:r>
      <w:r w:rsidR="00C7222A" w:rsidRPr="001E1B9C">
        <w:rPr>
          <w:rFonts w:ascii="Times New Roman" w:hAnsi="Times New Roman" w:cs="Times New Roman"/>
        </w:rPr>
        <w:t xml:space="preserve">only one part of </w:t>
      </w:r>
      <w:r w:rsidR="007C65D0" w:rsidRPr="001E1B9C">
        <w:rPr>
          <w:rFonts w:ascii="Times New Roman" w:hAnsi="Times New Roman" w:cs="Times New Roman"/>
        </w:rPr>
        <w:t xml:space="preserve">what </w:t>
      </w:r>
      <w:r w:rsidR="00C7222A" w:rsidRPr="001E1B9C">
        <w:rPr>
          <w:rFonts w:ascii="Times New Roman" w:hAnsi="Times New Roman" w:cs="Times New Roman"/>
        </w:rPr>
        <w:t>precision medicine</w:t>
      </w:r>
      <w:r w:rsidR="007C65D0" w:rsidRPr="001E1B9C">
        <w:rPr>
          <w:rFonts w:ascii="Times New Roman" w:hAnsi="Times New Roman" w:cs="Times New Roman"/>
        </w:rPr>
        <w:t xml:space="preserve"> encompasses</w:t>
      </w:r>
      <w:r w:rsidR="00D8727E" w:rsidRPr="001E1B9C">
        <w:rPr>
          <w:rFonts w:ascii="Times New Roman" w:hAnsi="Times New Roman" w:cs="Times New Roman"/>
        </w:rPr>
        <w:t xml:space="preserve">. </w:t>
      </w:r>
      <w:r w:rsidR="00810A70" w:rsidRPr="001E1B9C">
        <w:rPr>
          <w:rFonts w:ascii="Times New Roman" w:hAnsi="Times New Roman" w:cs="Times New Roman"/>
        </w:rPr>
        <w:t xml:space="preserve">Looking </w:t>
      </w:r>
      <w:r w:rsidR="00CB71EB" w:rsidRPr="001E1B9C">
        <w:rPr>
          <w:rFonts w:ascii="Times New Roman" w:hAnsi="Times New Roman" w:cs="Times New Roman"/>
        </w:rPr>
        <w:t xml:space="preserve">from </w:t>
      </w:r>
      <w:r w:rsidR="008C6D36" w:rsidRPr="001E1B9C">
        <w:rPr>
          <w:rFonts w:ascii="Times New Roman" w:hAnsi="Times New Roman" w:cs="Times New Roman"/>
        </w:rPr>
        <w:t xml:space="preserve">drug discovery </w:t>
      </w:r>
      <w:r w:rsidR="00C57694" w:rsidRPr="001E1B9C">
        <w:rPr>
          <w:rFonts w:ascii="Times New Roman" w:hAnsi="Times New Roman" w:cs="Times New Roman"/>
        </w:rPr>
        <w:t xml:space="preserve">to </w:t>
      </w:r>
      <w:r w:rsidR="00C02C96" w:rsidRPr="001E1B9C">
        <w:rPr>
          <w:rFonts w:ascii="Times New Roman" w:hAnsi="Times New Roman" w:cs="Times New Roman"/>
        </w:rPr>
        <w:t>market approval</w:t>
      </w:r>
      <w:r w:rsidR="008C6D36" w:rsidRPr="001E1B9C">
        <w:rPr>
          <w:rFonts w:ascii="Times New Roman" w:hAnsi="Times New Roman" w:cs="Times New Roman"/>
        </w:rPr>
        <w:t xml:space="preserve">, </w:t>
      </w:r>
      <w:r w:rsidR="00810A70" w:rsidRPr="001E1B9C">
        <w:rPr>
          <w:rFonts w:ascii="Times New Roman" w:hAnsi="Times New Roman" w:cs="Times New Roman"/>
        </w:rPr>
        <w:t>we are primarily working in a retroactive space. T</w:t>
      </w:r>
      <w:r w:rsidR="00D8643B" w:rsidRPr="001E1B9C">
        <w:rPr>
          <w:rFonts w:ascii="Times New Roman" w:hAnsi="Times New Roman" w:cs="Times New Roman"/>
        </w:rPr>
        <w:t xml:space="preserve">he </w:t>
      </w:r>
      <w:r w:rsidR="000A2D18" w:rsidRPr="001E1B9C">
        <w:rPr>
          <w:rFonts w:ascii="Times New Roman" w:hAnsi="Times New Roman" w:cs="Times New Roman"/>
        </w:rPr>
        <w:t>concept</w:t>
      </w:r>
      <w:r w:rsidR="00D8643B" w:rsidRPr="001E1B9C">
        <w:rPr>
          <w:rFonts w:ascii="Times New Roman" w:hAnsi="Times New Roman" w:cs="Times New Roman"/>
        </w:rPr>
        <w:t xml:space="preserve"> of precision medicine has</w:t>
      </w:r>
      <w:r w:rsidR="009A3AD8" w:rsidRPr="001E1B9C">
        <w:rPr>
          <w:rFonts w:ascii="Times New Roman" w:hAnsi="Times New Roman" w:cs="Times New Roman"/>
        </w:rPr>
        <w:t xml:space="preserve"> largely</w:t>
      </w:r>
      <w:r w:rsidR="00D8643B" w:rsidRPr="001E1B9C">
        <w:rPr>
          <w:rFonts w:ascii="Times New Roman" w:hAnsi="Times New Roman" w:cs="Times New Roman"/>
        </w:rPr>
        <w:t xml:space="preserve"> </w:t>
      </w:r>
      <w:r w:rsidR="00EF124B" w:rsidRPr="001E1B9C">
        <w:rPr>
          <w:rFonts w:ascii="Times New Roman" w:hAnsi="Times New Roman" w:cs="Times New Roman"/>
        </w:rPr>
        <w:t>defaulted to</w:t>
      </w:r>
      <w:r w:rsidR="00D8643B" w:rsidRPr="001E1B9C">
        <w:rPr>
          <w:rFonts w:ascii="Times New Roman" w:hAnsi="Times New Roman" w:cs="Times New Roman"/>
        </w:rPr>
        <w:t xml:space="preserve"> </w:t>
      </w:r>
      <w:r w:rsidR="00EF124B" w:rsidRPr="001E1B9C">
        <w:rPr>
          <w:rFonts w:ascii="Times New Roman" w:hAnsi="Times New Roman" w:cs="Times New Roman"/>
        </w:rPr>
        <w:t>the</w:t>
      </w:r>
      <w:r w:rsidR="00D8643B" w:rsidRPr="001E1B9C">
        <w:rPr>
          <w:rFonts w:ascii="Times New Roman" w:hAnsi="Times New Roman" w:cs="Times New Roman"/>
        </w:rPr>
        <w:t xml:space="preserve"> clinical, post-approval</w:t>
      </w:r>
      <w:r w:rsidR="00053B7D" w:rsidRPr="001E1B9C">
        <w:rPr>
          <w:rFonts w:ascii="Times New Roman" w:hAnsi="Times New Roman" w:cs="Times New Roman"/>
        </w:rPr>
        <w:t xml:space="preserve"> setti</w:t>
      </w:r>
      <w:r w:rsidR="00EF124B" w:rsidRPr="001E1B9C">
        <w:rPr>
          <w:rFonts w:ascii="Times New Roman" w:hAnsi="Times New Roman" w:cs="Times New Roman"/>
        </w:rPr>
        <w:t xml:space="preserve">ng. </w:t>
      </w:r>
      <w:r w:rsidR="009A3AD8" w:rsidRPr="001E1B9C">
        <w:rPr>
          <w:rFonts w:ascii="Times New Roman" w:hAnsi="Times New Roman" w:cs="Times New Roman"/>
        </w:rPr>
        <w:t>It is</w:t>
      </w:r>
      <w:r w:rsidR="00DC3FE0" w:rsidRPr="001E1B9C">
        <w:rPr>
          <w:rFonts w:ascii="Times New Roman" w:hAnsi="Times New Roman" w:cs="Times New Roman"/>
        </w:rPr>
        <w:t xml:space="preserve"> up to the clinician’s discretion to select and tailor treatments based on</w:t>
      </w:r>
      <w:r w:rsidR="00195185" w:rsidRPr="001E1B9C">
        <w:rPr>
          <w:rFonts w:ascii="Times New Roman" w:hAnsi="Times New Roman" w:cs="Times New Roman"/>
        </w:rPr>
        <w:t xml:space="preserve"> available data</w:t>
      </w:r>
      <w:r w:rsidR="00861F14" w:rsidRPr="001E1B9C">
        <w:rPr>
          <w:rFonts w:ascii="Times New Roman" w:hAnsi="Times New Roman" w:cs="Times New Roman"/>
        </w:rPr>
        <w:t>, prior</w:t>
      </w:r>
      <w:r w:rsidR="004F6C23" w:rsidRPr="001E1B9C">
        <w:rPr>
          <w:rFonts w:ascii="Times New Roman" w:hAnsi="Times New Roman" w:cs="Times New Roman"/>
        </w:rPr>
        <w:t xml:space="preserve"> knowledge</w:t>
      </w:r>
      <w:r w:rsidR="00861F14" w:rsidRPr="001E1B9C">
        <w:rPr>
          <w:rFonts w:ascii="Times New Roman" w:hAnsi="Times New Roman" w:cs="Times New Roman"/>
        </w:rPr>
        <w:t>,</w:t>
      </w:r>
      <w:r w:rsidR="0069223B" w:rsidRPr="001E1B9C">
        <w:rPr>
          <w:rFonts w:ascii="Times New Roman" w:hAnsi="Times New Roman" w:cs="Times New Roman"/>
        </w:rPr>
        <w:t xml:space="preserve"> and </w:t>
      </w:r>
      <w:r w:rsidR="00195185" w:rsidRPr="001E1B9C">
        <w:rPr>
          <w:rFonts w:ascii="Times New Roman" w:hAnsi="Times New Roman" w:cs="Times New Roman"/>
        </w:rPr>
        <w:t>trial and error</w:t>
      </w:r>
      <w:r w:rsidR="0069223B" w:rsidRPr="001E1B9C">
        <w:rPr>
          <w:rFonts w:ascii="Times New Roman" w:hAnsi="Times New Roman" w:cs="Times New Roman"/>
        </w:rPr>
        <w:t>.</w:t>
      </w:r>
      <w:r w:rsidR="00195185" w:rsidRPr="001E1B9C">
        <w:rPr>
          <w:rFonts w:ascii="Times New Roman" w:hAnsi="Times New Roman" w:cs="Times New Roman"/>
        </w:rPr>
        <w:t xml:space="preserve"> </w:t>
      </w:r>
      <w:r w:rsidR="00081769" w:rsidRPr="001E1B9C">
        <w:rPr>
          <w:rFonts w:ascii="Times New Roman" w:hAnsi="Times New Roman" w:cs="Times New Roman"/>
        </w:rPr>
        <w:t>Th</w:t>
      </w:r>
      <w:r w:rsidR="00681A0A" w:rsidRPr="001E1B9C">
        <w:rPr>
          <w:rFonts w:ascii="Times New Roman" w:hAnsi="Times New Roman" w:cs="Times New Roman"/>
        </w:rPr>
        <w:t>e consequence of this</w:t>
      </w:r>
      <w:r w:rsidR="003140C2" w:rsidRPr="001E1B9C">
        <w:rPr>
          <w:rFonts w:ascii="Times New Roman" w:hAnsi="Times New Roman" w:cs="Times New Roman"/>
        </w:rPr>
        <w:t xml:space="preserve"> </w:t>
      </w:r>
      <w:r w:rsidR="00681A0A" w:rsidRPr="001E1B9C">
        <w:rPr>
          <w:rFonts w:ascii="Times New Roman" w:hAnsi="Times New Roman" w:cs="Times New Roman"/>
        </w:rPr>
        <w:t>include</w:t>
      </w:r>
      <w:r w:rsidR="00554027" w:rsidRPr="001E1B9C">
        <w:rPr>
          <w:rFonts w:ascii="Times New Roman" w:hAnsi="Times New Roman" w:cs="Times New Roman"/>
        </w:rPr>
        <w:t>s</w:t>
      </w:r>
      <w:r w:rsidR="00681A0A" w:rsidRPr="001E1B9C">
        <w:rPr>
          <w:rFonts w:ascii="Times New Roman" w:hAnsi="Times New Roman" w:cs="Times New Roman"/>
        </w:rPr>
        <w:t xml:space="preserve"> </w:t>
      </w:r>
      <w:r w:rsidR="00E31814" w:rsidRPr="001E1B9C">
        <w:rPr>
          <w:rFonts w:ascii="Times New Roman" w:hAnsi="Times New Roman" w:cs="Times New Roman"/>
        </w:rPr>
        <w:t xml:space="preserve">increased </w:t>
      </w:r>
      <w:r w:rsidR="00865201" w:rsidRPr="001E1B9C">
        <w:rPr>
          <w:rFonts w:ascii="Times New Roman" w:hAnsi="Times New Roman" w:cs="Times New Roman"/>
        </w:rPr>
        <w:t xml:space="preserve">cost, potentially </w:t>
      </w:r>
      <w:r w:rsidR="00E31814" w:rsidRPr="001E1B9C">
        <w:rPr>
          <w:rFonts w:ascii="Times New Roman" w:hAnsi="Times New Roman" w:cs="Times New Roman"/>
        </w:rPr>
        <w:t xml:space="preserve">avoidable adverse </w:t>
      </w:r>
      <w:r w:rsidR="00226E77" w:rsidRPr="001E1B9C">
        <w:rPr>
          <w:rFonts w:ascii="Times New Roman" w:hAnsi="Times New Roman" w:cs="Times New Roman"/>
        </w:rPr>
        <w:t xml:space="preserve">effects, </w:t>
      </w:r>
      <w:r w:rsidR="00371997" w:rsidRPr="001E1B9C">
        <w:rPr>
          <w:rFonts w:ascii="Times New Roman" w:hAnsi="Times New Roman" w:cs="Times New Roman"/>
        </w:rPr>
        <w:t>suboptimal efficacy of treatment</w:t>
      </w:r>
      <w:r w:rsidR="00DE5B10" w:rsidRPr="001E1B9C">
        <w:rPr>
          <w:rFonts w:ascii="Times New Roman" w:hAnsi="Times New Roman" w:cs="Times New Roman"/>
        </w:rPr>
        <w:t xml:space="preserve">, and </w:t>
      </w:r>
      <w:r w:rsidR="00105B8A" w:rsidRPr="001E1B9C">
        <w:rPr>
          <w:rFonts w:ascii="Times New Roman" w:hAnsi="Times New Roman" w:cs="Times New Roman"/>
        </w:rPr>
        <w:t>increased time to therapeutic success</w:t>
      </w:r>
      <w:r w:rsidR="00DE5B10" w:rsidRPr="001E1B9C">
        <w:rPr>
          <w:rFonts w:ascii="Times New Roman" w:hAnsi="Times New Roman" w:cs="Times New Roman"/>
        </w:rPr>
        <w:t>.</w:t>
      </w:r>
      <w:r w:rsidR="00F45FDC" w:rsidRPr="001E1B9C">
        <w:rPr>
          <w:rFonts w:ascii="Times New Roman" w:hAnsi="Times New Roman" w:cs="Times New Roman"/>
        </w:rPr>
        <w:t xml:space="preserve"> </w:t>
      </w:r>
      <w:r w:rsidR="00CC1716" w:rsidRPr="001E1B9C">
        <w:rPr>
          <w:rFonts w:ascii="Times New Roman" w:hAnsi="Times New Roman" w:cs="Times New Roman"/>
        </w:rPr>
        <w:t xml:space="preserve">A notorious example </w:t>
      </w:r>
      <w:r w:rsidR="005449B0" w:rsidRPr="001E1B9C">
        <w:rPr>
          <w:rFonts w:ascii="Times New Roman" w:hAnsi="Times New Roman" w:cs="Times New Roman"/>
        </w:rPr>
        <w:t>i</w:t>
      </w:r>
      <w:r w:rsidR="006F3E45" w:rsidRPr="001E1B9C">
        <w:rPr>
          <w:rFonts w:ascii="Times New Roman" w:hAnsi="Times New Roman" w:cs="Times New Roman"/>
        </w:rPr>
        <w:t>s the treatment selection process</w:t>
      </w:r>
      <w:r w:rsidR="00CA7D55" w:rsidRPr="001E1B9C">
        <w:rPr>
          <w:rFonts w:ascii="Times New Roman" w:hAnsi="Times New Roman" w:cs="Times New Roman"/>
        </w:rPr>
        <w:t xml:space="preserve"> within psychiatry, such as</w:t>
      </w:r>
      <w:r w:rsidR="00F07AB2" w:rsidRPr="001E1B9C">
        <w:rPr>
          <w:rFonts w:ascii="Times New Roman" w:hAnsi="Times New Roman" w:cs="Times New Roman"/>
        </w:rPr>
        <w:t xml:space="preserve"> for</w:t>
      </w:r>
      <w:r w:rsidR="00CA7D55" w:rsidRPr="001E1B9C">
        <w:rPr>
          <w:rFonts w:ascii="Times New Roman" w:hAnsi="Times New Roman" w:cs="Times New Roman"/>
        </w:rPr>
        <w:t xml:space="preserve"> major depressive disorder. </w:t>
      </w:r>
      <w:r w:rsidR="00CD2E9D" w:rsidRPr="001E1B9C">
        <w:rPr>
          <w:rFonts w:ascii="Times New Roman" w:hAnsi="Times New Roman" w:cs="Times New Roman"/>
        </w:rPr>
        <w:t xml:space="preserve">It often takes several different drug trials before landing on the best option for </w:t>
      </w:r>
      <w:r w:rsidR="00B02B7D">
        <w:rPr>
          <w:rFonts w:ascii="Times New Roman" w:hAnsi="Times New Roman" w:cs="Times New Roman"/>
        </w:rPr>
        <w:t>a</w:t>
      </w:r>
      <w:r w:rsidR="00CD2E9D" w:rsidRPr="001E1B9C">
        <w:rPr>
          <w:rFonts w:ascii="Times New Roman" w:hAnsi="Times New Roman" w:cs="Times New Roman"/>
        </w:rPr>
        <w:t xml:space="preserve"> patient, and each antidepressant can</w:t>
      </w:r>
      <w:r w:rsidR="002F31E5" w:rsidRPr="001E1B9C">
        <w:rPr>
          <w:rFonts w:ascii="Times New Roman" w:hAnsi="Times New Roman" w:cs="Times New Roman"/>
        </w:rPr>
        <w:t xml:space="preserve"> take</w:t>
      </w:r>
      <w:r w:rsidR="001E6573" w:rsidRPr="001E1B9C">
        <w:rPr>
          <w:rFonts w:ascii="Times New Roman" w:hAnsi="Times New Roman" w:cs="Times New Roman"/>
        </w:rPr>
        <w:t xml:space="preserve"> 6 – 12 weeks for full therapeutic benefit</w:t>
      </w:r>
      <w:r w:rsidR="00CD2E9D" w:rsidRPr="001E1B9C">
        <w:rPr>
          <w:rFonts w:ascii="Times New Roman" w:hAnsi="Times New Roman" w:cs="Times New Roman"/>
        </w:rPr>
        <w:t xml:space="preserve"> </w:t>
      </w:r>
      <w:r w:rsidR="002F31E5" w:rsidRPr="001E1B9C">
        <w:rPr>
          <w:rFonts w:ascii="Times New Roman" w:hAnsi="Times New Roman" w:cs="Times New Roman"/>
        </w:rPr>
        <w:t>to</w:t>
      </w:r>
      <w:r w:rsidR="001E6573" w:rsidRPr="001E1B9C">
        <w:rPr>
          <w:rFonts w:ascii="Times New Roman" w:hAnsi="Times New Roman" w:cs="Times New Roman"/>
        </w:rPr>
        <w:t xml:space="preserve"> take effect</w:t>
      </w:r>
      <w:r w:rsidR="00CD2E9D" w:rsidRPr="001E1B9C">
        <w:rPr>
          <w:rFonts w:ascii="Times New Roman" w:hAnsi="Times New Roman" w:cs="Times New Roman"/>
        </w:rPr>
        <w:t xml:space="preserve">. There is limited information on why certain antidepressants work for some and not others, leaving patients feeling frustrated and distrustful. </w:t>
      </w:r>
      <w:r w:rsidR="00205230" w:rsidRPr="001E1B9C">
        <w:rPr>
          <w:rFonts w:ascii="Times New Roman" w:hAnsi="Times New Roman" w:cs="Times New Roman"/>
        </w:rPr>
        <w:t>A comprehensive view on this dilemma and how precision medicine could rectify th</w:t>
      </w:r>
      <w:r w:rsidR="004F687F" w:rsidRPr="001E1B9C">
        <w:rPr>
          <w:rFonts w:ascii="Times New Roman" w:hAnsi="Times New Roman" w:cs="Times New Roman"/>
        </w:rPr>
        <w:t>ese treatment hurdles has previously been published.</w:t>
      </w:r>
      <w:r w:rsidR="004D744D" w:rsidRPr="001E1B9C">
        <w:rPr>
          <w:rFonts w:ascii="Times New Roman" w:hAnsi="Times New Roman" w:cs="Times New Roman"/>
          <w:vertAlign w:val="superscript"/>
        </w:rPr>
        <w:t>18</w:t>
      </w:r>
      <w:r w:rsidR="004F687F" w:rsidRPr="001E1B9C">
        <w:rPr>
          <w:rFonts w:ascii="Times New Roman" w:hAnsi="Times New Roman" w:cs="Times New Roman"/>
        </w:rPr>
        <w:t xml:space="preserve"> </w:t>
      </w:r>
      <w:r w:rsidR="00F45FDC" w:rsidRPr="001E1B9C">
        <w:rPr>
          <w:rFonts w:ascii="Times New Roman" w:hAnsi="Times New Roman" w:cs="Times New Roman"/>
        </w:rPr>
        <w:t xml:space="preserve">Incorporating precision medicine during development can help mitigate </w:t>
      </w:r>
      <w:r w:rsidR="001F625C" w:rsidRPr="001E1B9C">
        <w:rPr>
          <w:rFonts w:ascii="Times New Roman" w:hAnsi="Times New Roman" w:cs="Times New Roman"/>
        </w:rPr>
        <w:t xml:space="preserve">these </w:t>
      </w:r>
      <w:r w:rsidR="00CD2E9D" w:rsidRPr="001E1B9C">
        <w:rPr>
          <w:rFonts w:ascii="Times New Roman" w:hAnsi="Times New Roman" w:cs="Times New Roman"/>
        </w:rPr>
        <w:t xml:space="preserve">challenges </w:t>
      </w:r>
      <w:r w:rsidR="001F625C" w:rsidRPr="001E1B9C">
        <w:rPr>
          <w:rFonts w:ascii="Times New Roman" w:hAnsi="Times New Roman" w:cs="Times New Roman"/>
        </w:rPr>
        <w:t>and improve patient care</w:t>
      </w:r>
      <w:r w:rsidR="00CD2E9D" w:rsidRPr="001E1B9C">
        <w:rPr>
          <w:rFonts w:ascii="Times New Roman" w:hAnsi="Times New Roman" w:cs="Times New Roman"/>
        </w:rPr>
        <w:t xml:space="preserve">. </w:t>
      </w:r>
    </w:p>
    <w:p w14:paraId="63B2D6A7" w14:textId="2A413A54" w:rsidR="00937819" w:rsidRPr="001E1B9C" w:rsidRDefault="005E4DD3" w:rsidP="005378B2">
      <w:pPr>
        <w:spacing w:line="360" w:lineRule="auto"/>
        <w:rPr>
          <w:rFonts w:ascii="Times New Roman" w:hAnsi="Times New Roman" w:cs="Times New Roman"/>
        </w:rPr>
      </w:pPr>
      <w:r w:rsidRPr="001E1B9C">
        <w:rPr>
          <w:rFonts w:ascii="Times New Roman" w:hAnsi="Times New Roman" w:cs="Times New Roman"/>
        </w:rPr>
        <w:tab/>
      </w:r>
      <w:r w:rsidR="00127EAA" w:rsidRPr="001E1B9C">
        <w:rPr>
          <w:rFonts w:ascii="Times New Roman" w:hAnsi="Times New Roman" w:cs="Times New Roman"/>
        </w:rPr>
        <w:t>Prioritizing</w:t>
      </w:r>
      <w:r w:rsidR="0031582D" w:rsidRPr="001E1B9C">
        <w:rPr>
          <w:rFonts w:ascii="Times New Roman" w:hAnsi="Times New Roman" w:cs="Times New Roman"/>
        </w:rPr>
        <w:t xml:space="preserve"> </w:t>
      </w:r>
      <w:r w:rsidRPr="001E1B9C">
        <w:rPr>
          <w:rFonts w:ascii="Times New Roman" w:hAnsi="Times New Roman" w:cs="Times New Roman"/>
        </w:rPr>
        <w:t>precision medicine</w:t>
      </w:r>
      <w:r w:rsidR="00251CF5" w:rsidRPr="001E1B9C">
        <w:rPr>
          <w:rFonts w:ascii="Times New Roman" w:hAnsi="Times New Roman" w:cs="Times New Roman"/>
        </w:rPr>
        <w:t xml:space="preserve"> during </w:t>
      </w:r>
      <w:r w:rsidR="001D2702" w:rsidRPr="001E1B9C">
        <w:rPr>
          <w:rFonts w:ascii="Times New Roman" w:hAnsi="Times New Roman" w:cs="Times New Roman"/>
        </w:rPr>
        <w:t xml:space="preserve">drug </w:t>
      </w:r>
      <w:r w:rsidR="00251CF5" w:rsidRPr="001E1B9C">
        <w:rPr>
          <w:rFonts w:ascii="Times New Roman" w:hAnsi="Times New Roman" w:cs="Times New Roman"/>
        </w:rPr>
        <w:t>development</w:t>
      </w:r>
      <w:r w:rsidR="0031582D" w:rsidRPr="001E1B9C">
        <w:rPr>
          <w:rFonts w:ascii="Times New Roman" w:hAnsi="Times New Roman" w:cs="Times New Roman"/>
        </w:rPr>
        <w:t xml:space="preserve"> has clear therapeutic </w:t>
      </w:r>
      <w:r w:rsidR="004D744D" w:rsidRPr="001E1B9C">
        <w:rPr>
          <w:rFonts w:ascii="Times New Roman" w:hAnsi="Times New Roman" w:cs="Times New Roman"/>
        </w:rPr>
        <w:t>benefits</w:t>
      </w:r>
      <w:r w:rsidR="0002543A" w:rsidRPr="001E1B9C">
        <w:rPr>
          <w:rFonts w:ascii="Times New Roman" w:hAnsi="Times New Roman" w:cs="Times New Roman"/>
        </w:rPr>
        <w:t xml:space="preserve">, but what would this entail? </w:t>
      </w:r>
      <w:r w:rsidR="004D0903" w:rsidRPr="001E1B9C">
        <w:rPr>
          <w:rFonts w:ascii="Times New Roman" w:hAnsi="Times New Roman" w:cs="Times New Roman"/>
        </w:rPr>
        <w:t xml:space="preserve">Clinical Decision Support (CDS) systems have shown great promise when individualizing patient care. </w:t>
      </w:r>
      <w:r w:rsidR="00AB53A1" w:rsidRPr="001E1B9C">
        <w:rPr>
          <w:rFonts w:ascii="Times New Roman" w:hAnsi="Times New Roman" w:cs="Times New Roman"/>
        </w:rPr>
        <w:t xml:space="preserve">These devices </w:t>
      </w:r>
      <w:r w:rsidR="00BF620E" w:rsidRPr="001E1B9C">
        <w:rPr>
          <w:rFonts w:ascii="Times New Roman" w:hAnsi="Times New Roman" w:cs="Times New Roman"/>
        </w:rPr>
        <w:t xml:space="preserve">offer clinicians </w:t>
      </w:r>
      <w:r w:rsidR="00062F41" w:rsidRPr="001E1B9C">
        <w:rPr>
          <w:rFonts w:ascii="Times New Roman" w:hAnsi="Times New Roman" w:cs="Times New Roman"/>
        </w:rPr>
        <w:t xml:space="preserve">support when making key decisions about treatment and monitoring </w:t>
      </w:r>
      <w:r w:rsidR="004A5F57" w:rsidRPr="001E1B9C">
        <w:rPr>
          <w:rFonts w:ascii="Times New Roman" w:hAnsi="Times New Roman" w:cs="Times New Roman"/>
        </w:rPr>
        <w:t>plans</w:t>
      </w:r>
      <w:r w:rsidR="00AB53A1" w:rsidRPr="001E1B9C">
        <w:rPr>
          <w:rFonts w:ascii="Times New Roman" w:hAnsi="Times New Roman" w:cs="Times New Roman"/>
        </w:rPr>
        <w:t xml:space="preserve">. </w:t>
      </w:r>
      <w:r w:rsidR="00666269" w:rsidRPr="001E1B9C">
        <w:rPr>
          <w:rFonts w:ascii="Times New Roman" w:hAnsi="Times New Roman" w:cs="Times New Roman"/>
        </w:rPr>
        <w:t>There are many different types of CDS sy</w:t>
      </w:r>
      <w:r w:rsidR="00AC740B" w:rsidRPr="001E1B9C">
        <w:rPr>
          <w:rFonts w:ascii="Times New Roman" w:hAnsi="Times New Roman" w:cs="Times New Roman"/>
        </w:rPr>
        <w:t xml:space="preserve">stems, </w:t>
      </w:r>
      <w:r w:rsidR="0069248E" w:rsidRPr="001E1B9C">
        <w:rPr>
          <w:rFonts w:ascii="Times New Roman" w:hAnsi="Times New Roman" w:cs="Times New Roman"/>
        </w:rPr>
        <w:t>and a</w:t>
      </w:r>
      <w:r w:rsidR="004D4E12" w:rsidRPr="001E1B9C">
        <w:rPr>
          <w:rFonts w:ascii="Times New Roman" w:hAnsi="Times New Roman" w:cs="Times New Roman"/>
        </w:rPr>
        <w:t xml:space="preserve"> </w:t>
      </w:r>
      <w:r w:rsidR="0069248E" w:rsidRPr="001E1B9C">
        <w:rPr>
          <w:rFonts w:ascii="Times New Roman" w:hAnsi="Times New Roman" w:cs="Times New Roman"/>
        </w:rPr>
        <w:t>detailed overview of</w:t>
      </w:r>
      <w:r w:rsidR="00214EAC" w:rsidRPr="001E1B9C">
        <w:rPr>
          <w:rFonts w:ascii="Times New Roman" w:hAnsi="Times New Roman" w:cs="Times New Roman"/>
        </w:rPr>
        <w:t xml:space="preserve"> their </w:t>
      </w:r>
      <w:r w:rsidR="00C61541" w:rsidRPr="001E1B9C">
        <w:rPr>
          <w:rFonts w:ascii="Times New Roman" w:hAnsi="Times New Roman" w:cs="Times New Roman"/>
        </w:rPr>
        <w:t>functionality</w:t>
      </w:r>
      <w:r w:rsidR="0069248E" w:rsidRPr="001E1B9C">
        <w:rPr>
          <w:rFonts w:ascii="Times New Roman" w:hAnsi="Times New Roman" w:cs="Times New Roman"/>
        </w:rPr>
        <w:t xml:space="preserve"> has been compiled </w:t>
      </w:r>
      <w:r w:rsidR="000B3267" w:rsidRPr="001E1B9C">
        <w:rPr>
          <w:rFonts w:ascii="Times New Roman" w:hAnsi="Times New Roman" w:cs="Times New Roman"/>
        </w:rPr>
        <w:t>recently</w:t>
      </w:r>
      <w:r w:rsidR="004C1FE7" w:rsidRPr="001E1B9C">
        <w:rPr>
          <w:rFonts w:ascii="Times New Roman" w:hAnsi="Times New Roman" w:cs="Times New Roman"/>
        </w:rPr>
        <w:t>.</w:t>
      </w:r>
      <w:r w:rsidR="000A4CEF" w:rsidRPr="001E1B9C">
        <w:rPr>
          <w:rFonts w:ascii="Times New Roman" w:hAnsi="Times New Roman" w:cs="Times New Roman"/>
          <w:vertAlign w:val="superscript"/>
        </w:rPr>
        <w:t>19</w:t>
      </w:r>
      <w:r w:rsidR="004C1FE7" w:rsidRPr="001E1B9C">
        <w:rPr>
          <w:rFonts w:ascii="Times New Roman" w:hAnsi="Times New Roman" w:cs="Times New Roman"/>
        </w:rPr>
        <w:t xml:space="preserve"> </w:t>
      </w:r>
      <w:r w:rsidR="00047B95" w:rsidRPr="001E1B9C">
        <w:rPr>
          <w:rFonts w:ascii="Times New Roman" w:hAnsi="Times New Roman" w:cs="Times New Roman"/>
        </w:rPr>
        <w:t>C</w:t>
      </w:r>
      <w:r w:rsidR="007E2CBA" w:rsidRPr="001E1B9C">
        <w:rPr>
          <w:rFonts w:ascii="Times New Roman" w:hAnsi="Times New Roman" w:cs="Times New Roman"/>
        </w:rPr>
        <w:t>urrently</w:t>
      </w:r>
      <w:r w:rsidR="00047B95" w:rsidRPr="001E1B9C">
        <w:rPr>
          <w:rFonts w:ascii="Times New Roman" w:hAnsi="Times New Roman" w:cs="Times New Roman"/>
        </w:rPr>
        <w:t xml:space="preserve">, CDS systems are developed </w:t>
      </w:r>
      <w:r w:rsidR="00C21321" w:rsidRPr="001E1B9C">
        <w:rPr>
          <w:rFonts w:ascii="Times New Roman" w:hAnsi="Times New Roman" w:cs="Times New Roman"/>
        </w:rPr>
        <w:t xml:space="preserve">by a third-party </w:t>
      </w:r>
      <w:r w:rsidR="006D4D96" w:rsidRPr="001E1B9C">
        <w:rPr>
          <w:rFonts w:ascii="Times New Roman" w:hAnsi="Times New Roman" w:cs="Times New Roman"/>
        </w:rPr>
        <w:t>post-approval</w:t>
      </w:r>
      <w:r w:rsidR="006F5061">
        <w:rPr>
          <w:rFonts w:ascii="Times New Roman" w:hAnsi="Times New Roman" w:cs="Times New Roman"/>
        </w:rPr>
        <w:t>.</w:t>
      </w:r>
      <w:r w:rsidR="00047B95" w:rsidRPr="001E1B9C">
        <w:rPr>
          <w:rFonts w:ascii="Times New Roman" w:hAnsi="Times New Roman" w:cs="Times New Roman"/>
        </w:rPr>
        <w:t xml:space="preserve"> </w:t>
      </w:r>
      <w:r w:rsidR="006F5061">
        <w:rPr>
          <w:rFonts w:ascii="Times New Roman" w:hAnsi="Times New Roman" w:cs="Times New Roman"/>
        </w:rPr>
        <w:t>They</w:t>
      </w:r>
      <w:r w:rsidR="00047B95" w:rsidRPr="001E1B9C">
        <w:rPr>
          <w:rFonts w:ascii="Times New Roman" w:hAnsi="Times New Roman" w:cs="Times New Roman"/>
        </w:rPr>
        <w:t xml:space="preserve"> are</w:t>
      </w:r>
      <w:r w:rsidR="007E2CBA" w:rsidRPr="001E1B9C">
        <w:rPr>
          <w:rFonts w:ascii="Times New Roman" w:hAnsi="Times New Roman" w:cs="Times New Roman"/>
        </w:rPr>
        <w:t xml:space="preserve"> </w:t>
      </w:r>
      <w:r w:rsidR="006D4D96" w:rsidRPr="001E1B9C">
        <w:rPr>
          <w:rFonts w:ascii="Times New Roman" w:hAnsi="Times New Roman" w:cs="Times New Roman"/>
        </w:rPr>
        <w:t>then accessed</w:t>
      </w:r>
      <w:r w:rsidR="007E2CBA" w:rsidRPr="001E1B9C">
        <w:rPr>
          <w:rFonts w:ascii="Times New Roman" w:hAnsi="Times New Roman" w:cs="Times New Roman"/>
        </w:rPr>
        <w:t xml:space="preserve"> </w:t>
      </w:r>
      <w:r w:rsidR="006F5061">
        <w:rPr>
          <w:rFonts w:ascii="Times New Roman" w:hAnsi="Times New Roman" w:cs="Times New Roman"/>
        </w:rPr>
        <w:t xml:space="preserve">by clinicians </w:t>
      </w:r>
      <w:r w:rsidR="000E0BD6" w:rsidRPr="001E1B9C">
        <w:rPr>
          <w:rFonts w:ascii="Times New Roman" w:hAnsi="Times New Roman" w:cs="Times New Roman"/>
        </w:rPr>
        <w:t xml:space="preserve">as </w:t>
      </w:r>
      <w:r w:rsidR="00F056FE" w:rsidRPr="001E1B9C">
        <w:rPr>
          <w:rFonts w:ascii="Times New Roman" w:hAnsi="Times New Roman" w:cs="Times New Roman"/>
        </w:rPr>
        <w:t>either an</w:t>
      </w:r>
      <w:r w:rsidR="000E0BD6" w:rsidRPr="001E1B9C">
        <w:rPr>
          <w:rFonts w:ascii="Times New Roman" w:hAnsi="Times New Roman" w:cs="Times New Roman"/>
        </w:rPr>
        <w:t xml:space="preserve"> extension to </w:t>
      </w:r>
      <w:r w:rsidR="00231429" w:rsidRPr="001E1B9C">
        <w:rPr>
          <w:rFonts w:ascii="Times New Roman" w:hAnsi="Times New Roman" w:cs="Times New Roman"/>
        </w:rPr>
        <w:t xml:space="preserve">commercial electronic health record (EHR) </w:t>
      </w:r>
      <w:r w:rsidR="004F6C09" w:rsidRPr="001E1B9C">
        <w:rPr>
          <w:rFonts w:ascii="Times New Roman" w:hAnsi="Times New Roman" w:cs="Times New Roman"/>
        </w:rPr>
        <w:t>software</w:t>
      </w:r>
      <w:r w:rsidR="00F056FE" w:rsidRPr="001E1B9C">
        <w:rPr>
          <w:rFonts w:ascii="Times New Roman" w:hAnsi="Times New Roman" w:cs="Times New Roman"/>
        </w:rPr>
        <w:t xml:space="preserve"> or </w:t>
      </w:r>
      <w:r w:rsidR="00205BE2" w:rsidRPr="001E1B9C">
        <w:rPr>
          <w:rFonts w:ascii="Times New Roman" w:hAnsi="Times New Roman" w:cs="Times New Roman"/>
        </w:rPr>
        <w:t>as a web- or mobile-based application</w:t>
      </w:r>
      <w:r w:rsidR="007E2CBA" w:rsidRPr="001E1B9C">
        <w:rPr>
          <w:rFonts w:ascii="Times New Roman" w:hAnsi="Times New Roman" w:cs="Times New Roman"/>
        </w:rPr>
        <w:t>.</w:t>
      </w:r>
      <w:r w:rsidR="00DD612D" w:rsidRPr="001E1B9C">
        <w:rPr>
          <w:rFonts w:ascii="Times New Roman" w:hAnsi="Times New Roman" w:cs="Times New Roman"/>
          <w:vertAlign w:val="superscript"/>
        </w:rPr>
        <w:t>20</w:t>
      </w:r>
      <w:r w:rsidR="007E2CBA" w:rsidRPr="001E1B9C">
        <w:rPr>
          <w:rFonts w:ascii="Times New Roman" w:hAnsi="Times New Roman" w:cs="Times New Roman"/>
        </w:rPr>
        <w:t xml:space="preserve"> </w:t>
      </w:r>
      <w:r w:rsidR="001651DD" w:rsidRPr="001E1B9C">
        <w:rPr>
          <w:rFonts w:ascii="Times New Roman" w:hAnsi="Times New Roman" w:cs="Times New Roman"/>
        </w:rPr>
        <w:t>I</w:t>
      </w:r>
      <w:r w:rsidR="00AB53A1" w:rsidRPr="001E1B9C">
        <w:rPr>
          <w:rFonts w:ascii="Times New Roman" w:hAnsi="Times New Roman" w:cs="Times New Roman"/>
        </w:rPr>
        <w:t xml:space="preserve">f </w:t>
      </w:r>
      <w:r w:rsidR="00C259F8" w:rsidRPr="001E1B9C">
        <w:rPr>
          <w:rFonts w:ascii="Times New Roman" w:hAnsi="Times New Roman" w:cs="Times New Roman"/>
        </w:rPr>
        <w:t xml:space="preserve">the </w:t>
      </w:r>
      <w:r w:rsidR="008677F9" w:rsidRPr="001E1B9C">
        <w:rPr>
          <w:rFonts w:ascii="Times New Roman" w:hAnsi="Times New Roman" w:cs="Times New Roman"/>
        </w:rPr>
        <w:t>creation</w:t>
      </w:r>
      <w:r w:rsidR="00C259F8" w:rsidRPr="001E1B9C">
        <w:rPr>
          <w:rFonts w:ascii="Times New Roman" w:hAnsi="Times New Roman" w:cs="Times New Roman"/>
        </w:rPr>
        <w:t xml:space="preserve"> of CDS systems was streamlined during development</w:t>
      </w:r>
      <w:r w:rsidR="00924214" w:rsidRPr="001E1B9C">
        <w:rPr>
          <w:rFonts w:ascii="Times New Roman" w:hAnsi="Times New Roman" w:cs="Times New Roman"/>
        </w:rPr>
        <w:t xml:space="preserve">, rather than retroactively </w:t>
      </w:r>
      <w:r w:rsidR="00EC3425" w:rsidRPr="001E1B9C">
        <w:rPr>
          <w:rFonts w:ascii="Times New Roman" w:hAnsi="Times New Roman" w:cs="Times New Roman"/>
        </w:rPr>
        <w:t xml:space="preserve">from outside parties, </w:t>
      </w:r>
      <w:r w:rsidR="00356788" w:rsidRPr="001E1B9C">
        <w:rPr>
          <w:rFonts w:ascii="Times New Roman" w:hAnsi="Times New Roman" w:cs="Times New Roman"/>
        </w:rPr>
        <w:t xml:space="preserve">clinicians and patients </w:t>
      </w:r>
      <w:r w:rsidR="00356788" w:rsidRPr="001E1B9C">
        <w:rPr>
          <w:rFonts w:ascii="Times New Roman" w:hAnsi="Times New Roman" w:cs="Times New Roman"/>
        </w:rPr>
        <w:lastRenderedPageBreak/>
        <w:t xml:space="preserve">would </w:t>
      </w:r>
      <w:r w:rsidR="00766094" w:rsidRPr="001E1B9C">
        <w:rPr>
          <w:rFonts w:ascii="Times New Roman" w:hAnsi="Times New Roman" w:cs="Times New Roman"/>
        </w:rPr>
        <w:t>reap the benefit of this technology quickly and consistently</w:t>
      </w:r>
      <w:r w:rsidR="00EC3425" w:rsidRPr="001E1B9C">
        <w:rPr>
          <w:rFonts w:ascii="Times New Roman" w:hAnsi="Times New Roman" w:cs="Times New Roman"/>
        </w:rPr>
        <w:t xml:space="preserve">. </w:t>
      </w:r>
      <w:r w:rsidR="001651DD" w:rsidRPr="001E1B9C">
        <w:rPr>
          <w:rFonts w:ascii="Times New Roman" w:hAnsi="Times New Roman" w:cs="Times New Roman"/>
        </w:rPr>
        <w:t xml:space="preserve">Simply put, </w:t>
      </w:r>
      <w:r w:rsidR="009B00AC" w:rsidRPr="001E1B9C">
        <w:rPr>
          <w:rFonts w:ascii="Times New Roman" w:hAnsi="Times New Roman" w:cs="Times New Roman"/>
        </w:rPr>
        <w:t xml:space="preserve">the </w:t>
      </w:r>
      <w:r w:rsidR="00ED5D5A" w:rsidRPr="001E1B9C">
        <w:rPr>
          <w:rFonts w:ascii="Times New Roman" w:hAnsi="Times New Roman" w:cs="Times New Roman"/>
        </w:rPr>
        <w:t xml:space="preserve">potential </w:t>
      </w:r>
      <w:r w:rsidR="009B00AC" w:rsidRPr="001E1B9C">
        <w:rPr>
          <w:rFonts w:ascii="Times New Roman" w:hAnsi="Times New Roman" w:cs="Times New Roman"/>
        </w:rPr>
        <w:t>exists t</w:t>
      </w:r>
      <w:r w:rsidR="00ED5D5A" w:rsidRPr="001E1B9C">
        <w:rPr>
          <w:rFonts w:ascii="Times New Roman" w:hAnsi="Times New Roman" w:cs="Times New Roman"/>
        </w:rPr>
        <w:t xml:space="preserve">o one day operate in a space where </w:t>
      </w:r>
      <w:r w:rsidR="00631CC8" w:rsidRPr="001E1B9C">
        <w:rPr>
          <w:rFonts w:ascii="Times New Roman" w:hAnsi="Times New Roman" w:cs="Times New Roman"/>
        </w:rPr>
        <w:t xml:space="preserve">most </w:t>
      </w:r>
      <w:r w:rsidR="00ED5D5A" w:rsidRPr="001E1B9C">
        <w:rPr>
          <w:rFonts w:ascii="Times New Roman" w:hAnsi="Times New Roman" w:cs="Times New Roman"/>
        </w:rPr>
        <w:t>drug approval</w:t>
      </w:r>
      <w:r w:rsidR="00631CC8" w:rsidRPr="001E1B9C">
        <w:rPr>
          <w:rFonts w:ascii="Times New Roman" w:hAnsi="Times New Roman" w:cs="Times New Roman"/>
        </w:rPr>
        <w:t>s</w:t>
      </w:r>
      <w:r w:rsidR="00ED5D5A" w:rsidRPr="001E1B9C">
        <w:rPr>
          <w:rFonts w:ascii="Times New Roman" w:hAnsi="Times New Roman" w:cs="Times New Roman"/>
        </w:rPr>
        <w:t xml:space="preserve"> </w:t>
      </w:r>
      <w:r w:rsidR="00631CC8" w:rsidRPr="001E1B9C">
        <w:rPr>
          <w:rFonts w:ascii="Times New Roman" w:hAnsi="Times New Roman" w:cs="Times New Roman"/>
        </w:rPr>
        <w:t>are</w:t>
      </w:r>
      <w:r w:rsidR="00ED5D5A" w:rsidRPr="001E1B9C">
        <w:rPr>
          <w:rFonts w:ascii="Times New Roman" w:hAnsi="Times New Roman" w:cs="Times New Roman"/>
        </w:rPr>
        <w:t xml:space="preserve"> accompanied by </w:t>
      </w:r>
      <w:r w:rsidR="00631CC8" w:rsidRPr="001E1B9C">
        <w:rPr>
          <w:rFonts w:ascii="Times New Roman" w:hAnsi="Times New Roman" w:cs="Times New Roman"/>
        </w:rPr>
        <w:t>the development of</w:t>
      </w:r>
      <w:r w:rsidR="00ED5D5A" w:rsidRPr="001E1B9C">
        <w:rPr>
          <w:rFonts w:ascii="Times New Roman" w:hAnsi="Times New Roman" w:cs="Times New Roman"/>
        </w:rPr>
        <w:t xml:space="preserve"> these devices.</w:t>
      </w:r>
    </w:p>
    <w:p w14:paraId="2344B33B" w14:textId="781E2297" w:rsidR="0031030B" w:rsidRPr="001E1B9C" w:rsidRDefault="005378B2" w:rsidP="00796EE7">
      <w:pPr>
        <w:spacing w:line="360" w:lineRule="auto"/>
        <w:ind w:firstLine="720"/>
        <w:rPr>
          <w:rFonts w:ascii="Times New Roman" w:hAnsi="Times New Roman" w:cs="Times New Roman"/>
        </w:rPr>
      </w:pPr>
      <w:r w:rsidRPr="001E1B9C">
        <w:rPr>
          <w:rFonts w:ascii="Times New Roman" w:hAnsi="Times New Roman" w:cs="Times New Roman"/>
        </w:rPr>
        <w:t>To go from</w:t>
      </w:r>
      <w:r w:rsidR="00E85AF0" w:rsidRPr="001E1B9C">
        <w:rPr>
          <w:rFonts w:ascii="Times New Roman" w:hAnsi="Times New Roman" w:cs="Times New Roman"/>
        </w:rPr>
        <w:t xml:space="preserve"> idea </w:t>
      </w:r>
      <w:r w:rsidRPr="001E1B9C">
        <w:rPr>
          <w:rFonts w:ascii="Times New Roman" w:hAnsi="Times New Roman" w:cs="Times New Roman"/>
        </w:rPr>
        <w:t>to</w:t>
      </w:r>
      <w:r w:rsidR="00E85AF0" w:rsidRPr="001E1B9C">
        <w:rPr>
          <w:rFonts w:ascii="Times New Roman" w:hAnsi="Times New Roman" w:cs="Times New Roman"/>
        </w:rPr>
        <w:t xml:space="preserve"> reality requires advanced pharmacometric methodologies, such as Bayesian </w:t>
      </w:r>
      <w:r w:rsidR="0081739F" w:rsidRPr="001E1B9C">
        <w:rPr>
          <w:rFonts w:ascii="Times New Roman" w:hAnsi="Times New Roman" w:cs="Times New Roman"/>
        </w:rPr>
        <w:t>approaches</w:t>
      </w:r>
      <w:r w:rsidR="00833A5B" w:rsidRPr="001E1B9C">
        <w:rPr>
          <w:rFonts w:ascii="Times New Roman" w:hAnsi="Times New Roman" w:cs="Times New Roman"/>
        </w:rPr>
        <w:t xml:space="preserve">. </w:t>
      </w:r>
      <w:r w:rsidRPr="001E1B9C">
        <w:rPr>
          <w:rFonts w:ascii="Times New Roman" w:hAnsi="Times New Roman" w:cs="Times New Roman"/>
        </w:rPr>
        <w:t xml:space="preserve">Like CDS systems, </w:t>
      </w:r>
      <w:r w:rsidR="00E24C19" w:rsidRPr="001E1B9C">
        <w:rPr>
          <w:rFonts w:ascii="Times New Roman" w:hAnsi="Times New Roman" w:cs="Times New Roman"/>
        </w:rPr>
        <w:t>Bayesian statistics is in no way a new concept, but its application to drug development is still maturing. Th</w:t>
      </w:r>
      <w:r w:rsidR="009A1D67" w:rsidRPr="001E1B9C">
        <w:rPr>
          <w:rFonts w:ascii="Times New Roman" w:hAnsi="Times New Roman" w:cs="Times New Roman"/>
        </w:rPr>
        <w:t>ese</w:t>
      </w:r>
      <w:r w:rsidR="00E24C19" w:rsidRPr="001E1B9C">
        <w:rPr>
          <w:rFonts w:ascii="Times New Roman" w:hAnsi="Times New Roman" w:cs="Times New Roman"/>
        </w:rPr>
        <w:t xml:space="preserve"> approach</w:t>
      </w:r>
      <w:r w:rsidR="009A1D67" w:rsidRPr="001E1B9C">
        <w:rPr>
          <w:rFonts w:ascii="Times New Roman" w:hAnsi="Times New Roman" w:cs="Times New Roman"/>
        </w:rPr>
        <w:t>es</w:t>
      </w:r>
      <w:r w:rsidR="00E24C19" w:rsidRPr="001E1B9C">
        <w:rPr>
          <w:rFonts w:ascii="Times New Roman" w:hAnsi="Times New Roman" w:cs="Times New Roman"/>
        </w:rPr>
        <w:t xml:space="preserve"> </w:t>
      </w:r>
      <w:r w:rsidR="009A1D67" w:rsidRPr="001E1B9C">
        <w:rPr>
          <w:rFonts w:ascii="Times New Roman" w:hAnsi="Times New Roman" w:cs="Times New Roman"/>
        </w:rPr>
        <w:t>are</w:t>
      </w:r>
      <w:r w:rsidR="00E24C19" w:rsidRPr="001E1B9C">
        <w:rPr>
          <w:rFonts w:ascii="Times New Roman" w:hAnsi="Times New Roman" w:cs="Times New Roman"/>
        </w:rPr>
        <w:t xml:space="preserve"> notorious for </w:t>
      </w:r>
      <w:r w:rsidR="009A1D67" w:rsidRPr="001E1B9C">
        <w:rPr>
          <w:rFonts w:ascii="Times New Roman" w:hAnsi="Times New Roman" w:cs="Times New Roman"/>
        </w:rPr>
        <w:t>their</w:t>
      </w:r>
      <w:r w:rsidR="00E24C19" w:rsidRPr="001E1B9C">
        <w:rPr>
          <w:rFonts w:ascii="Times New Roman" w:hAnsi="Times New Roman" w:cs="Times New Roman"/>
        </w:rPr>
        <w:t xml:space="preserve"> ability to leverage prior information </w:t>
      </w:r>
      <w:r w:rsidR="00BB5D87" w:rsidRPr="001E1B9C">
        <w:rPr>
          <w:rFonts w:ascii="Times New Roman" w:hAnsi="Times New Roman" w:cs="Times New Roman"/>
        </w:rPr>
        <w:t>and</w:t>
      </w:r>
      <w:r w:rsidR="00E24C19" w:rsidRPr="001E1B9C">
        <w:rPr>
          <w:rFonts w:ascii="Times New Roman" w:hAnsi="Times New Roman" w:cs="Times New Roman"/>
        </w:rPr>
        <w:t xml:space="preserve"> answer critical go/no-go decisions, ultimately saving time, money, and resources</w:t>
      </w:r>
      <w:r w:rsidR="00987770" w:rsidRPr="001E1B9C">
        <w:rPr>
          <w:rFonts w:ascii="Times New Roman" w:hAnsi="Times New Roman" w:cs="Times New Roman"/>
        </w:rPr>
        <w:t>. Currently, we</w:t>
      </w:r>
      <w:r w:rsidR="00E24C19" w:rsidRPr="001E1B9C">
        <w:rPr>
          <w:rFonts w:ascii="Times New Roman" w:hAnsi="Times New Roman" w:cs="Times New Roman"/>
        </w:rPr>
        <w:t xml:space="preserve"> use Bayesian methods to predict trial outcomes, </w:t>
      </w:r>
      <w:r w:rsidR="0046130B" w:rsidRPr="001E1B9C">
        <w:rPr>
          <w:rFonts w:ascii="Times New Roman" w:hAnsi="Times New Roman" w:cs="Times New Roman"/>
        </w:rPr>
        <w:t>determine the</w:t>
      </w:r>
      <w:r w:rsidR="00E24C19" w:rsidRPr="001E1B9C">
        <w:rPr>
          <w:rFonts w:ascii="Times New Roman" w:hAnsi="Times New Roman" w:cs="Times New Roman"/>
        </w:rPr>
        <w:t xml:space="preserve"> probability of achieving efficacy or safety endpoints, and even </w:t>
      </w:r>
      <w:r w:rsidR="0046130B" w:rsidRPr="001E1B9C">
        <w:rPr>
          <w:rFonts w:ascii="Times New Roman" w:hAnsi="Times New Roman" w:cs="Times New Roman"/>
        </w:rPr>
        <w:t>infer the</w:t>
      </w:r>
      <w:r w:rsidR="00E24C19" w:rsidRPr="001E1B9C">
        <w:rPr>
          <w:rFonts w:ascii="Times New Roman" w:hAnsi="Times New Roman" w:cs="Times New Roman"/>
        </w:rPr>
        <w:t xml:space="preserve"> likelihood of market success. </w:t>
      </w:r>
      <w:r w:rsidR="00D77C53" w:rsidRPr="001E1B9C">
        <w:rPr>
          <w:rFonts w:ascii="Times New Roman" w:hAnsi="Times New Roman" w:cs="Times New Roman"/>
        </w:rPr>
        <w:t>What we should now consider is how Bayesian methods can b</w:t>
      </w:r>
      <w:r w:rsidR="00DC35AF" w:rsidRPr="001E1B9C">
        <w:rPr>
          <w:rFonts w:ascii="Times New Roman" w:hAnsi="Times New Roman" w:cs="Times New Roman"/>
        </w:rPr>
        <w:t xml:space="preserve">e </w:t>
      </w:r>
      <w:r w:rsidR="00D77C53" w:rsidRPr="001E1B9C">
        <w:rPr>
          <w:rFonts w:ascii="Times New Roman" w:hAnsi="Times New Roman" w:cs="Times New Roman"/>
        </w:rPr>
        <w:t>harnessed for</w:t>
      </w:r>
      <w:r w:rsidR="004163BE" w:rsidRPr="001E1B9C">
        <w:rPr>
          <w:rFonts w:ascii="Times New Roman" w:hAnsi="Times New Roman" w:cs="Times New Roman"/>
        </w:rPr>
        <w:t xml:space="preserve"> </w:t>
      </w:r>
      <w:r w:rsidR="00D028C6" w:rsidRPr="001E1B9C">
        <w:rPr>
          <w:rFonts w:ascii="Times New Roman" w:hAnsi="Times New Roman" w:cs="Times New Roman"/>
        </w:rPr>
        <w:t xml:space="preserve">the benefit of </w:t>
      </w:r>
      <w:r w:rsidR="00D77C53" w:rsidRPr="001E1B9C">
        <w:rPr>
          <w:rFonts w:ascii="Times New Roman" w:hAnsi="Times New Roman" w:cs="Times New Roman"/>
        </w:rPr>
        <w:t xml:space="preserve">precision medicine. </w:t>
      </w:r>
      <w:r w:rsidR="008F5E01" w:rsidRPr="001E1B9C">
        <w:rPr>
          <w:rFonts w:ascii="Times New Roman" w:hAnsi="Times New Roman" w:cs="Times New Roman"/>
        </w:rPr>
        <w:t xml:space="preserve">Bayesian predictive frameworks </w:t>
      </w:r>
      <w:r w:rsidR="00877CEF" w:rsidRPr="001E1B9C">
        <w:rPr>
          <w:rFonts w:ascii="Times New Roman" w:hAnsi="Times New Roman" w:cs="Times New Roman"/>
        </w:rPr>
        <w:t>to personalize treatment</w:t>
      </w:r>
      <w:r w:rsidR="008622D7" w:rsidRPr="001E1B9C">
        <w:rPr>
          <w:rFonts w:ascii="Times New Roman" w:hAnsi="Times New Roman" w:cs="Times New Roman"/>
        </w:rPr>
        <w:t>s</w:t>
      </w:r>
      <w:r w:rsidR="00877CEF" w:rsidRPr="001E1B9C">
        <w:rPr>
          <w:rFonts w:ascii="Times New Roman" w:hAnsi="Times New Roman" w:cs="Times New Roman"/>
        </w:rPr>
        <w:t xml:space="preserve"> </w:t>
      </w:r>
      <w:r w:rsidR="008F5E01" w:rsidRPr="001E1B9C">
        <w:rPr>
          <w:rFonts w:ascii="Times New Roman" w:hAnsi="Times New Roman" w:cs="Times New Roman"/>
        </w:rPr>
        <w:t>have already been proposed</w:t>
      </w:r>
      <w:r w:rsidR="007F0639" w:rsidRPr="001E1B9C">
        <w:rPr>
          <w:rFonts w:ascii="Times New Roman" w:hAnsi="Times New Roman" w:cs="Times New Roman"/>
        </w:rPr>
        <w:t>.</w:t>
      </w:r>
      <w:r w:rsidR="00941ADA" w:rsidRPr="001E1B9C">
        <w:rPr>
          <w:rFonts w:ascii="Times New Roman" w:hAnsi="Times New Roman" w:cs="Times New Roman"/>
          <w:vertAlign w:val="superscript"/>
        </w:rPr>
        <w:t>21</w:t>
      </w:r>
      <w:r w:rsidR="007F0639" w:rsidRPr="001E1B9C">
        <w:rPr>
          <w:rFonts w:ascii="Times New Roman" w:hAnsi="Times New Roman" w:cs="Times New Roman"/>
        </w:rPr>
        <w:t xml:space="preserve"> </w:t>
      </w:r>
      <w:r w:rsidR="006D5DF8" w:rsidRPr="001E1B9C">
        <w:rPr>
          <w:rFonts w:ascii="Times New Roman" w:hAnsi="Times New Roman" w:cs="Times New Roman"/>
        </w:rPr>
        <w:t>This field is ever evolving, and it wouldn’t be far-fetched to say that</w:t>
      </w:r>
      <w:r w:rsidR="00C62CB0" w:rsidRPr="001E1B9C">
        <w:rPr>
          <w:rFonts w:ascii="Times New Roman" w:hAnsi="Times New Roman" w:cs="Times New Roman"/>
        </w:rPr>
        <w:t xml:space="preserve"> </w:t>
      </w:r>
      <w:r w:rsidR="006D5DF8" w:rsidRPr="001E1B9C">
        <w:rPr>
          <w:rFonts w:ascii="Times New Roman" w:hAnsi="Times New Roman" w:cs="Times New Roman"/>
        </w:rPr>
        <w:t>methodologies such as th</w:t>
      </w:r>
      <w:r w:rsidR="00BA162C" w:rsidRPr="001E1B9C">
        <w:rPr>
          <w:rFonts w:ascii="Times New Roman" w:hAnsi="Times New Roman" w:cs="Times New Roman"/>
        </w:rPr>
        <w:t xml:space="preserve">ese </w:t>
      </w:r>
      <w:r w:rsidR="006D5DF8" w:rsidRPr="001E1B9C">
        <w:rPr>
          <w:rFonts w:ascii="Times New Roman" w:hAnsi="Times New Roman" w:cs="Times New Roman"/>
        </w:rPr>
        <w:t xml:space="preserve">have the capability to revolution drug development as we know it. </w:t>
      </w:r>
    </w:p>
    <w:p w14:paraId="235F8CA4" w14:textId="4B823E21" w:rsidR="00393F7C" w:rsidRPr="001E1B9C" w:rsidRDefault="008B7D02" w:rsidP="00393F7C">
      <w:pPr>
        <w:pStyle w:val="Heading3"/>
        <w:spacing w:line="360" w:lineRule="auto"/>
        <w:rPr>
          <w:rFonts w:ascii="Times New Roman" w:hAnsi="Times New Roman" w:cs="Times New Roman"/>
          <w:color w:val="auto"/>
        </w:rPr>
      </w:pPr>
      <w:r w:rsidRPr="001E1B9C">
        <w:rPr>
          <w:rFonts w:ascii="Times New Roman" w:hAnsi="Times New Roman" w:cs="Times New Roman"/>
          <w:i/>
          <w:iCs/>
          <w:color w:val="auto"/>
        </w:rPr>
        <w:t>Real-World Dat</w:t>
      </w:r>
      <w:r w:rsidR="002C3470" w:rsidRPr="001E1B9C">
        <w:rPr>
          <w:rFonts w:ascii="Times New Roman" w:hAnsi="Times New Roman" w:cs="Times New Roman"/>
          <w:i/>
          <w:iCs/>
          <w:color w:val="auto"/>
        </w:rPr>
        <w:t>a</w:t>
      </w:r>
    </w:p>
    <w:p w14:paraId="465E4E86" w14:textId="5C816EAB" w:rsidR="006D2455" w:rsidRPr="001E1B9C" w:rsidRDefault="00FE0478" w:rsidP="00FE0478">
      <w:pPr>
        <w:spacing w:line="360" w:lineRule="auto"/>
        <w:rPr>
          <w:rFonts w:ascii="Times New Roman" w:hAnsi="Times New Roman" w:cs="Times New Roman"/>
        </w:rPr>
      </w:pPr>
      <w:r w:rsidRPr="001E1B9C">
        <w:rPr>
          <w:rFonts w:ascii="Times New Roman" w:hAnsi="Times New Roman" w:cs="Times New Roman"/>
        </w:rPr>
        <w:tab/>
        <w:t xml:space="preserve">Real-world data (RWD) </w:t>
      </w:r>
      <w:r w:rsidR="00A37605" w:rsidRPr="001E1B9C">
        <w:rPr>
          <w:rFonts w:ascii="Times New Roman" w:hAnsi="Times New Roman" w:cs="Times New Roman"/>
        </w:rPr>
        <w:t>i</w:t>
      </w:r>
      <w:r w:rsidR="00906B78" w:rsidRPr="001E1B9C">
        <w:rPr>
          <w:rFonts w:ascii="Times New Roman" w:hAnsi="Times New Roman" w:cs="Times New Roman"/>
        </w:rPr>
        <w:t xml:space="preserve">ncludes patient information, such as outcomes, demographics, and laboratory findings, that </w:t>
      </w:r>
      <w:r w:rsidR="00BC3368" w:rsidRPr="001E1B9C">
        <w:rPr>
          <w:rFonts w:ascii="Times New Roman" w:hAnsi="Times New Roman" w:cs="Times New Roman"/>
        </w:rPr>
        <w:t>are</w:t>
      </w:r>
      <w:r w:rsidR="00906B78" w:rsidRPr="001E1B9C">
        <w:rPr>
          <w:rFonts w:ascii="Times New Roman" w:hAnsi="Times New Roman" w:cs="Times New Roman"/>
        </w:rPr>
        <w:t xml:space="preserve"> collected </w:t>
      </w:r>
      <w:r w:rsidR="00BC3368" w:rsidRPr="001E1B9C">
        <w:rPr>
          <w:rFonts w:ascii="Times New Roman" w:hAnsi="Times New Roman" w:cs="Times New Roman"/>
        </w:rPr>
        <w:t>in</w:t>
      </w:r>
      <w:r w:rsidR="00906B78" w:rsidRPr="001E1B9C">
        <w:rPr>
          <w:rFonts w:ascii="Times New Roman" w:hAnsi="Times New Roman" w:cs="Times New Roman"/>
        </w:rPr>
        <w:t xml:space="preserve"> a real-world setting. </w:t>
      </w:r>
      <w:r w:rsidR="007D43E3" w:rsidRPr="001E1B9C">
        <w:rPr>
          <w:rFonts w:ascii="Times New Roman" w:hAnsi="Times New Roman" w:cs="Times New Roman"/>
        </w:rPr>
        <w:t xml:space="preserve">This </w:t>
      </w:r>
      <w:r w:rsidR="005423E4" w:rsidRPr="001E1B9C">
        <w:rPr>
          <w:rFonts w:ascii="Times New Roman" w:hAnsi="Times New Roman" w:cs="Times New Roman"/>
        </w:rPr>
        <w:t xml:space="preserve">is distinctly different from real-world evidence (RWE), which </w:t>
      </w:r>
      <w:r w:rsidR="00E841C6" w:rsidRPr="001E1B9C">
        <w:rPr>
          <w:rFonts w:ascii="Times New Roman" w:hAnsi="Times New Roman" w:cs="Times New Roman"/>
        </w:rPr>
        <w:t>is</w:t>
      </w:r>
      <w:r w:rsidR="005423E4" w:rsidRPr="001E1B9C">
        <w:rPr>
          <w:rFonts w:ascii="Times New Roman" w:hAnsi="Times New Roman" w:cs="Times New Roman"/>
        </w:rPr>
        <w:t xml:space="preserve"> the clinical evidence of treatment efficacy or safety </w:t>
      </w:r>
      <w:r w:rsidR="00E841C6" w:rsidRPr="001E1B9C">
        <w:rPr>
          <w:rFonts w:ascii="Times New Roman" w:hAnsi="Times New Roman" w:cs="Times New Roman"/>
        </w:rPr>
        <w:t>that is derived from</w:t>
      </w:r>
      <w:r w:rsidR="005423E4" w:rsidRPr="001E1B9C">
        <w:rPr>
          <w:rFonts w:ascii="Times New Roman" w:hAnsi="Times New Roman" w:cs="Times New Roman"/>
        </w:rPr>
        <w:t xml:space="preserve"> RWD.</w:t>
      </w:r>
      <w:r w:rsidR="009C2D85" w:rsidRPr="001E1B9C">
        <w:rPr>
          <w:rFonts w:ascii="Times New Roman" w:hAnsi="Times New Roman" w:cs="Times New Roman"/>
          <w:vertAlign w:val="superscript"/>
        </w:rPr>
        <w:t>22</w:t>
      </w:r>
      <w:r w:rsidR="003E2F54" w:rsidRPr="001E1B9C">
        <w:rPr>
          <w:rFonts w:ascii="Times New Roman" w:hAnsi="Times New Roman" w:cs="Times New Roman"/>
        </w:rPr>
        <w:t xml:space="preserve"> </w:t>
      </w:r>
      <w:r w:rsidR="009229EB" w:rsidRPr="001E1B9C">
        <w:rPr>
          <w:rFonts w:ascii="Times New Roman" w:hAnsi="Times New Roman" w:cs="Times New Roman"/>
        </w:rPr>
        <w:t>This data is collected from sources like electronic health records, insurance claims, and even</w:t>
      </w:r>
      <w:r w:rsidR="006D2455" w:rsidRPr="001E1B9C">
        <w:rPr>
          <w:rFonts w:ascii="Times New Roman" w:hAnsi="Times New Roman" w:cs="Times New Roman"/>
        </w:rPr>
        <w:t xml:space="preserve"> wearable devices</w:t>
      </w:r>
      <w:r w:rsidR="009B539B" w:rsidRPr="001E1B9C">
        <w:rPr>
          <w:rFonts w:ascii="Times New Roman" w:hAnsi="Times New Roman" w:cs="Times New Roman"/>
        </w:rPr>
        <w:t xml:space="preserve">, </w:t>
      </w:r>
      <w:r w:rsidR="00004D88" w:rsidRPr="001E1B9C">
        <w:rPr>
          <w:rFonts w:ascii="Times New Roman" w:hAnsi="Times New Roman" w:cs="Times New Roman"/>
        </w:rPr>
        <w:t xml:space="preserve">and </w:t>
      </w:r>
      <w:r w:rsidR="009B539B" w:rsidRPr="001E1B9C">
        <w:rPr>
          <w:rFonts w:ascii="Times New Roman" w:hAnsi="Times New Roman" w:cs="Times New Roman"/>
        </w:rPr>
        <w:t>therefore emulates the true heterogenous nature of our patient population.</w:t>
      </w:r>
      <w:r w:rsidR="006D2455" w:rsidRPr="001E1B9C">
        <w:rPr>
          <w:rFonts w:ascii="Times New Roman" w:hAnsi="Times New Roman" w:cs="Times New Roman"/>
        </w:rPr>
        <w:t xml:space="preserve"> </w:t>
      </w:r>
      <w:r w:rsidR="00FD1A44" w:rsidRPr="001E1B9C">
        <w:rPr>
          <w:rFonts w:ascii="Times New Roman" w:hAnsi="Times New Roman" w:cs="Times New Roman"/>
        </w:rPr>
        <w:t xml:space="preserve">RWD has the potential to </w:t>
      </w:r>
      <w:r w:rsidR="00805F3C" w:rsidRPr="001E1B9C">
        <w:rPr>
          <w:rFonts w:ascii="Times New Roman" w:hAnsi="Times New Roman" w:cs="Times New Roman"/>
        </w:rPr>
        <w:t xml:space="preserve">provide information that clinical trials are not designed to </w:t>
      </w:r>
      <w:r w:rsidR="0042115E" w:rsidRPr="001E1B9C">
        <w:rPr>
          <w:rFonts w:ascii="Times New Roman" w:hAnsi="Times New Roman" w:cs="Times New Roman"/>
        </w:rPr>
        <w:t xml:space="preserve">generate. </w:t>
      </w:r>
      <w:r w:rsidR="005671E7" w:rsidRPr="001E1B9C">
        <w:rPr>
          <w:rFonts w:ascii="Times New Roman" w:hAnsi="Times New Roman" w:cs="Times New Roman"/>
        </w:rPr>
        <w:t>P</w:t>
      </w:r>
      <w:r w:rsidR="00C45199" w:rsidRPr="001E1B9C">
        <w:rPr>
          <w:rFonts w:ascii="Times New Roman" w:hAnsi="Times New Roman" w:cs="Times New Roman"/>
        </w:rPr>
        <w:t xml:space="preserve">harmacometric analyses of RWD </w:t>
      </w:r>
      <w:r w:rsidR="005671E7" w:rsidRPr="001E1B9C">
        <w:rPr>
          <w:rFonts w:ascii="Times New Roman" w:hAnsi="Times New Roman" w:cs="Times New Roman"/>
        </w:rPr>
        <w:t>can be used to</w:t>
      </w:r>
      <w:r w:rsidR="00A7095A" w:rsidRPr="001E1B9C">
        <w:rPr>
          <w:rFonts w:ascii="Times New Roman" w:hAnsi="Times New Roman" w:cs="Times New Roman"/>
        </w:rPr>
        <w:t xml:space="preserve"> </w:t>
      </w:r>
      <w:r w:rsidR="00E079C0" w:rsidRPr="001E1B9C">
        <w:rPr>
          <w:rFonts w:ascii="Times New Roman" w:hAnsi="Times New Roman" w:cs="Times New Roman"/>
        </w:rPr>
        <w:t xml:space="preserve">optimize dosing, </w:t>
      </w:r>
      <w:r w:rsidR="00242C9A" w:rsidRPr="001E1B9C">
        <w:rPr>
          <w:rFonts w:ascii="Times New Roman" w:hAnsi="Times New Roman" w:cs="Times New Roman"/>
        </w:rPr>
        <w:t>personalize treatment</w:t>
      </w:r>
      <w:r w:rsidR="005671E7" w:rsidRPr="001E1B9C">
        <w:rPr>
          <w:rFonts w:ascii="Times New Roman" w:hAnsi="Times New Roman" w:cs="Times New Roman"/>
        </w:rPr>
        <w:t>s</w:t>
      </w:r>
      <w:r w:rsidR="00242C9A" w:rsidRPr="001E1B9C">
        <w:rPr>
          <w:rFonts w:ascii="Times New Roman" w:hAnsi="Times New Roman" w:cs="Times New Roman"/>
        </w:rPr>
        <w:t xml:space="preserve"> and monitoring plans, and even </w:t>
      </w:r>
      <w:r w:rsidR="009D78B6" w:rsidRPr="001E1B9C">
        <w:rPr>
          <w:rFonts w:ascii="Times New Roman" w:hAnsi="Times New Roman" w:cs="Times New Roman"/>
        </w:rPr>
        <w:t>provide supporting evidence for drug repurposing</w:t>
      </w:r>
      <w:r w:rsidR="00A7095A" w:rsidRPr="001E1B9C">
        <w:rPr>
          <w:rFonts w:ascii="Times New Roman" w:hAnsi="Times New Roman" w:cs="Times New Roman"/>
        </w:rPr>
        <w:t xml:space="preserve">. </w:t>
      </w:r>
      <w:r w:rsidR="00E43EC7" w:rsidRPr="001E1B9C">
        <w:rPr>
          <w:rFonts w:ascii="Times New Roman" w:hAnsi="Times New Roman" w:cs="Times New Roman"/>
        </w:rPr>
        <w:t xml:space="preserve">Many feel that RWD will one day bridge the gap between drug development and clinical practice, however this has not yet been the case. </w:t>
      </w:r>
    </w:p>
    <w:p w14:paraId="75FF4972" w14:textId="71105AE6" w:rsidR="006B416A" w:rsidRPr="001E1B9C" w:rsidRDefault="006B416A" w:rsidP="006B416A">
      <w:pPr>
        <w:spacing w:line="360" w:lineRule="auto"/>
        <w:ind w:firstLine="360"/>
        <w:rPr>
          <w:rFonts w:ascii="Times New Roman" w:hAnsi="Times New Roman" w:cs="Times New Roman"/>
        </w:rPr>
      </w:pPr>
      <w:r w:rsidRPr="001E1B9C">
        <w:rPr>
          <w:rFonts w:ascii="Times New Roman" w:hAnsi="Times New Roman" w:cs="Times New Roman"/>
        </w:rPr>
        <w:t>One FDA impact story discusses how clinical trial design can even be positively impacted by RWD.</w:t>
      </w:r>
      <w:r w:rsidR="00864451" w:rsidRPr="001E1B9C">
        <w:rPr>
          <w:rFonts w:ascii="Times New Roman" w:hAnsi="Times New Roman" w:cs="Times New Roman"/>
          <w:vertAlign w:val="superscript"/>
        </w:rPr>
        <w:t>23</w:t>
      </w:r>
      <w:r w:rsidRPr="001E1B9C">
        <w:rPr>
          <w:rFonts w:ascii="Times New Roman" w:hAnsi="Times New Roman" w:cs="Times New Roman"/>
        </w:rPr>
        <w:t xml:space="preserve"> The authors discuss how RWD is particularly of interest to support the evaluation of drugs intended to treat rare and life-threatening diseases. </w:t>
      </w:r>
      <w:r w:rsidR="00962D60">
        <w:rPr>
          <w:rFonts w:ascii="Times New Roman" w:hAnsi="Times New Roman" w:cs="Times New Roman"/>
        </w:rPr>
        <w:t>In</w:t>
      </w:r>
      <w:r w:rsidR="00344A3A" w:rsidRPr="001E1B9C">
        <w:rPr>
          <w:rFonts w:ascii="Times New Roman" w:hAnsi="Times New Roman" w:cs="Times New Roman"/>
        </w:rPr>
        <w:t xml:space="preserve"> both</w:t>
      </w:r>
      <w:r w:rsidR="00962D60">
        <w:rPr>
          <w:rFonts w:ascii="Times New Roman" w:hAnsi="Times New Roman" w:cs="Times New Roman"/>
        </w:rPr>
        <w:t xml:space="preserve"> of these</w:t>
      </w:r>
      <w:r w:rsidRPr="001E1B9C">
        <w:rPr>
          <w:rFonts w:ascii="Times New Roman" w:hAnsi="Times New Roman" w:cs="Times New Roman"/>
        </w:rPr>
        <w:t xml:space="preserve"> instances it is either challenging or unethical to conduct gold-standard randomized controlled trials. As a result, scientists have been actively conducting research to design innovative trials that incorporate such RWD. The impact story further discusses the potential applications of RWD to drug development, including assembling an external control arm, dose finding in smaller patient populations, and addressing the issue of high placebo response rates.</w:t>
      </w:r>
      <w:r w:rsidRPr="001E1B9C">
        <w:rPr>
          <w:rFonts w:ascii="Times New Roman" w:hAnsi="Times New Roman" w:cs="Times New Roman"/>
          <w:vertAlign w:val="superscript"/>
        </w:rPr>
        <w:t xml:space="preserve"> </w:t>
      </w:r>
      <w:r w:rsidR="00864451" w:rsidRPr="001E1B9C">
        <w:rPr>
          <w:rFonts w:ascii="Times New Roman" w:hAnsi="Times New Roman" w:cs="Times New Roman"/>
          <w:vertAlign w:val="superscript"/>
        </w:rPr>
        <w:t>23</w:t>
      </w:r>
      <w:r w:rsidRPr="001E1B9C">
        <w:rPr>
          <w:rFonts w:ascii="Times New Roman" w:hAnsi="Times New Roman" w:cs="Times New Roman"/>
        </w:rPr>
        <w:t xml:space="preserve"> These concepts are further reflected in a recent FDA guidance on the use of RWD to support regulatory decision making.</w:t>
      </w:r>
      <w:r w:rsidR="007A11E1" w:rsidRPr="001E1B9C">
        <w:rPr>
          <w:rFonts w:ascii="Times New Roman" w:hAnsi="Times New Roman" w:cs="Times New Roman"/>
          <w:vertAlign w:val="superscript"/>
        </w:rPr>
        <w:t>24</w:t>
      </w:r>
      <w:r w:rsidRPr="001E1B9C">
        <w:rPr>
          <w:rFonts w:ascii="Times New Roman" w:hAnsi="Times New Roman" w:cs="Times New Roman"/>
        </w:rPr>
        <w:t xml:space="preserve"> We believe that with further investigation and validation there will be a major shift in the design of clinical trials for such scenarios.</w:t>
      </w:r>
    </w:p>
    <w:p w14:paraId="23315B78" w14:textId="5E9B551B" w:rsidR="006B416A" w:rsidRPr="001E1B9C" w:rsidRDefault="00DE1DB6" w:rsidP="00DE1DB6">
      <w:pPr>
        <w:spacing w:line="360" w:lineRule="auto"/>
        <w:ind w:firstLine="360"/>
        <w:rPr>
          <w:rFonts w:ascii="Times New Roman" w:hAnsi="Times New Roman" w:cs="Times New Roman"/>
        </w:rPr>
      </w:pPr>
      <w:r w:rsidRPr="001E1B9C">
        <w:rPr>
          <w:rFonts w:ascii="Times New Roman" w:hAnsi="Times New Roman" w:cs="Times New Roman"/>
        </w:rPr>
        <w:lastRenderedPageBreak/>
        <w:t>As one can imagine, there is an abundance of RWD</w:t>
      </w:r>
      <w:r w:rsidR="00CF4BCA" w:rsidRPr="001E1B9C">
        <w:rPr>
          <w:rFonts w:ascii="Times New Roman" w:hAnsi="Times New Roman" w:cs="Times New Roman"/>
        </w:rPr>
        <w:t>. T</w:t>
      </w:r>
      <w:r w:rsidRPr="001E1B9C">
        <w:rPr>
          <w:rFonts w:ascii="Times New Roman" w:hAnsi="Times New Roman" w:cs="Times New Roman"/>
        </w:rPr>
        <w:t xml:space="preserve">he sheer volume and complexity of its compilation has been an undeniable barrier. </w:t>
      </w:r>
      <w:r w:rsidR="00607D7D" w:rsidRPr="001E1B9C">
        <w:rPr>
          <w:rFonts w:ascii="Times New Roman" w:hAnsi="Times New Roman" w:cs="Times New Roman"/>
        </w:rPr>
        <w:t>Only in recent years have we had the</w:t>
      </w:r>
      <w:r w:rsidRPr="001E1B9C">
        <w:rPr>
          <w:rFonts w:ascii="Times New Roman" w:hAnsi="Times New Roman" w:cs="Times New Roman"/>
        </w:rPr>
        <w:t xml:space="preserve"> ability to access, store, and analyze what is referred to as “big data”</w:t>
      </w:r>
      <w:r w:rsidR="00607D7D" w:rsidRPr="001E1B9C">
        <w:rPr>
          <w:rFonts w:ascii="Times New Roman" w:hAnsi="Times New Roman" w:cs="Times New Roman"/>
        </w:rPr>
        <w:t>, but there are still improvements to be made</w:t>
      </w:r>
      <w:r w:rsidRPr="001E1B9C">
        <w:rPr>
          <w:rFonts w:ascii="Times New Roman" w:hAnsi="Times New Roman" w:cs="Times New Roman"/>
        </w:rPr>
        <w:t xml:space="preserve">. </w:t>
      </w:r>
      <w:r w:rsidR="00CC568B" w:rsidRPr="001E1B9C">
        <w:rPr>
          <w:rFonts w:ascii="Times New Roman" w:hAnsi="Times New Roman" w:cs="Times New Roman"/>
        </w:rPr>
        <w:t>We</w:t>
      </w:r>
      <w:r w:rsidR="006B416A" w:rsidRPr="001E1B9C">
        <w:rPr>
          <w:rFonts w:ascii="Times New Roman" w:hAnsi="Times New Roman" w:cs="Times New Roman"/>
        </w:rPr>
        <w:t xml:space="preserve"> need a way to</w:t>
      </w:r>
      <w:r w:rsidR="00CC568B" w:rsidRPr="001E1B9C">
        <w:rPr>
          <w:rFonts w:ascii="Times New Roman" w:hAnsi="Times New Roman" w:cs="Times New Roman"/>
        </w:rPr>
        <w:t xml:space="preserve"> systematically</w:t>
      </w:r>
      <w:r w:rsidR="006B416A" w:rsidRPr="001E1B9C">
        <w:rPr>
          <w:rFonts w:ascii="Times New Roman" w:hAnsi="Times New Roman" w:cs="Times New Roman"/>
        </w:rPr>
        <w:t xml:space="preserve"> store and handle such a mass amount of information. For this reason, we have witnessed the scaling of computational infrastructures and an increase in tools equipped to analyze big data, such as machine learning (ML) methods.</w:t>
      </w:r>
    </w:p>
    <w:p w14:paraId="7C310A1D" w14:textId="3623AA02" w:rsidR="00D42E97" w:rsidRDefault="006B416A" w:rsidP="00895283">
      <w:pPr>
        <w:spacing w:line="360" w:lineRule="auto"/>
        <w:ind w:firstLine="360"/>
        <w:rPr>
          <w:rFonts w:ascii="Times New Roman" w:hAnsi="Times New Roman" w:cs="Times New Roman"/>
        </w:rPr>
      </w:pPr>
      <w:r w:rsidRPr="001E1B9C">
        <w:rPr>
          <w:rFonts w:ascii="Times New Roman" w:hAnsi="Times New Roman" w:cs="Times New Roman"/>
        </w:rPr>
        <w:t>One major application of ML is in the context of drug repurposing. Real world data can be effectively leveraged to support both the addition of labeling in under-studied populations and the addition of new indications all together. We have previously proposed one strategic goal related to this effort, stating that by 2030 renewed pediatric labeling of 15 drugs without patent and/or exclusivity should be achieved.</w:t>
      </w:r>
      <w:r w:rsidR="008D1290" w:rsidRPr="001E1B9C">
        <w:rPr>
          <w:rFonts w:ascii="Times New Roman" w:hAnsi="Times New Roman" w:cs="Times New Roman"/>
          <w:vertAlign w:val="superscript"/>
        </w:rPr>
        <w:t>25</w:t>
      </w:r>
      <w:r w:rsidRPr="001E1B9C">
        <w:rPr>
          <w:rFonts w:ascii="Times New Roman" w:hAnsi="Times New Roman" w:cs="Times New Roman"/>
        </w:rPr>
        <w:t xml:space="preserve"> ML methods are likely necessary to analyze RWD efficiently, otherwise goals such as these may not ever come to fruition. Although there have been many studies regarding the use of RWD for drug repurposing, ML techniques have not been utilized to their full potential. One article that reviewed </w:t>
      </w:r>
      <w:r w:rsidR="00A472E4">
        <w:rPr>
          <w:rFonts w:ascii="Times New Roman" w:hAnsi="Times New Roman" w:cs="Times New Roman"/>
        </w:rPr>
        <w:t xml:space="preserve">the </w:t>
      </w:r>
      <w:r w:rsidRPr="001E1B9C">
        <w:rPr>
          <w:rFonts w:ascii="Times New Roman" w:hAnsi="Times New Roman" w:cs="Times New Roman"/>
        </w:rPr>
        <w:t>current</w:t>
      </w:r>
      <w:r w:rsidR="0082431E">
        <w:rPr>
          <w:rFonts w:ascii="Times New Roman" w:hAnsi="Times New Roman" w:cs="Times New Roman"/>
        </w:rPr>
        <w:t xml:space="preserve"> </w:t>
      </w:r>
      <w:r w:rsidR="00A472E4">
        <w:rPr>
          <w:rFonts w:ascii="Times New Roman" w:hAnsi="Times New Roman" w:cs="Times New Roman"/>
        </w:rPr>
        <w:t xml:space="preserve">use of </w:t>
      </w:r>
      <w:r w:rsidR="0082431E">
        <w:rPr>
          <w:rFonts w:ascii="Times New Roman" w:hAnsi="Times New Roman" w:cs="Times New Roman"/>
        </w:rPr>
        <w:t>RWD</w:t>
      </w:r>
      <w:r w:rsidRPr="001E1B9C">
        <w:rPr>
          <w:rFonts w:ascii="Times New Roman" w:hAnsi="Times New Roman" w:cs="Times New Roman"/>
        </w:rPr>
        <w:t xml:space="preserve"> and ML methods found only 16 prior </w:t>
      </w:r>
      <w:r w:rsidR="00BF5B73">
        <w:rPr>
          <w:rFonts w:ascii="Times New Roman" w:hAnsi="Times New Roman" w:cs="Times New Roman"/>
        </w:rPr>
        <w:t>assessments for</w:t>
      </w:r>
      <w:r w:rsidRPr="001E1B9C">
        <w:rPr>
          <w:rFonts w:ascii="Times New Roman" w:hAnsi="Times New Roman" w:cs="Times New Roman"/>
        </w:rPr>
        <w:t xml:space="preserve"> drug repurposing in the last 20 years.</w:t>
      </w:r>
      <w:r w:rsidR="00297A48" w:rsidRPr="001E1B9C">
        <w:rPr>
          <w:rFonts w:ascii="Times New Roman" w:hAnsi="Times New Roman" w:cs="Times New Roman"/>
          <w:vertAlign w:val="superscript"/>
        </w:rPr>
        <w:t>26</w:t>
      </w:r>
      <w:r w:rsidRPr="001E1B9C">
        <w:rPr>
          <w:rFonts w:ascii="Times New Roman" w:hAnsi="Times New Roman" w:cs="Times New Roman"/>
        </w:rPr>
        <w:t xml:space="preserve"> </w:t>
      </w:r>
      <w:r w:rsidR="00302E19">
        <w:rPr>
          <w:rFonts w:ascii="Times New Roman" w:hAnsi="Times New Roman" w:cs="Times New Roman"/>
        </w:rPr>
        <w:t xml:space="preserve">It is our hope that the number of </w:t>
      </w:r>
      <w:r w:rsidR="00D11A91">
        <w:rPr>
          <w:rFonts w:ascii="Times New Roman" w:hAnsi="Times New Roman" w:cs="Times New Roman"/>
        </w:rPr>
        <w:t>these cases</w:t>
      </w:r>
      <w:r w:rsidR="00302E19">
        <w:rPr>
          <w:rFonts w:ascii="Times New Roman" w:hAnsi="Times New Roman" w:cs="Times New Roman"/>
        </w:rPr>
        <w:t xml:space="preserve"> increases as the infrastructure to support ML methods</w:t>
      </w:r>
      <w:r w:rsidR="00D11A91">
        <w:rPr>
          <w:rFonts w:ascii="Times New Roman" w:hAnsi="Times New Roman" w:cs="Times New Roman"/>
        </w:rPr>
        <w:t xml:space="preserve"> and RWD</w:t>
      </w:r>
      <w:r w:rsidR="00302E19">
        <w:rPr>
          <w:rFonts w:ascii="Times New Roman" w:hAnsi="Times New Roman" w:cs="Times New Roman"/>
        </w:rPr>
        <w:t xml:space="preserve"> expands. </w:t>
      </w:r>
    </w:p>
    <w:p w14:paraId="40602698" w14:textId="77777777" w:rsidR="00C720D2" w:rsidRPr="001E1B9C" w:rsidRDefault="00C720D2" w:rsidP="00895283">
      <w:pPr>
        <w:spacing w:line="360" w:lineRule="auto"/>
        <w:ind w:firstLine="360"/>
        <w:rPr>
          <w:rFonts w:ascii="Times New Roman" w:hAnsi="Times New Roman" w:cs="Times New Roman"/>
        </w:rPr>
      </w:pPr>
    </w:p>
    <w:p w14:paraId="3688AF0A" w14:textId="5C31B9F2" w:rsidR="00E24C19" w:rsidRPr="001E1B9C" w:rsidRDefault="00D42E97" w:rsidP="00E24C19">
      <w:pPr>
        <w:pStyle w:val="Heading2"/>
        <w:spacing w:before="0" w:line="360" w:lineRule="auto"/>
        <w:rPr>
          <w:rFonts w:ascii="Times New Roman" w:hAnsi="Times New Roman" w:cs="Times New Roman"/>
          <w:color w:val="auto"/>
          <w:sz w:val="24"/>
          <w:szCs w:val="24"/>
        </w:rPr>
      </w:pPr>
      <w:r w:rsidRPr="001E1B9C">
        <w:rPr>
          <w:rFonts w:ascii="Times New Roman" w:hAnsi="Times New Roman" w:cs="Times New Roman"/>
          <w:color w:val="auto"/>
        </w:rPr>
        <w:t xml:space="preserve">Conclusion </w:t>
      </w:r>
    </w:p>
    <w:p w14:paraId="5CF25235" w14:textId="1B621323" w:rsidR="00724BC9" w:rsidRDefault="00025805" w:rsidP="00260942">
      <w:pPr>
        <w:spacing w:line="360" w:lineRule="auto"/>
        <w:ind w:firstLine="360"/>
        <w:rPr>
          <w:rFonts w:ascii="Times New Roman" w:hAnsi="Times New Roman" w:cs="Times New Roman"/>
        </w:rPr>
      </w:pPr>
      <w:r w:rsidRPr="001E1B9C">
        <w:rPr>
          <w:rFonts w:ascii="Times New Roman" w:hAnsi="Times New Roman" w:cs="Times New Roman"/>
        </w:rPr>
        <w:t>P</w:t>
      </w:r>
      <w:r w:rsidR="005C362E" w:rsidRPr="001E1B9C">
        <w:rPr>
          <w:rFonts w:ascii="Times New Roman" w:hAnsi="Times New Roman" w:cs="Times New Roman"/>
        </w:rPr>
        <w:t>harmacometrics has come a long way since it</w:t>
      </w:r>
      <w:r w:rsidR="00FA08D4" w:rsidRPr="001E1B9C">
        <w:rPr>
          <w:rFonts w:ascii="Times New Roman" w:hAnsi="Times New Roman" w:cs="Times New Roman"/>
        </w:rPr>
        <w:t>s inception</w:t>
      </w:r>
      <w:r w:rsidR="00187B1E" w:rsidRPr="001E1B9C">
        <w:rPr>
          <w:rFonts w:ascii="Times New Roman" w:hAnsi="Times New Roman" w:cs="Times New Roman"/>
        </w:rPr>
        <w:t>.</w:t>
      </w:r>
      <w:r w:rsidR="00B35880" w:rsidRPr="001E1B9C">
        <w:rPr>
          <w:rFonts w:ascii="Times New Roman" w:hAnsi="Times New Roman" w:cs="Times New Roman"/>
        </w:rPr>
        <w:t xml:space="preserve"> </w:t>
      </w:r>
      <w:r w:rsidR="00A02754" w:rsidRPr="001E1B9C">
        <w:rPr>
          <w:rFonts w:ascii="Times New Roman" w:hAnsi="Times New Roman" w:cs="Times New Roman"/>
        </w:rPr>
        <w:t>The field started as an applied science without an established role in drug development</w:t>
      </w:r>
      <w:r w:rsidR="00D4338C" w:rsidRPr="001E1B9C">
        <w:rPr>
          <w:rFonts w:ascii="Times New Roman" w:hAnsi="Times New Roman" w:cs="Times New Roman"/>
        </w:rPr>
        <w:t>. N</w:t>
      </w:r>
      <w:r w:rsidR="00A02754" w:rsidRPr="001E1B9C">
        <w:rPr>
          <w:rFonts w:ascii="Times New Roman" w:hAnsi="Times New Roman" w:cs="Times New Roman"/>
        </w:rPr>
        <w:t>ow</w:t>
      </w:r>
      <w:r w:rsidR="00D4338C" w:rsidRPr="001E1B9C">
        <w:rPr>
          <w:rFonts w:ascii="Times New Roman" w:hAnsi="Times New Roman" w:cs="Times New Roman"/>
        </w:rPr>
        <w:t>,</w:t>
      </w:r>
      <w:r w:rsidR="00A02754" w:rsidRPr="001E1B9C">
        <w:rPr>
          <w:rFonts w:ascii="Times New Roman" w:hAnsi="Times New Roman" w:cs="Times New Roman"/>
        </w:rPr>
        <w:t xml:space="preserve"> pharmacometric analyses are included in nearly every</w:t>
      </w:r>
      <w:r w:rsidR="009022A9" w:rsidRPr="001E1B9C">
        <w:rPr>
          <w:rFonts w:ascii="Times New Roman" w:hAnsi="Times New Roman" w:cs="Times New Roman"/>
        </w:rPr>
        <w:t xml:space="preserve"> drug</w:t>
      </w:r>
      <w:r w:rsidR="00A02754" w:rsidRPr="001E1B9C">
        <w:rPr>
          <w:rFonts w:ascii="Times New Roman" w:hAnsi="Times New Roman" w:cs="Times New Roman"/>
        </w:rPr>
        <w:t xml:space="preserve"> program. </w:t>
      </w:r>
      <w:r w:rsidR="00F36838" w:rsidRPr="001E1B9C">
        <w:rPr>
          <w:rFonts w:ascii="Times New Roman" w:hAnsi="Times New Roman" w:cs="Times New Roman"/>
        </w:rPr>
        <w:t>History often repeats itself, and that is no exception here. P</w:t>
      </w:r>
      <w:r w:rsidR="00B9168D" w:rsidRPr="001E1B9C">
        <w:rPr>
          <w:rFonts w:ascii="Times New Roman" w:hAnsi="Times New Roman" w:cs="Times New Roman"/>
        </w:rPr>
        <w:t xml:space="preserve">harmacometricians </w:t>
      </w:r>
      <w:r w:rsidR="00947780" w:rsidRPr="001E1B9C">
        <w:rPr>
          <w:rFonts w:ascii="Times New Roman" w:hAnsi="Times New Roman" w:cs="Times New Roman"/>
        </w:rPr>
        <w:t>will continue to</w:t>
      </w:r>
      <w:r w:rsidR="00B9168D" w:rsidRPr="001E1B9C">
        <w:rPr>
          <w:rFonts w:ascii="Times New Roman" w:hAnsi="Times New Roman" w:cs="Times New Roman"/>
        </w:rPr>
        <w:t xml:space="preserve"> grow in</w:t>
      </w:r>
      <w:r w:rsidR="00A259C1" w:rsidRPr="001E1B9C">
        <w:rPr>
          <w:rFonts w:ascii="Times New Roman" w:hAnsi="Times New Roman" w:cs="Times New Roman"/>
        </w:rPr>
        <w:t xml:space="preserve"> both numbers and capabilities</w:t>
      </w:r>
      <w:r w:rsidR="003D33E3" w:rsidRPr="001E1B9C">
        <w:rPr>
          <w:rFonts w:ascii="Times New Roman" w:hAnsi="Times New Roman" w:cs="Times New Roman"/>
        </w:rPr>
        <w:t>, and in</w:t>
      </w:r>
      <w:r w:rsidR="00D86A56" w:rsidRPr="001E1B9C">
        <w:rPr>
          <w:rFonts w:ascii="Times New Roman" w:hAnsi="Times New Roman" w:cs="Times New Roman"/>
        </w:rPr>
        <w:t xml:space="preserve"> another 60 years </w:t>
      </w:r>
      <w:r w:rsidR="00E106C2" w:rsidRPr="001E1B9C">
        <w:rPr>
          <w:rFonts w:ascii="Times New Roman" w:hAnsi="Times New Roman" w:cs="Times New Roman"/>
        </w:rPr>
        <w:t xml:space="preserve">it may very well transform </w:t>
      </w:r>
      <w:r w:rsidR="001D4EB5" w:rsidRPr="001E1B9C">
        <w:rPr>
          <w:rFonts w:ascii="Times New Roman" w:hAnsi="Times New Roman" w:cs="Times New Roman"/>
        </w:rPr>
        <w:t xml:space="preserve">drug development as we know it. </w:t>
      </w:r>
    </w:p>
    <w:p w14:paraId="1C84EAE0" w14:textId="77777777" w:rsidR="00724BC9" w:rsidRDefault="00724BC9" w:rsidP="00260942">
      <w:pPr>
        <w:spacing w:line="360" w:lineRule="auto"/>
        <w:ind w:firstLine="360"/>
        <w:rPr>
          <w:rFonts w:ascii="Times New Roman" w:hAnsi="Times New Roman" w:cs="Times New Roman"/>
        </w:rPr>
      </w:pPr>
    </w:p>
    <w:p w14:paraId="1DEECFF3" w14:textId="3A765EA3" w:rsidR="00975C47" w:rsidRPr="00724BC9" w:rsidRDefault="00975C47" w:rsidP="00975C47">
      <w:pPr>
        <w:pStyle w:val="Heading2"/>
        <w:spacing w:before="0" w:line="360" w:lineRule="auto"/>
        <w:rPr>
          <w:rFonts w:ascii="Times New Roman" w:hAnsi="Times New Roman" w:cs="Times New Roman"/>
          <w:i/>
          <w:iCs/>
          <w:color w:val="auto"/>
        </w:rPr>
      </w:pPr>
      <w:r w:rsidRPr="00724BC9">
        <w:rPr>
          <w:rFonts w:ascii="Times New Roman" w:hAnsi="Times New Roman" w:cs="Times New Roman"/>
          <w:i/>
          <w:iCs/>
          <w:color w:val="auto"/>
        </w:rPr>
        <w:t>Acknowledgements</w:t>
      </w:r>
      <w:r w:rsidRPr="00724BC9">
        <w:rPr>
          <w:rFonts w:ascii="Times New Roman" w:hAnsi="Times New Roman" w:cs="Times New Roman"/>
          <w:i/>
          <w:iCs/>
          <w:color w:val="auto"/>
        </w:rPr>
        <w:t xml:space="preserve"> </w:t>
      </w:r>
    </w:p>
    <w:p w14:paraId="1F1D0FA4" w14:textId="47D7D80C" w:rsidR="00975C47" w:rsidRPr="00724BC9" w:rsidRDefault="00975C47" w:rsidP="00975C47">
      <w:pPr>
        <w:rPr>
          <w:rFonts w:ascii="Times New Roman" w:hAnsi="Times New Roman" w:cs="Times New Roman"/>
        </w:rPr>
      </w:pPr>
      <w:r w:rsidRPr="00975C47">
        <w:rPr>
          <w:rFonts w:ascii="Times New Roman" w:hAnsi="Times New Roman" w:cs="Times New Roman"/>
        </w:rPr>
        <w:t>Authors do not have any additional acknowledgements</w:t>
      </w:r>
    </w:p>
    <w:p w14:paraId="6DAC66A1" w14:textId="17E46DD6" w:rsidR="00975C47" w:rsidRPr="00724BC9" w:rsidRDefault="00975C47" w:rsidP="00975C47">
      <w:pPr>
        <w:pStyle w:val="Heading2"/>
        <w:spacing w:before="0" w:line="360" w:lineRule="auto"/>
        <w:rPr>
          <w:rFonts w:ascii="Times New Roman" w:hAnsi="Times New Roman" w:cs="Times New Roman"/>
          <w:i/>
          <w:iCs/>
          <w:color w:val="auto"/>
        </w:rPr>
      </w:pPr>
      <w:r w:rsidRPr="00724BC9">
        <w:rPr>
          <w:rFonts w:ascii="Times New Roman" w:hAnsi="Times New Roman" w:cs="Times New Roman"/>
          <w:i/>
          <w:iCs/>
          <w:color w:val="auto"/>
        </w:rPr>
        <w:t>Con</w:t>
      </w:r>
      <w:r w:rsidRPr="00724BC9">
        <w:rPr>
          <w:rFonts w:ascii="Times New Roman" w:hAnsi="Times New Roman" w:cs="Times New Roman"/>
          <w:i/>
          <w:iCs/>
          <w:color w:val="auto"/>
        </w:rPr>
        <w:t>flict of Interest Statement</w:t>
      </w:r>
    </w:p>
    <w:p w14:paraId="75C00898" w14:textId="1A44F534" w:rsidR="00724BC9" w:rsidRDefault="00975C47" w:rsidP="00975C47">
      <w:pPr>
        <w:rPr>
          <w:rFonts w:ascii="Times New Roman" w:hAnsi="Times New Roman" w:cs="Times New Roman"/>
        </w:rPr>
      </w:pPr>
      <w:r w:rsidRPr="00975C47">
        <w:rPr>
          <w:rFonts w:ascii="Times New Roman" w:hAnsi="Times New Roman" w:cs="Times New Roman"/>
        </w:rPr>
        <w:t>Gobburu is a co-founder of Pumas-AI, Inc.</w:t>
      </w:r>
      <w:r w:rsidRPr="00975C47">
        <w:rPr>
          <w:rFonts w:ascii="Times New Roman" w:hAnsi="Times New Roman" w:cs="Times New Roman"/>
        </w:rPr>
        <w:t xml:space="preserve"> </w:t>
      </w:r>
    </w:p>
    <w:p w14:paraId="3CA72835" w14:textId="2B95E1C6" w:rsidR="00AA2022" w:rsidRDefault="00AA2022">
      <w:pPr>
        <w:rPr>
          <w:rFonts w:ascii="Times New Roman" w:hAnsi="Times New Roman" w:cs="Times New Roman"/>
        </w:rPr>
      </w:pPr>
    </w:p>
    <w:p w14:paraId="30034491" w14:textId="77777777" w:rsidR="009C59D6" w:rsidRDefault="009C59D6">
      <w:pPr>
        <w:rPr>
          <w:rFonts w:ascii="Times New Roman" w:hAnsi="Times New Roman" w:cs="Times New Roman"/>
        </w:rPr>
      </w:pPr>
    </w:p>
    <w:p w14:paraId="0EF889F6" w14:textId="77777777" w:rsidR="00811491" w:rsidRPr="001E1B9C" w:rsidRDefault="00811491" w:rsidP="00811491">
      <w:pPr>
        <w:pStyle w:val="Heading1"/>
        <w:spacing w:before="0"/>
        <w:rPr>
          <w:rFonts w:ascii="Times New Roman" w:hAnsi="Times New Roman" w:cs="Times New Roman"/>
          <w:color w:val="auto"/>
        </w:rPr>
      </w:pPr>
      <w:r w:rsidRPr="004729E2">
        <w:rPr>
          <w:rFonts w:ascii="Times New Roman" w:hAnsi="Times New Roman" w:cs="Times New Roman"/>
        </w:rPr>
        <w:lastRenderedPageBreak/>
        <w:t xml:space="preserve">   </w:t>
      </w:r>
      <w:r w:rsidRPr="001E1B9C">
        <w:rPr>
          <w:rFonts w:ascii="Times New Roman" w:hAnsi="Times New Roman" w:cs="Times New Roman"/>
          <w:color w:val="auto"/>
        </w:rPr>
        <w:t xml:space="preserve">References </w:t>
      </w:r>
    </w:p>
    <w:p w14:paraId="6FD16E0B" w14:textId="77777777" w:rsidR="00811491" w:rsidRPr="001E1B9C" w:rsidRDefault="00811491" w:rsidP="00811491">
      <w:pPr>
        <w:pStyle w:val="ListParagraph"/>
        <w:rPr>
          <w:rFonts w:ascii="Times New Roman" w:hAnsi="Times New Roman" w:cs="Times New Roman"/>
        </w:rPr>
      </w:pPr>
    </w:p>
    <w:p w14:paraId="5077875E" w14:textId="77777777" w:rsidR="00811491" w:rsidRDefault="00811491" w:rsidP="00811491">
      <w:pPr>
        <w:pStyle w:val="ListParagraph"/>
        <w:numPr>
          <w:ilvl w:val="0"/>
          <w:numId w:val="8"/>
        </w:numPr>
        <w:rPr>
          <w:rFonts w:ascii="Times New Roman" w:hAnsi="Times New Roman" w:cs="Times New Roman"/>
        </w:rPr>
      </w:pPr>
      <w:r w:rsidRPr="004729E2">
        <w:rPr>
          <w:rFonts w:ascii="Times New Roman" w:hAnsi="Times New Roman" w:cs="Times New Roman"/>
        </w:rPr>
        <w:t xml:space="preserve">Hartford, A. H., &amp; Kowalski, K. G. (2019). Pharmacometrics. Statistical Methods in Biomarker and Early Clinical Development, 321–348. </w:t>
      </w:r>
      <w:hyperlink r:id="rId10" w:history="1">
        <w:r w:rsidRPr="000E0CD2">
          <w:rPr>
            <w:rStyle w:val="Hyperlink"/>
            <w:rFonts w:ascii="Times New Roman" w:hAnsi="Times New Roman" w:cs="Times New Roman"/>
          </w:rPr>
          <w:t>https://doi.org/10.1007/978-3-030-31503-0_15</w:t>
        </w:r>
      </w:hyperlink>
      <w:r>
        <w:rPr>
          <w:rFonts w:ascii="Times New Roman" w:hAnsi="Times New Roman" w:cs="Times New Roman"/>
        </w:rPr>
        <w:t xml:space="preserve"> </w:t>
      </w:r>
      <w:r>
        <w:rPr>
          <w:rFonts w:ascii="Times New Roman" w:hAnsi="Times New Roman" w:cs="Times New Roman"/>
        </w:rPr>
        <w:br/>
      </w:r>
    </w:p>
    <w:p w14:paraId="1491063B" w14:textId="77777777" w:rsidR="00811491" w:rsidRDefault="00811491" w:rsidP="00811491">
      <w:pPr>
        <w:pStyle w:val="ListParagraph"/>
        <w:numPr>
          <w:ilvl w:val="0"/>
          <w:numId w:val="8"/>
        </w:numPr>
        <w:rPr>
          <w:rFonts w:ascii="Times New Roman" w:hAnsi="Times New Roman" w:cs="Times New Roman"/>
        </w:rPr>
      </w:pPr>
      <w:r w:rsidRPr="004729E2">
        <w:rPr>
          <w:rFonts w:ascii="Times New Roman" w:hAnsi="Times New Roman" w:cs="Times New Roman"/>
        </w:rPr>
        <w:t xml:space="preserve">U.S. Food and Drug Administration, Center for Drug Evaluation and Research, Center for Biologics Evaluation and Research, Studies in Support of Special Populations: Geriatrics (1994). Retrieved December 7, 2022, from </w:t>
      </w:r>
      <w:hyperlink r:id="rId11" w:history="1">
        <w:r w:rsidRPr="000E0CD2">
          <w:rPr>
            <w:rStyle w:val="Hyperlink"/>
            <w:rFonts w:ascii="Times New Roman" w:hAnsi="Times New Roman" w:cs="Times New Roman"/>
          </w:rPr>
          <w:t>https://www.fda.gov/regulatory-information/search-fda-guidance-documents/e7-studies-support-special-populations-geriatrics</w:t>
        </w:r>
      </w:hyperlink>
      <w:r>
        <w:rPr>
          <w:rFonts w:ascii="Times New Roman" w:hAnsi="Times New Roman" w:cs="Times New Roman"/>
        </w:rPr>
        <w:t xml:space="preserve"> </w:t>
      </w:r>
      <w:r>
        <w:rPr>
          <w:rFonts w:ascii="Times New Roman" w:hAnsi="Times New Roman" w:cs="Times New Roman"/>
        </w:rPr>
        <w:br/>
      </w:r>
    </w:p>
    <w:p w14:paraId="1AA8BA30" w14:textId="77777777" w:rsidR="00811491" w:rsidRDefault="00811491" w:rsidP="00811491">
      <w:pPr>
        <w:pStyle w:val="ListParagraph"/>
        <w:numPr>
          <w:ilvl w:val="0"/>
          <w:numId w:val="8"/>
        </w:numPr>
        <w:rPr>
          <w:rFonts w:ascii="Times New Roman" w:hAnsi="Times New Roman" w:cs="Times New Roman"/>
        </w:rPr>
      </w:pPr>
      <w:r w:rsidRPr="00532D0A">
        <w:rPr>
          <w:rFonts w:ascii="Times New Roman" w:hAnsi="Times New Roman" w:cs="Times New Roman"/>
        </w:rPr>
        <w:t xml:space="preserve">U.S. Food and Drug Administration, Center for Drug Evaluation and Research. </w:t>
      </w:r>
      <w:r>
        <w:rPr>
          <w:rFonts w:ascii="Times New Roman" w:hAnsi="Times New Roman" w:cs="Times New Roman"/>
        </w:rPr>
        <w:t>Guidance for Industry, Population Pharmacokinetics</w:t>
      </w:r>
      <w:r w:rsidRPr="00532D0A">
        <w:rPr>
          <w:rFonts w:ascii="Times New Roman" w:hAnsi="Times New Roman" w:cs="Times New Roman"/>
        </w:rPr>
        <w:t xml:space="preserve">, </w:t>
      </w:r>
      <w:r>
        <w:rPr>
          <w:rFonts w:ascii="Times New Roman" w:hAnsi="Times New Roman" w:cs="Times New Roman"/>
        </w:rPr>
        <w:t>February</w:t>
      </w:r>
      <w:r w:rsidRPr="00532D0A">
        <w:rPr>
          <w:rFonts w:ascii="Times New Roman" w:hAnsi="Times New Roman" w:cs="Times New Roman"/>
        </w:rPr>
        <w:t xml:space="preserve"> </w:t>
      </w:r>
      <w:r>
        <w:rPr>
          <w:rFonts w:ascii="Times New Roman" w:hAnsi="Times New Roman" w:cs="Times New Roman"/>
        </w:rPr>
        <w:t>1999</w:t>
      </w:r>
      <w:r w:rsidRPr="00532D0A">
        <w:rPr>
          <w:rFonts w:ascii="Times New Roman" w:hAnsi="Times New Roman" w:cs="Times New Roman"/>
        </w:rPr>
        <w:t xml:space="preserve">. Retrieved December 7, 2022, from </w:t>
      </w:r>
      <w:hyperlink r:id="rId12" w:history="1">
        <w:r w:rsidRPr="000E0CD2">
          <w:rPr>
            <w:rStyle w:val="Hyperlink"/>
            <w:rFonts w:ascii="Times New Roman" w:hAnsi="Times New Roman" w:cs="Times New Roman"/>
          </w:rPr>
          <w:t>https://www.fda.gov/media/71364/download</w:t>
        </w:r>
      </w:hyperlink>
      <w:r>
        <w:rPr>
          <w:rFonts w:ascii="Times New Roman" w:hAnsi="Times New Roman" w:cs="Times New Roman"/>
        </w:rPr>
        <w:br/>
      </w:r>
    </w:p>
    <w:p w14:paraId="55FB721E" w14:textId="77777777" w:rsidR="00811491" w:rsidRDefault="00811491" w:rsidP="00811491">
      <w:pPr>
        <w:pStyle w:val="ListParagraph"/>
        <w:numPr>
          <w:ilvl w:val="0"/>
          <w:numId w:val="8"/>
        </w:numPr>
        <w:rPr>
          <w:rFonts w:ascii="Times New Roman" w:hAnsi="Times New Roman" w:cs="Times New Roman"/>
        </w:rPr>
      </w:pPr>
      <w:r w:rsidRPr="00F46430">
        <w:rPr>
          <w:rFonts w:ascii="Times New Roman" w:hAnsi="Times New Roman" w:cs="Times New Roman"/>
        </w:rPr>
        <w:t xml:space="preserve">Lesko, L. J. (2007). Paving the critical path: How can clinical pharmacology help achieve </w:t>
      </w:r>
      <w:proofErr w:type="gramStart"/>
      <w:r w:rsidRPr="00F46430">
        <w:rPr>
          <w:rFonts w:ascii="Times New Roman" w:hAnsi="Times New Roman" w:cs="Times New Roman"/>
        </w:rPr>
        <w:t>the Vision</w:t>
      </w:r>
      <w:proofErr w:type="gramEnd"/>
      <w:r w:rsidRPr="00F46430">
        <w:rPr>
          <w:rFonts w:ascii="Times New Roman" w:hAnsi="Times New Roman" w:cs="Times New Roman"/>
        </w:rPr>
        <w:t xml:space="preserve">? Clinical Pharmacology &amp; Therapeutics, 81(2), 170–177. </w:t>
      </w:r>
      <w:hyperlink r:id="rId13" w:history="1">
        <w:r w:rsidRPr="000E0CD2">
          <w:rPr>
            <w:rStyle w:val="Hyperlink"/>
            <w:rFonts w:ascii="Times New Roman" w:hAnsi="Times New Roman" w:cs="Times New Roman"/>
          </w:rPr>
          <w:t>https://doi.org/10.1038/sj.clpt.6100045</w:t>
        </w:r>
      </w:hyperlink>
      <w:r>
        <w:rPr>
          <w:rFonts w:ascii="Times New Roman" w:hAnsi="Times New Roman" w:cs="Times New Roman"/>
        </w:rPr>
        <w:t xml:space="preserve"> </w:t>
      </w:r>
      <w:r>
        <w:rPr>
          <w:rFonts w:ascii="Times New Roman" w:hAnsi="Times New Roman" w:cs="Times New Roman"/>
        </w:rPr>
        <w:br/>
      </w:r>
    </w:p>
    <w:p w14:paraId="2A55C8F5" w14:textId="77777777" w:rsidR="00811491" w:rsidRDefault="00811491" w:rsidP="00811491">
      <w:pPr>
        <w:pStyle w:val="ListParagraph"/>
        <w:numPr>
          <w:ilvl w:val="0"/>
          <w:numId w:val="8"/>
        </w:numPr>
        <w:rPr>
          <w:rFonts w:ascii="Times New Roman" w:hAnsi="Times New Roman" w:cs="Times New Roman"/>
        </w:rPr>
      </w:pPr>
      <w:r w:rsidRPr="000218F8">
        <w:rPr>
          <w:rFonts w:ascii="Times New Roman" w:hAnsi="Times New Roman" w:cs="Times New Roman"/>
        </w:rPr>
        <w:t>Office of the Commissioner. (</w:t>
      </w:r>
      <w:r>
        <w:rPr>
          <w:rFonts w:ascii="Times New Roman" w:hAnsi="Times New Roman" w:cs="Times New Roman"/>
        </w:rPr>
        <w:t>2004</w:t>
      </w:r>
      <w:r w:rsidRPr="000218F8">
        <w:rPr>
          <w:rFonts w:ascii="Times New Roman" w:hAnsi="Times New Roman" w:cs="Times New Roman"/>
        </w:rPr>
        <w:t xml:space="preserve">). Critical path opportunities reports - challenges and Opportunities Report - March 2004. Archive. Retrieved </w:t>
      </w:r>
      <w:r>
        <w:rPr>
          <w:rFonts w:ascii="Times New Roman" w:hAnsi="Times New Roman" w:cs="Times New Roman"/>
        </w:rPr>
        <w:t>December</w:t>
      </w:r>
      <w:r w:rsidRPr="000218F8">
        <w:rPr>
          <w:rFonts w:ascii="Times New Roman" w:hAnsi="Times New Roman" w:cs="Times New Roman"/>
        </w:rPr>
        <w:t xml:space="preserve"> </w:t>
      </w:r>
      <w:r>
        <w:rPr>
          <w:rFonts w:ascii="Times New Roman" w:hAnsi="Times New Roman" w:cs="Times New Roman"/>
        </w:rPr>
        <w:t>7</w:t>
      </w:r>
      <w:r w:rsidRPr="000218F8">
        <w:rPr>
          <w:rFonts w:ascii="Times New Roman" w:hAnsi="Times New Roman" w:cs="Times New Roman"/>
        </w:rPr>
        <w:t>, 202</w:t>
      </w:r>
      <w:r>
        <w:rPr>
          <w:rFonts w:ascii="Times New Roman" w:hAnsi="Times New Roman" w:cs="Times New Roman"/>
        </w:rPr>
        <w:t>2</w:t>
      </w:r>
      <w:r w:rsidRPr="000218F8">
        <w:rPr>
          <w:rFonts w:ascii="Times New Roman" w:hAnsi="Times New Roman" w:cs="Times New Roman"/>
        </w:rPr>
        <w:t xml:space="preserve">, from </w:t>
      </w:r>
      <w:hyperlink r:id="rId14" w:history="1">
        <w:r w:rsidRPr="000E0CD2">
          <w:rPr>
            <w:rStyle w:val="Hyperlink"/>
            <w:rFonts w:ascii="Times New Roman" w:hAnsi="Times New Roman" w:cs="Times New Roman"/>
          </w:rPr>
          <w:t>http://wayback.archive-it.org/7993/20180125032208/https://www.fda.gov/ScienceResearch/SpecialTopics/CriticalPathInitiative/CriticalPathOpportunitiesReports/ucm077262.htm</w:t>
        </w:r>
      </w:hyperlink>
      <w:r>
        <w:rPr>
          <w:rFonts w:ascii="Times New Roman" w:hAnsi="Times New Roman" w:cs="Times New Roman"/>
        </w:rPr>
        <w:t xml:space="preserve"> </w:t>
      </w:r>
      <w:r>
        <w:rPr>
          <w:rFonts w:ascii="Times New Roman" w:hAnsi="Times New Roman" w:cs="Times New Roman"/>
        </w:rPr>
        <w:br/>
      </w:r>
    </w:p>
    <w:p w14:paraId="380B3399" w14:textId="77777777" w:rsidR="00811491" w:rsidRPr="00631B3B" w:rsidRDefault="00811491" w:rsidP="00811491">
      <w:pPr>
        <w:pStyle w:val="ListParagraph"/>
        <w:numPr>
          <w:ilvl w:val="0"/>
          <w:numId w:val="8"/>
        </w:numPr>
        <w:rPr>
          <w:rFonts w:ascii="Times New Roman" w:hAnsi="Times New Roman" w:cs="Times New Roman"/>
        </w:rPr>
      </w:pPr>
      <w:r w:rsidRPr="00631B3B">
        <w:rPr>
          <w:rFonts w:ascii="Times New Roman" w:hAnsi="Times New Roman" w:cs="Times New Roman"/>
        </w:rPr>
        <w:t xml:space="preserve">Presented by </w:t>
      </w:r>
      <w:proofErr w:type="spellStart"/>
      <w:r w:rsidRPr="00631B3B">
        <w:rPr>
          <w:rFonts w:ascii="Times New Roman" w:hAnsi="Times New Roman" w:cs="Times New Roman"/>
        </w:rPr>
        <w:t>Atsunori</w:t>
      </w:r>
      <w:proofErr w:type="spellEnd"/>
      <w:r w:rsidRPr="00631B3B">
        <w:rPr>
          <w:rFonts w:ascii="Times New Roman" w:hAnsi="Times New Roman" w:cs="Times New Roman"/>
        </w:rPr>
        <w:t xml:space="preserve"> </w:t>
      </w:r>
      <w:proofErr w:type="spellStart"/>
      <w:r w:rsidRPr="00631B3B">
        <w:rPr>
          <w:rFonts w:ascii="Times New Roman" w:hAnsi="Times New Roman" w:cs="Times New Roman"/>
        </w:rPr>
        <w:t>Kaibara</w:t>
      </w:r>
      <w:proofErr w:type="spellEnd"/>
      <w:r w:rsidRPr="00631B3B">
        <w:rPr>
          <w:rFonts w:ascii="Times New Roman" w:hAnsi="Times New Roman" w:cs="Times New Roman"/>
        </w:rPr>
        <w:t xml:space="preserve"> (Astellas Pharma, Inc) at the “PK/PD Internal Symposium on Modeling and Simulation in Drug Development and Clinical Applications", Yonsei University Medical Center, Seoul, Korea (2006)</w:t>
      </w:r>
      <w:r w:rsidRPr="00631B3B">
        <w:rPr>
          <w:rFonts w:ascii="Times New Roman" w:hAnsi="Times New Roman" w:cs="Times New Roman"/>
        </w:rPr>
        <w:br/>
      </w:r>
    </w:p>
    <w:p w14:paraId="20C75132" w14:textId="77777777" w:rsidR="00811491" w:rsidRPr="00631B3B" w:rsidRDefault="00811491" w:rsidP="00811491">
      <w:pPr>
        <w:pStyle w:val="ListParagraph"/>
        <w:numPr>
          <w:ilvl w:val="0"/>
          <w:numId w:val="8"/>
        </w:numPr>
        <w:rPr>
          <w:rFonts w:ascii="Times New Roman" w:hAnsi="Times New Roman" w:cs="Times New Roman"/>
        </w:rPr>
      </w:pPr>
      <w:r w:rsidRPr="00631B3B">
        <w:rPr>
          <w:rFonts w:ascii="Times New Roman" w:hAnsi="Times New Roman" w:cs="Times New Roman"/>
        </w:rPr>
        <w:t xml:space="preserve">Zhang, L., </w:t>
      </w:r>
      <w:proofErr w:type="spellStart"/>
      <w:r w:rsidRPr="00631B3B">
        <w:rPr>
          <w:rFonts w:ascii="Times New Roman" w:hAnsi="Times New Roman" w:cs="Times New Roman"/>
        </w:rPr>
        <w:t>Allerheiligen</w:t>
      </w:r>
      <w:proofErr w:type="spellEnd"/>
      <w:r w:rsidRPr="00631B3B">
        <w:rPr>
          <w:rFonts w:ascii="Times New Roman" w:hAnsi="Times New Roman" w:cs="Times New Roman"/>
        </w:rPr>
        <w:t xml:space="preserve">, S. R., Lalonde, R. L., </w:t>
      </w:r>
      <w:proofErr w:type="spellStart"/>
      <w:r w:rsidRPr="00631B3B">
        <w:rPr>
          <w:rFonts w:ascii="Times New Roman" w:hAnsi="Times New Roman" w:cs="Times New Roman"/>
        </w:rPr>
        <w:t>Stanski</w:t>
      </w:r>
      <w:proofErr w:type="spellEnd"/>
      <w:r w:rsidRPr="00631B3B">
        <w:rPr>
          <w:rFonts w:ascii="Times New Roman" w:hAnsi="Times New Roman" w:cs="Times New Roman"/>
        </w:rPr>
        <w:t xml:space="preserve">, D. R., &amp; Pfister, M. (2010). Fostering culture and optimizing organizational structure for implementing model-based drug development. The Journal of Clinical Pharmacology, 50(S9). </w:t>
      </w:r>
      <w:hyperlink r:id="rId15" w:history="1">
        <w:r w:rsidRPr="00631B3B">
          <w:rPr>
            <w:rStyle w:val="Hyperlink"/>
            <w:rFonts w:ascii="Times New Roman" w:hAnsi="Times New Roman" w:cs="Times New Roman"/>
          </w:rPr>
          <w:t>https://doi.org/10.1177/0091270010376976</w:t>
        </w:r>
      </w:hyperlink>
      <w:r w:rsidRPr="00631B3B">
        <w:rPr>
          <w:rFonts w:ascii="Times New Roman" w:hAnsi="Times New Roman" w:cs="Times New Roman"/>
        </w:rPr>
        <w:t xml:space="preserve"> </w:t>
      </w:r>
      <w:r w:rsidRPr="00631B3B">
        <w:rPr>
          <w:rFonts w:ascii="Times New Roman" w:hAnsi="Times New Roman" w:cs="Times New Roman"/>
        </w:rPr>
        <w:br/>
      </w:r>
    </w:p>
    <w:p w14:paraId="1982B220" w14:textId="77777777" w:rsidR="00811491" w:rsidRDefault="00811491" w:rsidP="00811491">
      <w:pPr>
        <w:pStyle w:val="ListParagraph"/>
        <w:numPr>
          <w:ilvl w:val="0"/>
          <w:numId w:val="8"/>
        </w:numPr>
        <w:rPr>
          <w:rFonts w:ascii="Times New Roman" w:hAnsi="Times New Roman" w:cs="Times New Roman"/>
        </w:rPr>
      </w:pPr>
      <w:r w:rsidRPr="00631B3B">
        <w:rPr>
          <w:rFonts w:ascii="Times New Roman" w:hAnsi="Times New Roman" w:cs="Times New Roman"/>
        </w:rPr>
        <w:t xml:space="preserve">Reprinted by permission from Macmillan Publishers Ltd: Clinical Pharmacology &amp; Therapeutics, Lalonde RL, Kowalski KG, </w:t>
      </w:r>
      <w:proofErr w:type="spellStart"/>
      <w:r w:rsidRPr="00631B3B">
        <w:rPr>
          <w:rFonts w:ascii="Times New Roman" w:hAnsi="Times New Roman" w:cs="Times New Roman"/>
        </w:rPr>
        <w:t>Hutmacher</w:t>
      </w:r>
      <w:proofErr w:type="spellEnd"/>
      <w:r w:rsidRPr="00631B3B">
        <w:rPr>
          <w:rFonts w:ascii="Times New Roman" w:hAnsi="Times New Roman" w:cs="Times New Roman"/>
        </w:rPr>
        <w:t xml:space="preserve"> MM, </w:t>
      </w:r>
      <w:proofErr w:type="spellStart"/>
      <w:r w:rsidRPr="00631B3B">
        <w:rPr>
          <w:rFonts w:ascii="Times New Roman" w:hAnsi="Times New Roman" w:cs="Times New Roman"/>
        </w:rPr>
        <w:t>Ew</w:t>
      </w:r>
      <w:proofErr w:type="spellEnd"/>
      <w:r w:rsidRPr="00631B3B">
        <w:rPr>
          <w:rFonts w:ascii="Times New Roman" w:hAnsi="Times New Roman" w:cs="Times New Roman"/>
        </w:rPr>
        <w:t xml:space="preserve"> W, Nichols DJ, Milligan PA, Corrigan BW, Lockwood PA, Marshall SA, </w:t>
      </w:r>
      <w:proofErr w:type="spellStart"/>
      <w:r w:rsidRPr="00631B3B">
        <w:rPr>
          <w:rFonts w:ascii="Times New Roman" w:hAnsi="Times New Roman" w:cs="Times New Roman"/>
        </w:rPr>
        <w:t>Benincosa</w:t>
      </w:r>
      <w:proofErr w:type="spellEnd"/>
      <w:r w:rsidRPr="00631B3B">
        <w:rPr>
          <w:rFonts w:ascii="Times New Roman" w:hAnsi="Times New Roman" w:cs="Times New Roman"/>
        </w:rPr>
        <w:t xml:space="preserve"> LJ, </w:t>
      </w:r>
      <w:proofErr w:type="spellStart"/>
      <w:r w:rsidRPr="00631B3B">
        <w:rPr>
          <w:rFonts w:ascii="Times New Roman" w:hAnsi="Times New Roman" w:cs="Times New Roman"/>
        </w:rPr>
        <w:t>Tensfeldt</w:t>
      </w:r>
      <w:proofErr w:type="spellEnd"/>
      <w:r w:rsidRPr="00631B3B">
        <w:rPr>
          <w:rFonts w:ascii="Times New Roman" w:hAnsi="Times New Roman" w:cs="Times New Roman"/>
        </w:rPr>
        <w:t xml:space="preserve"> TG, Parivar K, </w:t>
      </w:r>
      <w:proofErr w:type="spellStart"/>
      <w:r w:rsidRPr="00631B3B">
        <w:rPr>
          <w:rFonts w:ascii="Times New Roman" w:hAnsi="Times New Roman" w:cs="Times New Roman"/>
        </w:rPr>
        <w:t>Amantea</w:t>
      </w:r>
      <w:proofErr w:type="spellEnd"/>
      <w:r w:rsidRPr="00631B3B">
        <w:rPr>
          <w:rFonts w:ascii="Times New Roman" w:hAnsi="Times New Roman" w:cs="Times New Roman"/>
        </w:rPr>
        <w:t xml:space="preserve"> M, Glue P, Koide H and Miller R; Model-based Drug Development, (reference citation), July 2007 copyright (year of publication)</w:t>
      </w:r>
      <w:r>
        <w:rPr>
          <w:rFonts w:ascii="Times New Roman" w:hAnsi="Times New Roman" w:cs="Times New Roman"/>
        </w:rPr>
        <w:br/>
      </w:r>
    </w:p>
    <w:p w14:paraId="45F829A0" w14:textId="77777777" w:rsidR="00811491" w:rsidRDefault="00811491" w:rsidP="00811491">
      <w:pPr>
        <w:pStyle w:val="ListParagraph"/>
        <w:numPr>
          <w:ilvl w:val="0"/>
          <w:numId w:val="8"/>
        </w:numPr>
        <w:rPr>
          <w:rFonts w:ascii="Times New Roman" w:hAnsi="Times New Roman" w:cs="Times New Roman"/>
        </w:rPr>
      </w:pPr>
      <w:r w:rsidRPr="004729E2">
        <w:rPr>
          <w:rFonts w:ascii="Times New Roman" w:hAnsi="Times New Roman" w:cs="Times New Roman"/>
        </w:rPr>
        <w:t xml:space="preserve">Lee, J. Y., Garnett, C. E., Gobburu, J. V., </w:t>
      </w:r>
      <w:proofErr w:type="spellStart"/>
      <w:r w:rsidRPr="004729E2">
        <w:rPr>
          <w:rFonts w:ascii="Times New Roman" w:hAnsi="Times New Roman" w:cs="Times New Roman"/>
        </w:rPr>
        <w:t>Bhattaram</w:t>
      </w:r>
      <w:proofErr w:type="spellEnd"/>
      <w:r w:rsidRPr="004729E2">
        <w:rPr>
          <w:rFonts w:ascii="Times New Roman" w:hAnsi="Times New Roman" w:cs="Times New Roman"/>
        </w:rPr>
        <w:t xml:space="preserve">, V. A., Brar, S., Earp, J. C., Jadhav, P. R., </w:t>
      </w:r>
      <w:proofErr w:type="spellStart"/>
      <w:r w:rsidRPr="004729E2">
        <w:rPr>
          <w:rFonts w:ascii="Times New Roman" w:hAnsi="Times New Roman" w:cs="Times New Roman"/>
        </w:rPr>
        <w:t>Krudys</w:t>
      </w:r>
      <w:proofErr w:type="spellEnd"/>
      <w:r w:rsidRPr="004729E2">
        <w:rPr>
          <w:rFonts w:ascii="Times New Roman" w:hAnsi="Times New Roman" w:cs="Times New Roman"/>
        </w:rPr>
        <w:t xml:space="preserve">, K., Lesko, L. J., Li, F., Liu, J., </w:t>
      </w:r>
      <w:proofErr w:type="spellStart"/>
      <w:r w:rsidRPr="004729E2">
        <w:rPr>
          <w:rFonts w:ascii="Times New Roman" w:hAnsi="Times New Roman" w:cs="Times New Roman"/>
        </w:rPr>
        <w:t>Madabushi</w:t>
      </w:r>
      <w:proofErr w:type="spellEnd"/>
      <w:r w:rsidRPr="004729E2">
        <w:rPr>
          <w:rFonts w:ascii="Times New Roman" w:hAnsi="Times New Roman" w:cs="Times New Roman"/>
        </w:rPr>
        <w:t xml:space="preserve">, R., Marathe, A., Mehrotra, N., </w:t>
      </w:r>
      <w:proofErr w:type="spellStart"/>
      <w:r w:rsidRPr="004729E2">
        <w:rPr>
          <w:rFonts w:ascii="Times New Roman" w:hAnsi="Times New Roman" w:cs="Times New Roman"/>
        </w:rPr>
        <w:t>Tornoe</w:t>
      </w:r>
      <w:proofErr w:type="spellEnd"/>
      <w:r w:rsidRPr="004729E2">
        <w:rPr>
          <w:rFonts w:ascii="Times New Roman" w:hAnsi="Times New Roman" w:cs="Times New Roman"/>
        </w:rPr>
        <w:t xml:space="preserve">, C., Wang, Y., &amp; Zhu, H. (2011). Impact of pharmacometric analyses on new drug approval and labelling decisions: a review of 198 submissions between 2000 and 2008. Clinical pharmacokinetics, 50(10), 627–635. </w:t>
      </w:r>
      <w:hyperlink r:id="rId16" w:history="1">
        <w:r w:rsidRPr="000E0CD2">
          <w:rPr>
            <w:rStyle w:val="Hyperlink"/>
            <w:rFonts w:ascii="Times New Roman" w:hAnsi="Times New Roman" w:cs="Times New Roman"/>
          </w:rPr>
          <w:t>https://doi.org/10.2165/11593210-000000000-00000</w:t>
        </w:r>
      </w:hyperlink>
      <w:r>
        <w:rPr>
          <w:rFonts w:ascii="Times New Roman" w:hAnsi="Times New Roman" w:cs="Times New Roman"/>
        </w:rPr>
        <w:br/>
      </w:r>
    </w:p>
    <w:p w14:paraId="5C61BB36" w14:textId="77777777" w:rsidR="00811491" w:rsidRDefault="00811491" w:rsidP="00811491">
      <w:pPr>
        <w:pStyle w:val="ListParagraph"/>
        <w:numPr>
          <w:ilvl w:val="0"/>
          <w:numId w:val="8"/>
        </w:numPr>
        <w:rPr>
          <w:rFonts w:ascii="Times New Roman" w:hAnsi="Times New Roman" w:cs="Times New Roman"/>
        </w:rPr>
      </w:pPr>
      <w:proofErr w:type="spellStart"/>
      <w:r w:rsidRPr="00F46430">
        <w:rPr>
          <w:rFonts w:ascii="Times New Roman" w:hAnsi="Times New Roman" w:cs="Times New Roman"/>
        </w:rPr>
        <w:t>Bhattaram</w:t>
      </w:r>
      <w:proofErr w:type="spellEnd"/>
      <w:r w:rsidRPr="00F46430">
        <w:rPr>
          <w:rFonts w:ascii="Times New Roman" w:hAnsi="Times New Roman" w:cs="Times New Roman"/>
        </w:rPr>
        <w:t xml:space="preserve">, V. A., Booth, B. P., Ramchandani, R. P., Beasley, B. N., Wang, Y., Tandon, V., Duan, J. Z., Baweja, R. K., Marroum, P. J., </w:t>
      </w:r>
      <w:proofErr w:type="spellStart"/>
      <w:r w:rsidRPr="00F46430">
        <w:rPr>
          <w:rFonts w:ascii="Times New Roman" w:hAnsi="Times New Roman" w:cs="Times New Roman"/>
        </w:rPr>
        <w:t>Uppoor</w:t>
      </w:r>
      <w:proofErr w:type="spellEnd"/>
      <w:r w:rsidRPr="00F46430">
        <w:rPr>
          <w:rFonts w:ascii="Times New Roman" w:hAnsi="Times New Roman" w:cs="Times New Roman"/>
        </w:rPr>
        <w:t xml:space="preserve">, R. S., Rahman, N. A., </w:t>
      </w:r>
      <w:proofErr w:type="spellStart"/>
      <w:r w:rsidRPr="00F46430">
        <w:rPr>
          <w:rFonts w:ascii="Times New Roman" w:hAnsi="Times New Roman" w:cs="Times New Roman"/>
        </w:rPr>
        <w:t>Sahajwalla</w:t>
      </w:r>
      <w:proofErr w:type="spellEnd"/>
      <w:r w:rsidRPr="00F46430">
        <w:rPr>
          <w:rFonts w:ascii="Times New Roman" w:hAnsi="Times New Roman" w:cs="Times New Roman"/>
        </w:rPr>
        <w:t xml:space="preserve">, C. G., Powell, J. R., Mehta, M. U., &amp; Gobburu, J. V. (2005). Impact of pharmacometrics on drug </w:t>
      </w:r>
      <w:r w:rsidRPr="00F46430">
        <w:rPr>
          <w:rFonts w:ascii="Times New Roman" w:hAnsi="Times New Roman" w:cs="Times New Roman"/>
        </w:rPr>
        <w:lastRenderedPageBreak/>
        <w:t xml:space="preserve">approval and labeling decisions: A survey of 42 New Drug Applications. The AAPS Journal, 7(3). </w:t>
      </w:r>
      <w:hyperlink r:id="rId17" w:history="1">
        <w:r w:rsidRPr="000E0CD2">
          <w:rPr>
            <w:rStyle w:val="Hyperlink"/>
            <w:rFonts w:ascii="Times New Roman" w:hAnsi="Times New Roman" w:cs="Times New Roman"/>
          </w:rPr>
          <w:t>https://doi.org/10.1208/aapsj070351</w:t>
        </w:r>
      </w:hyperlink>
      <w:r>
        <w:rPr>
          <w:rFonts w:ascii="Times New Roman" w:hAnsi="Times New Roman" w:cs="Times New Roman"/>
        </w:rPr>
        <w:t xml:space="preserve"> </w:t>
      </w:r>
      <w:r>
        <w:rPr>
          <w:rFonts w:ascii="Times New Roman" w:hAnsi="Times New Roman" w:cs="Times New Roman"/>
        </w:rPr>
        <w:br/>
      </w:r>
    </w:p>
    <w:p w14:paraId="2C57E986" w14:textId="77777777" w:rsidR="00811491" w:rsidRDefault="00811491" w:rsidP="00811491">
      <w:pPr>
        <w:pStyle w:val="ListParagraph"/>
        <w:numPr>
          <w:ilvl w:val="0"/>
          <w:numId w:val="8"/>
        </w:numPr>
        <w:rPr>
          <w:rFonts w:ascii="Times New Roman" w:hAnsi="Times New Roman" w:cs="Times New Roman"/>
        </w:rPr>
      </w:pPr>
      <w:r w:rsidRPr="00F46430">
        <w:rPr>
          <w:rFonts w:ascii="Times New Roman" w:hAnsi="Times New Roman" w:cs="Times New Roman"/>
        </w:rPr>
        <w:t xml:space="preserve">Pfister, M., </w:t>
      </w:r>
      <w:proofErr w:type="spellStart"/>
      <w:r w:rsidRPr="00F46430">
        <w:rPr>
          <w:rFonts w:ascii="Times New Roman" w:hAnsi="Times New Roman" w:cs="Times New Roman"/>
        </w:rPr>
        <w:t>Mager</w:t>
      </w:r>
      <w:proofErr w:type="spellEnd"/>
      <w:r w:rsidRPr="00F46430">
        <w:rPr>
          <w:rFonts w:ascii="Times New Roman" w:hAnsi="Times New Roman" w:cs="Times New Roman"/>
        </w:rPr>
        <w:t xml:space="preserve">, D. E., Holford, N. H., Corrigan, B., Tannenbaum, S., Bruno, R., Zhang, L., Wang, Y., &amp; </w:t>
      </w:r>
      <w:proofErr w:type="spellStart"/>
      <w:r w:rsidRPr="00F46430">
        <w:rPr>
          <w:rFonts w:ascii="Times New Roman" w:hAnsi="Times New Roman" w:cs="Times New Roman"/>
        </w:rPr>
        <w:t>D’Argenio</w:t>
      </w:r>
      <w:proofErr w:type="spellEnd"/>
      <w:r w:rsidRPr="00F46430">
        <w:rPr>
          <w:rFonts w:ascii="Times New Roman" w:hAnsi="Times New Roman" w:cs="Times New Roman"/>
        </w:rPr>
        <w:t xml:space="preserve">, D. Z. (2013). The International Society of Pharmacometrics. Journal of Pharmacokinetics and Pharmacodynamics, 40(S1), 3–4. </w:t>
      </w:r>
      <w:hyperlink r:id="rId18" w:history="1">
        <w:r w:rsidRPr="000E0CD2">
          <w:rPr>
            <w:rStyle w:val="Hyperlink"/>
            <w:rFonts w:ascii="Times New Roman" w:hAnsi="Times New Roman" w:cs="Times New Roman"/>
          </w:rPr>
          <w:t>https://doi.org/10.1007/s10928-013-9310-8</w:t>
        </w:r>
      </w:hyperlink>
      <w:r>
        <w:rPr>
          <w:rFonts w:ascii="Times New Roman" w:hAnsi="Times New Roman" w:cs="Times New Roman"/>
        </w:rPr>
        <w:t xml:space="preserve"> </w:t>
      </w:r>
      <w:r>
        <w:rPr>
          <w:rFonts w:ascii="Times New Roman" w:hAnsi="Times New Roman" w:cs="Times New Roman"/>
        </w:rPr>
        <w:br/>
      </w:r>
    </w:p>
    <w:p w14:paraId="43A68A87" w14:textId="77777777" w:rsidR="00811491" w:rsidRDefault="00811491" w:rsidP="00811491">
      <w:pPr>
        <w:pStyle w:val="ListParagraph"/>
        <w:numPr>
          <w:ilvl w:val="0"/>
          <w:numId w:val="8"/>
        </w:numPr>
        <w:rPr>
          <w:rFonts w:ascii="Times New Roman" w:hAnsi="Times New Roman" w:cs="Times New Roman"/>
        </w:rPr>
      </w:pPr>
      <w:r w:rsidRPr="00E82870">
        <w:rPr>
          <w:rFonts w:ascii="Times New Roman" w:hAnsi="Times New Roman" w:cs="Times New Roman"/>
        </w:rPr>
        <w:t xml:space="preserve">Belmont, T., </w:t>
      </w:r>
      <w:proofErr w:type="spellStart"/>
      <w:r w:rsidRPr="00E82870">
        <w:rPr>
          <w:rFonts w:ascii="Times New Roman" w:hAnsi="Times New Roman" w:cs="Times New Roman"/>
        </w:rPr>
        <w:t>Leske</w:t>
      </w:r>
      <w:proofErr w:type="spellEnd"/>
      <w:r w:rsidRPr="00E82870">
        <w:rPr>
          <w:rFonts w:ascii="Times New Roman" w:hAnsi="Times New Roman" w:cs="Times New Roman"/>
        </w:rPr>
        <w:t xml:space="preserve">, N., &amp; ISoP. (2022, November 30). About Us. International Society of Pharmacometrics. Retrieved December 7, 2022, from </w:t>
      </w:r>
      <w:hyperlink r:id="rId19" w:history="1">
        <w:r w:rsidRPr="000E0CD2">
          <w:rPr>
            <w:rStyle w:val="Hyperlink"/>
            <w:rFonts w:ascii="Times New Roman" w:hAnsi="Times New Roman" w:cs="Times New Roman"/>
          </w:rPr>
          <w:t>https://go-isop.org/</w:t>
        </w:r>
      </w:hyperlink>
      <w:r>
        <w:rPr>
          <w:rFonts w:ascii="Times New Roman" w:hAnsi="Times New Roman" w:cs="Times New Roman"/>
        </w:rPr>
        <w:t xml:space="preserve"> </w:t>
      </w:r>
      <w:r>
        <w:rPr>
          <w:rFonts w:ascii="Times New Roman" w:hAnsi="Times New Roman" w:cs="Times New Roman"/>
        </w:rPr>
        <w:br/>
      </w:r>
    </w:p>
    <w:p w14:paraId="671D3681" w14:textId="77777777" w:rsidR="00811491" w:rsidRDefault="00811491" w:rsidP="00811491">
      <w:pPr>
        <w:pStyle w:val="ListParagraph"/>
        <w:numPr>
          <w:ilvl w:val="0"/>
          <w:numId w:val="8"/>
        </w:numPr>
        <w:rPr>
          <w:rFonts w:ascii="Times New Roman" w:hAnsi="Times New Roman" w:cs="Times New Roman"/>
        </w:rPr>
      </w:pPr>
      <w:r w:rsidRPr="00E82870">
        <w:rPr>
          <w:rFonts w:ascii="Times New Roman" w:hAnsi="Times New Roman" w:cs="Times New Roman"/>
        </w:rPr>
        <w:t>Center for Drug Evaluation and Research. (</w:t>
      </w:r>
      <w:r>
        <w:rPr>
          <w:rFonts w:ascii="Times New Roman" w:hAnsi="Times New Roman" w:cs="Times New Roman"/>
        </w:rPr>
        <w:t>2022</w:t>
      </w:r>
      <w:r w:rsidRPr="00E82870">
        <w:rPr>
          <w:rFonts w:ascii="Times New Roman" w:hAnsi="Times New Roman" w:cs="Times New Roman"/>
        </w:rPr>
        <w:t xml:space="preserve">). Model-informed drug development paired meeting program. U.S. Food and Drug Administration. Retrieved </w:t>
      </w:r>
      <w:r>
        <w:rPr>
          <w:rFonts w:ascii="Times New Roman" w:hAnsi="Times New Roman" w:cs="Times New Roman"/>
        </w:rPr>
        <w:t>December 7</w:t>
      </w:r>
      <w:r w:rsidRPr="00E82870">
        <w:rPr>
          <w:rFonts w:ascii="Times New Roman" w:hAnsi="Times New Roman" w:cs="Times New Roman"/>
        </w:rPr>
        <w:t>, 202</w:t>
      </w:r>
      <w:r>
        <w:rPr>
          <w:rFonts w:ascii="Times New Roman" w:hAnsi="Times New Roman" w:cs="Times New Roman"/>
        </w:rPr>
        <w:t>2</w:t>
      </w:r>
      <w:r w:rsidRPr="00E82870">
        <w:rPr>
          <w:rFonts w:ascii="Times New Roman" w:hAnsi="Times New Roman" w:cs="Times New Roman"/>
        </w:rPr>
        <w:t xml:space="preserve">, from </w:t>
      </w:r>
      <w:hyperlink r:id="rId20" w:history="1">
        <w:r w:rsidRPr="000E0CD2">
          <w:rPr>
            <w:rStyle w:val="Hyperlink"/>
            <w:rFonts w:ascii="Times New Roman" w:hAnsi="Times New Roman" w:cs="Times New Roman"/>
          </w:rPr>
          <w:t>https://www.fda.gov/drugs/development-resources/model-informed-drug-development-paired-meeting-program</w:t>
        </w:r>
      </w:hyperlink>
      <w:r>
        <w:rPr>
          <w:rFonts w:ascii="Times New Roman" w:hAnsi="Times New Roman" w:cs="Times New Roman"/>
        </w:rPr>
        <w:t xml:space="preserve"> </w:t>
      </w:r>
      <w:r>
        <w:rPr>
          <w:rFonts w:ascii="Times New Roman" w:hAnsi="Times New Roman" w:cs="Times New Roman"/>
        </w:rPr>
        <w:br/>
      </w:r>
    </w:p>
    <w:p w14:paraId="66C0EE6B" w14:textId="77777777" w:rsidR="00811491" w:rsidRDefault="00811491" w:rsidP="00811491">
      <w:pPr>
        <w:pStyle w:val="ListParagraph"/>
        <w:numPr>
          <w:ilvl w:val="0"/>
          <w:numId w:val="8"/>
        </w:numPr>
        <w:rPr>
          <w:rFonts w:ascii="Times New Roman" w:hAnsi="Times New Roman" w:cs="Times New Roman"/>
        </w:rPr>
      </w:pPr>
      <w:r w:rsidRPr="00635600">
        <w:rPr>
          <w:rFonts w:ascii="Times New Roman" w:hAnsi="Times New Roman" w:cs="Times New Roman"/>
        </w:rPr>
        <w:t xml:space="preserve">U.S. Food and Drug Administration, Center for Drug Evaluation and Research. Benlysta: Clinical Pharmacology and Biopharmaceutics Review(s), June 16, 2017. Retrieved December 7, 2022, from </w:t>
      </w:r>
      <w:hyperlink r:id="rId21" w:history="1">
        <w:r w:rsidRPr="000E0CD2">
          <w:rPr>
            <w:rStyle w:val="Hyperlink"/>
            <w:rFonts w:ascii="Times New Roman" w:hAnsi="Times New Roman" w:cs="Times New Roman"/>
          </w:rPr>
          <w:t>https://www.accessdata.fda.gov/drugsatfda_docs/nda/2017/761043Orig1s000ClinPharmR.pdf</w:t>
        </w:r>
      </w:hyperlink>
      <w:r>
        <w:rPr>
          <w:rFonts w:ascii="Times New Roman" w:hAnsi="Times New Roman" w:cs="Times New Roman"/>
        </w:rPr>
        <w:t xml:space="preserve"> </w:t>
      </w:r>
      <w:r>
        <w:rPr>
          <w:rFonts w:ascii="Times New Roman" w:hAnsi="Times New Roman" w:cs="Times New Roman"/>
        </w:rPr>
        <w:br/>
      </w:r>
    </w:p>
    <w:p w14:paraId="12876CDE" w14:textId="77777777" w:rsidR="00811491" w:rsidRDefault="00811491" w:rsidP="00811491">
      <w:pPr>
        <w:pStyle w:val="ListParagraph"/>
        <w:numPr>
          <w:ilvl w:val="0"/>
          <w:numId w:val="8"/>
        </w:numPr>
        <w:rPr>
          <w:rFonts w:ascii="Times New Roman" w:hAnsi="Times New Roman" w:cs="Times New Roman"/>
        </w:rPr>
      </w:pPr>
      <w:r w:rsidRPr="00635600">
        <w:rPr>
          <w:rFonts w:ascii="Times New Roman" w:hAnsi="Times New Roman" w:cs="Times New Roman"/>
        </w:rPr>
        <w:t xml:space="preserve">Min, J. S., &amp; Bae, S. K. (2017). Prediction of drug–drug interaction potential using physiologically based pharmacokinetic modeling. Archives of Pharmacal Research, 40(12), 1356–1379. </w:t>
      </w:r>
      <w:hyperlink r:id="rId22" w:history="1">
        <w:r w:rsidRPr="000E0CD2">
          <w:rPr>
            <w:rStyle w:val="Hyperlink"/>
            <w:rFonts w:ascii="Times New Roman" w:hAnsi="Times New Roman" w:cs="Times New Roman"/>
          </w:rPr>
          <w:t>https://doi.org/10.1007/s12272-017-0976-0</w:t>
        </w:r>
      </w:hyperlink>
      <w:r>
        <w:rPr>
          <w:rFonts w:ascii="Times New Roman" w:hAnsi="Times New Roman" w:cs="Times New Roman"/>
        </w:rPr>
        <w:t xml:space="preserve"> </w:t>
      </w:r>
      <w:r>
        <w:rPr>
          <w:rFonts w:ascii="Times New Roman" w:hAnsi="Times New Roman" w:cs="Times New Roman"/>
        </w:rPr>
        <w:br/>
      </w:r>
    </w:p>
    <w:p w14:paraId="70684CFF" w14:textId="77777777" w:rsidR="00811491" w:rsidRDefault="00811491" w:rsidP="00811491">
      <w:pPr>
        <w:pStyle w:val="ListParagraph"/>
        <w:numPr>
          <w:ilvl w:val="0"/>
          <w:numId w:val="8"/>
        </w:numPr>
        <w:rPr>
          <w:rFonts w:ascii="Times New Roman" w:hAnsi="Times New Roman" w:cs="Times New Roman"/>
        </w:rPr>
      </w:pPr>
      <w:r w:rsidRPr="00635600">
        <w:rPr>
          <w:rFonts w:ascii="Times New Roman" w:hAnsi="Times New Roman" w:cs="Times New Roman"/>
        </w:rPr>
        <w:t xml:space="preserve">Rayner, C. R., Smith, P. F., Andes, D., Andrews, K., </w:t>
      </w:r>
      <w:proofErr w:type="spellStart"/>
      <w:r w:rsidRPr="00635600">
        <w:rPr>
          <w:rFonts w:ascii="Times New Roman" w:hAnsi="Times New Roman" w:cs="Times New Roman"/>
        </w:rPr>
        <w:t>Derendorf</w:t>
      </w:r>
      <w:proofErr w:type="spellEnd"/>
      <w:r w:rsidRPr="00635600">
        <w:rPr>
          <w:rFonts w:ascii="Times New Roman" w:hAnsi="Times New Roman" w:cs="Times New Roman"/>
        </w:rPr>
        <w:t xml:space="preserve">, H., Friberg, L. E., Hanna, D., </w:t>
      </w:r>
      <w:proofErr w:type="spellStart"/>
      <w:r w:rsidRPr="00635600">
        <w:rPr>
          <w:rFonts w:ascii="Times New Roman" w:hAnsi="Times New Roman" w:cs="Times New Roman"/>
        </w:rPr>
        <w:t>Lepak</w:t>
      </w:r>
      <w:proofErr w:type="spellEnd"/>
      <w:r w:rsidRPr="00635600">
        <w:rPr>
          <w:rFonts w:ascii="Times New Roman" w:hAnsi="Times New Roman" w:cs="Times New Roman"/>
        </w:rPr>
        <w:t xml:space="preserve">, A., Mills, E., </w:t>
      </w:r>
      <w:proofErr w:type="spellStart"/>
      <w:r w:rsidRPr="00635600">
        <w:rPr>
          <w:rFonts w:ascii="Times New Roman" w:hAnsi="Times New Roman" w:cs="Times New Roman"/>
        </w:rPr>
        <w:t>Polasek</w:t>
      </w:r>
      <w:proofErr w:type="spellEnd"/>
      <w:r w:rsidRPr="00635600">
        <w:rPr>
          <w:rFonts w:ascii="Times New Roman" w:hAnsi="Times New Roman" w:cs="Times New Roman"/>
        </w:rPr>
        <w:t xml:space="preserve">, T. M., Roberts, J. A., Schuck, V., Shelton, M. J., </w:t>
      </w:r>
      <w:proofErr w:type="spellStart"/>
      <w:r w:rsidRPr="00635600">
        <w:rPr>
          <w:rFonts w:ascii="Times New Roman" w:hAnsi="Times New Roman" w:cs="Times New Roman"/>
        </w:rPr>
        <w:t>Wesche</w:t>
      </w:r>
      <w:proofErr w:type="spellEnd"/>
      <w:r w:rsidRPr="00635600">
        <w:rPr>
          <w:rFonts w:ascii="Times New Roman" w:hAnsi="Times New Roman" w:cs="Times New Roman"/>
        </w:rPr>
        <w:t xml:space="preserve">, D., &amp; Rowland‐Yeo, K. (2021). Model‐informed drug development for anti‐infectives: State of the art and future. Clinical Pharmacology &amp; Therapeutics, 109(4), 867–891. </w:t>
      </w:r>
      <w:hyperlink r:id="rId23" w:history="1">
        <w:r w:rsidRPr="000E0CD2">
          <w:rPr>
            <w:rStyle w:val="Hyperlink"/>
            <w:rFonts w:ascii="Times New Roman" w:hAnsi="Times New Roman" w:cs="Times New Roman"/>
          </w:rPr>
          <w:t>https://doi.org/10.1002/cpt.2198</w:t>
        </w:r>
      </w:hyperlink>
      <w:r>
        <w:rPr>
          <w:rFonts w:ascii="Times New Roman" w:hAnsi="Times New Roman" w:cs="Times New Roman"/>
        </w:rPr>
        <w:t xml:space="preserve"> </w:t>
      </w:r>
      <w:r>
        <w:rPr>
          <w:rFonts w:ascii="Times New Roman" w:hAnsi="Times New Roman" w:cs="Times New Roman"/>
        </w:rPr>
        <w:br/>
      </w:r>
    </w:p>
    <w:p w14:paraId="6C5ED65C" w14:textId="77777777" w:rsidR="00811491" w:rsidRDefault="00811491" w:rsidP="00811491">
      <w:pPr>
        <w:pStyle w:val="ListParagraph"/>
        <w:numPr>
          <w:ilvl w:val="0"/>
          <w:numId w:val="8"/>
        </w:numPr>
        <w:rPr>
          <w:rFonts w:ascii="Times New Roman" w:hAnsi="Times New Roman" w:cs="Times New Roman"/>
        </w:rPr>
      </w:pPr>
      <w:r w:rsidRPr="00FE076A">
        <w:rPr>
          <w:rFonts w:ascii="Times New Roman" w:hAnsi="Times New Roman" w:cs="Times New Roman"/>
        </w:rPr>
        <w:t>Center for Devices and Radiological Health. (</w:t>
      </w:r>
      <w:r>
        <w:rPr>
          <w:rFonts w:ascii="Times New Roman" w:hAnsi="Times New Roman" w:cs="Times New Roman"/>
        </w:rPr>
        <w:t>2018</w:t>
      </w:r>
      <w:r w:rsidRPr="00FE076A">
        <w:rPr>
          <w:rFonts w:ascii="Times New Roman" w:hAnsi="Times New Roman" w:cs="Times New Roman"/>
        </w:rPr>
        <w:t xml:space="preserve">). Precision medicine. U.S. Food and Drug Administration. Retrieved </w:t>
      </w:r>
      <w:r>
        <w:rPr>
          <w:rFonts w:ascii="Times New Roman" w:hAnsi="Times New Roman" w:cs="Times New Roman"/>
        </w:rPr>
        <w:t>December</w:t>
      </w:r>
      <w:r w:rsidRPr="00FE076A">
        <w:rPr>
          <w:rFonts w:ascii="Times New Roman" w:hAnsi="Times New Roman" w:cs="Times New Roman"/>
        </w:rPr>
        <w:t xml:space="preserve"> </w:t>
      </w:r>
      <w:r>
        <w:rPr>
          <w:rFonts w:ascii="Times New Roman" w:hAnsi="Times New Roman" w:cs="Times New Roman"/>
        </w:rPr>
        <w:t>7</w:t>
      </w:r>
      <w:r w:rsidRPr="00FE076A">
        <w:rPr>
          <w:rFonts w:ascii="Times New Roman" w:hAnsi="Times New Roman" w:cs="Times New Roman"/>
        </w:rPr>
        <w:t>, 202</w:t>
      </w:r>
      <w:r>
        <w:rPr>
          <w:rFonts w:ascii="Times New Roman" w:hAnsi="Times New Roman" w:cs="Times New Roman"/>
        </w:rPr>
        <w:t>2</w:t>
      </w:r>
      <w:r w:rsidRPr="00FE076A">
        <w:rPr>
          <w:rFonts w:ascii="Times New Roman" w:hAnsi="Times New Roman" w:cs="Times New Roman"/>
        </w:rPr>
        <w:t xml:space="preserve">, from </w:t>
      </w:r>
      <w:hyperlink r:id="rId24" w:history="1">
        <w:r w:rsidRPr="000E0CD2">
          <w:rPr>
            <w:rStyle w:val="Hyperlink"/>
            <w:rFonts w:ascii="Times New Roman" w:hAnsi="Times New Roman" w:cs="Times New Roman"/>
          </w:rPr>
          <w:t>https://www.fda.gov/medical-devices/in-vitro-diagnostics/precision-medicine</w:t>
        </w:r>
      </w:hyperlink>
      <w:r>
        <w:rPr>
          <w:rFonts w:ascii="Times New Roman" w:hAnsi="Times New Roman" w:cs="Times New Roman"/>
        </w:rPr>
        <w:t xml:space="preserve"> </w:t>
      </w:r>
      <w:r>
        <w:rPr>
          <w:rFonts w:ascii="Times New Roman" w:hAnsi="Times New Roman" w:cs="Times New Roman"/>
        </w:rPr>
        <w:br/>
      </w:r>
    </w:p>
    <w:p w14:paraId="0D526DDA" w14:textId="77777777" w:rsidR="00811491" w:rsidRDefault="00811491" w:rsidP="00811491">
      <w:pPr>
        <w:pStyle w:val="ListParagraph"/>
        <w:numPr>
          <w:ilvl w:val="0"/>
          <w:numId w:val="8"/>
        </w:numPr>
        <w:rPr>
          <w:rFonts w:ascii="Times New Roman" w:hAnsi="Times New Roman" w:cs="Times New Roman"/>
        </w:rPr>
      </w:pPr>
      <w:proofErr w:type="spellStart"/>
      <w:r w:rsidRPr="00643A2B">
        <w:rPr>
          <w:rFonts w:ascii="Times New Roman" w:hAnsi="Times New Roman" w:cs="Times New Roman"/>
        </w:rPr>
        <w:t>Serretti</w:t>
      </w:r>
      <w:proofErr w:type="spellEnd"/>
      <w:r w:rsidRPr="00643A2B">
        <w:rPr>
          <w:rFonts w:ascii="Times New Roman" w:hAnsi="Times New Roman" w:cs="Times New Roman"/>
        </w:rPr>
        <w:t xml:space="preserve">, A. (2018). The present and future of precision medicine in psychiatry: Focus on clinical psychopharmacology of antidepressants. Clinical Psychopharmacology and Neuroscience, 16(1), 1–6. </w:t>
      </w:r>
      <w:hyperlink r:id="rId25" w:history="1">
        <w:r w:rsidRPr="000E0CD2">
          <w:rPr>
            <w:rStyle w:val="Hyperlink"/>
            <w:rFonts w:ascii="Times New Roman" w:hAnsi="Times New Roman" w:cs="Times New Roman"/>
          </w:rPr>
          <w:t>https://doi.org/10.9758/cpn.2018.16.1.1</w:t>
        </w:r>
      </w:hyperlink>
      <w:r>
        <w:rPr>
          <w:rFonts w:ascii="Times New Roman" w:hAnsi="Times New Roman" w:cs="Times New Roman"/>
        </w:rPr>
        <w:t xml:space="preserve"> </w:t>
      </w:r>
      <w:r>
        <w:rPr>
          <w:rFonts w:ascii="Times New Roman" w:hAnsi="Times New Roman" w:cs="Times New Roman"/>
        </w:rPr>
        <w:br/>
      </w:r>
    </w:p>
    <w:p w14:paraId="2E4D035C" w14:textId="77777777" w:rsidR="00811491" w:rsidRDefault="00811491" w:rsidP="00811491">
      <w:pPr>
        <w:pStyle w:val="ListParagraph"/>
        <w:numPr>
          <w:ilvl w:val="0"/>
          <w:numId w:val="8"/>
        </w:numPr>
        <w:rPr>
          <w:rFonts w:ascii="Times New Roman" w:hAnsi="Times New Roman" w:cs="Times New Roman"/>
        </w:rPr>
      </w:pPr>
      <w:r w:rsidRPr="00643A2B">
        <w:rPr>
          <w:rFonts w:ascii="Times New Roman" w:hAnsi="Times New Roman" w:cs="Times New Roman"/>
        </w:rPr>
        <w:t xml:space="preserve">Sutton, R. T., </w:t>
      </w:r>
      <w:proofErr w:type="spellStart"/>
      <w:r w:rsidRPr="00643A2B">
        <w:rPr>
          <w:rFonts w:ascii="Times New Roman" w:hAnsi="Times New Roman" w:cs="Times New Roman"/>
        </w:rPr>
        <w:t>Pincock</w:t>
      </w:r>
      <w:proofErr w:type="spellEnd"/>
      <w:r w:rsidRPr="00643A2B">
        <w:rPr>
          <w:rFonts w:ascii="Times New Roman" w:hAnsi="Times New Roman" w:cs="Times New Roman"/>
        </w:rPr>
        <w:t xml:space="preserve">, D., Baumgart, D. C., Sadowski, D. C., </w:t>
      </w:r>
      <w:proofErr w:type="spellStart"/>
      <w:r w:rsidRPr="00643A2B">
        <w:rPr>
          <w:rFonts w:ascii="Times New Roman" w:hAnsi="Times New Roman" w:cs="Times New Roman"/>
        </w:rPr>
        <w:t>Fedorak</w:t>
      </w:r>
      <w:proofErr w:type="spellEnd"/>
      <w:r w:rsidRPr="00643A2B">
        <w:rPr>
          <w:rFonts w:ascii="Times New Roman" w:hAnsi="Times New Roman" w:cs="Times New Roman"/>
        </w:rPr>
        <w:t xml:space="preserve">, R. N., &amp; </w:t>
      </w:r>
      <w:proofErr w:type="spellStart"/>
      <w:r w:rsidRPr="00643A2B">
        <w:rPr>
          <w:rFonts w:ascii="Times New Roman" w:hAnsi="Times New Roman" w:cs="Times New Roman"/>
        </w:rPr>
        <w:t>Kroeker</w:t>
      </w:r>
      <w:proofErr w:type="spellEnd"/>
      <w:r w:rsidRPr="00643A2B">
        <w:rPr>
          <w:rFonts w:ascii="Times New Roman" w:hAnsi="Times New Roman" w:cs="Times New Roman"/>
        </w:rPr>
        <w:t xml:space="preserve">, K. I. (2020). An overview of clinical decision support systems: Benefits, risks, and strategies for Success. </w:t>
      </w:r>
      <w:proofErr w:type="spellStart"/>
      <w:r w:rsidRPr="00643A2B">
        <w:rPr>
          <w:rFonts w:ascii="Times New Roman" w:hAnsi="Times New Roman" w:cs="Times New Roman"/>
        </w:rPr>
        <w:t>Npj</w:t>
      </w:r>
      <w:proofErr w:type="spellEnd"/>
      <w:r w:rsidRPr="00643A2B">
        <w:rPr>
          <w:rFonts w:ascii="Times New Roman" w:hAnsi="Times New Roman" w:cs="Times New Roman"/>
        </w:rPr>
        <w:t xml:space="preserve"> Digital Medicine, 3(1). </w:t>
      </w:r>
      <w:hyperlink r:id="rId26" w:history="1">
        <w:r w:rsidRPr="000E0CD2">
          <w:rPr>
            <w:rStyle w:val="Hyperlink"/>
            <w:rFonts w:ascii="Times New Roman" w:hAnsi="Times New Roman" w:cs="Times New Roman"/>
          </w:rPr>
          <w:t>https://doi.org/10.1038/s41746-020-0221-y</w:t>
        </w:r>
      </w:hyperlink>
      <w:r>
        <w:rPr>
          <w:rFonts w:ascii="Times New Roman" w:hAnsi="Times New Roman" w:cs="Times New Roman"/>
        </w:rPr>
        <w:t xml:space="preserve"> </w:t>
      </w:r>
      <w:r>
        <w:rPr>
          <w:rFonts w:ascii="Times New Roman" w:hAnsi="Times New Roman" w:cs="Times New Roman"/>
        </w:rPr>
        <w:br/>
      </w:r>
    </w:p>
    <w:p w14:paraId="5B86BEFB" w14:textId="77777777" w:rsidR="00811491" w:rsidRDefault="00811491" w:rsidP="00811491">
      <w:pPr>
        <w:pStyle w:val="ListParagraph"/>
        <w:numPr>
          <w:ilvl w:val="0"/>
          <w:numId w:val="8"/>
        </w:numPr>
        <w:rPr>
          <w:rFonts w:ascii="Times New Roman" w:hAnsi="Times New Roman" w:cs="Times New Roman"/>
        </w:rPr>
      </w:pPr>
      <w:r w:rsidRPr="00F46430">
        <w:rPr>
          <w:rFonts w:ascii="Times New Roman" w:hAnsi="Times New Roman" w:cs="Times New Roman"/>
        </w:rPr>
        <w:t xml:space="preserve">Fuji, K. T., Abbott, A. A., Galt, K. A., </w:t>
      </w:r>
      <w:proofErr w:type="spellStart"/>
      <w:r w:rsidRPr="00F46430">
        <w:rPr>
          <w:rFonts w:ascii="Times New Roman" w:hAnsi="Times New Roman" w:cs="Times New Roman"/>
        </w:rPr>
        <w:t>Drincic</w:t>
      </w:r>
      <w:proofErr w:type="spellEnd"/>
      <w:r w:rsidRPr="00F46430">
        <w:rPr>
          <w:rFonts w:ascii="Times New Roman" w:hAnsi="Times New Roman" w:cs="Times New Roman"/>
        </w:rPr>
        <w:t xml:space="preserve">, A., Kraft, M., &amp; Kasha, T. (2012). Standalone Personal Health Records in the United States: Meeting patient desires. Health and Technology, 2(3), 197–205. </w:t>
      </w:r>
      <w:hyperlink r:id="rId27" w:history="1">
        <w:r w:rsidRPr="000E0CD2">
          <w:rPr>
            <w:rStyle w:val="Hyperlink"/>
            <w:rFonts w:ascii="Times New Roman" w:hAnsi="Times New Roman" w:cs="Times New Roman"/>
          </w:rPr>
          <w:t>https://doi.org/10.1007/s12553-012-0028-1</w:t>
        </w:r>
      </w:hyperlink>
      <w:r>
        <w:rPr>
          <w:rFonts w:ascii="Times New Roman" w:hAnsi="Times New Roman" w:cs="Times New Roman"/>
        </w:rPr>
        <w:t xml:space="preserve"> </w:t>
      </w:r>
      <w:r>
        <w:rPr>
          <w:rFonts w:ascii="Times New Roman" w:hAnsi="Times New Roman" w:cs="Times New Roman"/>
        </w:rPr>
        <w:br/>
      </w:r>
    </w:p>
    <w:p w14:paraId="5B5985DD" w14:textId="77777777" w:rsidR="00811491" w:rsidRDefault="00811491" w:rsidP="00811491">
      <w:pPr>
        <w:pStyle w:val="ListParagraph"/>
        <w:numPr>
          <w:ilvl w:val="0"/>
          <w:numId w:val="8"/>
        </w:numPr>
        <w:rPr>
          <w:rFonts w:ascii="Times New Roman" w:hAnsi="Times New Roman" w:cs="Times New Roman"/>
        </w:rPr>
      </w:pPr>
      <w:r w:rsidRPr="00643A2B">
        <w:rPr>
          <w:rFonts w:ascii="Times New Roman" w:hAnsi="Times New Roman" w:cs="Times New Roman"/>
        </w:rPr>
        <w:lastRenderedPageBreak/>
        <w:t xml:space="preserve">Ma, J., Stingo, F. C., &amp; Hobbs, B. P. (2019). Bayesian personalized treatment selection strategies that integrate predictive with prognostic determinants. Biometrical Journal, 61(4), 902–917. </w:t>
      </w:r>
      <w:hyperlink r:id="rId28" w:history="1">
        <w:r w:rsidRPr="000E0CD2">
          <w:rPr>
            <w:rStyle w:val="Hyperlink"/>
            <w:rFonts w:ascii="Times New Roman" w:hAnsi="Times New Roman" w:cs="Times New Roman"/>
          </w:rPr>
          <w:t>https://doi.org/10.1002/bimj.201700323</w:t>
        </w:r>
      </w:hyperlink>
      <w:r>
        <w:rPr>
          <w:rFonts w:ascii="Times New Roman" w:hAnsi="Times New Roman" w:cs="Times New Roman"/>
        </w:rPr>
        <w:t xml:space="preserve"> </w:t>
      </w:r>
      <w:r>
        <w:rPr>
          <w:rFonts w:ascii="Times New Roman" w:hAnsi="Times New Roman" w:cs="Times New Roman"/>
        </w:rPr>
        <w:br/>
      </w:r>
    </w:p>
    <w:p w14:paraId="14715198" w14:textId="77777777" w:rsidR="00811491" w:rsidRDefault="00811491" w:rsidP="00811491">
      <w:pPr>
        <w:pStyle w:val="ListParagraph"/>
        <w:numPr>
          <w:ilvl w:val="0"/>
          <w:numId w:val="8"/>
        </w:numPr>
        <w:rPr>
          <w:rFonts w:ascii="Times New Roman" w:hAnsi="Times New Roman" w:cs="Times New Roman"/>
        </w:rPr>
      </w:pPr>
      <w:r>
        <w:rPr>
          <w:rFonts w:ascii="Times New Roman" w:hAnsi="Times New Roman" w:cs="Times New Roman"/>
        </w:rPr>
        <w:t>Science and Research Special Topics</w:t>
      </w:r>
      <w:r w:rsidRPr="0072633C">
        <w:rPr>
          <w:rFonts w:ascii="Times New Roman" w:hAnsi="Times New Roman" w:cs="Times New Roman"/>
        </w:rPr>
        <w:t xml:space="preserve"> (</w:t>
      </w:r>
      <w:r>
        <w:rPr>
          <w:rFonts w:ascii="Times New Roman" w:hAnsi="Times New Roman" w:cs="Times New Roman"/>
        </w:rPr>
        <w:t>2022</w:t>
      </w:r>
      <w:r w:rsidRPr="0072633C">
        <w:rPr>
          <w:rFonts w:ascii="Times New Roman" w:hAnsi="Times New Roman" w:cs="Times New Roman"/>
        </w:rPr>
        <w:t xml:space="preserve">). Real-world evidence. U.S. Food and Drug Administration. Retrieved January 12, 2023, from </w:t>
      </w:r>
      <w:hyperlink r:id="rId29" w:history="1">
        <w:r w:rsidRPr="000E0CD2">
          <w:rPr>
            <w:rStyle w:val="Hyperlink"/>
            <w:rFonts w:ascii="Times New Roman" w:hAnsi="Times New Roman" w:cs="Times New Roman"/>
          </w:rPr>
          <w:t>https://www.fda.gov/science-research/science-and-research-special-topics/real-world-evidence</w:t>
        </w:r>
      </w:hyperlink>
      <w:r>
        <w:rPr>
          <w:rFonts w:ascii="Times New Roman" w:hAnsi="Times New Roman" w:cs="Times New Roman"/>
        </w:rPr>
        <w:br/>
      </w:r>
    </w:p>
    <w:p w14:paraId="5A53F3AF" w14:textId="77777777" w:rsidR="00811491" w:rsidRDefault="00811491" w:rsidP="00811491">
      <w:pPr>
        <w:pStyle w:val="ListParagraph"/>
        <w:numPr>
          <w:ilvl w:val="0"/>
          <w:numId w:val="8"/>
        </w:numPr>
        <w:rPr>
          <w:rFonts w:ascii="Times New Roman" w:hAnsi="Times New Roman" w:cs="Times New Roman"/>
        </w:rPr>
      </w:pPr>
      <w:r>
        <w:rPr>
          <w:rFonts w:ascii="Times New Roman" w:hAnsi="Times New Roman" w:cs="Times New Roman"/>
        </w:rPr>
        <w:t>Regulatory Science in Action</w:t>
      </w:r>
      <w:r w:rsidRPr="0072633C">
        <w:rPr>
          <w:rFonts w:ascii="Times New Roman" w:hAnsi="Times New Roman" w:cs="Times New Roman"/>
        </w:rPr>
        <w:t xml:space="preserve"> (</w:t>
      </w:r>
      <w:r>
        <w:rPr>
          <w:rFonts w:ascii="Times New Roman" w:hAnsi="Times New Roman" w:cs="Times New Roman"/>
        </w:rPr>
        <w:t>2022</w:t>
      </w:r>
      <w:r w:rsidRPr="0072633C">
        <w:rPr>
          <w:rFonts w:ascii="Times New Roman" w:hAnsi="Times New Roman" w:cs="Times New Roman"/>
        </w:rPr>
        <w:t>). Designing Sound Clinical Trials That Incorporate Real-World Data. U.S. Food and Drug Administration. Retrieved January 12, 2023, from</w:t>
      </w:r>
      <w:r>
        <w:rPr>
          <w:rFonts w:ascii="Times New Roman" w:hAnsi="Times New Roman" w:cs="Times New Roman"/>
        </w:rPr>
        <w:t xml:space="preserve"> </w:t>
      </w:r>
      <w:hyperlink r:id="rId30" w:history="1">
        <w:r w:rsidRPr="000E0CD2">
          <w:rPr>
            <w:rStyle w:val="Hyperlink"/>
            <w:rFonts w:ascii="Times New Roman" w:hAnsi="Times New Roman" w:cs="Times New Roman"/>
          </w:rPr>
          <w:t>https://www.fda.gov/drugs/regulatory-science-action/designing-sound-clinical-trials-incorporate-real-world-data</w:t>
        </w:r>
      </w:hyperlink>
      <w:r>
        <w:rPr>
          <w:rFonts w:ascii="Times New Roman" w:hAnsi="Times New Roman" w:cs="Times New Roman"/>
        </w:rPr>
        <w:t xml:space="preserve"> </w:t>
      </w:r>
      <w:r>
        <w:rPr>
          <w:rFonts w:ascii="Times New Roman" w:hAnsi="Times New Roman" w:cs="Times New Roman"/>
        </w:rPr>
        <w:br/>
      </w:r>
    </w:p>
    <w:p w14:paraId="61B854A4" w14:textId="77777777" w:rsidR="00811491" w:rsidRDefault="00811491" w:rsidP="00811491">
      <w:pPr>
        <w:pStyle w:val="ListParagraph"/>
        <w:numPr>
          <w:ilvl w:val="0"/>
          <w:numId w:val="8"/>
        </w:numPr>
        <w:rPr>
          <w:rFonts w:ascii="Times New Roman" w:hAnsi="Times New Roman" w:cs="Times New Roman"/>
        </w:rPr>
      </w:pPr>
      <w:r w:rsidRPr="00532D0A">
        <w:rPr>
          <w:rFonts w:ascii="Times New Roman" w:hAnsi="Times New Roman" w:cs="Times New Roman"/>
        </w:rPr>
        <w:t>U.S. Food and Drug Administration, Center for Drug Evaluation and Research.</w:t>
      </w:r>
      <w:r>
        <w:rPr>
          <w:rFonts w:ascii="Times New Roman" w:hAnsi="Times New Roman" w:cs="Times New Roman"/>
        </w:rPr>
        <w:t xml:space="preserve"> Guidance for Industry, Considerations for the Use of Real-World Data and Real-World Evidence To Support Regulatory Decision-Making for Drug and Biological Products</w:t>
      </w:r>
      <w:r w:rsidRPr="00532D0A">
        <w:rPr>
          <w:rFonts w:ascii="Times New Roman" w:hAnsi="Times New Roman" w:cs="Times New Roman"/>
        </w:rPr>
        <w:t xml:space="preserve">, </w:t>
      </w:r>
      <w:r>
        <w:rPr>
          <w:rFonts w:ascii="Times New Roman" w:hAnsi="Times New Roman" w:cs="Times New Roman"/>
        </w:rPr>
        <w:t>December</w:t>
      </w:r>
      <w:r w:rsidRPr="00532D0A">
        <w:rPr>
          <w:rFonts w:ascii="Times New Roman" w:hAnsi="Times New Roman" w:cs="Times New Roman"/>
        </w:rPr>
        <w:t xml:space="preserve"> </w:t>
      </w:r>
      <w:r>
        <w:rPr>
          <w:rFonts w:ascii="Times New Roman" w:hAnsi="Times New Roman" w:cs="Times New Roman"/>
        </w:rPr>
        <w:t>2021</w:t>
      </w:r>
      <w:r w:rsidRPr="00532D0A">
        <w:rPr>
          <w:rFonts w:ascii="Times New Roman" w:hAnsi="Times New Roman" w:cs="Times New Roman"/>
        </w:rPr>
        <w:t xml:space="preserve">. Retrieved December 7, 2022, from </w:t>
      </w:r>
      <w:hyperlink r:id="rId31" w:history="1">
        <w:r w:rsidRPr="000E0CD2">
          <w:rPr>
            <w:rStyle w:val="Hyperlink"/>
            <w:rFonts w:ascii="Times New Roman" w:hAnsi="Times New Roman" w:cs="Times New Roman"/>
          </w:rPr>
          <w:t>https://www.fda.gov/media/154714/download</w:t>
        </w:r>
      </w:hyperlink>
      <w:r>
        <w:rPr>
          <w:rFonts w:ascii="Times New Roman" w:hAnsi="Times New Roman" w:cs="Times New Roman"/>
        </w:rPr>
        <w:t xml:space="preserve"> </w:t>
      </w:r>
      <w:r>
        <w:rPr>
          <w:rFonts w:ascii="Times New Roman" w:hAnsi="Times New Roman" w:cs="Times New Roman"/>
        </w:rPr>
        <w:br/>
      </w:r>
    </w:p>
    <w:p w14:paraId="77941022" w14:textId="77777777" w:rsidR="00811491" w:rsidRDefault="00811491" w:rsidP="00811491">
      <w:pPr>
        <w:pStyle w:val="ListParagraph"/>
        <w:numPr>
          <w:ilvl w:val="0"/>
          <w:numId w:val="8"/>
        </w:numPr>
        <w:rPr>
          <w:rFonts w:ascii="Times New Roman" w:hAnsi="Times New Roman" w:cs="Times New Roman"/>
        </w:rPr>
      </w:pPr>
      <w:r w:rsidRPr="00635600">
        <w:rPr>
          <w:rFonts w:ascii="Times New Roman" w:hAnsi="Times New Roman" w:cs="Times New Roman"/>
        </w:rPr>
        <w:t xml:space="preserve">Dunn, A., Jung, D., Bollinger, L. L., Krams, M., Smith, B. P., &amp; Gobburu, J. V. (2022). Accelerating the availability of medications to pediatric patients by optimizing the use of extrapolation of efficacy. Therapeutic Innovation </w:t>
      </w:r>
      <w:r>
        <w:rPr>
          <w:rFonts w:ascii="Times New Roman" w:hAnsi="Times New Roman" w:cs="Times New Roman"/>
        </w:rPr>
        <w:t>&amp;</w:t>
      </w:r>
      <w:r w:rsidRPr="00635600">
        <w:rPr>
          <w:rFonts w:ascii="Times New Roman" w:hAnsi="Times New Roman" w:cs="Times New Roman"/>
        </w:rPr>
        <w:t xml:space="preserve"> Regulatory Science, 56(6), 873–882. </w:t>
      </w:r>
      <w:hyperlink r:id="rId32" w:history="1">
        <w:r w:rsidRPr="000E0CD2">
          <w:rPr>
            <w:rStyle w:val="Hyperlink"/>
            <w:rFonts w:ascii="Times New Roman" w:hAnsi="Times New Roman" w:cs="Times New Roman"/>
          </w:rPr>
          <w:t>https://doi.org/10.1007/s43441-022-00411-2</w:t>
        </w:r>
      </w:hyperlink>
      <w:r>
        <w:rPr>
          <w:rFonts w:ascii="Times New Roman" w:hAnsi="Times New Roman" w:cs="Times New Roman"/>
        </w:rPr>
        <w:t xml:space="preserve"> </w:t>
      </w:r>
      <w:r>
        <w:rPr>
          <w:rFonts w:ascii="Times New Roman" w:hAnsi="Times New Roman" w:cs="Times New Roman"/>
        </w:rPr>
        <w:br/>
      </w:r>
    </w:p>
    <w:p w14:paraId="7E73BD14" w14:textId="480ED609" w:rsidR="00AA2022" w:rsidRPr="00811491" w:rsidRDefault="00811491" w:rsidP="00811491">
      <w:pPr>
        <w:pStyle w:val="ListParagraph"/>
        <w:numPr>
          <w:ilvl w:val="0"/>
          <w:numId w:val="8"/>
        </w:numPr>
        <w:rPr>
          <w:rFonts w:ascii="Times New Roman" w:hAnsi="Times New Roman" w:cs="Times New Roman"/>
        </w:rPr>
      </w:pPr>
      <w:r w:rsidRPr="00635600">
        <w:rPr>
          <w:rFonts w:ascii="Times New Roman" w:hAnsi="Times New Roman" w:cs="Times New Roman"/>
        </w:rPr>
        <w:t xml:space="preserve">Chen, Z., Liu, X., Hogan, W., Shenkman, E., &amp; Bian, J. (2021). Applications of artificial intelligence in drug development using real-world data. Drug Discovery Today, 26(5), 1256–1264. </w:t>
      </w:r>
      <w:hyperlink r:id="rId33" w:history="1">
        <w:r w:rsidRPr="000E0CD2">
          <w:rPr>
            <w:rStyle w:val="Hyperlink"/>
            <w:rFonts w:ascii="Times New Roman" w:hAnsi="Times New Roman" w:cs="Times New Roman"/>
          </w:rPr>
          <w:t>https://doi.org/10.1016/j.drudis.2020.12.013</w:t>
        </w:r>
      </w:hyperlink>
      <w:r>
        <w:rPr>
          <w:rFonts w:ascii="Times New Roman" w:hAnsi="Times New Roman" w:cs="Times New Roman"/>
        </w:rPr>
        <w:t xml:space="preserve"> </w:t>
      </w:r>
    </w:p>
    <w:sectPr w:rsidR="00AA2022" w:rsidRPr="00811491">
      <w:headerReference w:type="default" r:id="rId34"/>
      <w:footerReference w:type="default" r:id="rId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BC87E" w14:textId="77777777" w:rsidR="00F971BC" w:rsidRDefault="00F971BC" w:rsidP="00FD2C58">
      <w:pPr>
        <w:spacing w:after="0" w:line="240" w:lineRule="auto"/>
      </w:pPr>
      <w:r>
        <w:separator/>
      </w:r>
    </w:p>
  </w:endnote>
  <w:endnote w:type="continuationSeparator" w:id="0">
    <w:p w14:paraId="1E6F83BE" w14:textId="77777777" w:rsidR="00F971BC" w:rsidRDefault="00F971BC" w:rsidP="00FD2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6953361"/>
      <w:docPartObj>
        <w:docPartGallery w:val="Page Numbers (Bottom of Page)"/>
        <w:docPartUnique/>
      </w:docPartObj>
    </w:sdtPr>
    <w:sdtEndPr>
      <w:rPr>
        <w:rFonts w:ascii="Times New Roman" w:hAnsi="Times New Roman" w:cs="Times New Roman"/>
        <w:noProof/>
      </w:rPr>
    </w:sdtEndPr>
    <w:sdtContent>
      <w:p w14:paraId="360F7194" w14:textId="06BCCFB6" w:rsidR="00FD2C58" w:rsidRPr="00FD2C58" w:rsidRDefault="00FD2C58">
        <w:pPr>
          <w:pStyle w:val="Footer"/>
          <w:jc w:val="right"/>
          <w:rPr>
            <w:rFonts w:ascii="Times New Roman" w:hAnsi="Times New Roman" w:cs="Times New Roman"/>
          </w:rPr>
        </w:pPr>
        <w:r w:rsidRPr="00FD2C58">
          <w:rPr>
            <w:rFonts w:ascii="Times New Roman" w:hAnsi="Times New Roman" w:cs="Times New Roman"/>
          </w:rPr>
          <w:fldChar w:fldCharType="begin"/>
        </w:r>
        <w:r w:rsidRPr="00FD2C58">
          <w:rPr>
            <w:rFonts w:ascii="Times New Roman" w:hAnsi="Times New Roman" w:cs="Times New Roman"/>
          </w:rPr>
          <w:instrText xml:space="preserve"> PAGE   \* MERGEFORMAT </w:instrText>
        </w:r>
        <w:r w:rsidRPr="00FD2C58">
          <w:rPr>
            <w:rFonts w:ascii="Times New Roman" w:hAnsi="Times New Roman" w:cs="Times New Roman"/>
          </w:rPr>
          <w:fldChar w:fldCharType="separate"/>
        </w:r>
        <w:r w:rsidRPr="00FD2C58">
          <w:rPr>
            <w:rFonts w:ascii="Times New Roman" w:hAnsi="Times New Roman" w:cs="Times New Roman"/>
            <w:noProof/>
          </w:rPr>
          <w:t>2</w:t>
        </w:r>
        <w:r w:rsidRPr="00FD2C58">
          <w:rPr>
            <w:rFonts w:ascii="Times New Roman" w:hAnsi="Times New Roman" w:cs="Times New Roman"/>
            <w:noProof/>
          </w:rPr>
          <w:fldChar w:fldCharType="end"/>
        </w:r>
      </w:p>
    </w:sdtContent>
  </w:sdt>
  <w:p w14:paraId="4431761F" w14:textId="77777777" w:rsidR="00FD2C58" w:rsidRDefault="00FD2C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00CF0" w14:textId="77777777" w:rsidR="00F971BC" w:rsidRDefault="00F971BC" w:rsidP="00FD2C58">
      <w:pPr>
        <w:spacing w:after="0" w:line="240" w:lineRule="auto"/>
      </w:pPr>
      <w:r>
        <w:separator/>
      </w:r>
    </w:p>
  </w:footnote>
  <w:footnote w:type="continuationSeparator" w:id="0">
    <w:p w14:paraId="188C67D8" w14:textId="77777777" w:rsidR="00F971BC" w:rsidRDefault="00F971BC" w:rsidP="00FD2C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69AAF" w14:textId="27D7927E" w:rsidR="00FD2C58" w:rsidRPr="00FD2C58" w:rsidRDefault="00FD2C58">
    <w:pPr>
      <w:pStyle w:val="Header"/>
      <w:rPr>
        <w:rFonts w:ascii="Times New Roman" w:hAnsi="Times New Roman" w:cs="Times New Roman"/>
      </w:rPr>
    </w:pPr>
    <w:r w:rsidRPr="00FD2C58">
      <w:rPr>
        <w:rFonts w:ascii="Times New Roman" w:hAnsi="Times New Roman" w:cs="Times New Roman"/>
      </w:rPr>
      <w:t>TRAJECTORY OF PHARMACOMETRICS</w:t>
    </w:r>
  </w:p>
  <w:p w14:paraId="72012A8D" w14:textId="77777777" w:rsidR="00FD2C58" w:rsidRDefault="00FD2C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76F58"/>
    <w:multiLevelType w:val="hybridMultilevel"/>
    <w:tmpl w:val="919E0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0A0932"/>
    <w:multiLevelType w:val="hybridMultilevel"/>
    <w:tmpl w:val="7084D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A64C94"/>
    <w:multiLevelType w:val="hybridMultilevel"/>
    <w:tmpl w:val="917CD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DA2FEF"/>
    <w:multiLevelType w:val="hybridMultilevel"/>
    <w:tmpl w:val="61FA441E"/>
    <w:lvl w:ilvl="0" w:tplc="0409000F">
      <w:start w:val="1"/>
      <w:numFmt w:val="decimal"/>
      <w:lvlText w:val="%1."/>
      <w:lvlJc w:val="left"/>
      <w:pPr>
        <w:ind w:left="360" w:hanging="360"/>
      </w:pPr>
      <w:rPr>
        <w:rFonts w:hint="default"/>
      </w:rPr>
    </w:lvl>
    <w:lvl w:ilvl="1" w:tplc="CCA8E2FA">
      <w:start w:val="1"/>
      <w:numFmt w:val="decimal"/>
      <w:lvlText w:val="%2."/>
      <w:lvlJc w:val="left"/>
      <w:pPr>
        <w:ind w:left="1080" w:hanging="360"/>
      </w:pPr>
      <w:rPr>
        <w:rFonts w:asciiTheme="minorHAnsi" w:eastAsiaTheme="minorHAnsi" w:hAnsiTheme="minorHAnsi" w:cstheme="minorBidi"/>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CF6E13"/>
    <w:multiLevelType w:val="hybridMultilevel"/>
    <w:tmpl w:val="2F4E0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F82C78"/>
    <w:multiLevelType w:val="hybridMultilevel"/>
    <w:tmpl w:val="599652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C86BD9"/>
    <w:multiLevelType w:val="hybridMultilevel"/>
    <w:tmpl w:val="7E087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927193"/>
    <w:multiLevelType w:val="hybridMultilevel"/>
    <w:tmpl w:val="DC96E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099773">
    <w:abstractNumId w:val="4"/>
  </w:num>
  <w:num w:numId="2" w16cid:durableId="669067352">
    <w:abstractNumId w:val="3"/>
  </w:num>
  <w:num w:numId="3" w16cid:durableId="848904729">
    <w:abstractNumId w:val="7"/>
  </w:num>
  <w:num w:numId="4" w16cid:durableId="145555930">
    <w:abstractNumId w:val="5"/>
  </w:num>
  <w:num w:numId="5" w16cid:durableId="1925724487">
    <w:abstractNumId w:val="0"/>
  </w:num>
  <w:num w:numId="6" w16cid:durableId="854609909">
    <w:abstractNumId w:val="6"/>
  </w:num>
  <w:num w:numId="7" w16cid:durableId="1213427200">
    <w:abstractNumId w:val="2"/>
  </w:num>
  <w:num w:numId="8" w16cid:durableId="6371023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53B"/>
    <w:rsid w:val="00004D88"/>
    <w:rsid w:val="000052B7"/>
    <w:rsid w:val="00005469"/>
    <w:rsid w:val="00020101"/>
    <w:rsid w:val="000210C8"/>
    <w:rsid w:val="000251DD"/>
    <w:rsid w:val="0002543A"/>
    <w:rsid w:val="00025805"/>
    <w:rsid w:val="000440EF"/>
    <w:rsid w:val="00047B95"/>
    <w:rsid w:val="00050076"/>
    <w:rsid w:val="00051C1B"/>
    <w:rsid w:val="00053B7D"/>
    <w:rsid w:val="00054114"/>
    <w:rsid w:val="0005519C"/>
    <w:rsid w:val="00057486"/>
    <w:rsid w:val="00062F41"/>
    <w:rsid w:val="00063942"/>
    <w:rsid w:val="0006440B"/>
    <w:rsid w:val="000659AD"/>
    <w:rsid w:val="00070F11"/>
    <w:rsid w:val="00077325"/>
    <w:rsid w:val="00081769"/>
    <w:rsid w:val="00081D90"/>
    <w:rsid w:val="000820B1"/>
    <w:rsid w:val="00085933"/>
    <w:rsid w:val="00097EF7"/>
    <w:rsid w:val="000A1658"/>
    <w:rsid w:val="000A18F8"/>
    <w:rsid w:val="000A2D18"/>
    <w:rsid w:val="000A4370"/>
    <w:rsid w:val="000A4CEF"/>
    <w:rsid w:val="000B25A3"/>
    <w:rsid w:val="000B3267"/>
    <w:rsid w:val="000B729B"/>
    <w:rsid w:val="000C095E"/>
    <w:rsid w:val="000D2AC0"/>
    <w:rsid w:val="000D4287"/>
    <w:rsid w:val="000E0BD6"/>
    <w:rsid w:val="000E3182"/>
    <w:rsid w:val="000E5CD4"/>
    <w:rsid w:val="000F004E"/>
    <w:rsid w:val="000F1B85"/>
    <w:rsid w:val="000F292C"/>
    <w:rsid w:val="00105B8A"/>
    <w:rsid w:val="0010618E"/>
    <w:rsid w:val="0011290F"/>
    <w:rsid w:val="00113F7D"/>
    <w:rsid w:val="0011536D"/>
    <w:rsid w:val="0011651B"/>
    <w:rsid w:val="00116A1C"/>
    <w:rsid w:val="00117429"/>
    <w:rsid w:val="00127EAA"/>
    <w:rsid w:val="00130644"/>
    <w:rsid w:val="00131774"/>
    <w:rsid w:val="0013235A"/>
    <w:rsid w:val="001355D8"/>
    <w:rsid w:val="00137CB2"/>
    <w:rsid w:val="00155372"/>
    <w:rsid w:val="0015657D"/>
    <w:rsid w:val="00160900"/>
    <w:rsid w:val="00160B10"/>
    <w:rsid w:val="001651DD"/>
    <w:rsid w:val="001660CB"/>
    <w:rsid w:val="00173515"/>
    <w:rsid w:val="0017589A"/>
    <w:rsid w:val="00182B32"/>
    <w:rsid w:val="00187B1E"/>
    <w:rsid w:val="001903B3"/>
    <w:rsid w:val="0019364A"/>
    <w:rsid w:val="00195185"/>
    <w:rsid w:val="00195516"/>
    <w:rsid w:val="00196E14"/>
    <w:rsid w:val="00196F02"/>
    <w:rsid w:val="001B0E25"/>
    <w:rsid w:val="001B33BE"/>
    <w:rsid w:val="001B5B29"/>
    <w:rsid w:val="001B6496"/>
    <w:rsid w:val="001B6D6C"/>
    <w:rsid w:val="001C2BFD"/>
    <w:rsid w:val="001C4880"/>
    <w:rsid w:val="001C7137"/>
    <w:rsid w:val="001D1B95"/>
    <w:rsid w:val="001D2702"/>
    <w:rsid w:val="001D4EB5"/>
    <w:rsid w:val="001E0CC4"/>
    <w:rsid w:val="001E1B9C"/>
    <w:rsid w:val="001E359A"/>
    <w:rsid w:val="001E3A04"/>
    <w:rsid w:val="001E3DE7"/>
    <w:rsid w:val="001E5174"/>
    <w:rsid w:val="001E5A02"/>
    <w:rsid w:val="001E6573"/>
    <w:rsid w:val="001E69FA"/>
    <w:rsid w:val="001E6E57"/>
    <w:rsid w:val="001E7485"/>
    <w:rsid w:val="001F3B55"/>
    <w:rsid w:val="001F625C"/>
    <w:rsid w:val="002005AD"/>
    <w:rsid w:val="00201200"/>
    <w:rsid w:val="00201741"/>
    <w:rsid w:val="00203342"/>
    <w:rsid w:val="00204CBB"/>
    <w:rsid w:val="00205230"/>
    <w:rsid w:val="00205BE2"/>
    <w:rsid w:val="002078D5"/>
    <w:rsid w:val="00211123"/>
    <w:rsid w:val="00214EAC"/>
    <w:rsid w:val="00221BF5"/>
    <w:rsid w:val="002233D0"/>
    <w:rsid w:val="00226E77"/>
    <w:rsid w:val="00230A35"/>
    <w:rsid w:val="00231429"/>
    <w:rsid w:val="002324C7"/>
    <w:rsid w:val="0023735D"/>
    <w:rsid w:val="00240CC5"/>
    <w:rsid w:val="00242C9A"/>
    <w:rsid w:val="00251CF5"/>
    <w:rsid w:val="00253BC0"/>
    <w:rsid w:val="00260356"/>
    <w:rsid w:val="00260942"/>
    <w:rsid w:val="00261B2B"/>
    <w:rsid w:val="00264502"/>
    <w:rsid w:val="0027659C"/>
    <w:rsid w:val="0027698F"/>
    <w:rsid w:val="0027765B"/>
    <w:rsid w:val="00281425"/>
    <w:rsid w:val="002823F9"/>
    <w:rsid w:val="00283220"/>
    <w:rsid w:val="002850A6"/>
    <w:rsid w:val="00290C1D"/>
    <w:rsid w:val="00291C1E"/>
    <w:rsid w:val="002926CB"/>
    <w:rsid w:val="00292899"/>
    <w:rsid w:val="00297A48"/>
    <w:rsid w:val="002A0F5B"/>
    <w:rsid w:val="002B27DE"/>
    <w:rsid w:val="002B37DE"/>
    <w:rsid w:val="002C3470"/>
    <w:rsid w:val="002C431E"/>
    <w:rsid w:val="002C649F"/>
    <w:rsid w:val="002C7E09"/>
    <w:rsid w:val="002D2775"/>
    <w:rsid w:val="002D5EF3"/>
    <w:rsid w:val="002E25DE"/>
    <w:rsid w:val="002E46D2"/>
    <w:rsid w:val="002E7918"/>
    <w:rsid w:val="002F31E5"/>
    <w:rsid w:val="002F5523"/>
    <w:rsid w:val="002F590E"/>
    <w:rsid w:val="00302E19"/>
    <w:rsid w:val="003031B7"/>
    <w:rsid w:val="0030608B"/>
    <w:rsid w:val="0031030B"/>
    <w:rsid w:val="003139A0"/>
    <w:rsid w:val="003140C2"/>
    <w:rsid w:val="0031582D"/>
    <w:rsid w:val="0031671B"/>
    <w:rsid w:val="00316B09"/>
    <w:rsid w:val="00320402"/>
    <w:rsid w:val="00321A0D"/>
    <w:rsid w:val="003241CB"/>
    <w:rsid w:val="00331B77"/>
    <w:rsid w:val="00332975"/>
    <w:rsid w:val="00334541"/>
    <w:rsid w:val="003345DF"/>
    <w:rsid w:val="00335091"/>
    <w:rsid w:val="00335175"/>
    <w:rsid w:val="003374EB"/>
    <w:rsid w:val="003419C0"/>
    <w:rsid w:val="00342F3F"/>
    <w:rsid w:val="00344A3A"/>
    <w:rsid w:val="003520D8"/>
    <w:rsid w:val="00352FB5"/>
    <w:rsid w:val="00356071"/>
    <w:rsid w:val="00356788"/>
    <w:rsid w:val="0036543E"/>
    <w:rsid w:val="00371997"/>
    <w:rsid w:val="003736FC"/>
    <w:rsid w:val="003827C1"/>
    <w:rsid w:val="00385606"/>
    <w:rsid w:val="00385AD7"/>
    <w:rsid w:val="00387F77"/>
    <w:rsid w:val="00393C93"/>
    <w:rsid w:val="00393F7C"/>
    <w:rsid w:val="00396F8B"/>
    <w:rsid w:val="00397891"/>
    <w:rsid w:val="003A3A15"/>
    <w:rsid w:val="003A58BD"/>
    <w:rsid w:val="003B02EC"/>
    <w:rsid w:val="003B0ABF"/>
    <w:rsid w:val="003B4171"/>
    <w:rsid w:val="003B64CF"/>
    <w:rsid w:val="003D127C"/>
    <w:rsid w:val="003D15F0"/>
    <w:rsid w:val="003D3351"/>
    <w:rsid w:val="003D33E3"/>
    <w:rsid w:val="003D5006"/>
    <w:rsid w:val="003D5E6D"/>
    <w:rsid w:val="003D74D2"/>
    <w:rsid w:val="003E0E03"/>
    <w:rsid w:val="003E218B"/>
    <w:rsid w:val="003E273D"/>
    <w:rsid w:val="003E2F54"/>
    <w:rsid w:val="003F2300"/>
    <w:rsid w:val="003F2CA6"/>
    <w:rsid w:val="003F3457"/>
    <w:rsid w:val="003F4464"/>
    <w:rsid w:val="003F5687"/>
    <w:rsid w:val="003F6547"/>
    <w:rsid w:val="003F6970"/>
    <w:rsid w:val="003F7B19"/>
    <w:rsid w:val="00400475"/>
    <w:rsid w:val="0040109B"/>
    <w:rsid w:val="00403486"/>
    <w:rsid w:val="00403796"/>
    <w:rsid w:val="004129D7"/>
    <w:rsid w:val="00414727"/>
    <w:rsid w:val="004163BE"/>
    <w:rsid w:val="00416AE6"/>
    <w:rsid w:val="00417B68"/>
    <w:rsid w:val="00420B5F"/>
    <w:rsid w:val="0042115E"/>
    <w:rsid w:val="004236C7"/>
    <w:rsid w:val="0043150B"/>
    <w:rsid w:val="004332A3"/>
    <w:rsid w:val="004332CC"/>
    <w:rsid w:val="00440350"/>
    <w:rsid w:val="004418C2"/>
    <w:rsid w:val="00445807"/>
    <w:rsid w:val="00455046"/>
    <w:rsid w:val="004607E4"/>
    <w:rsid w:val="00460E35"/>
    <w:rsid w:val="0046130B"/>
    <w:rsid w:val="0046296C"/>
    <w:rsid w:val="004731C6"/>
    <w:rsid w:val="00473A54"/>
    <w:rsid w:val="00494DDE"/>
    <w:rsid w:val="004970A9"/>
    <w:rsid w:val="004A34C2"/>
    <w:rsid w:val="004A4A6B"/>
    <w:rsid w:val="004A5247"/>
    <w:rsid w:val="004A5E3B"/>
    <w:rsid w:val="004A5F57"/>
    <w:rsid w:val="004A6169"/>
    <w:rsid w:val="004A7D21"/>
    <w:rsid w:val="004A7DBF"/>
    <w:rsid w:val="004B1D3B"/>
    <w:rsid w:val="004B31E7"/>
    <w:rsid w:val="004B360C"/>
    <w:rsid w:val="004B4131"/>
    <w:rsid w:val="004B60DE"/>
    <w:rsid w:val="004C1FE7"/>
    <w:rsid w:val="004C34D4"/>
    <w:rsid w:val="004C57BE"/>
    <w:rsid w:val="004D0903"/>
    <w:rsid w:val="004D4E12"/>
    <w:rsid w:val="004D66F2"/>
    <w:rsid w:val="004D744D"/>
    <w:rsid w:val="004E3722"/>
    <w:rsid w:val="004F0E4F"/>
    <w:rsid w:val="004F1F5F"/>
    <w:rsid w:val="004F3071"/>
    <w:rsid w:val="004F3C5C"/>
    <w:rsid w:val="004F687F"/>
    <w:rsid w:val="004F6C09"/>
    <w:rsid w:val="004F6C23"/>
    <w:rsid w:val="004F6D84"/>
    <w:rsid w:val="00502B75"/>
    <w:rsid w:val="005034FD"/>
    <w:rsid w:val="00506F46"/>
    <w:rsid w:val="005125BB"/>
    <w:rsid w:val="005165B7"/>
    <w:rsid w:val="00520698"/>
    <w:rsid w:val="005279E1"/>
    <w:rsid w:val="005321BF"/>
    <w:rsid w:val="005378B2"/>
    <w:rsid w:val="005423E4"/>
    <w:rsid w:val="005449B0"/>
    <w:rsid w:val="005528C2"/>
    <w:rsid w:val="005532F2"/>
    <w:rsid w:val="005534E3"/>
    <w:rsid w:val="00554027"/>
    <w:rsid w:val="00556A3F"/>
    <w:rsid w:val="00562C4D"/>
    <w:rsid w:val="005671E7"/>
    <w:rsid w:val="00570120"/>
    <w:rsid w:val="00571EC8"/>
    <w:rsid w:val="00572B46"/>
    <w:rsid w:val="0057477F"/>
    <w:rsid w:val="00575D6F"/>
    <w:rsid w:val="00576979"/>
    <w:rsid w:val="00577398"/>
    <w:rsid w:val="00580959"/>
    <w:rsid w:val="00582F3D"/>
    <w:rsid w:val="00585B71"/>
    <w:rsid w:val="0059501E"/>
    <w:rsid w:val="00597FC5"/>
    <w:rsid w:val="005A0EE6"/>
    <w:rsid w:val="005A4FF5"/>
    <w:rsid w:val="005A6673"/>
    <w:rsid w:val="005B4E17"/>
    <w:rsid w:val="005C30F7"/>
    <w:rsid w:val="005C362E"/>
    <w:rsid w:val="005C5731"/>
    <w:rsid w:val="005D32FE"/>
    <w:rsid w:val="005D72A4"/>
    <w:rsid w:val="005E0FF2"/>
    <w:rsid w:val="005E29E8"/>
    <w:rsid w:val="005E3551"/>
    <w:rsid w:val="005E4DD3"/>
    <w:rsid w:val="005E52E4"/>
    <w:rsid w:val="005F25D1"/>
    <w:rsid w:val="005F4300"/>
    <w:rsid w:val="005F672B"/>
    <w:rsid w:val="005F7710"/>
    <w:rsid w:val="00600801"/>
    <w:rsid w:val="00607D7D"/>
    <w:rsid w:val="0061037B"/>
    <w:rsid w:val="00610A94"/>
    <w:rsid w:val="006119E5"/>
    <w:rsid w:val="00612DFE"/>
    <w:rsid w:val="0061366F"/>
    <w:rsid w:val="00621FF5"/>
    <w:rsid w:val="00622783"/>
    <w:rsid w:val="006235F9"/>
    <w:rsid w:val="00623673"/>
    <w:rsid w:val="00623A7F"/>
    <w:rsid w:val="006261EB"/>
    <w:rsid w:val="00631B3B"/>
    <w:rsid w:val="00631CC8"/>
    <w:rsid w:val="006339E6"/>
    <w:rsid w:val="0063535B"/>
    <w:rsid w:val="006363F5"/>
    <w:rsid w:val="00636E90"/>
    <w:rsid w:val="00644BDC"/>
    <w:rsid w:val="006526D8"/>
    <w:rsid w:val="006538C8"/>
    <w:rsid w:val="00656263"/>
    <w:rsid w:val="00661C5B"/>
    <w:rsid w:val="00666269"/>
    <w:rsid w:val="00671562"/>
    <w:rsid w:val="00674C75"/>
    <w:rsid w:val="0067621C"/>
    <w:rsid w:val="006808F9"/>
    <w:rsid w:val="00681A0A"/>
    <w:rsid w:val="006828F5"/>
    <w:rsid w:val="00685A90"/>
    <w:rsid w:val="0068659E"/>
    <w:rsid w:val="00687FD5"/>
    <w:rsid w:val="0069223B"/>
    <w:rsid w:val="0069248E"/>
    <w:rsid w:val="0069291E"/>
    <w:rsid w:val="00694A78"/>
    <w:rsid w:val="00695A53"/>
    <w:rsid w:val="0069709A"/>
    <w:rsid w:val="00697E3F"/>
    <w:rsid w:val="006A3B95"/>
    <w:rsid w:val="006B1D47"/>
    <w:rsid w:val="006B2682"/>
    <w:rsid w:val="006B416A"/>
    <w:rsid w:val="006C5712"/>
    <w:rsid w:val="006C761F"/>
    <w:rsid w:val="006C76BF"/>
    <w:rsid w:val="006D2455"/>
    <w:rsid w:val="006D2BE3"/>
    <w:rsid w:val="006D349B"/>
    <w:rsid w:val="006D4D96"/>
    <w:rsid w:val="006D5DF8"/>
    <w:rsid w:val="006E3E3B"/>
    <w:rsid w:val="006E4AF1"/>
    <w:rsid w:val="006E5A2E"/>
    <w:rsid w:val="006F046D"/>
    <w:rsid w:val="006F3E45"/>
    <w:rsid w:val="006F5061"/>
    <w:rsid w:val="006F5310"/>
    <w:rsid w:val="006F78F4"/>
    <w:rsid w:val="007016F1"/>
    <w:rsid w:val="00707EE6"/>
    <w:rsid w:val="00711A36"/>
    <w:rsid w:val="007144B8"/>
    <w:rsid w:val="0071605D"/>
    <w:rsid w:val="007164C4"/>
    <w:rsid w:val="00723202"/>
    <w:rsid w:val="00723803"/>
    <w:rsid w:val="00724BC9"/>
    <w:rsid w:val="00725FE3"/>
    <w:rsid w:val="00734E04"/>
    <w:rsid w:val="00740C3E"/>
    <w:rsid w:val="007433C4"/>
    <w:rsid w:val="0074740F"/>
    <w:rsid w:val="007501ED"/>
    <w:rsid w:val="0075043F"/>
    <w:rsid w:val="00750D9A"/>
    <w:rsid w:val="007520CC"/>
    <w:rsid w:val="00752EF8"/>
    <w:rsid w:val="007535B2"/>
    <w:rsid w:val="007603B9"/>
    <w:rsid w:val="00760DEE"/>
    <w:rsid w:val="00765176"/>
    <w:rsid w:val="00766094"/>
    <w:rsid w:val="007758AD"/>
    <w:rsid w:val="00780F8C"/>
    <w:rsid w:val="00782C31"/>
    <w:rsid w:val="00785C9D"/>
    <w:rsid w:val="0078609D"/>
    <w:rsid w:val="0078726D"/>
    <w:rsid w:val="0079135B"/>
    <w:rsid w:val="007944A4"/>
    <w:rsid w:val="00794545"/>
    <w:rsid w:val="00796EE7"/>
    <w:rsid w:val="007A0876"/>
    <w:rsid w:val="007A11E1"/>
    <w:rsid w:val="007A44C6"/>
    <w:rsid w:val="007A46FB"/>
    <w:rsid w:val="007B3F19"/>
    <w:rsid w:val="007B474F"/>
    <w:rsid w:val="007C2087"/>
    <w:rsid w:val="007C3C8C"/>
    <w:rsid w:val="007C6017"/>
    <w:rsid w:val="007C65D0"/>
    <w:rsid w:val="007C692D"/>
    <w:rsid w:val="007D326C"/>
    <w:rsid w:val="007D43E3"/>
    <w:rsid w:val="007D4FBF"/>
    <w:rsid w:val="007D67C4"/>
    <w:rsid w:val="007D7114"/>
    <w:rsid w:val="007E218E"/>
    <w:rsid w:val="007E2CBA"/>
    <w:rsid w:val="007E3300"/>
    <w:rsid w:val="007E6033"/>
    <w:rsid w:val="007F0201"/>
    <w:rsid w:val="007F0639"/>
    <w:rsid w:val="007F2A11"/>
    <w:rsid w:val="007F314C"/>
    <w:rsid w:val="007F3206"/>
    <w:rsid w:val="007F33CE"/>
    <w:rsid w:val="007F50FD"/>
    <w:rsid w:val="007F67A1"/>
    <w:rsid w:val="008022A2"/>
    <w:rsid w:val="00805F3C"/>
    <w:rsid w:val="00810A70"/>
    <w:rsid w:val="00811491"/>
    <w:rsid w:val="00812AF9"/>
    <w:rsid w:val="00813105"/>
    <w:rsid w:val="0081739F"/>
    <w:rsid w:val="0082112A"/>
    <w:rsid w:val="0082431E"/>
    <w:rsid w:val="00825FF5"/>
    <w:rsid w:val="0082634B"/>
    <w:rsid w:val="008316EB"/>
    <w:rsid w:val="00833A5B"/>
    <w:rsid w:val="0083645A"/>
    <w:rsid w:val="008472A0"/>
    <w:rsid w:val="00861F14"/>
    <w:rsid w:val="008622D7"/>
    <w:rsid w:val="008635BD"/>
    <w:rsid w:val="00864451"/>
    <w:rsid w:val="00864922"/>
    <w:rsid w:val="00865201"/>
    <w:rsid w:val="008677F9"/>
    <w:rsid w:val="00877CEF"/>
    <w:rsid w:val="00886107"/>
    <w:rsid w:val="00891D72"/>
    <w:rsid w:val="00895283"/>
    <w:rsid w:val="00897EEF"/>
    <w:rsid w:val="008A1278"/>
    <w:rsid w:val="008A1A4B"/>
    <w:rsid w:val="008A430E"/>
    <w:rsid w:val="008A6FCB"/>
    <w:rsid w:val="008B7D02"/>
    <w:rsid w:val="008C0A68"/>
    <w:rsid w:val="008C6D36"/>
    <w:rsid w:val="008C72BF"/>
    <w:rsid w:val="008C77A7"/>
    <w:rsid w:val="008C7E19"/>
    <w:rsid w:val="008D1290"/>
    <w:rsid w:val="008D1ECD"/>
    <w:rsid w:val="008D4DFE"/>
    <w:rsid w:val="008E206D"/>
    <w:rsid w:val="008F055C"/>
    <w:rsid w:val="008F0D05"/>
    <w:rsid w:val="008F5E01"/>
    <w:rsid w:val="008F5E44"/>
    <w:rsid w:val="009022A9"/>
    <w:rsid w:val="009026FD"/>
    <w:rsid w:val="009048DB"/>
    <w:rsid w:val="00905EAC"/>
    <w:rsid w:val="00906B78"/>
    <w:rsid w:val="009079F8"/>
    <w:rsid w:val="009210B2"/>
    <w:rsid w:val="009221E4"/>
    <w:rsid w:val="009229EB"/>
    <w:rsid w:val="00924214"/>
    <w:rsid w:val="009257C8"/>
    <w:rsid w:val="00926218"/>
    <w:rsid w:val="00930DFC"/>
    <w:rsid w:val="009317BE"/>
    <w:rsid w:val="00933D4A"/>
    <w:rsid w:val="00937819"/>
    <w:rsid w:val="00940326"/>
    <w:rsid w:val="0094135E"/>
    <w:rsid w:val="00941ADA"/>
    <w:rsid w:val="00941E32"/>
    <w:rsid w:val="00944B2C"/>
    <w:rsid w:val="00947780"/>
    <w:rsid w:val="00950A49"/>
    <w:rsid w:val="00955F45"/>
    <w:rsid w:val="00962D60"/>
    <w:rsid w:val="0097176B"/>
    <w:rsid w:val="00975C47"/>
    <w:rsid w:val="009769F8"/>
    <w:rsid w:val="00982D64"/>
    <w:rsid w:val="0098340C"/>
    <w:rsid w:val="00987770"/>
    <w:rsid w:val="009A1D67"/>
    <w:rsid w:val="009A3557"/>
    <w:rsid w:val="009A3AD8"/>
    <w:rsid w:val="009A43CA"/>
    <w:rsid w:val="009A724D"/>
    <w:rsid w:val="009B00AC"/>
    <w:rsid w:val="009B21B9"/>
    <w:rsid w:val="009B539B"/>
    <w:rsid w:val="009B62A1"/>
    <w:rsid w:val="009B6A2D"/>
    <w:rsid w:val="009B7251"/>
    <w:rsid w:val="009C1A55"/>
    <w:rsid w:val="009C2D85"/>
    <w:rsid w:val="009C59D6"/>
    <w:rsid w:val="009C729D"/>
    <w:rsid w:val="009C7C9A"/>
    <w:rsid w:val="009D17D6"/>
    <w:rsid w:val="009D1CAA"/>
    <w:rsid w:val="009D78B6"/>
    <w:rsid w:val="009D7C37"/>
    <w:rsid w:val="009E6367"/>
    <w:rsid w:val="009F0D80"/>
    <w:rsid w:val="009F221F"/>
    <w:rsid w:val="009F3219"/>
    <w:rsid w:val="00A01888"/>
    <w:rsid w:val="00A02754"/>
    <w:rsid w:val="00A040C5"/>
    <w:rsid w:val="00A05131"/>
    <w:rsid w:val="00A057C0"/>
    <w:rsid w:val="00A07C9E"/>
    <w:rsid w:val="00A114DF"/>
    <w:rsid w:val="00A128AE"/>
    <w:rsid w:val="00A21CB1"/>
    <w:rsid w:val="00A259C1"/>
    <w:rsid w:val="00A2618F"/>
    <w:rsid w:val="00A27D90"/>
    <w:rsid w:val="00A30EAD"/>
    <w:rsid w:val="00A31C99"/>
    <w:rsid w:val="00A34A7B"/>
    <w:rsid w:val="00A37575"/>
    <w:rsid w:val="00A37605"/>
    <w:rsid w:val="00A37651"/>
    <w:rsid w:val="00A418EA"/>
    <w:rsid w:val="00A41CDB"/>
    <w:rsid w:val="00A45376"/>
    <w:rsid w:val="00A472E4"/>
    <w:rsid w:val="00A51DC7"/>
    <w:rsid w:val="00A53071"/>
    <w:rsid w:val="00A54627"/>
    <w:rsid w:val="00A662C1"/>
    <w:rsid w:val="00A7095A"/>
    <w:rsid w:val="00A72601"/>
    <w:rsid w:val="00A72E98"/>
    <w:rsid w:val="00A810F4"/>
    <w:rsid w:val="00A84A69"/>
    <w:rsid w:val="00A858FA"/>
    <w:rsid w:val="00A85CD5"/>
    <w:rsid w:val="00A90BD9"/>
    <w:rsid w:val="00A91FBA"/>
    <w:rsid w:val="00A9250C"/>
    <w:rsid w:val="00A978EC"/>
    <w:rsid w:val="00AA2022"/>
    <w:rsid w:val="00AA36D9"/>
    <w:rsid w:val="00AA407D"/>
    <w:rsid w:val="00AA7C2C"/>
    <w:rsid w:val="00AB04C1"/>
    <w:rsid w:val="00AB0B3C"/>
    <w:rsid w:val="00AB4918"/>
    <w:rsid w:val="00AB4940"/>
    <w:rsid w:val="00AB53A1"/>
    <w:rsid w:val="00AC15B4"/>
    <w:rsid w:val="00AC6879"/>
    <w:rsid w:val="00AC740B"/>
    <w:rsid w:val="00AC7C0B"/>
    <w:rsid w:val="00AD0201"/>
    <w:rsid w:val="00AD29F7"/>
    <w:rsid w:val="00AD5C51"/>
    <w:rsid w:val="00AE0497"/>
    <w:rsid w:val="00AE1C26"/>
    <w:rsid w:val="00AE4E19"/>
    <w:rsid w:val="00AE7F6F"/>
    <w:rsid w:val="00AF309B"/>
    <w:rsid w:val="00AF6F43"/>
    <w:rsid w:val="00B02B7D"/>
    <w:rsid w:val="00B051A3"/>
    <w:rsid w:val="00B06B9F"/>
    <w:rsid w:val="00B12EE8"/>
    <w:rsid w:val="00B13FC0"/>
    <w:rsid w:val="00B147C4"/>
    <w:rsid w:val="00B21BE0"/>
    <w:rsid w:val="00B23F98"/>
    <w:rsid w:val="00B26B6B"/>
    <w:rsid w:val="00B3210B"/>
    <w:rsid w:val="00B33810"/>
    <w:rsid w:val="00B354E8"/>
    <w:rsid w:val="00B3577B"/>
    <w:rsid w:val="00B3587E"/>
    <w:rsid w:val="00B35880"/>
    <w:rsid w:val="00B3624D"/>
    <w:rsid w:val="00B3675A"/>
    <w:rsid w:val="00B42481"/>
    <w:rsid w:val="00B42572"/>
    <w:rsid w:val="00B453B8"/>
    <w:rsid w:val="00B50E20"/>
    <w:rsid w:val="00B5118E"/>
    <w:rsid w:val="00B56487"/>
    <w:rsid w:val="00B6305D"/>
    <w:rsid w:val="00B634ED"/>
    <w:rsid w:val="00B64986"/>
    <w:rsid w:val="00B714F9"/>
    <w:rsid w:val="00B732D9"/>
    <w:rsid w:val="00B76979"/>
    <w:rsid w:val="00B804A8"/>
    <w:rsid w:val="00B8153B"/>
    <w:rsid w:val="00B84410"/>
    <w:rsid w:val="00B86570"/>
    <w:rsid w:val="00B87830"/>
    <w:rsid w:val="00B9168D"/>
    <w:rsid w:val="00B97987"/>
    <w:rsid w:val="00BA162C"/>
    <w:rsid w:val="00BA3AC1"/>
    <w:rsid w:val="00BA548F"/>
    <w:rsid w:val="00BA7DA6"/>
    <w:rsid w:val="00BB2EF8"/>
    <w:rsid w:val="00BB3797"/>
    <w:rsid w:val="00BB5495"/>
    <w:rsid w:val="00BB5D87"/>
    <w:rsid w:val="00BC0D52"/>
    <w:rsid w:val="00BC1811"/>
    <w:rsid w:val="00BC3368"/>
    <w:rsid w:val="00BC3E4E"/>
    <w:rsid w:val="00BC7E47"/>
    <w:rsid w:val="00BD02C0"/>
    <w:rsid w:val="00BD0997"/>
    <w:rsid w:val="00BD0DC5"/>
    <w:rsid w:val="00BD1C5A"/>
    <w:rsid w:val="00BD48C5"/>
    <w:rsid w:val="00BE2D10"/>
    <w:rsid w:val="00BE4E40"/>
    <w:rsid w:val="00BE7B4A"/>
    <w:rsid w:val="00BF08BE"/>
    <w:rsid w:val="00BF3654"/>
    <w:rsid w:val="00BF41BC"/>
    <w:rsid w:val="00BF560E"/>
    <w:rsid w:val="00BF5693"/>
    <w:rsid w:val="00BF5B73"/>
    <w:rsid w:val="00BF620E"/>
    <w:rsid w:val="00C015C3"/>
    <w:rsid w:val="00C02C96"/>
    <w:rsid w:val="00C030AB"/>
    <w:rsid w:val="00C12E68"/>
    <w:rsid w:val="00C140F7"/>
    <w:rsid w:val="00C21279"/>
    <w:rsid w:val="00C21321"/>
    <w:rsid w:val="00C259F8"/>
    <w:rsid w:val="00C26EFD"/>
    <w:rsid w:val="00C413B7"/>
    <w:rsid w:val="00C42807"/>
    <w:rsid w:val="00C43795"/>
    <w:rsid w:val="00C43C22"/>
    <w:rsid w:val="00C45199"/>
    <w:rsid w:val="00C51390"/>
    <w:rsid w:val="00C51E61"/>
    <w:rsid w:val="00C5633C"/>
    <w:rsid w:val="00C56546"/>
    <w:rsid w:val="00C57694"/>
    <w:rsid w:val="00C61541"/>
    <w:rsid w:val="00C62CB0"/>
    <w:rsid w:val="00C6746D"/>
    <w:rsid w:val="00C720D2"/>
    <w:rsid w:val="00C7222A"/>
    <w:rsid w:val="00C72C1B"/>
    <w:rsid w:val="00C730A0"/>
    <w:rsid w:val="00C87B2F"/>
    <w:rsid w:val="00C920B9"/>
    <w:rsid w:val="00CA7C60"/>
    <w:rsid w:val="00CA7D55"/>
    <w:rsid w:val="00CB11CB"/>
    <w:rsid w:val="00CB2E74"/>
    <w:rsid w:val="00CB303B"/>
    <w:rsid w:val="00CB58B1"/>
    <w:rsid w:val="00CB5EC5"/>
    <w:rsid w:val="00CB71EB"/>
    <w:rsid w:val="00CB72C5"/>
    <w:rsid w:val="00CC1716"/>
    <w:rsid w:val="00CC1CD0"/>
    <w:rsid w:val="00CC276C"/>
    <w:rsid w:val="00CC568B"/>
    <w:rsid w:val="00CC73DB"/>
    <w:rsid w:val="00CC76D9"/>
    <w:rsid w:val="00CC7FD8"/>
    <w:rsid w:val="00CD2BAF"/>
    <w:rsid w:val="00CD2E9D"/>
    <w:rsid w:val="00CD3AC3"/>
    <w:rsid w:val="00CD4B20"/>
    <w:rsid w:val="00CE0DC6"/>
    <w:rsid w:val="00CE1F76"/>
    <w:rsid w:val="00CE2002"/>
    <w:rsid w:val="00CE4CDB"/>
    <w:rsid w:val="00CE5BD3"/>
    <w:rsid w:val="00CE7667"/>
    <w:rsid w:val="00CF1564"/>
    <w:rsid w:val="00CF4BCA"/>
    <w:rsid w:val="00D028C6"/>
    <w:rsid w:val="00D064CB"/>
    <w:rsid w:val="00D077F2"/>
    <w:rsid w:val="00D07D8B"/>
    <w:rsid w:val="00D11A91"/>
    <w:rsid w:val="00D14E1D"/>
    <w:rsid w:val="00D15E04"/>
    <w:rsid w:val="00D1786C"/>
    <w:rsid w:val="00D24EEC"/>
    <w:rsid w:val="00D25052"/>
    <w:rsid w:val="00D26821"/>
    <w:rsid w:val="00D32E26"/>
    <w:rsid w:val="00D34BB3"/>
    <w:rsid w:val="00D35467"/>
    <w:rsid w:val="00D37300"/>
    <w:rsid w:val="00D40D63"/>
    <w:rsid w:val="00D42E97"/>
    <w:rsid w:val="00D4338C"/>
    <w:rsid w:val="00D528EC"/>
    <w:rsid w:val="00D628B0"/>
    <w:rsid w:val="00D63FB4"/>
    <w:rsid w:val="00D64D99"/>
    <w:rsid w:val="00D65BB8"/>
    <w:rsid w:val="00D77C53"/>
    <w:rsid w:val="00D80518"/>
    <w:rsid w:val="00D82AA4"/>
    <w:rsid w:val="00D83497"/>
    <w:rsid w:val="00D8384B"/>
    <w:rsid w:val="00D83D2F"/>
    <w:rsid w:val="00D83D4F"/>
    <w:rsid w:val="00D8643B"/>
    <w:rsid w:val="00D86A56"/>
    <w:rsid w:val="00D8727E"/>
    <w:rsid w:val="00D91434"/>
    <w:rsid w:val="00D92AA2"/>
    <w:rsid w:val="00D952E4"/>
    <w:rsid w:val="00DA030C"/>
    <w:rsid w:val="00DA4F1D"/>
    <w:rsid w:val="00DA550B"/>
    <w:rsid w:val="00DA7818"/>
    <w:rsid w:val="00DB111E"/>
    <w:rsid w:val="00DB1FED"/>
    <w:rsid w:val="00DC2DA4"/>
    <w:rsid w:val="00DC35AF"/>
    <w:rsid w:val="00DC3702"/>
    <w:rsid w:val="00DC3FE0"/>
    <w:rsid w:val="00DD0DED"/>
    <w:rsid w:val="00DD34BA"/>
    <w:rsid w:val="00DD612D"/>
    <w:rsid w:val="00DE0668"/>
    <w:rsid w:val="00DE1DB6"/>
    <w:rsid w:val="00DE285E"/>
    <w:rsid w:val="00DE2B30"/>
    <w:rsid w:val="00DE3802"/>
    <w:rsid w:val="00DE4B14"/>
    <w:rsid w:val="00DE5B10"/>
    <w:rsid w:val="00DE5BEC"/>
    <w:rsid w:val="00DF0DC3"/>
    <w:rsid w:val="00DF1E0E"/>
    <w:rsid w:val="00DF54EA"/>
    <w:rsid w:val="00E079C0"/>
    <w:rsid w:val="00E106C2"/>
    <w:rsid w:val="00E119A2"/>
    <w:rsid w:val="00E1426C"/>
    <w:rsid w:val="00E147B2"/>
    <w:rsid w:val="00E200A6"/>
    <w:rsid w:val="00E24C19"/>
    <w:rsid w:val="00E26965"/>
    <w:rsid w:val="00E31814"/>
    <w:rsid w:val="00E3210B"/>
    <w:rsid w:val="00E33380"/>
    <w:rsid w:val="00E35F38"/>
    <w:rsid w:val="00E4145C"/>
    <w:rsid w:val="00E43EC7"/>
    <w:rsid w:val="00E46AA9"/>
    <w:rsid w:val="00E50BF5"/>
    <w:rsid w:val="00E53211"/>
    <w:rsid w:val="00E6459D"/>
    <w:rsid w:val="00E64B71"/>
    <w:rsid w:val="00E67E8C"/>
    <w:rsid w:val="00E72A0E"/>
    <w:rsid w:val="00E72AEB"/>
    <w:rsid w:val="00E74989"/>
    <w:rsid w:val="00E74EFC"/>
    <w:rsid w:val="00E74FBA"/>
    <w:rsid w:val="00E80EA4"/>
    <w:rsid w:val="00E81B29"/>
    <w:rsid w:val="00E841C6"/>
    <w:rsid w:val="00E85AF0"/>
    <w:rsid w:val="00E86693"/>
    <w:rsid w:val="00EA52AE"/>
    <w:rsid w:val="00EA7259"/>
    <w:rsid w:val="00EA7BE3"/>
    <w:rsid w:val="00EB1212"/>
    <w:rsid w:val="00EB5279"/>
    <w:rsid w:val="00EB5742"/>
    <w:rsid w:val="00EC28F1"/>
    <w:rsid w:val="00EC3425"/>
    <w:rsid w:val="00EC5992"/>
    <w:rsid w:val="00ED5D5A"/>
    <w:rsid w:val="00EE636F"/>
    <w:rsid w:val="00EF124B"/>
    <w:rsid w:val="00EF1D78"/>
    <w:rsid w:val="00EF4766"/>
    <w:rsid w:val="00F0467A"/>
    <w:rsid w:val="00F056FE"/>
    <w:rsid w:val="00F07AB2"/>
    <w:rsid w:val="00F12FE0"/>
    <w:rsid w:val="00F1594A"/>
    <w:rsid w:val="00F175DD"/>
    <w:rsid w:val="00F242AC"/>
    <w:rsid w:val="00F31166"/>
    <w:rsid w:val="00F31D6E"/>
    <w:rsid w:val="00F3556C"/>
    <w:rsid w:val="00F36838"/>
    <w:rsid w:val="00F43D54"/>
    <w:rsid w:val="00F451D8"/>
    <w:rsid w:val="00F45FDC"/>
    <w:rsid w:val="00F53488"/>
    <w:rsid w:val="00F538EF"/>
    <w:rsid w:val="00F55E60"/>
    <w:rsid w:val="00F61AE3"/>
    <w:rsid w:val="00F628D9"/>
    <w:rsid w:val="00F62CB5"/>
    <w:rsid w:val="00F63820"/>
    <w:rsid w:val="00F644B0"/>
    <w:rsid w:val="00F64560"/>
    <w:rsid w:val="00F65F81"/>
    <w:rsid w:val="00F717AC"/>
    <w:rsid w:val="00F7726C"/>
    <w:rsid w:val="00F805C1"/>
    <w:rsid w:val="00F826E6"/>
    <w:rsid w:val="00F853F2"/>
    <w:rsid w:val="00F91173"/>
    <w:rsid w:val="00F91A70"/>
    <w:rsid w:val="00F9391D"/>
    <w:rsid w:val="00F94A44"/>
    <w:rsid w:val="00F9528A"/>
    <w:rsid w:val="00F971BC"/>
    <w:rsid w:val="00FA0021"/>
    <w:rsid w:val="00FA08D4"/>
    <w:rsid w:val="00FA3AB4"/>
    <w:rsid w:val="00FA69E7"/>
    <w:rsid w:val="00FB0A18"/>
    <w:rsid w:val="00FB1C15"/>
    <w:rsid w:val="00FB366A"/>
    <w:rsid w:val="00FC0FE2"/>
    <w:rsid w:val="00FC2EB4"/>
    <w:rsid w:val="00FC3B4D"/>
    <w:rsid w:val="00FD02E5"/>
    <w:rsid w:val="00FD1A44"/>
    <w:rsid w:val="00FD1F53"/>
    <w:rsid w:val="00FD2C58"/>
    <w:rsid w:val="00FE0130"/>
    <w:rsid w:val="00FE0478"/>
    <w:rsid w:val="00FE6512"/>
    <w:rsid w:val="00FE7316"/>
    <w:rsid w:val="00FF0378"/>
    <w:rsid w:val="00FF06CC"/>
    <w:rsid w:val="00FF21A6"/>
    <w:rsid w:val="00FF3F76"/>
    <w:rsid w:val="00FF5883"/>
    <w:rsid w:val="00FF7F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95800"/>
  <w15:chartTrackingRefBased/>
  <w15:docId w15:val="{30E973F4-4900-43D6-A213-AC8745E8F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53B"/>
  </w:style>
  <w:style w:type="paragraph" w:styleId="Heading1">
    <w:name w:val="heading 1"/>
    <w:basedOn w:val="Normal"/>
    <w:next w:val="Normal"/>
    <w:link w:val="Heading1Char"/>
    <w:uiPriority w:val="9"/>
    <w:qFormat/>
    <w:rsid w:val="00B8153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8153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91C1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8D1EC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153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8153B"/>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291C1E"/>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291C1E"/>
    <w:rPr>
      <w:color w:val="0563C1" w:themeColor="hyperlink"/>
      <w:u w:val="single"/>
    </w:rPr>
  </w:style>
  <w:style w:type="paragraph" w:styleId="NoSpacing">
    <w:name w:val="No Spacing"/>
    <w:uiPriority w:val="1"/>
    <w:qFormat/>
    <w:rsid w:val="00291C1E"/>
    <w:pPr>
      <w:spacing w:after="0" w:line="240" w:lineRule="auto"/>
    </w:pPr>
  </w:style>
  <w:style w:type="character" w:styleId="CommentReference">
    <w:name w:val="annotation reference"/>
    <w:basedOn w:val="DefaultParagraphFont"/>
    <w:uiPriority w:val="99"/>
    <w:semiHidden/>
    <w:unhideWhenUsed/>
    <w:rsid w:val="00291C1E"/>
    <w:rPr>
      <w:sz w:val="16"/>
      <w:szCs w:val="16"/>
    </w:rPr>
  </w:style>
  <w:style w:type="paragraph" w:styleId="CommentText">
    <w:name w:val="annotation text"/>
    <w:basedOn w:val="Normal"/>
    <w:link w:val="CommentTextChar"/>
    <w:uiPriority w:val="99"/>
    <w:unhideWhenUsed/>
    <w:rsid w:val="00291C1E"/>
    <w:pPr>
      <w:spacing w:line="240" w:lineRule="auto"/>
    </w:pPr>
    <w:rPr>
      <w:sz w:val="20"/>
      <w:szCs w:val="20"/>
    </w:rPr>
  </w:style>
  <w:style w:type="character" w:customStyle="1" w:styleId="CommentTextChar">
    <w:name w:val="Comment Text Char"/>
    <w:basedOn w:val="DefaultParagraphFont"/>
    <w:link w:val="CommentText"/>
    <w:uiPriority w:val="99"/>
    <w:rsid w:val="00291C1E"/>
    <w:rPr>
      <w:sz w:val="20"/>
      <w:szCs w:val="20"/>
    </w:rPr>
  </w:style>
  <w:style w:type="character" w:customStyle="1" w:styleId="Heading4Char">
    <w:name w:val="Heading 4 Char"/>
    <w:basedOn w:val="DefaultParagraphFont"/>
    <w:link w:val="Heading4"/>
    <w:uiPriority w:val="9"/>
    <w:rsid w:val="008D1ECD"/>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8D1ECD"/>
    <w:pPr>
      <w:ind w:left="720"/>
      <w:contextualSpacing/>
    </w:pPr>
  </w:style>
  <w:style w:type="paragraph" w:styleId="CommentSubject">
    <w:name w:val="annotation subject"/>
    <w:basedOn w:val="CommentText"/>
    <w:next w:val="CommentText"/>
    <w:link w:val="CommentSubjectChar"/>
    <w:uiPriority w:val="99"/>
    <w:semiHidden/>
    <w:unhideWhenUsed/>
    <w:rsid w:val="005528C2"/>
    <w:rPr>
      <w:b/>
      <w:bCs/>
    </w:rPr>
  </w:style>
  <w:style w:type="character" w:customStyle="1" w:styleId="CommentSubjectChar">
    <w:name w:val="Comment Subject Char"/>
    <w:basedOn w:val="CommentTextChar"/>
    <w:link w:val="CommentSubject"/>
    <w:uiPriority w:val="99"/>
    <w:semiHidden/>
    <w:rsid w:val="005528C2"/>
    <w:rPr>
      <w:b/>
      <w:bCs/>
      <w:sz w:val="20"/>
      <w:szCs w:val="20"/>
    </w:rPr>
  </w:style>
  <w:style w:type="character" w:styleId="UnresolvedMention">
    <w:name w:val="Unresolved Mention"/>
    <w:basedOn w:val="DefaultParagraphFont"/>
    <w:uiPriority w:val="99"/>
    <w:semiHidden/>
    <w:unhideWhenUsed/>
    <w:rsid w:val="005528C2"/>
    <w:rPr>
      <w:color w:val="605E5C"/>
      <w:shd w:val="clear" w:color="auto" w:fill="E1DFDD"/>
    </w:rPr>
  </w:style>
  <w:style w:type="paragraph" w:styleId="Header">
    <w:name w:val="header"/>
    <w:basedOn w:val="Normal"/>
    <w:link w:val="HeaderChar"/>
    <w:uiPriority w:val="99"/>
    <w:unhideWhenUsed/>
    <w:rsid w:val="00FD2C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C58"/>
  </w:style>
  <w:style w:type="paragraph" w:styleId="Footer">
    <w:name w:val="footer"/>
    <w:basedOn w:val="Normal"/>
    <w:link w:val="FooterChar"/>
    <w:uiPriority w:val="99"/>
    <w:unhideWhenUsed/>
    <w:rsid w:val="00FD2C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2C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26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38/sj.clpt.6100045" TargetMode="External"/><Relationship Id="rId18" Type="http://schemas.openxmlformats.org/officeDocument/2006/relationships/hyperlink" Target="https://doi.org/10.1007/s10928-013-9310-8" TargetMode="External"/><Relationship Id="rId26" Type="http://schemas.openxmlformats.org/officeDocument/2006/relationships/hyperlink" Target="https://doi.org/10.1038/s41746-020-0221-y" TargetMode="External"/><Relationship Id="rId21" Type="http://schemas.openxmlformats.org/officeDocument/2006/relationships/hyperlink" Target="https://www.accessdata.fda.gov/drugsatfda_docs/nda/2017/761043Orig1s000ClinPharmR.pdf"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fda.gov/media/71364/download" TargetMode="External"/><Relationship Id="rId17" Type="http://schemas.openxmlformats.org/officeDocument/2006/relationships/hyperlink" Target="https://doi.org/10.1208/aapsj070351" TargetMode="External"/><Relationship Id="rId25" Type="http://schemas.openxmlformats.org/officeDocument/2006/relationships/hyperlink" Target="https://doi.org/10.9758/cpn.2018.16.1.1" TargetMode="External"/><Relationship Id="rId33" Type="http://schemas.openxmlformats.org/officeDocument/2006/relationships/hyperlink" Target="https://doi.org/10.1016/j.drudis.2020.12.013" TargetMode="External"/><Relationship Id="rId2" Type="http://schemas.openxmlformats.org/officeDocument/2006/relationships/customXml" Target="../customXml/item2.xml"/><Relationship Id="rId16" Type="http://schemas.openxmlformats.org/officeDocument/2006/relationships/hyperlink" Target="https://doi.org/10.2165/11593210-000000000-00000" TargetMode="External"/><Relationship Id="rId20" Type="http://schemas.openxmlformats.org/officeDocument/2006/relationships/hyperlink" Target="https://www.fda.gov/drugs/development-resources/model-informed-drug-development-paired-meeting-program" TargetMode="External"/><Relationship Id="rId29" Type="http://schemas.openxmlformats.org/officeDocument/2006/relationships/hyperlink" Target="https://www.fda.gov/science-research/science-and-research-special-topics/real-world-evidenc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da.gov/regulatory-information/search-fda-guidance-documents/e7-studies-support-special-populations-geriatrics" TargetMode="External"/><Relationship Id="rId24" Type="http://schemas.openxmlformats.org/officeDocument/2006/relationships/hyperlink" Target="https://www.fda.gov/medical-devices/in-vitro-diagnostics/precision-medicine" TargetMode="External"/><Relationship Id="rId32" Type="http://schemas.openxmlformats.org/officeDocument/2006/relationships/hyperlink" Target="https://doi.org/10.1007/s43441-022-00411-2"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doi.org/10.1177/0091270010376976" TargetMode="External"/><Relationship Id="rId23" Type="http://schemas.openxmlformats.org/officeDocument/2006/relationships/hyperlink" Target="https://doi.org/10.1002/cpt.2198" TargetMode="External"/><Relationship Id="rId28" Type="http://schemas.openxmlformats.org/officeDocument/2006/relationships/hyperlink" Target="https://doi.org/10.1002/bimj.201700323" TargetMode="External"/><Relationship Id="rId36" Type="http://schemas.openxmlformats.org/officeDocument/2006/relationships/fontTable" Target="fontTable.xml"/><Relationship Id="rId10" Type="http://schemas.openxmlformats.org/officeDocument/2006/relationships/hyperlink" Target="https://doi.org/10.1007/978-3-030-31503-0_15" TargetMode="External"/><Relationship Id="rId19" Type="http://schemas.openxmlformats.org/officeDocument/2006/relationships/hyperlink" Target="https://go-isop.org/" TargetMode="External"/><Relationship Id="rId31" Type="http://schemas.openxmlformats.org/officeDocument/2006/relationships/hyperlink" Target="https://www.fda.gov/media/154714/download" TargetMode="External"/><Relationship Id="rId4" Type="http://schemas.openxmlformats.org/officeDocument/2006/relationships/styles" Target="styles.xml"/><Relationship Id="rId9" Type="http://schemas.openxmlformats.org/officeDocument/2006/relationships/hyperlink" Target="mailto:jgobburu@rx.umaryland.edu" TargetMode="External"/><Relationship Id="rId14" Type="http://schemas.openxmlformats.org/officeDocument/2006/relationships/hyperlink" Target="http://wayback.archive-it.org/7993/20180125032208/https://www.fda.gov/ScienceResearch/SpecialTopics/CriticalPathInitiative/CriticalPathOpportunitiesReports/ucm077262.htm" TargetMode="External"/><Relationship Id="rId22" Type="http://schemas.openxmlformats.org/officeDocument/2006/relationships/hyperlink" Target="https://doi.org/10.1007/s12272-017-0976-0" TargetMode="External"/><Relationship Id="rId27" Type="http://schemas.openxmlformats.org/officeDocument/2006/relationships/hyperlink" Target="https://doi.org/10.1007/s12553-012-0028-1" TargetMode="External"/><Relationship Id="rId30" Type="http://schemas.openxmlformats.org/officeDocument/2006/relationships/hyperlink" Target="https://www.fda.gov/drugs/regulatory-science-action/designing-sound-clinical-trials-incorporate-real-world-data" TargetMode="External"/><Relationship Id="rId35" Type="http://schemas.openxmlformats.org/officeDocument/2006/relationships/footer" Target="footer1.xm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5B785637087C418776955689928839" ma:contentTypeVersion="18" ma:contentTypeDescription="Create a new document." ma:contentTypeScope="" ma:versionID="23d78a54409a1420739b965469bcf0f0">
  <xsd:schema xmlns:xsd="http://www.w3.org/2001/XMLSchema" xmlns:xs="http://www.w3.org/2001/XMLSchema" xmlns:p="http://schemas.microsoft.com/office/2006/metadata/properties" xmlns:ns1="http://schemas.microsoft.com/sharepoint/v3" xmlns:ns2="f0bd3182-ddd1-4bc5-abb4-719842826c95" xmlns:ns3="91a070c0-908f-4e9a-aef9-7db2a9eaaaeb" targetNamespace="http://schemas.microsoft.com/office/2006/metadata/properties" ma:root="true" ma:fieldsID="21415255664a6939dfc11083a5a903bd" ns1:_="" ns2:_="" ns3:_="">
    <xsd:import namespace="http://schemas.microsoft.com/sharepoint/v3"/>
    <xsd:import namespace="f0bd3182-ddd1-4bc5-abb4-719842826c95"/>
    <xsd:import namespace="91a070c0-908f-4e9a-aef9-7db2a9eaaae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Location"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bd3182-ddd1-4bc5-abb4-719842826c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9d37ae30-1c3a-40e1-94c5-05ea5a1665a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1a070c0-908f-4e9a-aef9-7db2a9eaaae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5a91659a-81ed-4e03-8ac9-9fc7164126cc}" ma:internalName="TaxCatchAll" ma:showField="CatchAllData" ma:web="91a070c0-908f-4e9a-aef9-7db2a9eaaa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D8020B-A8FB-42CF-97C9-B6A12DD3B461}">
  <ds:schemaRefs>
    <ds:schemaRef ds:uri="http://schemas.microsoft.com/sharepoint/v3/contenttype/forms"/>
  </ds:schemaRefs>
</ds:datastoreItem>
</file>

<file path=customXml/itemProps2.xml><?xml version="1.0" encoding="utf-8"?>
<ds:datastoreItem xmlns:ds="http://schemas.openxmlformats.org/officeDocument/2006/customXml" ds:itemID="{46B75F03-1F6D-44AD-9D43-28EF0D7A6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0bd3182-ddd1-4bc5-abb4-719842826c95"/>
    <ds:schemaRef ds:uri="91a070c0-908f-4e9a-aef9-7db2a9eaaa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4443</Words>
  <Characters>25327</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29711</CharactersWithSpaces>
  <SharedDoc>false</SharedDoc>
  <HLinks>
    <vt:vector size="150" baseType="variant">
      <vt:variant>
        <vt:i4>4587598</vt:i4>
      </vt:variant>
      <vt:variant>
        <vt:i4>72</vt:i4>
      </vt:variant>
      <vt:variant>
        <vt:i4>0</vt:i4>
      </vt:variant>
      <vt:variant>
        <vt:i4>5</vt:i4>
      </vt:variant>
      <vt:variant>
        <vt:lpwstr>https://doi.org/10.1016/j.drudis.2020.12.013</vt:lpwstr>
      </vt:variant>
      <vt:variant>
        <vt:lpwstr/>
      </vt:variant>
      <vt:variant>
        <vt:i4>2555959</vt:i4>
      </vt:variant>
      <vt:variant>
        <vt:i4>69</vt:i4>
      </vt:variant>
      <vt:variant>
        <vt:i4>0</vt:i4>
      </vt:variant>
      <vt:variant>
        <vt:i4>5</vt:i4>
      </vt:variant>
      <vt:variant>
        <vt:lpwstr>https://doi.org/10.1007/s43441-022-00411-2</vt:lpwstr>
      </vt:variant>
      <vt:variant>
        <vt:lpwstr/>
      </vt:variant>
      <vt:variant>
        <vt:i4>8257593</vt:i4>
      </vt:variant>
      <vt:variant>
        <vt:i4>66</vt:i4>
      </vt:variant>
      <vt:variant>
        <vt:i4>0</vt:i4>
      </vt:variant>
      <vt:variant>
        <vt:i4>5</vt:i4>
      </vt:variant>
      <vt:variant>
        <vt:lpwstr>https://www.fda.gov/regulatory-information/search-fda-guidance-documents/considerations-use-real-world-data-and-real-world-evidence-support-regulatory-decision-making-drug</vt:lpwstr>
      </vt:variant>
      <vt:variant>
        <vt:lpwstr/>
      </vt:variant>
      <vt:variant>
        <vt:i4>2424955</vt:i4>
      </vt:variant>
      <vt:variant>
        <vt:i4>63</vt:i4>
      </vt:variant>
      <vt:variant>
        <vt:i4>0</vt:i4>
      </vt:variant>
      <vt:variant>
        <vt:i4>5</vt:i4>
      </vt:variant>
      <vt:variant>
        <vt:lpwstr>https://www.fda.gov/drugs/regulatory-science-action/designing-sound-clinical-trials-incorporate-real-world-data</vt:lpwstr>
      </vt:variant>
      <vt:variant>
        <vt:lpwstr/>
      </vt:variant>
      <vt:variant>
        <vt:i4>2424955</vt:i4>
      </vt:variant>
      <vt:variant>
        <vt:i4>60</vt:i4>
      </vt:variant>
      <vt:variant>
        <vt:i4>0</vt:i4>
      </vt:variant>
      <vt:variant>
        <vt:i4>5</vt:i4>
      </vt:variant>
      <vt:variant>
        <vt:lpwstr>https://www.fda.gov/drugs/regulatory-science-action/designing-sound-clinical-trials-incorporate-real-world-data</vt:lpwstr>
      </vt:variant>
      <vt:variant>
        <vt:lpwstr/>
      </vt:variant>
      <vt:variant>
        <vt:i4>589891</vt:i4>
      </vt:variant>
      <vt:variant>
        <vt:i4>57</vt:i4>
      </vt:variant>
      <vt:variant>
        <vt:i4>0</vt:i4>
      </vt:variant>
      <vt:variant>
        <vt:i4>5</vt:i4>
      </vt:variant>
      <vt:variant>
        <vt:lpwstr>https://www.fda.gov/science-research/science-and-research-special-topics/real-world-evidence</vt:lpwstr>
      </vt:variant>
      <vt:variant>
        <vt:lpwstr/>
      </vt:variant>
      <vt:variant>
        <vt:i4>1114179</vt:i4>
      </vt:variant>
      <vt:variant>
        <vt:i4>54</vt:i4>
      </vt:variant>
      <vt:variant>
        <vt:i4>0</vt:i4>
      </vt:variant>
      <vt:variant>
        <vt:i4>5</vt:i4>
      </vt:variant>
      <vt:variant>
        <vt:lpwstr>https://www.ncbi.nlm.nih.gov/pmc/articles/PMC7341533/</vt:lpwstr>
      </vt:variant>
      <vt:variant>
        <vt:lpwstr/>
      </vt:variant>
      <vt:variant>
        <vt:i4>1114190</vt:i4>
      </vt:variant>
      <vt:variant>
        <vt:i4>51</vt:i4>
      </vt:variant>
      <vt:variant>
        <vt:i4>0</vt:i4>
      </vt:variant>
      <vt:variant>
        <vt:i4>5</vt:i4>
      </vt:variant>
      <vt:variant>
        <vt:lpwstr>https://www.ncbi.nlm.nih.gov/pmc/articles/PMC7005290/</vt:lpwstr>
      </vt:variant>
      <vt:variant>
        <vt:lpwstr/>
      </vt:variant>
      <vt:variant>
        <vt:i4>6946865</vt:i4>
      </vt:variant>
      <vt:variant>
        <vt:i4>48</vt:i4>
      </vt:variant>
      <vt:variant>
        <vt:i4>0</vt:i4>
      </vt:variant>
      <vt:variant>
        <vt:i4>5</vt:i4>
      </vt:variant>
      <vt:variant>
        <vt:lpwstr>https://www.ncbi.nlm.nih.gov/pmc/articles/PMC5810453/pdf/cpn-16-001.pdf</vt:lpwstr>
      </vt:variant>
      <vt:variant>
        <vt:lpwstr/>
      </vt:variant>
      <vt:variant>
        <vt:i4>3801148</vt:i4>
      </vt:variant>
      <vt:variant>
        <vt:i4>45</vt:i4>
      </vt:variant>
      <vt:variant>
        <vt:i4>0</vt:i4>
      </vt:variant>
      <vt:variant>
        <vt:i4>5</vt:i4>
      </vt:variant>
      <vt:variant>
        <vt:lpwstr>https://www.fda.gov/medical-devices/in-vitro-diagnostics/precision-medicine</vt:lpwstr>
      </vt:variant>
      <vt:variant>
        <vt:lpwstr/>
      </vt:variant>
      <vt:variant>
        <vt:i4>4456516</vt:i4>
      </vt:variant>
      <vt:variant>
        <vt:i4>42</vt:i4>
      </vt:variant>
      <vt:variant>
        <vt:i4>0</vt:i4>
      </vt:variant>
      <vt:variant>
        <vt:i4>5</vt:i4>
      </vt:variant>
      <vt:variant>
        <vt:lpwstr>https://doi.org/10.1002/cpt.2198</vt:lpwstr>
      </vt:variant>
      <vt:variant>
        <vt:lpwstr/>
      </vt:variant>
      <vt:variant>
        <vt:i4>983061</vt:i4>
      </vt:variant>
      <vt:variant>
        <vt:i4>39</vt:i4>
      </vt:variant>
      <vt:variant>
        <vt:i4>0</vt:i4>
      </vt:variant>
      <vt:variant>
        <vt:i4>5</vt:i4>
      </vt:variant>
      <vt:variant>
        <vt:lpwstr>https://doi.org/10.1007/s12272-017-0976-0</vt:lpwstr>
      </vt:variant>
      <vt:variant>
        <vt:lpwstr/>
      </vt:variant>
      <vt:variant>
        <vt:i4>6684685</vt:i4>
      </vt:variant>
      <vt:variant>
        <vt:i4>36</vt:i4>
      </vt:variant>
      <vt:variant>
        <vt:i4>0</vt:i4>
      </vt:variant>
      <vt:variant>
        <vt:i4>5</vt:i4>
      </vt:variant>
      <vt:variant>
        <vt:lpwstr>https://www.accessdata.fda.gov/drugsatfda_docs/nda/2017/761043Orig1s000ClinPharmR.pdf</vt:lpwstr>
      </vt:variant>
      <vt:variant>
        <vt:lpwstr/>
      </vt:variant>
      <vt:variant>
        <vt:i4>2621538</vt:i4>
      </vt:variant>
      <vt:variant>
        <vt:i4>33</vt:i4>
      </vt:variant>
      <vt:variant>
        <vt:i4>0</vt:i4>
      </vt:variant>
      <vt:variant>
        <vt:i4>5</vt:i4>
      </vt:variant>
      <vt:variant>
        <vt:lpwstr>https://www.fda.gov/drugs/development-resources/model-informed-drug-development-paired-meeting-program</vt:lpwstr>
      </vt:variant>
      <vt:variant>
        <vt:lpwstr/>
      </vt:variant>
      <vt:variant>
        <vt:i4>2621538</vt:i4>
      </vt:variant>
      <vt:variant>
        <vt:i4>30</vt:i4>
      </vt:variant>
      <vt:variant>
        <vt:i4>0</vt:i4>
      </vt:variant>
      <vt:variant>
        <vt:i4>5</vt:i4>
      </vt:variant>
      <vt:variant>
        <vt:lpwstr>https://www.fda.gov/drugs/development-resources/model-informed-drug-development-paired-meeting-program</vt:lpwstr>
      </vt:variant>
      <vt:variant>
        <vt:lpwstr/>
      </vt:variant>
      <vt:variant>
        <vt:i4>720897</vt:i4>
      </vt:variant>
      <vt:variant>
        <vt:i4>27</vt:i4>
      </vt:variant>
      <vt:variant>
        <vt:i4>0</vt:i4>
      </vt:variant>
      <vt:variant>
        <vt:i4>5</vt:i4>
      </vt:variant>
      <vt:variant>
        <vt:lpwstr>https://go-isop.org/</vt:lpwstr>
      </vt:variant>
      <vt:variant>
        <vt:lpwstr/>
      </vt:variant>
      <vt:variant>
        <vt:i4>9</vt:i4>
      </vt:variant>
      <vt:variant>
        <vt:i4>24</vt:i4>
      </vt:variant>
      <vt:variant>
        <vt:i4>0</vt:i4>
      </vt:variant>
      <vt:variant>
        <vt:i4>5</vt:i4>
      </vt:variant>
      <vt:variant>
        <vt:lpwstr>https://link.springer.com/article/10.1007/s10928-013-9310-8</vt:lpwstr>
      </vt:variant>
      <vt:variant>
        <vt:lpwstr>:~:text=In%202011%2C%20the%20American%20Society,increasing%20number%20of%20international%20members</vt:lpwstr>
      </vt:variant>
      <vt:variant>
        <vt:i4>7536694</vt:i4>
      </vt:variant>
      <vt:variant>
        <vt:i4>21</vt:i4>
      </vt:variant>
      <vt:variant>
        <vt:i4>0</vt:i4>
      </vt:variant>
      <vt:variant>
        <vt:i4>5</vt:i4>
      </vt:variant>
      <vt:variant>
        <vt:lpwstr>https://accp1-onlinelibrary-wiley-com.proxy-hs.researchport.umd.edu/doi/pdfdirect/10.1177/0091270010376976</vt:lpwstr>
      </vt:variant>
      <vt:variant>
        <vt:lpwstr/>
      </vt:variant>
      <vt:variant>
        <vt:i4>7536694</vt:i4>
      </vt:variant>
      <vt:variant>
        <vt:i4>18</vt:i4>
      </vt:variant>
      <vt:variant>
        <vt:i4>0</vt:i4>
      </vt:variant>
      <vt:variant>
        <vt:i4>5</vt:i4>
      </vt:variant>
      <vt:variant>
        <vt:lpwstr>https://accp1-onlinelibrary-wiley-com.proxy-hs.researchport.umd.edu/doi/pdfdirect/10.1177/0091270010376976</vt:lpwstr>
      </vt:variant>
      <vt:variant>
        <vt:lpwstr/>
      </vt:variant>
      <vt:variant>
        <vt:i4>7536694</vt:i4>
      </vt:variant>
      <vt:variant>
        <vt:i4>15</vt:i4>
      </vt:variant>
      <vt:variant>
        <vt:i4>0</vt:i4>
      </vt:variant>
      <vt:variant>
        <vt:i4>5</vt:i4>
      </vt:variant>
      <vt:variant>
        <vt:lpwstr>https://accp1-onlinelibrary-wiley-com.proxy-hs.researchport.umd.edu/doi/pdfdirect/10.1177/0091270010376976</vt:lpwstr>
      </vt:variant>
      <vt:variant>
        <vt:lpwstr/>
      </vt:variant>
      <vt:variant>
        <vt:i4>7536694</vt:i4>
      </vt:variant>
      <vt:variant>
        <vt:i4>12</vt:i4>
      </vt:variant>
      <vt:variant>
        <vt:i4>0</vt:i4>
      </vt:variant>
      <vt:variant>
        <vt:i4>5</vt:i4>
      </vt:variant>
      <vt:variant>
        <vt:lpwstr>https://accp1-onlinelibrary-wiley-com.proxy-hs.researchport.umd.edu/doi/pdfdirect/10.1177/0091270010376976</vt:lpwstr>
      </vt:variant>
      <vt:variant>
        <vt:lpwstr/>
      </vt:variant>
      <vt:variant>
        <vt:i4>6225991</vt:i4>
      </vt:variant>
      <vt:variant>
        <vt:i4>9</vt:i4>
      </vt:variant>
      <vt:variant>
        <vt:i4>0</vt:i4>
      </vt:variant>
      <vt:variant>
        <vt:i4>5</vt:i4>
      </vt:variant>
      <vt:variant>
        <vt:lpwstr>http://wayback.archive-it.org/7993/20180125032208/https://www.fda.gov/ScienceResearch/SpecialTopics/CriticalPathInitiative/CriticalPathOpportunitiesReports/ucm077262.htm</vt:lpwstr>
      </vt:variant>
      <vt:variant>
        <vt:lpwstr/>
      </vt:variant>
      <vt:variant>
        <vt:i4>4390928</vt:i4>
      </vt:variant>
      <vt:variant>
        <vt:i4>6</vt:i4>
      </vt:variant>
      <vt:variant>
        <vt:i4>0</vt:i4>
      </vt:variant>
      <vt:variant>
        <vt:i4>5</vt:i4>
      </vt:variant>
      <vt:variant>
        <vt:lpwstr>https://www.fda.gov/media/71364/download</vt:lpwstr>
      </vt:variant>
      <vt:variant>
        <vt:lpwstr/>
      </vt:variant>
      <vt:variant>
        <vt:i4>6291552</vt:i4>
      </vt:variant>
      <vt:variant>
        <vt:i4>3</vt:i4>
      </vt:variant>
      <vt:variant>
        <vt:i4>0</vt:i4>
      </vt:variant>
      <vt:variant>
        <vt:i4>5</vt:i4>
      </vt:variant>
      <vt:variant>
        <vt:lpwstr>https://www.fda.gov/regulatory-information/search-fda-guidance-documents/e7-studies-support-special-populations-geriatrics</vt:lpwstr>
      </vt:variant>
      <vt:variant>
        <vt:lpwstr/>
      </vt:variant>
      <vt:variant>
        <vt:i4>8126555</vt:i4>
      </vt:variant>
      <vt:variant>
        <vt:i4>0</vt:i4>
      </vt:variant>
      <vt:variant>
        <vt:i4>0</vt:i4>
      </vt:variant>
      <vt:variant>
        <vt:i4>5</vt:i4>
      </vt:variant>
      <vt:variant>
        <vt:lpwstr>https://doi.org/10.1007/978-3-030-31503-0_15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Dunn, Allison</dc:creator>
  <cp:keywords/>
  <dc:description/>
  <cp:lastModifiedBy>Dunn, Allison</cp:lastModifiedBy>
  <cp:revision>13</cp:revision>
  <dcterms:created xsi:type="dcterms:W3CDTF">2023-01-13T20:23:00Z</dcterms:created>
  <dcterms:modified xsi:type="dcterms:W3CDTF">2023-01-13T22:02:00Z</dcterms:modified>
</cp:coreProperties>
</file>