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F30F3" w14:textId="77777777" w:rsidR="00A16BF5" w:rsidRPr="00BC5DF3" w:rsidRDefault="00A16BF5" w:rsidP="00A16BF5">
      <w:pPr>
        <w:autoSpaceDE w:val="0"/>
        <w:autoSpaceDN w:val="0"/>
        <w:adjustRightInd w:val="0"/>
        <w:spacing w:after="0" w:line="240" w:lineRule="auto"/>
        <w:rPr>
          <w:rFonts w:cstheme="minorHAnsi"/>
          <w:sz w:val="32"/>
          <w:szCs w:val="32"/>
        </w:rPr>
      </w:pPr>
      <w:r w:rsidRPr="00BC5DF3">
        <w:rPr>
          <w:rFonts w:cstheme="minorHAnsi"/>
          <w:sz w:val="32"/>
          <w:szCs w:val="32"/>
        </w:rPr>
        <w:t>Plasticity of larval dispersal-related traits in the orange anemonefish</w:t>
      </w:r>
    </w:p>
    <w:p w14:paraId="5E15D8E8" w14:textId="77777777" w:rsidR="00A16BF5" w:rsidRPr="0084770B" w:rsidRDefault="00A16BF5" w:rsidP="00A16BF5">
      <w:pPr>
        <w:spacing w:line="240" w:lineRule="auto"/>
        <w:rPr>
          <w:rFonts w:cstheme="minorHAnsi"/>
          <w:b/>
          <w:bCs/>
          <w:sz w:val="24"/>
          <w:szCs w:val="24"/>
        </w:rPr>
      </w:pPr>
    </w:p>
    <w:p w14:paraId="619793A2" w14:textId="77777777" w:rsidR="0084770B" w:rsidRDefault="0084770B" w:rsidP="00A16BF5">
      <w:pPr>
        <w:spacing w:line="240" w:lineRule="auto"/>
        <w:rPr>
          <w:rFonts w:cstheme="minorHAnsi"/>
          <w:b/>
          <w:bCs/>
          <w:sz w:val="24"/>
          <w:szCs w:val="24"/>
        </w:rPr>
      </w:pPr>
    </w:p>
    <w:p w14:paraId="300F7838" w14:textId="60095891" w:rsidR="00A16BF5" w:rsidRPr="0084770B" w:rsidRDefault="00A16BF5" w:rsidP="00A16BF5">
      <w:pPr>
        <w:spacing w:line="240" w:lineRule="auto"/>
        <w:rPr>
          <w:rFonts w:cstheme="minorHAnsi"/>
          <w:b/>
          <w:bCs/>
          <w:sz w:val="24"/>
          <w:szCs w:val="24"/>
        </w:rPr>
      </w:pPr>
      <w:r w:rsidRPr="0084770B">
        <w:rPr>
          <w:rFonts w:cstheme="minorHAnsi"/>
          <w:b/>
          <w:bCs/>
          <w:sz w:val="24"/>
          <w:szCs w:val="24"/>
        </w:rPr>
        <w:t xml:space="preserve">SUPPLEMETAL INFORMATION </w:t>
      </w:r>
    </w:p>
    <w:p w14:paraId="33F1D872" w14:textId="77777777" w:rsidR="0084770B" w:rsidRDefault="0084770B" w:rsidP="00A16BF5">
      <w:pPr>
        <w:spacing w:line="240" w:lineRule="auto"/>
        <w:rPr>
          <w:rFonts w:cstheme="minorHAnsi"/>
          <w:sz w:val="24"/>
          <w:szCs w:val="24"/>
        </w:rPr>
      </w:pPr>
    </w:p>
    <w:p w14:paraId="199209D9" w14:textId="42285785" w:rsidR="0084770B" w:rsidRPr="0084770B" w:rsidRDefault="00A65D90" w:rsidP="00A16BF5">
      <w:pPr>
        <w:spacing w:line="240" w:lineRule="auto"/>
        <w:rPr>
          <w:rFonts w:cstheme="minorHAnsi"/>
          <w:i/>
          <w:iCs/>
          <w:sz w:val="24"/>
          <w:szCs w:val="24"/>
        </w:rPr>
      </w:pPr>
      <w:r>
        <w:rPr>
          <w:rFonts w:cstheme="minorHAnsi"/>
          <w:i/>
          <w:iCs/>
          <w:sz w:val="24"/>
          <w:szCs w:val="24"/>
        </w:rPr>
        <w:t xml:space="preserve">Larval </w:t>
      </w:r>
      <w:r w:rsidR="0084770B" w:rsidRPr="0084770B">
        <w:rPr>
          <w:rFonts w:cstheme="minorHAnsi"/>
          <w:i/>
          <w:iCs/>
          <w:sz w:val="24"/>
          <w:szCs w:val="24"/>
        </w:rPr>
        <w:t xml:space="preserve">Body </w:t>
      </w:r>
      <w:r w:rsidR="006A03F9" w:rsidRPr="0084770B">
        <w:rPr>
          <w:rFonts w:cstheme="minorHAnsi"/>
          <w:i/>
          <w:iCs/>
          <w:sz w:val="24"/>
          <w:szCs w:val="24"/>
        </w:rPr>
        <w:t>Morpho</w:t>
      </w:r>
      <w:r w:rsidR="006A03F9">
        <w:rPr>
          <w:rFonts w:cstheme="minorHAnsi"/>
          <w:i/>
          <w:iCs/>
          <w:sz w:val="24"/>
          <w:szCs w:val="24"/>
        </w:rPr>
        <w:t>logy Metrics</w:t>
      </w:r>
    </w:p>
    <w:p w14:paraId="5C83B656" w14:textId="0DDE2776" w:rsidR="00A16BF5" w:rsidRPr="0084770B" w:rsidRDefault="00A16BF5" w:rsidP="00A16BF5">
      <w:pPr>
        <w:spacing w:line="240" w:lineRule="auto"/>
        <w:rPr>
          <w:rFonts w:cstheme="minorHAnsi"/>
          <w:sz w:val="24"/>
          <w:szCs w:val="24"/>
        </w:rPr>
      </w:pPr>
      <w:bookmarkStart w:id="0" w:name="_Hlk176241081"/>
      <w:r w:rsidRPr="0084770B">
        <w:rPr>
          <w:rFonts w:cstheme="minorHAnsi"/>
          <w:sz w:val="24"/>
          <w:szCs w:val="24"/>
        </w:rPr>
        <w:t xml:space="preserve">Larval </w:t>
      </w:r>
      <w:r w:rsidR="006B4754">
        <w:rPr>
          <w:rFonts w:cstheme="minorHAnsi"/>
          <w:sz w:val="24"/>
          <w:szCs w:val="24"/>
        </w:rPr>
        <w:t>s</w:t>
      </w:r>
      <w:r w:rsidRPr="0084770B">
        <w:rPr>
          <w:rFonts w:cstheme="minorHAnsi"/>
          <w:sz w:val="24"/>
          <w:szCs w:val="24"/>
        </w:rPr>
        <w:t xml:space="preserve">tandard </w:t>
      </w:r>
      <w:r w:rsidR="006B4754">
        <w:rPr>
          <w:rFonts w:cstheme="minorHAnsi"/>
          <w:sz w:val="24"/>
          <w:szCs w:val="24"/>
        </w:rPr>
        <w:t>l</w:t>
      </w:r>
      <w:r w:rsidRPr="0084770B">
        <w:rPr>
          <w:rFonts w:cstheme="minorHAnsi"/>
          <w:sz w:val="24"/>
          <w:szCs w:val="24"/>
        </w:rPr>
        <w:t xml:space="preserve">ength, </w:t>
      </w:r>
      <w:r w:rsidR="006B4754">
        <w:rPr>
          <w:rFonts w:cstheme="minorHAnsi"/>
          <w:sz w:val="24"/>
          <w:szCs w:val="24"/>
        </w:rPr>
        <w:t>b</w:t>
      </w:r>
      <w:r w:rsidRPr="0084770B">
        <w:rPr>
          <w:rFonts w:cstheme="minorHAnsi"/>
          <w:sz w:val="24"/>
          <w:szCs w:val="24"/>
        </w:rPr>
        <w:t xml:space="preserve">ody </w:t>
      </w:r>
      <w:r w:rsidR="006B4754">
        <w:rPr>
          <w:rFonts w:cstheme="minorHAnsi"/>
          <w:sz w:val="24"/>
          <w:szCs w:val="24"/>
        </w:rPr>
        <w:t>d</w:t>
      </w:r>
      <w:r w:rsidRPr="0084770B">
        <w:rPr>
          <w:rFonts w:cstheme="minorHAnsi"/>
          <w:sz w:val="24"/>
          <w:szCs w:val="24"/>
        </w:rPr>
        <w:t xml:space="preserve">epth, </w:t>
      </w:r>
      <w:r w:rsidR="006B4754">
        <w:rPr>
          <w:rFonts w:cstheme="minorHAnsi"/>
          <w:sz w:val="24"/>
          <w:szCs w:val="24"/>
        </w:rPr>
        <w:t>m</w:t>
      </w:r>
      <w:r w:rsidRPr="0084770B">
        <w:rPr>
          <w:rFonts w:cstheme="minorHAnsi"/>
          <w:sz w:val="24"/>
          <w:szCs w:val="24"/>
        </w:rPr>
        <w:t xml:space="preserve">uscle </w:t>
      </w:r>
      <w:r w:rsidR="006B4754">
        <w:rPr>
          <w:rFonts w:cstheme="minorHAnsi"/>
          <w:sz w:val="24"/>
          <w:szCs w:val="24"/>
        </w:rPr>
        <w:t>a</w:t>
      </w:r>
      <w:r w:rsidRPr="0084770B">
        <w:rPr>
          <w:rFonts w:cstheme="minorHAnsi"/>
          <w:sz w:val="24"/>
          <w:szCs w:val="24"/>
        </w:rPr>
        <w:t xml:space="preserve">rea, and </w:t>
      </w:r>
      <w:r w:rsidR="006B4754">
        <w:rPr>
          <w:rFonts w:cstheme="minorHAnsi"/>
          <w:sz w:val="24"/>
          <w:szCs w:val="24"/>
        </w:rPr>
        <w:t>p</w:t>
      </w:r>
      <w:r w:rsidRPr="0084770B">
        <w:rPr>
          <w:rFonts w:cstheme="minorHAnsi"/>
          <w:sz w:val="24"/>
          <w:szCs w:val="24"/>
        </w:rPr>
        <w:t xml:space="preserve">ropulsive </w:t>
      </w:r>
      <w:r w:rsidR="006B4754">
        <w:rPr>
          <w:rFonts w:cstheme="minorHAnsi"/>
          <w:sz w:val="24"/>
          <w:szCs w:val="24"/>
        </w:rPr>
        <w:t>f</w:t>
      </w:r>
      <w:r w:rsidRPr="0084770B">
        <w:rPr>
          <w:rFonts w:cstheme="minorHAnsi"/>
          <w:sz w:val="24"/>
          <w:szCs w:val="24"/>
        </w:rPr>
        <w:t xml:space="preserve">in </w:t>
      </w:r>
      <w:r w:rsidR="006B4754">
        <w:rPr>
          <w:rFonts w:cstheme="minorHAnsi"/>
          <w:sz w:val="24"/>
          <w:szCs w:val="24"/>
        </w:rPr>
        <w:t>a</w:t>
      </w:r>
      <w:r w:rsidRPr="0084770B">
        <w:rPr>
          <w:rFonts w:cstheme="minorHAnsi"/>
          <w:sz w:val="24"/>
          <w:szCs w:val="24"/>
        </w:rPr>
        <w:t xml:space="preserve">rea </w:t>
      </w:r>
      <w:bookmarkEnd w:id="0"/>
      <w:r w:rsidRPr="0084770B">
        <w:rPr>
          <w:rFonts w:cstheme="minorHAnsi"/>
          <w:sz w:val="24"/>
          <w:szCs w:val="24"/>
        </w:rPr>
        <w:t>were all significantly and positively correlated to one another</w:t>
      </w:r>
      <w:r w:rsidR="006A03F9">
        <w:rPr>
          <w:rFonts w:cstheme="minorHAnsi"/>
          <w:sz w:val="24"/>
          <w:szCs w:val="24"/>
        </w:rPr>
        <w:t xml:space="preserve"> (</w:t>
      </w:r>
      <w:r w:rsidR="005D197D">
        <w:rPr>
          <w:rFonts w:cstheme="minorHAnsi"/>
          <w:sz w:val="24"/>
          <w:szCs w:val="24"/>
        </w:rPr>
        <w:t xml:space="preserve">Supplemental </w:t>
      </w:r>
      <w:r w:rsidR="006A03F9">
        <w:rPr>
          <w:rFonts w:cstheme="minorHAnsi"/>
          <w:sz w:val="24"/>
          <w:szCs w:val="24"/>
        </w:rPr>
        <w:t>Figure S1)</w:t>
      </w:r>
      <w:r w:rsidRPr="0084770B">
        <w:rPr>
          <w:rFonts w:cstheme="minorHAnsi"/>
          <w:sz w:val="24"/>
          <w:szCs w:val="24"/>
        </w:rPr>
        <w:t xml:space="preserve">. </w:t>
      </w:r>
    </w:p>
    <w:p w14:paraId="43F6F1B6" w14:textId="77777777" w:rsidR="00A16BF5" w:rsidRPr="00BC5DF3" w:rsidRDefault="00A16BF5" w:rsidP="00A16BF5">
      <w:pPr>
        <w:spacing w:line="240" w:lineRule="auto"/>
        <w:rPr>
          <w:rFonts w:cstheme="minorHAnsi"/>
        </w:rPr>
      </w:pPr>
      <w:r w:rsidRPr="00BC5DF3">
        <w:rPr>
          <w:rFonts w:cstheme="minorHAnsi"/>
          <w:noProof/>
        </w:rPr>
        <w:drawing>
          <wp:inline distT="0" distB="0" distL="0" distR="0" wp14:anchorId="00ED39C3" wp14:editId="27CDA091">
            <wp:extent cx="5402390" cy="3483428"/>
            <wp:effectExtent l="0" t="0" r="8255"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02331" cy="3547869"/>
                    </a:xfrm>
                    <a:prstGeom prst="rect">
                      <a:avLst/>
                    </a:prstGeom>
                  </pic:spPr>
                </pic:pic>
              </a:graphicData>
            </a:graphic>
          </wp:inline>
        </w:drawing>
      </w:r>
    </w:p>
    <w:p w14:paraId="73A39F3E" w14:textId="75A55F06" w:rsidR="00A16BF5" w:rsidRPr="0084770B" w:rsidRDefault="00A16BF5" w:rsidP="00A16BF5">
      <w:pPr>
        <w:spacing w:line="240" w:lineRule="auto"/>
        <w:rPr>
          <w:rFonts w:cstheme="minorHAnsi"/>
          <w:sz w:val="20"/>
          <w:szCs w:val="20"/>
        </w:rPr>
      </w:pPr>
      <w:r w:rsidRPr="0084770B">
        <w:rPr>
          <w:rFonts w:cstheme="minorHAnsi"/>
          <w:b/>
          <w:bCs/>
          <w:sz w:val="20"/>
          <w:szCs w:val="20"/>
        </w:rPr>
        <w:t>Supplemental Figure S1. Correlogram of Larval Morphology.</w:t>
      </w:r>
      <w:r w:rsidRPr="0084770B">
        <w:rPr>
          <w:rFonts w:cstheme="minorHAnsi"/>
          <w:sz w:val="20"/>
          <w:szCs w:val="20"/>
        </w:rPr>
        <w:t xml:space="preserve"> </w:t>
      </w:r>
      <w:r w:rsidR="001C2907">
        <w:rPr>
          <w:rFonts w:cstheme="minorHAnsi"/>
          <w:sz w:val="20"/>
          <w:szCs w:val="20"/>
        </w:rPr>
        <w:t>Each row is a body morphology metric, from the top to bottom:</w:t>
      </w:r>
      <w:r w:rsidR="001C2907">
        <w:t xml:space="preserve"> l</w:t>
      </w:r>
      <w:r w:rsidR="001C2907" w:rsidRPr="001C2907">
        <w:rPr>
          <w:rFonts w:cstheme="minorHAnsi"/>
          <w:sz w:val="20"/>
          <w:szCs w:val="20"/>
        </w:rPr>
        <w:t>arval standard length</w:t>
      </w:r>
      <w:r w:rsidR="001C2907">
        <w:rPr>
          <w:rFonts w:cstheme="minorHAnsi"/>
          <w:sz w:val="20"/>
          <w:szCs w:val="20"/>
        </w:rPr>
        <w:t xml:space="preserve"> (</w:t>
      </w:r>
      <w:r w:rsidR="00E141FA">
        <w:rPr>
          <w:rFonts w:cstheme="minorHAnsi"/>
          <w:sz w:val="20"/>
          <w:szCs w:val="20"/>
        </w:rPr>
        <w:t>L</w:t>
      </w:r>
      <w:r w:rsidR="001C2907">
        <w:rPr>
          <w:rFonts w:cstheme="minorHAnsi"/>
          <w:sz w:val="20"/>
          <w:szCs w:val="20"/>
        </w:rPr>
        <w:t>ength)</w:t>
      </w:r>
      <w:r w:rsidR="001C2907" w:rsidRPr="001C2907">
        <w:rPr>
          <w:rFonts w:cstheme="minorHAnsi"/>
          <w:sz w:val="20"/>
          <w:szCs w:val="20"/>
        </w:rPr>
        <w:t>, body depth</w:t>
      </w:r>
      <w:r w:rsidR="001C2907">
        <w:rPr>
          <w:rFonts w:cstheme="minorHAnsi"/>
          <w:sz w:val="20"/>
          <w:szCs w:val="20"/>
        </w:rPr>
        <w:t xml:space="preserve"> (Depth)</w:t>
      </w:r>
      <w:r w:rsidR="001C2907" w:rsidRPr="001C2907">
        <w:rPr>
          <w:rFonts w:cstheme="minorHAnsi"/>
          <w:sz w:val="20"/>
          <w:szCs w:val="20"/>
        </w:rPr>
        <w:t>, muscle area</w:t>
      </w:r>
      <w:r w:rsidR="001C2907">
        <w:rPr>
          <w:rFonts w:cstheme="minorHAnsi"/>
          <w:sz w:val="20"/>
          <w:szCs w:val="20"/>
        </w:rPr>
        <w:t xml:space="preserve"> (Muscle Area)</w:t>
      </w:r>
      <w:r w:rsidR="001C2907" w:rsidRPr="001C2907">
        <w:rPr>
          <w:rFonts w:cstheme="minorHAnsi"/>
          <w:sz w:val="20"/>
          <w:szCs w:val="20"/>
        </w:rPr>
        <w:t>, and propulsive fin area</w:t>
      </w:r>
      <w:r w:rsidR="001C2907">
        <w:rPr>
          <w:rFonts w:cstheme="minorHAnsi"/>
          <w:sz w:val="20"/>
          <w:szCs w:val="20"/>
        </w:rPr>
        <w:t xml:space="preserve"> (Fin Area). </w:t>
      </w:r>
      <w:r w:rsidRPr="0084770B">
        <w:rPr>
          <w:rFonts w:cstheme="minorHAnsi"/>
          <w:sz w:val="20"/>
          <w:szCs w:val="20"/>
        </w:rPr>
        <w:t xml:space="preserve">The frequency distribution of each variable is shown on the diagonal, with the density curve in red. On the bottom of the diagonal is the bivariate scatterplot with the fitted line in red. On the top of the diagonal is the correlation coefficient and associated significance level (***; p-value &lt; 0.001). The font size signifies value of the correlation. </w:t>
      </w:r>
    </w:p>
    <w:p w14:paraId="6720FC57" w14:textId="77777777" w:rsidR="00A16BF5" w:rsidRDefault="00A16BF5" w:rsidP="00A16BF5">
      <w:pPr>
        <w:spacing w:line="240" w:lineRule="auto"/>
        <w:rPr>
          <w:rFonts w:cstheme="minorHAnsi"/>
        </w:rPr>
      </w:pPr>
    </w:p>
    <w:p w14:paraId="2F2CA021" w14:textId="77777777" w:rsidR="0084770B" w:rsidRDefault="0084770B" w:rsidP="00A16BF5">
      <w:pPr>
        <w:spacing w:line="240" w:lineRule="auto"/>
        <w:rPr>
          <w:rFonts w:cstheme="minorHAnsi"/>
        </w:rPr>
      </w:pPr>
    </w:p>
    <w:p w14:paraId="6EC70E84" w14:textId="77777777" w:rsidR="0084770B" w:rsidRDefault="0084770B" w:rsidP="00A16BF5">
      <w:pPr>
        <w:spacing w:line="240" w:lineRule="auto"/>
        <w:rPr>
          <w:rFonts w:cstheme="minorHAnsi"/>
        </w:rPr>
      </w:pPr>
    </w:p>
    <w:p w14:paraId="3F4ED2E4" w14:textId="77777777" w:rsidR="00EE0344" w:rsidRDefault="00EE0344" w:rsidP="0084770B">
      <w:pPr>
        <w:spacing w:line="240" w:lineRule="auto"/>
        <w:rPr>
          <w:rFonts w:cstheme="minorHAnsi"/>
          <w:i/>
          <w:iCs/>
          <w:sz w:val="24"/>
          <w:szCs w:val="24"/>
        </w:rPr>
      </w:pPr>
    </w:p>
    <w:p w14:paraId="0B2CD75F" w14:textId="77777777" w:rsidR="00EE0344" w:rsidRDefault="00EE0344" w:rsidP="0084770B">
      <w:pPr>
        <w:spacing w:line="240" w:lineRule="auto"/>
        <w:rPr>
          <w:rFonts w:cstheme="minorHAnsi"/>
          <w:i/>
          <w:iCs/>
          <w:sz w:val="24"/>
          <w:szCs w:val="24"/>
        </w:rPr>
      </w:pPr>
    </w:p>
    <w:p w14:paraId="6C0BBC5B" w14:textId="4DFD582F" w:rsidR="0084770B" w:rsidRPr="001C2907" w:rsidRDefault="0084770B" w:rsidP="0084770B">
      <w:pPr>
        <w:spacing w:line="240" w:lineRule="auto"/>
        <w:rPr>
          <w:rFonts w:cstheme="minorHAnsi"/>
          <w:i/>
          <w:iCs/>
          <w:sz w:val="24"/>
          <w:szCs w:val="24"/>
        </w:rPr>
      </w:pPr>
      <w:r w:rsidRPr="001C2907">
        <w:rPr>
          <w:rFonts w:cstheme="minorHAnsi"/>
          <w:i/>
          <w:iCs/>
          <w:sz w:val="24"/>
          <w:szCs w:val="24"/>
        </w:rPr>
        <w:lastRenderedPageBreak/>
        <w:t>Effect of Treatment on</w:t>
      </w:r>
      <w:r w:rsidRPr="001C2907">
        <w:rPr>
          <w:rFonts w:cstheme="minorHAnsi"/>
          <w:sz w:val="24"/>
          <w:szCs w:val="24"/>
        </w:rPr>
        <w:t xml:space="preserve"> </w:t>
      </w:r>
      <w:r w:rsidRPr="001C2907">
        <w:rPr>
          <w:rFonts w:cstheme="minorHAnsi"/>
          <w:i/>
          <w:iCs/>
          <w:sz w:val="24"/>
          <w:szCs w:val="24"/>
        </w:rPr>
        <w:t>Body Morpho</w:t>
      </w:r>
      <w:r w:rsidR="006A03F9" w:rsidRPr="001C2907">
        <w:rPr>
          <w:rFonts w:cstheme="minorHAnsi"/>
          <w:i/>
          <w:iCs/>
          <w:sz w:val="24"/>
          <w:szCs w:val="24"/>
        </w:rPr>
        <w:t>logy M</w:t>
      </w:r>
      <w:r w:rsidRPr="001C2907">
        <w:rPr>
          <w:rFonts w:cstheme="minorHAnsi"/>
          <w:i/>
          <w:iCs/>
          <w:sz w:val="24"/>
          <w:szCs w:val="24"/>
        </w:rPr>
        <w:t>etrics</w:t>
      </w:r>
    </w:p>
    <w:p w14:paraId="09362584" w14:textId="118E7B3B" w:rsidR="006651E9" w:rsidRDefault="00A16BF5" w:rsidP="00A16BF5">
      <w:pPr>
        <w:spacing w:line="240" w:lineRule="auto"/>
        <w:rPr>
          <w:rFonts w:cstheme="minorHAnsi"/>
          <w:sz w:val="24"/>
          <w:szCs w:val="24"/>
        </w:rPr>
      </w:pPr>
      <w:r w:rsidRPr="0084770B">
        <w:rPr>
          <w:rFonts w:cstheme="minorHAnsi"/>
          <w:sz w:val="24"/>
          <w:szCs w:val="24"/>
        </w:rPr>
        <w:t xml:space="preserve">Results from our mixed models show that treatment </w:t>
      </w:r>
      <w:r w:rsidR="001C2907">
        <w:rPr>
          <w:rFonts w:cstheme="minorHAnsi"/>
          <w:sz w:val="24"/>
          <w:szCs w:val="24"/>
        </w:rPr>
        <w:t xml:space="preserve">also </w:t>
      </w:r>
      <w:r w:rsidRPr="0084770B">
        <w:rPr>
          <w:rFonts w:cstheme="minorHAnsi"/>
          <w:sz w:val="24"/>
          <w:szCs w:val="24"/>
        </w:rPr>
        <w:t xml:space="preserve">had a significant effect on </w:t>
      </w:r>
      <w:r w:rsidR="001C2907">
        <w:rPr>
          <w:rFonts w:cstheme="minorHAnsi"/>
          <w:sz w:val="24"/>
          <w:szCs w:val="24"/>
        </w:rPr>
        <w:t xml:space="preserve">body </w:t>
      </w:r>
      <w:r w:rsidRPr="0084770B">
        <w:rPr>
          <w:rFonts w:cstheme="minorHAnsi"/>
          <w:sz w:val="24"/>
          <w:szCs w:val="24"/>
        </w:rPr>
        <w:t>depth, muscle area, and fin area</w:t>
      </w:r>
      <w:r w:rsidR="005D197D">
        <w:rPr>
          <w:rFonts w:cstheme="minorHAnsi"/>
          <w:sz w:val="24"/>
          <w:szCs w:val="24"/>
        </w:rPr>
        <w:t xml:space="preserve"> (Supplemental Table S1).</w:t>
      </w:r>
      <w:r w:rsidRPr="0084770B">
        <w:rPr>
          <w:rFonts w:cstheme="minorHAnsi"/>
          <w:sz w:val="24"/>
          <w:szCs w:val="24"/>
        </w:rPr>
        <w:t xml:space="preserve"> Larvae from parents on a low ration were larger in all metrics of larval morphology</w:t>
      </w:r>
      <w:r w:rsidR="005D197D">
        <w:rPr>
          <w:rFonts w:cstheme="minorHAnsi"/>
          <w:sz w:val="24"/>
          <w:szCs w:val="24"/>
        </w:rPr>
        <w:t xml:space="preserve"> (Supplemental Table S1; Supplemental Figure S2)</w:t>
      </w:r>
      <w:r w:rsidRPr="0084770B">
        <w:rPr>
          <w:rFonts w:cstheme="minorHAnsi"/>
          <w:sz w:val="24"/>
          <w:szCs w:val="24"/>
        </w:rPr>
        <w:t>.</w:t>
      </w:r>
      <w:r w:rsidR="006651E9">
        <w:rPr>
          <w:rFonts w:cstheme="minorHAnsi"/>
          <w:sz w:val="24"/>
          <w:szCs w:val="24"/>
        </w:rPr>
        <w:t xml:space="preserve"> The effect of treatment from our final models for each </w:t>
      </w:r>
      <w:r w:rsidR="00E67192">
        <w:rPr>
          <w:rFonts w:cstheme="minorHAnsi"/>
          <w:sz w:val="24"/>
          <w:szCs w:val="24"/>
        </w:rPr>
        <w:t xml:space="preserve">body morphology </w:t>
      </w:r>
      <w:r w:rsidR="006651E9">
        <w:rPr>
          <w:rFonts w:cstheme="minorHAnsi"/>
          <w:sz w:val="24"/>
          <w:szCs w:val="24"/>
        </w:rPr>
        <w:t>metric</w:t>
      </w:r>
      <w:r w:rsidRPr="0084770B">
        <w:rPr>
          <w:rFonts w:cstheme="minorHAnsi"/>
          <w:sz w:val="24"/>
          <w:szCs w:val="24"/>
        </w:rPr>
        <w:t xml:space="preserve"> </w:t>
      </w:r>
      <w:r w:rsidR="006651E9">
        <w:rPr>
          <w:rFonts w:cstheme="minorHAnsi"/>
          <w:sz w:val="24"/>
          <w:szCs w:val="24"/>
        </w:rPr>
        <w:t xml:space="preserve">are reported below (Supplemental Table S1). For larval standard length, which is reported in the paper, </w:t>
      </w:r>
      <w:r w:rsidR="006651E9" w:rsidRPr="006651E9">
        <w:rPr>
          <w:rFonts w:cstheme="minorHAnsi"/>
          <w:sz w:val="24"/>
          <w:szCs w:val="24"/>
        </w:rPr>
        <w:t>neither round nor the interaction between treatment and round were significant predictors and were removed from the final model.</w:t>
      </w:r>
      <w:r w:rsidR="006651E9">
        <w:rPr>
          <w:rFonts w:cstheme="minorHAnsi"/>
          <w:sz w:val="24"/>
          <w:szCs w:val="24"/>
        </w:rPr>
        <w:t xml:space="preserve"> For larval body depth, treatment and the interaction between round and treatment were significant predicators, and round was a marginally significant predictor. For larval muscle area, </w:t>
      </w:r>
      <w:r w:rsidR="005D197D" w:rsidRPr="006651E9">
        <w:rPr>
          <w:rFonts w:cstheme="minorHAnsi"/>
          <w:sz w:val="24"/>
          <w:szCs w:val="24"/>
        </w:rPr>
        <w:t>neither round nor the interaction between treatment and round were significant predictors and were removed from the final model.</w:t>
      </w:r>
      <w:r w:rsidR="005D197D">
        <w:rPr>
          <w:rFonts w:cstheme="minorHAnsi"/>
          <w:sz w:val="24"/>
          <w:szCs w:val="24"/>
        </w:rPr>
        <w:t xml:space="preserve"> </w:t>
      </w:r>
      <w:r w:rsidR="006651E9">
        <w:rPr>
          <w:rFonts w:cstheme="minorHAnsi"/>
          <w:sz w:val="24"/>
          <w:szCs w:val="24"/>
        </w:rPr>
        <w:t xml:space="preserve">For larval propulsive fin area, </w:t>
      </w:r>
      <w:r w:rsidR="005D197D" w:rsidRPr="006651E9">
        <w:rPr>
          <w:rFonts w:cstheme="minorHAnsi"/>
          <w:sz w:val="24"/>
          <w:szCs w:val="24"/>
        </w:rPr>
        <w:t xml:space="preserve">the interaction between treatment and round </w:t>
      </w:r>
      <w:r w:rsidR="005D197D">
        <w:rPr>
          <w:rFonts w:cstheme="minorHAnsi"/>
          <w:sz w:val="24"/>
          <w:szCs w:val="24"/>
        </w:rPr>
        <w:t>was not a</w:t>
      </w:r>
      <w:r w:rsidR="005D197D" w:rsidRPr="006651E9">
        <w:rPr>
          <w:rFonts w:cstheme="minorHAnsi"/>
          <w:sz w:val="24"/>
          <w:szCs w:val="24"/>
        </w:rPr>
        <w:t xml:space="preserve"> significant predictor and </w:t>
      </w:r>
      <w:r w:rsidR="005D197D">
        <w:rPr>
          <w:rFonts w:cstheme="minorHAnsi"/>
          <w:sz w:val="24"/>
          <w:szCs w:val="24"/>
        </w:rPr>
        <w:t>was</w:t>
      </w:r>
      <w:r w:rsidR="005D197D" w:rsidRPr="006651E9">
        <w:rPr>
          <w:rFonts w:cstheme="minorHAnsi"/>
          <w:sz w:val="24"/>
          <w:szCs w:val="24"/>
        </w:rPr>
        <w:t xml:space="preserve"> removed from the final model</w:t>
      </w:r>
      <w:r w:rsidR="005D197D">
        <w:rPr>
          <w:rFonts w:cstheme="minorHAnsi"/>
          <w:sz w:val="24"/>
          <w:szCs w:val="24"/>
        </w:rPr>
        <w:t>.</w:t>
      </w:r>
    </w:p>
    <w:p w14:paraId="55950D42" w14:textId="77777777" w:rsidR="006651E9" w:rsidRPr="0084770B" w:rsidRDefault="006651E9" w:rsidP="00A16BF5">
      <w:pPr>
        <w:spacing w:line="240" w:lineRule="auto"/>
        <w:rPr>
          <w:rFonts w:cstheme="minorHAnsi"/>
          <w:sz w:val="24"/>
          <w:szCs w:val="24"/>
        </w:rPr>
      </w:pPr>
    </w:p>
    <w:p w14:paraId="25E38F27" w14:textId="2EEF77F7" w:rsidR="00A16BF5" w:rsidRPr="0084770B" w:rsidRDefault="00A16BF5" w:rsidP="00A16BF5">
      <w:pPr>
        <w:spacing w:line="240" w:lineRule="auto"/>
        <w:rPr>
          <w:rFonts w:cstheme="minorHAnsi"/>
          <w:sz w:val="20"/>
          <w:szCs w:val="20"/>
        </w:rPr>
      </w:pPr>
      <w:r w:rsidRPr="0084770B">
        <w:rPr>
          <w:rFonts w:cstheme="minorHAnsi"/>
          <w:b/>
          <w:bCs/>
          <w:sz w:val="20"/>
          <w:szCs w:val="20"/>
        </w:rPr>
        <w:t>Supplemental Table S1. Mixed Model Result Summary</w:t>
      </w:r>
      <w:r w:rsidR="00F6013B">
        <w:rPr>
          <w:rFonts w:cstheme="minorHAnsi"/>
          <w:b/>
          <w:bCs/>
          <w:sz w:val="20"/>
          <w:szCs w:val="20"/>
        </w:rPr>
        <w:t xml:space="preserve"> for Body Morphology Metrics</w:t>
      </w:r>
      <w:r w:rsidRPr="0084770B">
        <w:rPr>
          <w:rFonts w:cstheme="minorHAnsi"/>
          <w:b/>
          <w:bCs/>
          <w:sz w:val="20"/>
          <w:szCs w:val="20"/>
        </w:rPr>
        <w:t>.</w:t>
      </w:r>
      <w:r w:rsidRPr="0084770B">
        <w:rPr>
          <w:rFonts w:cstheme="minorHAnsi"/>
          <w:sz w:val="20"/>
          <w:szCs w:val="20"/>
        </w:rPr>
        <w:t xml:space="preserve"> Effect of </w:t>
      </w:r>
      <w:r w:rsidR="001C2907">
        <w:rPr>
          <w:rFonts w:cstheme="minorHAnsi"/>
          <w:sz w:val="20"/>
          <w:szCs w:val="20"/>
        </w:rPr>
        <w:t>l</w:t>
      </w:r>
      <w:r w:rsidRPr="0084770B">
        <w:rPr>
          <w:rFonts w:cstheme="minorHAnsi"/>
          <w:sz w:val="20"/>
          <w:szCs w:val="20"/>
        </w:rPr>
        <w:t xml:space="preserve">ow </w:t>
      </w:r>
      <w:r w:rsidR="001C2907">
        <w:rPr>
          <w:rFonts w:cstheme="minorHAnsi"/>
          <w:sz w:val="20"/>
          <w:szCs w:val="20"/>
        </w:rPr>
        <w:t>r</w:t>
      </w:r>
      <w:r w:rsidRPr="0084770B">
        <w:rPr>
          <w:rFonts w:cstheme="minorHAnsi"/>
          <w:sz w:val="20"/>
          <w:szCs w:val="20"/>
        </w:rPr>
        <w:t xml:space="preserve">ation </w:t>
      </w:r>
      <w:r w:rsidR="001C2907">
        <w:rPr>
          <w:rFonts w:cstheme="minorHAnsi"/>
          <w:sz w:val="20"/>
          <w:szCs w:val="20"/>
        </w:rPr>
        <w:t>t</w:t>
      </w:r>
      <w:r w:rsidRPr="0084770B">
        <w:rPr>
          <w:rFonts w:cstheme="minorHAnsi"/>
          <w:sz w:val="20"/>
          <w:szCs w:val="20"/>
        </w:rPr>
        <w:t xml:space="preserve">reatment on </w:t>
      </w:r>
      <w:r w:rsidR="00F6013B">
        <w:rPr>
          <w:rFonts w:cstheme="minorHAnsi"/>
          <w:sz w:val="20"/>
          <w:szCs w:val="20"/>
        </w:rPr>
        <w:t xml:space="preserve">larval body length, body depth, muscle area, and propulsive fin area. </w:t>
      </w:r>
      <w:r w:rsidRPr="0084770B">
        <w:rPr>
          <w:rFonts w:cstheme="minorHAnsi"/>
          <w:sz w:val="20"/>
          <w:szCs w:val="20"/>
        </w:rPr>
        <w:t xml:space="preserve"> </w:t>
      </w:r>
    </w:p>
    <w:tbl>
      <w:tblPr>
        <w:tblStyle w:val="TableGrid"/>
        <w:tblW w:w="0" w:type="auto"/>
        <w:tblLook w:val="04A0" w:firstRow="1" w:lastRow="0" w:firstColumn="1" w:lastColumn="0" w:noHBand="0" w:noVBand="1"/>
      </w:tblPr>
      <w:tblGrid>
        <w:gridCol w:w="1615"/>
        <w:gridCol w:w="1460"/>
        <w:gridCol w:w="1354"/>
        <w:gridCol w:w="1512"/>
        <w:gridCol w:w="1473"/>
        <w:gridCol w:w="1216"/>
      </w:tblGrid>
      <w:tr w:rsidR="00A16BF5" w:rsidRPr="00BC5DF3" w14:paraId="053B9050" w14:textId="77777777" w:rsidTr="00A83331">
        <w:tc>
          <w:tcPr>
            <w:tcW w:w="1615" w:type="dxa"/>
          </w:tcPr>
          <w:p w14:paraId="25F78B3C" w14:textId="77777777" w:rsidR="00A16BF5" w:rsidRPr="00BC5DF3" w:rsidRDefault="00A16BF5" w:rsidP="00A83331">
            <w:pPr>
              <w:rPr>
                <w:rFonts w:cstheme="minorHAnsi"/>
              </w:rPr>
            </w:pPr>
          </w:p>
        </w:tc>
        <w:tc>
          <w:tcPr>
            <w:tcW w:w="1460" w:type="dxa"/>
          </w:tcPr>
          <w:p w14:paraId="24A53BE3" w14:textId="77777777" w:rsidR="00A16BF5" w:rsidRPr="00BC5DF3" w:rsidRDefault="00A16BF5" w:rsidP="00A83331">
            <w:pPr>
              <w:rPr>
                <w:rFonts w:cstheme="minorHAnsi"/>
              </w:rPr>
            </w:pPr>
            <w:r w:rsidRPr="00BC5DF3">
              <w:rPr>
                <w:rFonts w:cstheme="minorHAnsi"/>
              </w:rPr>
              <w:t>Regression Coefficient</w:t>
            </w:r>
          </w:p>
        </w:tc>
        <w:tc>
          <w:tcPr>
            <w:tcW w:w="1354" w:type="dxa"/>
          </w:tcPr>
          <w:p w14:paraId="71F74B0E" w14:textId="77777777" w:rsidR="00A16BF5" w:rsidRPr="00BC5DF3" w:rsidRDefault="00A16BF5" w:rsidP="00A83331">
            <w:pPr>
              <w:rPr>
                <w:rFonts w:cstheme="minorHAnsi"/>
              </w:rPr>
            </w:pPr>
            <w:r w:rsidRPr="00BC5DF3">
              <w:rPr>
                <w:rFonts w:cstheme="minorHAnsi"/>
              </w:rPr>
              <w:t>t-value</w:t>
            </w:r>
          </w:p>
        </w:tc>
        <w:tc>
          <w:tcPr>
            <w:tcW w:w="1512" w:type="dxa"/>
          </w:tcPr>
          <w:p w14:paraId="37073EE3" w14:textId="77777777" w:rsidR="00A16BF5" w:rsidRPr="00BC5DF3" w:rsidRDefault="00A16BF5" w:rsidP="00A83331">
            <w:pPr>
              <w:rPr>
                <w:rFonts w:cstheme="minorHAnsi"/>
              </w:rPr>
            </w:pPr>
            <w:r w:rsidRPr="00BC5DF3">
              <w:rPr>
                <w:rFonts w:cstheme="minorHAnsi"/>
              </w:rPr>
              <w:t>Degrees of Freedom</w:t>
            </w:r>
          </w:p>
        </w:tc>
        <w:tc>
          <w:tcPr>
            <w:tcW w:w="1473" w:type="dxa"/>
          </w:tcPr>
          <w:p w14:paraId="2C046C66" w14:textId="77777777" w:rsidR="00A16BF5" w:rsidRPr="00BC5DF3" w:rsidRDefault="00A16BF5" w:rsidP="00A83331">
            <w:pPr>
              <w:rPr>
                <w:rFonts w:cstheme="minorHAnsi"/>
              </w:rPr>
            </w:pPr>
            <w:r w:rsidRPr="00BC5DF3">
              <w:rPr>
                <w:rFonts w:cstheme="minorHAnsi"/>
              </w:rPr>
              <w:t>p-value</w:t>
            </w:r>
          </w:p>
        </w:tc>
        <w:tc>
          <w:tcPr>
            <w:tcW w:w="1216" w:type="dxa"/>
          </w:tcPr>
          <w:p w14:paraId="40BF480A" w14:textId="77777777" w:rsidR="00A16BF5" w:rsidRPr="00BC5DF3" w:rsidRDefault="00A16BF5" w:rsidP="00A83331">
            <w:pPr>
              <w:rPr>
                <w:rFonts w:cstheme="minorHAnsi"/>
              </w:rPr>
            </w:pPr>
            <w:r w:rsidRPr="00BC5DF3">
              <w:rPr>
                <w:rFonts w:cstheme="minorHAnsi"/>
              </w:rPr>
              <w:t>Adj. R</w:t>
            </w:r>
            <w:r w:rsidRPr="00BC5DF3">
              <w:rPr>
                <w:rFonts w:cstheme="minorHAnsi"/>
                <w:vertAlign w:val="superscript"/>
              </w:rPr>
              <w:t>2</w:t>
            </w:r>
          </w:p>
        </w:tc>
      </w:tr>
      <w:tr w:rsidR="00A16BF5" w:rsidRPr="00BC5DF3" w14:paraId="5065E21B" w14:textId="77777777" w:rsidTr="00A83331">
        <w:tc>
          <w:tcPr>
            <w:tcW w:w="1615" w:type="dxa"/>
          </w:tcPr>
          <w:p w14:paraId="591BF705" w14:textId="77777777" w:rsidR="00A16BF5" w:rsidRPr="00BC5DF3" w:rsidRDefault="00A16BF5" w:rsidP="00A83331">
            <w:pPr>
              <w:rPr>
                <w:rFonts w:cstheme="minorHAnsi"/>
              </w:rPr>
            </w:pPr>
            <w:r w:rsidRPr="00BC5DF3">
              <w:rPr>
                <w:rFonts w:cstheme="minorHAnsi"/>
              </w:rPr>
              <w:t>Length</w:t>
            </w:r>
          </w:p>
        </w:tc>
        <w:tc>
          <w:tcPr>
            <w:tcW w:w="1460" w:type="dxa"/>
          </w:tcPr>
          <w:p w14:paraId="20E0703B" w14:textId="77777777" w:rsidR="00A16BF5" w:rsidRPr="00BC5DF3" w:rsidRDefault="00A16BF5" w:rsidP="00A83331">
            <w:pPr>
              <w:rPr>
                <w:rFonts w:cstheme="minorHAnsi"/>
              </w:rPr>
            </w:pPr>
            <w:r w:rsidRPr="00BC5DF3">
              <w:rPr>
                <w:rFonts w:cstheme="minorHAnsi"/>
              </w:rPr>
              <w:t>0.117 mm</w:t>
            </w:r>
          </w:p>
        </w:tc>
        <w:tc>
          <w:tcPr>
            <w:tcW w:w="1354" w:type="dxa"/>
          </w:tcPr>
          <w:p w14:paraId="5D3E531C" w14:textId="77777777" w:rsidR="00A16BF5" w:rsidRPr="00BC5DF3" w:rsidRDefault="00A16BF5" w:rsidP="00A83331">
            <w:pPr>
              <w:rPr>
                <w:rFonts w:cstheme="minorHAnsi"/>
              </w:rPr>
            </w:pPr>
            <w:r w:rsidRPr="00BC5DF3">
              <w:rPr>
                <w:rFonts w:cstheme="minorHAnsi"/>
              </w:rPr>
              <w:t>11.23</w:t>
            </w:r>
          </w:p>
        </w:tc>
        <w:tc>
          <w:tcPr>
            <w:tcW w:w="1512" w:type="dxa"/>
          </w:tcPr>
          <w:p w14:paraId="3B07448B" w14:textId="77777777" w:rsidR="00A16BF5" w:rsidRPr="00BC5DF3" w:rsidRDefault="00A16BF5" w:rsidP="00A83331">
            <w:pPr>
              <w:rPr>
                <w:rFonts w:cstheme="minorHAnsi"/>
              </w:rPr>
            </w:pPr>
            <w:r w:rsidRPr="00BC5DF3">
              <w:rPr>
                <w:rFonts w:cstheme="minorHAnsi"/>
              </w:rPr>
              <w:t>492.0</w:t>
            </w:r>
          </w:p>
        </w:tc>
        <w:tc>
          <w:tcPr>
            <w:tcW w:w="1473" w:type="dxa"/>
          </w:tcPr>
          <w:p w14:paraId="20DD6D80" w14:textId="77777777" w:rsidR="00A16BF5" w:rsidRPr="00BC5DF3" w:rsidRDefault="00A16BF5" w:rsidP="00A83331">
            <w:pPr>
              <w:rPr>
                <w:rFonts w:cstheme="minorHAnsi"/>
              </w:rPr>
            </w:pPr>
            <w:r w:rsidRPr="00BC5DF3">
              <w:rPr>
                <w:rFonts w:cstheme="minorHAnsi"/>
              </w:rPr>
              <w:t>&lt;0.0001</w:t>
            </w:r>
          </w:p>
        </w:tc>
        <w:tc>
          <w:tcPr>
            <w:tcW w:w="1216" w:type="dxa"/>
          </w:tcPr>
          <w:p w14:paraId="69BE9BA4" w14:textId="77777777" w:rsidR="00A16BF5" w:rsidRPr="00BC5DF3" w:rsidRDefault="00A16BF5" w:rsidP="00A83331">
            <w:pPr>
              <w:rPr>
                <w:rFonts w:cstheme="minorHAnsi"/>
              </w:rPr>
            </w:pPr>
            <w:r w:rsidRPr="00BC5DF3">
              <w:rPr>
                <w:rFonts w:cstheme="minorHAnsi"/>
              </w:rPr>
              <w:t>0.164</w:t>
            </w:r>
          </w:p>
        </w:tc>
      </w:tr>
      <w:tr w:rsidR="00A16BF5" w:rsidRPr="00BC5DF3" w14:paraId="2BBA8295" w14:textId="77777777" w:rsidTr="00A83331">
        <w:tc>
          <w:tcPr>
            <w:tcW w:w="1615" w:type="dxa"/>
          </w:tcPr>
          <w:p w14:paraId="6FA0057D" w14:textId="77777777" w:rsidR="00A16BF5" w:rsidRPr="00BC5DF3" w:rsidRDefault="00A16BF5" w:rsidP="00A83331">
            <w:pPr>
              <w:rPr>
                <w:rFonts w:cstheme="minorHAnsi"/>
              </w:rPr>
            </w:pPr>
            <w:r w:rsidRPr="00BC5DF3">
              <w:rPr>
                <w:rFonts w:cstheme="minorHAnsi"/>
              </w:rPr>
              <w:t>Body Depth</w:t>
            </w:r>
          </w:p>
        </w:tc>
        <w:tc>
          <w:tcPr>
            <w:tcW w:w="1460" w:type="dxa"/>
          </w:tcPr>
          <w:p w14:paraId="68FF8AE3" w14:textId="77777777" w:rsidR="00A16BF5" w:rsidRPr="00BC5DF3" w:rsidRDefault="00A16BF5" w:rsidP="00A83331">
            <w:pPr>
              <w:rPr>
                <w:rFonts w:cstheme="minorHAnsi"/>
              </w:rPr>
            </w:pPr>
            <w:r w:rsidRPr="00BC5DF3">
              <w:rPr>
                <w:rFonts w:cstheme="minorHAnsi"/>
              </w:rPr>
              <w:t>0.012 mm</w:t>
            </w:r>
          </w:p>
        </w:tc>
        <w:tc>
          <w:tcPr>
            <w:tcW w:w="1354" w:type="dxa"/>
          </w:tcPr>
          <w:p w14:paraId="2E8017AF" w14:textId="77777777" w:rsidR="00A16BF5" w:rsidRPr="00BC5DF3" w:rsidRDefault="00A16BF5" w:rsidP="00A83331">
            <w:pPr>
              <w:rPr>
                <w:rFonts w:cstheme="minorHAnsi"/>
              </w:rPr>
            </w:pPr>
            <w:r w:rsidRPr="00BC5DF3">
              <w:rPr>
                <w:rFonts w:cstheme="minorHAnsi"/>
              </w:rPr>
              <w:t>3.914</w:t>
            </w:r>
          </w:p>
        </w:tc>
        <w:tc>
          <w:tcPr>
            <w:tcW w:w="1512" w:type="dxa"/>
          </w:tcPr>
          <w:p w14:paraId="031959AA" w14:textId="77777777" w:rsidR="00A16BF5" w:rsidRPr="00BC5DF3" w:rsidRDefault="00A16BF5" w:rsidP="00A83331">
            <w:pPr>
              <w:rPr>
                <w:rFonts w:cstheme="minorHAnsi"/>
              </w:rPr>
            </w:pPr>
            <w:r w:rsidRPr="00BC5DF3">
              <w:rPr>
                <w:rFonts w:cstheme="minorHAnsi"/>
              </w:rPr>
              <w:t>492.0</w:t>
            </w:r>
          </w:p>
        </w:tc>
        <w:tc>
          <w:tcPr>
            <w:tcW w:w="1473" w:type="dxa"/>
          </w:tcPr>
          <w:p w14:paraId="7E916E00" w14:textId="77777777" w:rsidR="00A16BF5" w:rsidRPr="00BC5DF3" w:rsidRDefault="00A16BF5" w:rsidP="00A83331">
            <w:pPr>
              <w:rPr>
                <w:rFonts w:cstheme="minorHAnsi"/>
              </w:rPr>
            </w:pPr>
            <w:r w:rsidRPr="00BC5DF3">
              <w:rPr>
                <w:rFonts w:cstheme="minorHAnsi"/>
              </w:rPr>
              <w:t xml:space="preserve">  0.0001</w:t>
            </w:r>
          </w:p>
        </w:tc>
        <w:tc>
          <w:tcPr>
            <w:tcW w:w="1216" w:type="dxa"/>
          </w:tcPr>
          <w:p w14:paraId="2C35EC64" w14:textId="77777777" w:rsidR="00A16BF5" w:rsidRPr="00BC5DF3" w:rsidRDefault="00A16BF5" w:rsidP="00A83331">
            <w:pPr>
              <w:rPr>
                <w:rFonts w:cstheme="minorHAnsi"/>
              </w:rPr>
            </w:pPr>
            <w:r w:rsidRPr="00BC5DF3">
              <w:rPr>
                <w:rFonts w:cstheme="minorHAnsi"/>
              </w:rPr>
              <w:t>0.020</w:t>
            </w:r>
          </w:p>
        </w:tc>
      </w:tr>
      <w:tr w:rsidR="00A16BF5" w:rsidRPr="00BC5DF3" w14:paraId="7F1CEFED" w14:textId="77777777" w:rsidTr="00A83331">
        <w:tc>
          <w:tcPr>
            <w:tcW w:w="1615" w:type="dxa"/>
          </w:tcPr>
          <w:p w14:paraId="2D306832" w14:textId="77777777" w:rsidR="00A16BF5" w:rsidRPr="00BC5DF3" w:rsidRDefault="00A16BF5" w:rsidP="00A83331">
            <w:pPr>
              <w:rPr>
                <w:rFonts w:cstheme="minorHAnsi"/>
              </w:rPr>
            </w:pPr>
            <w:r w:rsidRPr="00BC5DF3">
              <w:rPr>
                <w:rFonts w:cstheme="minorHAnsi"/>
              </w:rPr>
              <w:t>Muscle Area</w:t>
            </w:r>
          </w:p>
        </w:tc>
        <w:tc>
          <w:tcPr>
            <w:tcW w:w="1460" w:type="dxa"/>
          </w:tcPr>
          <w:p w14:paraId="351A0661" w14:textId="77777777" w:rsidR="00A16BF5" w:rsidRPr="00BC5DF3" w:rsidRDefault="00A16BF5" w:rsidP="00A83331">
            <w:pPr>
              <w:rPr>
                <w:rFonts w:cstheme="minorHAnsi"/>
                <w:vertAlign w:val="superscript"/>
              </w:rPr>
            </w:pPr>
            <w:r w:rsidRPr="00BC5DF3">
              <w:rPr>
                <w:rFonts w:cstheme="minorHAnsi"/>
              </w:rPr>
              <w:t>0.059 mm</w:t>
            </w:r>
            <w:r w:rsidRPr="00BC5DF3">
              <w:rPr>
                <w:rFonts w:cstheme="minorHAnsi"/>
                <w:vertAlign w:val="superscript"/>
              </w:rPr>
              <w:t>2</w:t>
            </w:r>
          </w:p>
        </w:tc>
        <w:tc>
          <w:tcPr>
            <w:tcW w:w="1354" w:type="dxa"/>
          </w:tcPr>
          <w:p w14:paraId="42738444" w14:textId="77777777" w:rsidR="00A16BF5" w:rsidRPr="00BC5DF3" w:rsidRDefault="00A16BF5" w:rsidP="00A83331">
            <w:pPr>
              <w:rPr>
                <w:rFonts w:cstheme="minorHAnsi"/>
              </w:rPr>
            </w:pPr>
            <w:r w:rsidRPr="00BC5DF3">
              <w:rPr>
                <w:rFonts w:cstheme="minorHAnsi"/>
              </w:rPr>
              <w:t>9.066</w:t>
            </w:r>
          </w:p>
        </w:tc>
        <w:tc>
          <w:tcPr>
            <w:tcW w:w="1512" w:type="dxa"/>
          </w:tcPr>
          <w:p w14:paraId="64A5F40D" w14:textId="77777777" w:rsidR="00A16BF5" w:rsidRPr="00BC5DF3" w:rsidRDefault="00A16BF5" w:rsidP="00A83331">
            <w:pPr>
              <w:rPr>
                <w:rFonts w:cstheme="minorHAnsi"/>
              </w:rPr>
            </w:pPr>
            <w:r w:rsidRPr="00BC5DF3">
              <w:rPr>
                <w:rFonts w:cstheme="minorHAnsi"/>
              </w:rPr>
              <w:t>492.0</w:t>
            </w:r>
          </w:p>
        </w:tc>
        <w:tc>
          <w:tcPr>
            <w:tcW w:w="1473" w:type="dxa"/>
          </w:tcPr>
          <w:p w14:paraId="4D907E46" w14:textId="77777777" w:rsidR="00A16BF5" w:rsidRPr="00BC5DF3" w:rsidRDefault="00A16BF5" w:rsidP="00A83331">
            <w:pPr>
              <w:rPr>
                <w:rFonts w:cstheme="minorHAnsi"/>
              </w:rPr>
            </w:pPr>
            <w:r w:rsidRPr="00BC5DF3">
              <w:rPr>
                <w:rFonts w:cstheme="minorHAnsi"/>
              </w:rPr>
              <w:t>&lt;0.0001</w:t>
            </w:r>
          </w:p>
        </w:tc>
        <w:tc>
          <w:tcPr>
            <w:tcW w:w="1216" w:type="dxa"/>
          </w:tcPr>
          <w:p w14:paraId="3B491E51" w14:textId="77777777" w:rsidR="00A16BF5" w:rsidRPr="00BC5DF3" w:rsidRDefault="00A16BF5" w:rsidP="00A83331">
            <w:pPr>
              <w:rPr>
                <w:rFonts w:cstheme="minorHAnsi"/>
              </w:rPr>
            </w:pPr>
            <w:r w:rsidRPr="00BC5DF3">
              <w:rPr>
                <w:rFonts w:cstheme="minorHAnsi"/>
              </w:rPr>
              <w:t>0.117</w:t>
            </w:r>
          </w:p>
        </w:tc>
      </w:tr>
      <w:tr w:rsidR="00A16BF5" w:rsidRPr="00BC5DF3" w14:paraId="0D3038E6" w14:textId="77777777" w:rsidTr="00A83331">
        <w:tc>
          <w:tcPr>
            <w:tcW w:w="1615" w:type="dxa"/>
          </w:tcPr>
          <w:p w14:paraId="142D4386" w14:textId="77777777" w:rsidR="00A16BF5" w:rsidRPr="00BC5DF3" w:rsidRDefault="00A16BF5" w:rsidP="00A83331">
            <w:pPr>
              <w:rPr>
                <w:rFonts w:cstheme="minorHAnsi"/>
              </w:rPr>
            </w:pPr>
            <w:r w:rsidRPr="00BC5DF3">
              <w:rPr>
                <w:rFonts w:cstheme="minorHAnsi"/>
              </w:rPr>
              <w:t>Fin Area</w:t>
            </w:r>
          </w:p>
        </w:tc>
        <w:tc>
          <w:tcPr>
            <w:tcW w:w="1460" w:type="dxa"/>
          </w:tcPr>
          <w:p w14:paraId="278418DD" w14:textId="77777777" w:rsidR="00A16BF5" w:rsidRPr="00BC5DF3" w:rsidRDefault="00A16BF5" w:rsidP="00A83331">
            <w:pPr>
              <w:rPr>
                <w:rFonts w:cstheme="minorHAnsi"/>
              </w:rPr>
            </w:pPr>
            <w:r w:rsidRPr="00BC5DF3">
              <w:rPr>
                <w:rFonts w:cstheme="minorHAnsi"/>
              </w:rPr>
              <w:t>0.026 mm</w:t>
            </w:r>
            <w:r w:rsidRPr="00BC5DF3">
              <w:rPr>
                <w:rFonts w:cstheme="minorHAnsi"/>
                <w:vertAlign w:val="superscript"/>
              </w:rPr>
              <w:t>2</w:t>
            </w:r>
          </w:p>
        </w:tc>
        <w:tc>
          <w:tcPr>
            <w:tcW w:w="1354" w:type="dxa"/>
          </w:tcPr>
          <w:p w14:paraId="11BA9E12" w14:textId="77777777" w:rsidR="00A16BF5" w:rsidRPr="00BC5DF3" w:rsidRDefault="00A16BF5" w:rsidP="00A83331">
            <w:pPr>
              <w:rPr>
                <w:rFonts w:cstheme="minorHAnsi"/>
              </w:rPr>
            </w:pPr>
            <w:r w:rsidRPr="00BC5DF3">
              <w:rPr>
                <w:rFonts w:cstheme="minorHAnsi"/>
              </w:rPr>
              <w:t>3.345</w:t>
            </w:r>
          </w:p>
        </w:tc>
        <w:tc>
          <w:tcPr>
            <w:tcW w:w="1512" w:type="dxa"/>
          </w:tcPr>
          <w:p w14:paraId="3F4ECC77" w14:textId="77777777" w:rsidR="00A16BF5" w:rsidRPr="00BC5DF3" w:rsidRDefault="00A16BF5" w:rsidP="00A83331">
            <w:pPr>
              <w:rPr>
                <w:rFonts w:cstheme="minorHAnsi"/>
              </w:rPr>
            </w:pPr>
            <w:r w:rsidRPr="00BC5DF3">
              <w:rPr>
                <w:rFonts w:cstheme="minorHAnsi"/>
              </w:rPr>
              <w:t>491.0</w:t>
            </w:r>
          </w:p>
        </w:tc>
        <w:tc>
          <w:tcPr>
            <w:tcW w:w="1473" w:type="dxa"/>
          </w:tcPr>
          <w:p w14:paraId="4D06C659" w14:textId="77777777" w:rsidR="00A16BF5" w:rsidRPr="00BC5DF3" w:rsidRDefault="00A16BF5" w:rsidP="00A83331">
            <w:pPr>
              <w:rPr>
                <w:rFonts w:cstheme="minorHAnsi"/>
              </w:rPr>
            </w:pPr>
            <w:r w:rsidRPr="00BC5DF3">
              <w:rPr>
                <w:rFonts w:cstheme="minorHAnsi"/>
              </w:rPr>
              <w:t xml:space="preserve">  0.0009</w:t>
            </w:r>
          </w:p>
        </w:tc>
        <w:tc>
          <w:tcPr>
            <w:tcW w:w="1216" w:type="dxa"/>
          </w:tcPr>
          <w:p w14:paraId="17F42B5C" w14:textId="77777777" w:rsidR="00A16BF5" w:rsidRPr="00BC5DF3" w:rsidRDefault="00A16BF5" w:rsidP="00A83331">
            <w:pPr>
              <w:rPr>
                <w:rFonts w:cstheme="minorHAnsi"/>
              </w:rPr>
            </w:pPr>
            <w:r w:rsidRPr="00BC5DF3">
              <w:rPr>
                <w:rFonts w:cstheme="minorHAnsi"/>
              </w:rPr>
              <w:t>0.074</w:t>
            </w:r>
          </w:p>
        </w:tc>
      </w:tr>
    </w:tbl>
    <w:p w14:paraId="0E03862E" w14:textId="77777777" w:rsidR="00A16BF5" w:rsidRPr="00BC5DF3" w:rsidRDefault="00A16BF5" w:rsidP="00A16BF5">
      <w:pPr>
        <w:spacing w:line="240" w:lineRule="auto"/>
        <w:rPr>
          <w:rFonts w:cstheme="minorHAnsi"/>
        </w:rPr>
      </w:pPr>
    </w:p>
    <w:p w14:paraId="383F5626" w14:textId="77777777" w:rsidR="00A16BF5" w:rsidRPr="00BC5DF3" w:rsidRDefault="00A16BF5" w:rsidP="00A16BF5">
      <w:pPr>
        <w:spacing w:line="240" w:lineRule="auto"/>
        <w:rPr>
          <w:rFonts w:cstheme="minorHAnsi"/>
        </w:rPr>
      </w:pPr>
    </w:p>
    <w:p w14:paraId="70D8B58F" w14:textId="77777777" w:rsidR="00A16BF5" w:rsidRPr="00BC5DF3" w:rsidRDefault="00A16BF5" w:rsidP="00A16BF5">
      <w:pPr>
        <w:spacing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0"/>
        <w:gridCol w:w="3110"/>
        <w:gridCol w:w="3140"/>
      </w:tblGrid>
      <w:tr w:rsidR="00A16BF5" w:rsidRPr="00BC5DF3" w14:paraId="47164EB4" w14:textId="77777777" w:rsidTr="00A83331">
        <w:tc>
          <w:tcPr>
            <w:tcW w:w="3116" w:type="dxa"/>
          </w:tcPr>
          <w:p w14:paraId="44BA3346" w14:textId="77777777" w:rsidR="00A16BF5" w:rsidRPr="00BC5DF3" w:rsidRDefault="00A16BF5" w:rsidP="00A83331">
            <w:pPr>
              <w:rPr>
                <w:rFonts w:cstheme="minorHAnsi"/>
              </w:rPr>
            </w:pPr>
            <w:r w:rsidRPr="00BC5DF3">
              <w:rPr>
                <w:rFonts w:cstheme="minorHAnsi"/>
              </w:rPr>
              <w:t>(a)</w:t>
            </w:r>
            <w:r w:rsidRPr="00BC5DF3">
              <w:rPr>
                <w:rFonts w:cstheme="minorHAnsi"/>
                <w:noProof/>
              </w:rPr>
              <w:drawing>
                <wp:inline distT="0" distB="0" distL="0" distR="0" wp14:anchorId="1695B365" wp14:editId="080FEB12">
                  <wp:extent cx="2495550" cy="184928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1535" cy="1861129"/>
                          </a:xfrm>
                          <a:prstGeom prst="rect">
                            <a:avLst/>
                          </a:prstGeom>
                        </pic:spPr>
                      </pic:pic>
                    </a:graphicData>
                  </a:graphic>
                </wp:inline>
              </w:drawing>
            </w:r>
          </w:p>
        </w:tc>
        <w:tc>
          <w:tcPr>
            <w:tcW w:w="3117" w:type="dxa"/>
          </w:tcPr>
          <w:p w14:paraId="364DD5E1" w14:textId="77777777" w:rsidR="00A16BF5" w:rsidRPr="00BC5DF3" w:rsidRDefault="00A16BF5" w:rsidP="00A83331">
            <w:pPr>
              <w:rPr>
                <w:rFonts w:cstheme="minorHAnsi"/>
              </w:rPr>
            </w:pPr>
            <w:r w:rsidRPr="00BC5DF3">
              <w:rPr>
                <w:rFonts w:cstheme="minorHAnsi"/>
              </w:rPr>
              <w:t>(b)</w:t>
            </w:r>
            <w:r w:rsidRPr="00BC5DF3">
              <w:rPr>
                <w:rFonts w:cstheme="minorHAnsi"/>
                <w:noProof/>
              </w:rPr>
              <w:drawing>
                <wp:inline distT="0" distB="0" distL="0" distR="0" wp14:anchorId="65B9C44D" wp14:editId="22ACAD5B">
                  <wp:extent cx="2495328" cy="1849120"/>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20571" cy="1867826"/>
                          </a:xfrm>
                          <a:prstGeom prst="rect">
                            <a:avLst/>
                          </a:prstGeom>
                        </pic:spPr>
                      </pic:pic>
                    </a:graphicData>
                  </a:graphic>
                </wp:inline>
              </w:drawing>
            </w:r>
          </w:p>
          <w:p w14:paraId="6312DD39" w14:textId="77777777" w:rsidR="00A16BF5" w:rsidRPr="00BC5DF3" w:rsidRDefault="00A16BF5" w:rsidP="00A83331">
            <w:pPr>
              <w:rPr>
                <w:rFonts w:cstheme="minorHAnsi"/>
              </w:rPr>
            </w:pPr>
          </w:p>
        </w:tc>
        <w:tc>
          <w:tcPr>
            <w:tcW w:w="3117" w:type="dxa"/>
          </w:tcPr>
          <w:p w14:paraId="65BDAE4B" w14:textId="77777777" w:rsidR="00A16BF5" w:rsidRPr="00BC5DF3" w:rsidRDefault="00A16BF5" w:rsidP="00A83331">
            <w:pPr>
              <w:rPr>
                <w:rFonts w:cstheme="minorHAnsi"/>
                <w:noProof/>
              </w:rPr>
            </w:pPr>
            <w:r w:rsidRPr="00BC5DF3">
              <w:rPr>
                <w:rFonts w:cstheme="minorHAnsi"/>
                <w:noProof/>
              </w:rPr>
              <w:t>(c)</w:t>
            </w:r>
            <w:r w:rsidRPr="00BC5DF3">
              <w:rPr>
                <w:rFonts w:cstheme="minorHAnsi"/>
                <w:noProof/>
              </w:rPr>
              <w:drawing>
                <wp:inline distT="0" distB="0" distL="0" distR="0" wp14:anchorId="55834317" wp14:editId="27B1AAB0">
                  <wp:extent cx="2521037" cy="1868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37035" cy="1880025"/>
                          </a:xfrm>
                          <a:prstGeom prst="rect">
                            <a:avLst/>
                          </a:prstGeom>
                        </pic:spPr>
                      </pic:pic>
                    </a:graphicData>
                  </a:graphic>
                </wp:inline>
              </w:drawing>
            </w:r>
          </w:p>
          <w:p w14:paraId="38D4643D" w14:textId="77777777" w:rsidR="00A16BF5" w:rsidRPr="00BC5DF3" w:rsidRDefault="00A16BF5" w:rsidP="00A83331">
            <w:pPr>
              <w:tabs>
                <w:tab w:val="left" w:pos="1950"/>
              </w:tabs>
              <w:rPr>
                <w:rFonts w:cstheme="minorHAnsi"/>
              </w:rPr>
            </w:pPr>
            <w:r w:rsidRPr="00BC5DF3">
              <w:rPr>
                <w:rFonts w:cstheme="minorHAnsi"/>
              </w:rPr>
              <w:tab/>
            </w:r>
          </w:p>
        </w:tc>
      </w:tr>
    </w:tbl>
    <w:p w14:paraId="3DD6215D" w14:textId="1E2B9610" w:rsidR="00A16BF5" w:rsidRPr="00143B3B" w:rsidRDefault="00A16BF5" w:rsidP="00A16BF5">
      <w:pPr>
        <w:spacing w:line="240" w:lineRule="auto"/>
        <w:rPr>
          <w:rFonts w:cstheme="minorHAnsi"/>
        </w:rPr>
      </w:pPr>
      <w:r w:rsidRPr="00BC5DF3">
        <w:rPr>
          <w:rFonts w:cstheme="minorHAnsi"/>
          <w:b/>
          <w:bCs/>
        </w:rPr>
        <w:t xml:space="preserve">Supplemental Figure S2. Individual Pair Reaction Norms </w:t>
      </w:r>
      <w:r w:rsidRPr="00E141FA">
        <w:rPr>
          <w:rFonts w:cstheme="minorHAnsi"/>
          <w:b/>
          <w:bCs/>
        </w:rPr>
        <w:t>for (a) body depth, (b) muscle area, and (c) fin area.</w:t>
      </w:r>
      <w:r w:rsidRPr="00143B3B">
        <w:rPr>
          <w:rFonts w:cstheme="minorHAnsi"/>
        </w:rPr>
        <w:t xml:space="preserve"> </w:t>
      </w:r>
      <w:r w:rsidR="00E141FA" w:rsidRPr="00BC5DF3">
        <w:rPr>
          <w:rFonts w:cstheme="minorHAnsi"/>
        </w:rPr>
        <w:t xml:space="preserve">Each point represents the </w:t>
      </w:r>
      <w:r w:rsidR="00E141FA">
        <w:rPr>
          <w:rFonts w:cstheme="minorHAnsi"/>
        </w:rPr>
        <w:t xml:space="preserve">average </w:t>
      </w:r>
      <w:r w:rsidR="00E141FA" w:rsidRPr="00BC5DF3">
        <w:rPr>
          <w:rFonts w:cstheme="minorHAnsi"/>
        </w:rPr>
        <w:t>metric value</w:t>
      </w:r>
      <w:r w:rsidR="00E141FA">
        <w:rPr>
          <w:rFonts w:cstheme="minorHAnsi"/>
        </w:rPr>
        <w:t xml:space="preserve"> for each clutch</w:t>
      </w:r>
      <w:r w:rsidR="00E141FA" w:rsidRPr="00BC5DF3">
        <w:rPr>
          <w:rFonts w:cstheme="minorHAnsi"/>
        </w:rPr>
        <w:t xml:space="preserve"> per pair, per </w:t>
      </w:r>
      <w:r w:rsidR="00E141FA">
        <w:rPr>
          <w:rFonts w:cstheme="minorHAnsi"/>
        </w:rPr>
        <w:t>t</w:t>
      </w:r>
      <w:r w:rsidR="00E141FA" w:rsidRPr="00BC5DF3">
        <w:rPr>
          <w:rFonts w:cstheme="minorHAnsi"/>
        </w:rPr>
        <w:t xml:space="preserve">reatment. Points are individually colored by the unique </w:t>
      </w:r>
      <w:r w:rsidR="00E141FA">
        <w:rPr>
          <w:rFonts w:cstheme="minorHAnsi"/>
        </w:rPr>
        <w:t>‘t</w:t>
      </w:r>
      <w:r w:rsidR="00E141FA" w:rsidRPr="00BC5DF3">
        <w:rPr>
          <w:rFonts w:cstheme="minorHAnsi"/>
        </w:rPr>
        <w:t>ank ID</w:t>
      </w:r>
      <w:r w:rsidR="00E141FA">
        <w:rPr>
          <w:rFonts w:cstheme="minorHAnsi"/>
        </w:rPr>
        <w:t>’</w:t>
      </w:r>
      <w:r w:rsidR="00E141FA" w:rsidRPr="00BC5DF3">
        <w:rPr>
          <w:rFonts w:cstheme="minorHAnsi"/>
        </w:rPr>
        <w:t xml:space="preserve"> of each parental pair. The fitted line connects the pair’s </w:t>
      </w:r>
      <w:r w:rsidR="00E141FA">
        <w:rPr>
          <w:rFonts w:cstheme="minorHAnsi"/>
        </w:rPr>
        <w:t>measured values</w:t>
      </w:r>
      <w:r w:rsidR="00E141FA" w:rsidRPr="00BC5DF3">
        <w:rPr>
          <w:rFonts w:cstheme="minorHAnsi"/>
        </w:rPr>
        <w:t xml:space="preserve"> and represents the response to the two treatments.</w:t>
      </w:r>
    </w:p>
    <w:p w14:paraId="161DE64B" w14:textId="32BD5577" w:rsidR="0078431B" w:rsidRDefault="00A65D90" w:rsidP="00A16BF5">
      <w:pPr>
        <w:spacing w:line="240" w:lineRule="auto"/>
        <w:rPr>
          <w:rFonts w:cstheme="minorHAnsi"/>
        </w:rPr>
      </w:pPr>
      <w:r>
        <w:rPr>
          <w:rFonts w:cstheme="minorHAnsi"/>
        </w:rPr>
        <w:lastRenderedPageBreak/>
        <w:t xml:space="preserve">Larval </w:t>
      </w:r>
      <w:r w:rsidR="0078431B">
        <w:rPr>
          <w:rFonts w:cstheme="minorHAnsi"/>
        </w:rPr>
        <w:t xml:space="preserve">Otolith </w:t>
      </w:r>
      <w:r w:rsidR="00E141FA">
        <w:rPr>
          <w:rFonts w:cstheme="minorHAnsi"/>
        </w:rPr>
        <w:t xml:space="preserve">Core </w:t>
      </w:r>
      <w:r w:rsidR="0078431B">
        <w:rPr>
          <w:rFonts w:cstheme="minorHAnsi"/>
        </w:rPr>
        <w:t xml:space="preserve">Metrics </w:t>
      </w:r>
    </w:p>
    <w:p w14:paraId="49CBDB8E" w14:textId="77777777" w:rsidR="00A65D90" w:rsidRDefault="00A65D90" w:rsidP="00A16BF5">
      <w:pPr>
        <w:spacing w:line="240" w:lineRule="auto"/>
        <w:rPr>
          <w:rFonts w:cstheme="minorHAnsi"/>
        </w:rPr>
      </w:pPr>
    </w:p>
    <w:p w14:paraId="137C12E8" w14:textId="77EFE908" w:rsidR="0078431B" w:rsidRDefault="005D197D" w:rsidP="00A16BF5">
      <w:pPr>
        <w:spacing w:line="240" w:lineRule="auto"/>
        <w:rPr>
          <w:rFonts w:cstheme="minorHAnsi"/>
          <w:sz w:val="24"/>
          <w:szCs w:val="24"/>
        </w:rPr>
      </w:pPr>
      <w:r>
        <w:rPr>
          <w:rFonts w:cstheme="minorHAnsi"/>
        </w:rPr>
        <w:t xml:space="preserve">Larval otolith major diameter, minor diameter, measured area, and calculated area were all </w:t>
      </w:r>
      <w:r w:rsidRPr="0084770B">
        <w:rPr>
          <w:rFonts w:cstheme="minorHAnsi"/>
          <w:sz w:val="24"/>
          <w:szCs w:val="24"/>
        </w:rPr>
        <w:t>significantly and positively correlated to one another</w:t>
      </w:r>
      <w:r>
        <w:rPr>
          <w:rFonts w:cstheme="minorHAnsi"/>
          <w:sz w:val="24"/>
          <w:szCs w:val="24"/>
        </w:rPr>
        <w:t xml:space="preserve"> (Supplemental Figure S3)</w:t>
      </w:r>
      <w:r w:rsidRPr="0084770B">
        <w:rPr>
          <w:rFonts w:cstheme="minorHAnsi"/>
          <w:sz w:val="24"/>
          <w:szCs w:val="24"/>
        </w:rPr>
        <w:t>.</w:t>
      </w:r>
    </w:p>
    <w:p w14:paraId="5EFBCDB3" w14:textId="77777777" w:rsidR="00A65D90" w:rsidRDefault="00A65D90" w:rsidP="00A16BF5">
      <w:pPr>
        <w:spacing w:line="240" w:lineRule="auto"/>
        <w:rPr>
          <w:rFonts w:cstheme="minorHAnsi"/>
        </w:rPr>
      </w:pPr>
    </w:p>
    <w:p w14:paraId="228F0CA2" w14:textId="2821854B" w:rsidR="0084770B" w:rsidRDefault="0078431B" w:rsidP="00A16BF5">
      <w:pPr>
        <w:spacing w:line="240" w:lineRule="auto"/>
        <w:rPr>
          <w:rFonts w:cstheme="minorHAnsi"/>
        </w:rPr>
      </w:pPr>
      <w:r>
        <w:rPr>
          <w:rFonts w:cstheme="minorHAnsi"/>
          <w:noProof/>
        </w:rPr>
        <w:drawing>
          <wp:inline distT="0" distB="0" distL="0" distR="0" wp14:anchorId="6C9FBB08" wp14:editId="59437634">
            <wp:extent cx="5872484" cy="4072558"/>
            <wp:effectExtent l="0" t="0" r="0" b="4445"/>
            <wp:docPr id="1114070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409" cy="4095392"/>
                    </a:xfrm>
                    <a:prstGeom prst="rect">
                      <a:avLst/>
                    </a:prstGeom>
                    <a:noFill/>
                  </pic:spPr>
                </pic:pic>
              </a:graphicData>
            </a:graphic>
          </wp:inline>
        </w:drawing>
      </w:r>
    </w:p>
    <w:p w14:paraId="496604BC" w14:textId="77777777" w:rsidR="00A65D90" w:rsidRDefault="00A65D90" w:rsidP="00A16BF5">
      <w:pPr>
        <w:spacing w:line="240" w:lineRule="auto"/>
        <w:rPr>
          <w:rFonts w:cstheme="minorHAnsi"/>
          <w:b/>
          <w:bCs/>
        </w:rPr>
      </w:pPr>
    </w:p>
    <w:p w14:paraId="295D28D5" w14:textId="7D0F275D" w:rsidR="0084770B" w:rsidRDefault="00434596" w:rsidP="00A16BF5">
      <w:pPr>
        <w:spacing w:line="240" w:lineRule="auto"/>
        <w:rPr>
          <w:rFonts w:cstheme="minorHAnsi"/>
          <w:sz w:val="20"/>
          <w:szCs w:val="20"/>
        </w:rPr>
      </w:pPr>
      <w:r w:rsidRPr="00A65D90">
        <w:rPr>
          <w:rFonts w:cstheme="minorHAnsi"/>
          <w:b/>
          <w:bCs/>
        </w:rPr>
        <w:t>Supplemental Figure S3.</w:t>
      </w:r>
      <w:r>
        <w:rPr>
          <w:rFonts w:cstheme="minorHAnsi"/>
        </w:rPr>
        <w:t xml:space="preserve"> </w:t>
      </w:r>
      <w:r w:rsidR="005D197D" w:rsidRPr="0084770B">
        <w:rPr>
          <w:rFonts w:cstheme="minorHAnsi"/>
          <w:b/>
          <w:bCs/>
          <w:sz w:val="20"/>
          <w:szCs w:val="20"/>
        </w:rPr>
        <w:t xml:space="preserve">Correlogram of Larval </w:t>
      </w:r>
      <w:r w:rsidR="005D197D">
        <w:rPr>
          <w:rFonts w:cstheme="minorHAnsi"/>
          <w:b/>
          <w:bCs/>
          <w:sz w:val="20"/>
          <w:szCs w:val="20"/>
        </w:rPr>
        <w:t>Otolith Metrics</w:t>
      </w:r>
      <w:r w:rsidR="005D197D" w:rsidRPr="0084770B">
        <w:rPr>
          <w:rFonts w:cstheme="minorHAnsi"/>
          <w:b/>
          <w:bCs/>
          <w:sz w:val="20"/>
          <w:szCs w:val="20"/>
        </w:rPr>
        <w:t>.</w:t>
      </w:r>
      <w:r w:rsidR="005D197D" w:rsidRPr="0084770B">
        <w:rPr>
          <w:rFonts w:cstheme="minorHAnsi"/>
          <w:sz w:val="20"/>
          <w:szCs w:val="20"/>
        </w:rPr>
        <w:t xml:space="preserve"> </w:t>
      </w:r>
      <w:r w:rsidR="005D197D">
        <w:rPr>
          <w:rFonts w:cstheme="minorHAnsi"/>
          <w:sz w:val="20"/>
          <w:szCs w:val="20"/>
        </w:rPr>
        <w:t>Each row is an otolith metric, from the top to bottom:</w:t>
      </w:r>
      <w:r w:rsidR="005D197D">
        <w:t xml:space="preserve"> major diameter (Major Avg), minor diameter (Minor Avg), measured area (Area Avg) and calculated area (Area Calc).</w:t>
      </w:r>
      <w:r w:rsidR="005D197D">
        <w:rPr>
          <w:rFonts w:cstheme="minorHAnsi"/>
          <w:sz w:val="20"/>
          <w:szCs w:val="20"/>
        </w:rPr>
        <w:t xml:space="preserve"> </w:t>
      </w:r>
      <w:r w:rsidR="005D197D" w:rsidRPr="0084770B">
        <w:rPr>
          <w:rFonts w:cstheme="minorHAnsi"/>
          <w:sz w:val="20"/>
          <w:szCs w:val="20"/>
        </w:rPr>
        <w:t>The frequency distribution of each variable is shown on the diagonal, with the density curve in red. On the bottom of the diagonal is the bivariate scatterplot with the fitted line in red. On the top of the diagonal is the correlation coefficient and associated significance level (***; p-value &lt; 0.001). The font size signifies value of the correlation.</w:t>
      </w:r>
    </w:p>
    <w:p w14:paraId="083106E9" w14:textId="77777777" w:rsidR="00A65D90" w:rsidRDefault="00A65D90" w:rsidP="00A16BF5">
      <w:pPr>
        <w:spacing w:line="240" w:lineRule="auto"/>
        <w:rPr>
          <w:rFonts w:cstheme="minorHAnsi"/>
          <w:sz w:val="20"/>
          <w:szCs w:val="20"/>
        </w:rPr>
      </w:pPr>
    </w:p>
    <w:p w14:paraId="274D4C78" w14:textId="77777777" w:rsidR="00A65D90" w:rsidRDefault="00A65D90" w:rsidP="00A16BF5">
      <w:pPr>
        <w:spacing w:line="240" w:lineRule="auto"/>
        <w:rPr>
          <w:rFonts w:cstheme="minorHAnsi"/>
          <w:sz w:val="20"/>
          <w:szCs w:val="20"/>
        </w:rPr>
      </w:pPr>
    </w:p>
    <w:p w14:paraId="27881A59" w14:textId="77777777" w:rsidR="00A65D90" w:rsidRDefault="00A65D90" w:rsidP="00A16BF5">
      <w:pPr>
        <w:spacing w:line="240" w:lineRule="auto"/>
        <w:rPr>
          <w:rFonts w:cstheme="minorHAnsi"/>
          <w:sz w:val="20"/>
          <w:szCs w:val="20"/>
        </w:rPr>
      </w:pPr>
    </w:p>
    <w:p w14:paraId="3C44C307" w14:textId="77777777" w:rsidR="00A65D90" w:rsidRDefault="00A65D90" w:rsidP="00A16BF5">
      <w:pPr>
        <w:spacing w:line="240" w:lineRule="auto"/>
        <w:rPr>
          <w:rFonts w:cstheme="minorHAnsi"/>
          <w:sz w:val="20"/>
          <w:szCs w:val="20"/>
        </w:rPr>
      </w:pPr>
    </w:p>
    <w:p w14:paraId="1018431B" w14:textId="77777777" w:rsidR="00A65D90" w:rsidRDefault="00A65D90" w:rsidP="00A16BF5">
      <w:pPr>
        <w:spacing w:line="240" w:lineRule="auto"/>
        <w:rPr>
          <w:rFonts w:cstheme="minorHAnsi"/>
          <w:sz w:val="20"/>
          <w:szCs w:val="20"/>
        </w:rPr>
      </w:pPr>
    </w:p>
    <w:p w14:paraId="3E8BE908" w14:textId="1763812B" w:rsidR="00A65D90" w:rsidRDefault="00A65D90" w:rsidP="00A65D90">
      <w:pPr>
        <w:spacing w:line="240" w:lineRule="auto"/>
        <w:rPr>
          <w:rFonts w:cstheme="minorHAnsi"/>
          <w:i/>
          <w:iCs/>
          <w:sz w:val="24"/>
          <w:szCs w:val="24"/>
        </w:rPr>
      </w:pPr>
      <w:r w:rsidRPr="001C2907">
        <w:rPr>
          <w:rFonts w:cstheme="minorHAnsi"/>
          <w:i/>
          <w:iCs/>
          <w:sz w:val="24"/>
          <w:szCs w:val="24"/>
        </w:rPr>
        <w:lastRenderedPageBreak/>
        <w:t>Effect of Treatment on</w:t>
      </w:r>
      <w:r w:rsidRPr="001C2907">
        <w:rPr>
          <w:rFonts w:cstheme="minorHAnsi"/>
          <w:sz w:val="24"/>
          <w:szCs w:val="24"/>
        </w:rPr>
        <w:t xml:space="preserve"> </w:t>
      </w:r>
      <w:r w:rsidR="005126FB">
        <w:rPr>
          <w:rFonts w:cstheme="minorHAnsi"/>
          <w:i/>
          <w:iCs/>
          <w:sz w:val="24"/>
          <w:szCs w:val="24"/>
        </w:rPr>
        <w:t>Otolith</w:t>
      </w:r>
      <w:r w:rsidRPr="001C2907">
        <w:rPr>
          <w:rFonts w:cstheme="minorHAnsi"/>
          <w:i/>
          <w:iCs/>
          <w:sz w:val="24"/>
          <w:szCs w:val="24"/>
        </w:rPr>
        <w:t xml:space="preserve"> Metrics</w:t>
      </w:r>
    </w:p>
    <w:p w14:paraId="4CD32F26" w14:textId="6242639E" w:rsidR="00E67192" w:rsidRDefault="00E67192" w:rsidP="00E67192">
      <w:pPr>
        <w:spacing w:line="240" w:lineRule="auto"/>
        <w:rPr>
          <w:rFonts w:cstheme="minorHAnsi"/>
          <w:sz w:val="24"/>
          <w:szCs w:val="24"/>
        </w:rPr>
      </w:pPr>
      <w:r w:rsidRPr="0084770B">
        <w:rPr>
          <w:rFonts w:cstheme="minorHAnsi"/>
          <w:sz w:val="24"/>
          <w:szCs w:val="24"/>
        </w:rPr>
        <w:t xml:space="preserve">Results from our mixed models show that treatment had </w:t>
      </w:r>
      <w:r w:rsidRPr="00E67192">
        <w:rPr>
          <w:rFonts w:cstheme="minorHAnsi"/>
          <w:sz w:val="24"/>
          <w:szCs w:val="24"/>
        </w:rPr>
        <w:t>a significant effect on the</w:t>
      </w:r>
      <w:r>
        <w:rPr>
          <w:rFonts w:cstheme="minorHAnsi"/>
          <w:sz w:val="24"/>
          <w:szCs w:val="24"/>
        </w:rPr>
        <w:t xml:space="preserve"> major and</w:t>
      </w:r>
      <w:r w:rsidRPr="00E67192">
        <w:rPr>
          <w:rFonts w:cstheme="minorHAnsi"/>
          <w:sz w:val="24"/>
          <w:szCs w:val="24"/>
        </w:rPr>
        <w:t xml:space="preserve"> minor diameter and a marginally significant effect on the measured and calculated area (Supplemental Table S2). Otoliths were all-around smaller when parents were on the ‘low ration’ (</w:t>
      </w:r>
      <w:r w:rsidR="000171B5" w:rsidRPr="00E67192">
        <w:rPr>
          <w:rFonts w:cstheme="minorHAnsi"/>
          <w:sz w:val="24"/>
          <w:szCs w:val="24"/>
        </w:rPr>
        <w:t>Supplemental Table S2</w:t>
      </w:r>
      <w:r w:rsidR="000171B5">
        <w:rPr>
          <w:rFonts w:cstheme="minorHAnsi"/>
          <w:sz w:val="24"/>
          <w:szCs w:val="24"/>
        </w:rPr>
        <w:t xml:space="preserve">; </w:t>
      </w:r>
      <w:r w:rsidRPr="00E67192">
        <w:rPr>
          <w:rFonts w:cstheme="minorHAnsi"/>
          <w:sz w:val="24"/>
          <w:szCs w:val="24"/>
        </w:rPr>
        <w:t>Supplemental Figure S4).</w:t>
      </w:r>
      <w:r w:rsidRPr="0084770B">
        <w:rPr>
          <w:rFonts w:cstheme="minorHAnsi"/>
          <w:sz w:val="24"/>
          <w:szCs w:val="24"/>
        </w:rPr>
        <w:t xml:space="preserve"> </w:t>
      </w:r>
      <w:r>
        <w:rPr>
          <w:rFonts w:cstheme="minorHAnsi"/>
          <w:sz w:val="24"/>
          <w:szCs w:val="24"/>
        </w:rPr>
        <w:t>The effect of treatment from our final models for each otolith metric</w:t>
      </w:r>
      <w:r w:rsidRPr="0084770B">
        <w:rPr>
          <w:rFonts w:cstheme="minorHAnsi"/>
          <w:sz w:val="24"/>
          <w:szCs w:val="24"/>
        </w:rPr>
        <w:t xml:space="preserve"> </w:t>
      </w:r>
      <w:r>
        <w:rPr>
          <w:rFonts w:cstheme="minorHAnsi"/>
          <w:sz w:val="24"/>
          <w:szCs w:val="24"/>
        </w:rPr>
        <w:t xml:space="preserve">are reported below (Supplemental Table S1). For </w:t>
      </w:r>
      <w:r w:rsidR="00C155F9">
        <w:rPr>
          <w:rFonts w:cstheme="minorHAnsi"/>
          <w:sz w:val="24"/>
          <w:szCs w:val="24"/>
        </w:rPr>
        <w:t>major diameter</w:t>
      </w:r>
      <w:r>
        <w:rPr>
          <w:rFonts w:cstheme="minorHAnsi"/>
          <w:sz w:val="24"/>
          <w:szCs w:val="24"/>
        </w:rPr>
        <w:t xml:space="preserve">, which is reported in the paper, </w:t>
      </w:r>
      <w:r w:rsidRPr="006651E9">
        <w:rPr>
          <w:rFonts w:cstheme="minorHAnsi"/>
          <w:sz w:val="24"/>
          <w:szCs w:val="24"/>
        </w:rPr>
        <w:t>neither round nor the interaction between treatment and round were significant predictors and were removed from the final model.</w:t>
      </w:r>
      <w:r>
        <w:rPr>
          <w:rFonts w:cstheme="minorHAnsi"/>
          <w:sz w:val="24"/>
          <w:szCs w:val="24"/>
        </w:rPr>
        <w:t xml:space="preserve"> For </w:t>
      </w:r>
      <w:r w:rsidR="00C155F9">
        <w:rPr>
          <w:rFonts w:cstheme="minorHAnsi"/>
          <w:sz w:val="24"/>
          <w:szCs w:val="24"/>
        </w:rPr>
        <w:t>minor diameter</w:t>
      </w:r>
      <w:r>
        <w:rPr>
          <w:rFonts w:cstheme="minorHAnsi"/>
          <w:sz w:val="24"/>
          <w:szCs w:val="24"/>
        </w:rPr>
        <w:t xml:space="preserve">, </w:t>
      </w:r>
      <w:r w:rsidR="00C155F9">
        <w:rPr>
          <w:rFonts w:cstheme="minorHAnsi"/>
          <w:sz w:val="24"/>
          <w:szCs w:val="24"/>
        </w:rPr>
        <w:t xml:space="preserve">the interaction between </w:t>
      </w:r>
      <w:r>
        <w:rPr>
          <w:rFonts w:cstheme="minorHAnsi"/>
          <w:sz w:val="24"/>
          <w:szCs w:val="24"/>
        </w:rPr>
        <w:t xml:space="preserve">treatment and round </w:t>
      </w:r>
      <w:r w:rsidR="00C155F9">
        <w:rPr>
          <w:rFonts w:cstheme="minorHAnsi"/>
          <w:sz w:val="24"/>
          <w:szCs w:val="24"/>
        </w:rPr>
        <w:t>was not a</w:t>
      </w:r>
      <w:r>
        <w:rPr>
          <w:rFonts w:cstheme="minorHAnsi"/>
          <w:sz w:val="24"/>
          <w:szCs w:val="24"/>
        </w:rPr>
        <w:t xml:space="preserve"> significant predicator, and </w:t>
      </w:r>
      <w:r w:rsidR="00C155F9">
        <w:rPr>
          <w:rFonts w:cstheme="minorHAnsi"/>
          <w:sz w:val="24"/>
          <w:szCs w:val="24"/>
        </w:rPr>
        <w:t xml:space="preserve">was removed from the final model. </w:t>
      </w:r>
      <w:r>
        <w:rPr>
          <w:rFonts w:cstheme="minorHAnsi"/>
          <w:sz w:val="24"/>
          <w:szCs w:val="24"/>
        </w:rPr>
        <w:t xml:space="preserve">For </w:t>
      </w:r>
      <w:r w:rsidR="00C155F9">
        <w:rPr>
          <w:rFonts w:cstheme="minorHAnsi"/>
          <w:sz w:val="24"/>
          <w:szCs w:val="24"/>
        </w:rPr>
        <w:t>the measured</w:t>
      </w:r>
      <w:r>
        <w:rPr>
          <w:rFonts w:cstheme="minorHAnsi"/>
          <w:sz w:val="24"/>
          <w:szCs w:val="24"/>
        </w:rPr>
        <w:t xml:space="preserve"> area, </w:t>
      </w:r>
      <w:r w:rsidRPr="006651E9">
        <w:rPr>
          <w:rFonts w:cstheme="minorHAnsi"/>
          <w:sz w:val="24"/>
          <w:szCs w:val="24"/>
        </w:rPr>
        <w:t>neither round nor the interaction between treatment and round were significant predictors and were removed from the final model.</w:t>
      </w:r>
      <w:r>
        <w:rPr>
          <w:rFonts w:cstheme="minorHAnsi"/>
          <w:sz w:val="24"/>
          <w:szCs w:val="24"/>
        </w:rPr>
        <w:t xml:space="preserve"> For </w:t>
      </w:r>
      <w:r w:rsidR="00C155F9">
        <w:rPr>
          <w:rFonts w:cstheme="minorHAnsi"/>
          <w:sz w:val="24"/>
          <w:szCs w:val="24"/>
        </w:rPr>
        <w:t>the calculated area</w:t>
      </w:r>
      <w:r>
        <w:rPr>
          <w:rFonts w:cstheme="minorHAnsi"/>
          <w:sz w:val="24"/>
          <w:szCs w:val="24"/>
        </w:rPr>
        <w:t xml:space="preserve">, </w:t>
      </w:r>
      <w:r w:rsidRPr="006651E9">
        <w:rPr>
          <w:rFonts w:cstheme="minorHAnsi"/>
          <w:sz w:val="24"/>
          <w:szCs w:val="24"/>
        </w:rPr>
        <w:t xml:space="preserve">the interaction between treatment and round </w:t>
      </w:r>
      <w:r>
        <w:rPr>
          <w:rFonts w:cstheme="minorHAnsi"/>
          <w:sz w:val="24"/>
          <w:szCs w:val="24"/>
        </w:rPr>
        <w:t>was not a</w:t>
      </w:r>
      <w:r w:rsidRPr="006651E9">
        <w:rPr>
          <w:rFonts w:cstheme="minorHAnsi"/>
          <w:sz w:val="24"/>
          <w:szCs w:val="24"/>
        </w:rPr>
        <w:t xml:space="preserve"> significant predictor and </w:t>
      </w:r>
      <w:r>
        <w:rPr>
          <w:rFonts w:cstheme="minorHAnsi"/>
          <w:sz w:val="24"/>
          <w:szCs w:val="24"/>
        </w:rPr>
        <w:t>was</w:t>
      </w:r>
      <w:r w:rsidRPr="006651E9">
        <w:rPr>
          <w:rFonts w:cstheme="minorHAnsi"/>
          <w:sz w:val="24"/>
          <w:szCs w:val="24"/>
        </w:rPr>
        <w:t xml:space="preserve"> removed from the final model</w:t>
      </w:r>
      <w:r>
        <w:rPr>
          <w:rFonts w:cstheme="minorHAnsi"/>
          <w:sz w:val="24"/>
          <w:szCs w:val="24"/>
        </w:rPr>
        <w:t>.</w:t>
      </w:r>
    </w:p>
    <w:p w14:paraId="5CC4A95B" w14:textId="77777777" w:rsidR="00E67192" w:rsidRPr="0084770B" w:rsidRDefault="00E67192" w:rsidP="00E67192">
      <w:pPr>
        <w:spacing w:line="240" w:lineRule="auto"/>
        <w:rPr>
          <w:rFonts w:cstheme="minorHAnsi"/>
          <w:sz w:val="24"/>
          <w:szCs w:val="24"/>
        </w:rPr>
      </w:pPr>
    </w:p>
    <w:p w14:paraId="7FA1FF1E" w14:textId="2837A8F9" w:rsidR="00E67192" w:rsidRPr="0084770B" w:rsidRDefault="00E67192" w:rsidP="00E67192">
      <w:pPr>
        <w:spacing w:line="240" w:lineRule="auto"/>
        <w:rPr>
          <w:rFonts w:cstheme="minorHAnsi"/>
          <w:sz w:val="20"/>
          <w:szCs w:val="20"/>
        </w:rPr>
      </w:pPr>
      <w:r w:rsidRPr="0084770B">
        <w:rPr>
          <w:rFonts w:cstheme="minorHAnsi"/>
          <w:b/>
          <w:bCs/>
          <w:sz w:val="20"/>
          <w:szCs w:val="20"/>
        </w:rPr>
        <w:t>Supplemental Table S</w:t>
      </w:r>
      <w:r w:rsidR="00F6013B">
        <w:rPr>
          <w:rFonts w:cstheme="minorHAnsi"/>
          <w:b/>
          <w:bCs/>
          <w:sz w:val="20"/>
          <w:szCs w:val="20"/>
        </w:rPr>
        <w:t>2</w:t>
      </w:r>
      <w:r w:rsidRPr="0084770B">
        <w:rPr>
          <w:rFonts w:cstheme="minorHAnsi"/>
          <w:b/>
          <w:bCs/>
          <w:sz w:val="20"/>
          <w:szCs w:val="20"/>
        </w:rPr>
        <w:t>. Mixed Model Result Summary</w:t>
      </w:r>
      <w:r w:rsidR="00F6013B">
        <w:rPr>
          <w:rFonts w:cstheme="minorHAnsi"/>
          <w:b/>
          <w:bCs/>
          <w:sz w:val="20"/>
          <w:szCs w:val="20"/>
        </w:rPr>
        <w:t xml:space="preserve"> for Otolith Metrics</w:t>
      </w:r>
      <w:r w:rsidRPr="0084770B">
        <w:rPr>
          <w:rFonts w:cstheme="minorHAnsi"/>
          <w:b/>
          <w:bCs/>
          <w:sz w:val="20"/>
          <w:szCs w:val="20"/>
        </w:rPr>
        <w:t>.</w:t>
      </w:r>
      <w:r w:rsidRPr="0084770B">
        <w:rPr>
          <w:rFonts w:cstheme="minorHAnsi"/>
          <w:sz w:val="20"/>
          <w:szCs w:val="20"/>
        </w:rPr>
        <w:t xml:space="preserve"> Effect of </w:t>
      </w:r>
      <w:r>
        <w:rPr>
          <w:rFonts w:cstheme="minorHAnsi"/>
          <w:sz w:val="20"/>
          <w:szCs w:val="20"/>
        </w:rPr>
        <w:t>l</w:t>
      </w:r>
      <w:r w:rsidRPr="0084770B">
        <w:rPr>
          <w:rFonts w:cstheme="minorHAnsi"/>
          <w:sz w:val="20"/>
          <w:szCs w:val="20"/>
        </w:rPr>
        <w:t xml:space="preserve">ow </w:t>
      </w:r>
      <w:r>
        <w:rPr>
          <w:rFonts w:cstheme="minorHAnsi"/>
          <w:sz w:val="20"/>
          <w:szCs w:val="20"/>
        </w:rPr>
        <w:t>r</w:t>
      </w:r>
      <w:r w:rsidRPr="0084770B">
        <w:rPr>
          <w:rFonts w:cstheme="minorHAnsi"/>
          <w:sz w:val="20"/>
          <w:szCs w:val="20"/>
        </w:rPr>
        <w:t xml:space="preserve">ation </w:t>
      </w:r>
      <w:r>
        <w:rPr>
          <w:rFonts w:cstheme="minorHAnsi"/>
          <w:sz w:val="20"/>
          <w:szCs w:val="20"/>
        </w:rPr>
        <w:t>t</w:t>
      </w:r>
      <w:r w:rsidRPr="0084770B">
        <w:rPr>
          <w:rFonts w:cstheme="minorHAnsi"/>
          <w:sz w:val="20"/>
          <w:szCs w:val="20"/>
        </w:rPr>
        <w:t xml:space="preserve">reatment on </w:t>
      </w:r>
      <w:r w:rsidR="00F6013B">
        <w:rPr>
          <w:rFonts w:cstheme="minorHAnsi"/>
          <w:sz w:val="20"/>
          <w:szCs w:val="20"/>
        </w:rPr>
        <w:t xml:space="preserve">larval otolith major diameter, minor diameter, measured area, and calculated area. </w:t>
      </w:r>
      <w:r w:rsidRPr="0084770B">
        <w:rPr>
          <w:rFonts w:cstheme="minorHAnsi"/>
          <w:sz w:val="20"/>
          <w:szCs w:val="20"/>
        </w:rPr>
        <w:t xml:space="preserve"> </w:t>
      </w:r>
    </w:p>
    <w:tbl>
      <w:tblPr>
        <w:tblStyle w:val="TableGrid"/>
        <w:tblW w:w="9355" w:type="dxa"/>
        <w:tblLook w:val="04A0" w:firstRow="1" w:lastRow="0" w:firstColumn="1" w:lastColumn="0" w:noHBand="0" w:noVBand="1"/>
      </w:tblPr>
      <w:tblGrid>
        <w:gridCol w:w="2155"/>
        <w:gridCol w:w="1530"/>
        <w:gridCol w:w="1260"/>
        <w:gridCol w:w="1530"/>
        <w:gridCol w:w="1350"/>
        <w:gridCol w:w="1530"/>
      </w:tblGrid>
      <w:tr w:rsidR="00FB1265" w:rsidRPr="00BC5DF3" w14:paraId="69CF1F48" w14:textId="77777777" w:rsidTr="00FB1265">
        <w:tc>
          <w:tcPr>
            <w:tcW w:w="2155" w:type="dxa"/>
          </w:tcPr>
          <w:p w14:paraId="04C513CB" w14:textId="77777777" w:rsidR="00E67192" w:rsidRPr="00BC5DF3" w:rsidRDefault="00E67192" w:rsidP="001B3BF9">
            <w:pPr>
              <w:rPr>
                <w:rFonts w:cstheme="minorHAnsi"/>
              </w:rPr>
            </w:pPr>
          </w:p>
        </w:tc>
        <w:tc>
          <w:tcPr>
            <w:tcW w:w="1530" w:type="dxa"/>
          </w:tcPr>
          <w:p w14:paraId="179509D2" w14:textId="77777777" w:rsidR="00E67192" w:rsidRPr="00BC5DF3" w:rsidRDefault="00E67192" w:rsidP="001B3BF9">
            <w:pPr>
              <w:rPr>
                <w:rFonts w:cstheme="minorHAnsi"/>
              </w:rPr>
            </w:pPr>
            <w:r w:rsidRPr="00BC5DF3">
              <w:rPr>
                <w:rFonts w:cstheme="minorHAnsi"/>
              </w:rPr>
              <w:t>Regression Coefficient</w:t>
            </w:r>
          </w:p>
        </w:tc>
        <w:tc>
          <w:tcPr>
            <w:tcW w:w="1260" w:type="dxa"/>
          </w:tcPr>
          <w:p w14:paraId="4BA6842C" w14:textId="77777777" w:rsidR="00E67192" w:rsidRPr="00BC5DF3" w:rsidRDefault="00E67192" w:rsidP="001B3BF9">
            <w:pPr>
              <w:rPr>
                <w:rFonts w:cstheme="minorHAnsi"/>
              </w:rPr>
            </w:pPr>
            <w:r w:rsidRPr="00BC5DF3">
              <w:rPr>
                <w:rFonts w:cstheme="minorHAnsi"/>
              </w:rPr>
              <w:t>t-value</w:t>
            </w:r>
          </w:p>
        </w:tc>
        <w:tc>
          <w:tcPr>
            <w:tcW w:w="1530" w:type="dxa"/>
          </w:tcPr>
          <w:p w14:paraId="4E295F61" w14:textId="77777777" w:rsidR="00E67192" w:rsidRPr="00BC5DF3" w:rsidRDefault="00E67192" w:rsidP="001B3BF9">
            <w:pPr>
              <w:rPr>
                <w:rFonts w:cstheme="minorHAnsi"/>
              </w:rPr>
            </w:pPr>
            <w:r w:rsidRPr="00BC5DF3">
              <w:rPr>
                <w:rFonts w:cstheme="minorHAnsi"/>
              </w:rPr>
              <w:t>Degrees of Freedom</w:t>
            </w:r>
          </w:p>
        </w:tc>
        <w:tc>
          <w:tcPr>
            <w:tcW w:w="1350" w:type="dxa"/>
          </w:tcPr>
          <w:p w14:paraId="243CEC73" w14:textId="77777777" w:rsidR="00E67192" w:rsidRPr="00BC5DF3" w:rsidRDefault="00E67192" w:rsidP="001B3BF9">
            <w:pPr>
              <w:rPr>
                <w:rFonts w:cstheme="minorHAnsi"/>
              </w:rPr>
            </w:pPr>
            <w:r w:rsidRPr="00BC5DF3">
              <w:rPr>
                <w:rFonts w:cstheme="minorHAnsi"/>
              </w:rPr>
              <w:t>p-value</w:t>
            </w:r>
          </w:p>
        </w:tc>
        <w:tc>
          <w:tcPr>
            <w:tcW w:w="1530" w:type="dxa"/>
          </w:tcPr>
          <w:p w14:paraId="5047B3F2" w14:textId="77777777" w:rsidR="00E67192" w:rsidRPr="00BC5DF3" w:rsidRDefault="00E67192" w:rsidP="001B3BF9">
            <w:pPr>
              <w:rPr>
                <w:rFonts w:cstheme="minorHAnsi"/>
              </w:rPr>
            </w:pPr>
            <w:r w:rsidRPr="00BC5DF3">
              <w:rPr>
                <w:rFonts w:cstheme="minorHAnsi"/>
              </w:rPr>
              <w:t>Adj. R</w:t>
            </w:r>
            <w:r w:rsidRPr="00BC5DF3">
              <w:rPr>
                <w:rFonts w:cstheme="minorHAnsi"/>
                <w:vertAlign w:val="superscript"/>
              </w:rPr>
              <w:t>2</w:t>
            </w:r>
          </w:p>
        </w:tc>
      </w:tr>
      <w:tr w:rsidR="00FB1265" w:rsidRPr="00BC5DF3" w14:paraId="564D70DA" w14:textId="77777777" w:rsidTr="00FB1265">
        <w:tc>
          <w:tcPr>
            <w:tcW w:w="2155" w:type="dxa"/>
          </w:tcPr>
          <w:p w14:paraId="49EFFB3A" w14:textId="4E3E57D4" w:rsidR="00E67192" w:rsidRPr="00BC5DF3" w:rsidRDefault="00FA22B0" w:rsidP="001B3BF9">
            <w:pPr>
              <w:rPr>
                <w:rFonts w:cstheme="minorHAnsi"/>
              </w:rPr>
            </w:pPr>
            <w:r>
              <w:rPr>
                <w:rFonts w:cstheme="minorHAnsi"/>
              </w:rPr>
              <w:t>Major Diameter</w:t>
            </w:r>
          </w:p>
        </w:tc>
        <w:tc>
          <w:tcPr>
            <w:tcW w:w="1530" w:type="dxa"/>
          </w:tcPr>
          <w:p w14:paraId="1685B365" w14:textId="424F17D1" w:rsidR="00E67192" w:rsidRPr="00BC5DF3" w:rsidRDefault="00FA22B0" w:rsidP="001B3BF9">
            <w:pPr>
              <w:rPr>
                <w:rFonts w:cstheme="minorHAnsi"/>
              </w:rPr>
            </w:pPr>
            <w:r>
              <w:rPr>
                <w:rFonts w:cstheme="minorHAnsi"/>
              </w:rPr>
              <w:t>- 1.3009 µm</w:t>
            </w:r>
          </w:p>
        </w:tc>
        <w:tc>
          <w:tcPr>
            <w:tcW w:w="1260" w:type="dxa"/>
          </w:tcPr>
          <w:p w14:paraId="223FDC92" w14:textId="4BC84A33" w:rsidR="00E67192" w:rsidRPr="00BC5DF3" w:rsidRDefault="00FA22B0" w:rsidP="001B3BF9">
            <w:pPr>
              <w:rPr>
                <w:rFonts w:cstheme="minorHAnsi"/>
              </w:rPr>
            </w:pPr>
            <w:r>
              <w:rPr>
                <w:rFonts w:cstheme="minorHAnsi"/>
              </w:rPr>
              <w:t>- 2.22</w:t>
            </w:r>
          </w:p>
        </w:tc>
        <w:tc>
          <w:tcPr>
            <w:tcW w:w="1530" w:type="dxa"/>
          </w:tcPr>
          <w:p w14:paraId="06FD8D55" w14:textId="4537E821" w:rsidR="00E67192" w:rsidRPr="00BC5DF3" w:rsidRDefault="00FA22B0" w:rsidP="001B3BF9">
            <w:pPr>
              <w:rPr>
                <w:rFonts w:cstheme="minorHAnsi"/>
              </w:rPr>
            </w:pPr>
            <w:r>
              <w:rPr>
                <w:rFonts w:cstheme="minorHAnsi"/>
              </w:rPr>
              <w:t>399</w:t>
            </w:r>
          </w:p>
        </w:tc>
        <w:tc>
          <w:tcPr>
            <w:tcW w:w="1350" w:type="dxa"/>
          </w:tcPr>
          <w:p w14:paraId="4823A383" w14:textId="121B3B1A" w:rsidR="00E67192" w:rsidRPr="00BC5DF3" w:rsidRDefault="00FA22B0" w:rsidP="001B3BF9">
            <w:pPr>
              <w:rPr>
                <w:rFonts w:cstheme="minorHAnsi"/>
              </w:rPr>
            </w:pPr>
            <w:r>
              <w:rPr>
                <w:rFonts w:cstheme="minorHAnsi"/>
              </w:rPr>
              <w:t>0.027</w:t>
            </w:r>
          </w:p>
        </w:tc>
        <w:tc>
          <w:tcPr>
            <w:tcW w:w="1530" w:type="dxa"/>
          </w:tcPr>
          <w:p w14:paraId="1A44A3D2" w14:textId="0B27AB95" w:rsidR="00E67192" w:rsidRPr="00BC5DF3" w:rsidRDefault="00FA22B0" w:rsidP="001B3BF9">
            <w:pPr>
              <w:rPr>
                <w:rFonts w:cstheme="minorHAnsi"/>
              </w:rPr>
            </w:pPr>
            <w:r>
              <w:rPr>
                <w:rFonts w:cstheme="minorHAnsi"/>
              </w:rPr>
              <w:t>0.009</w:t>
            </w:r>
          </w:p>
        </w:tc>
      </w:tr>
      <w:tr w:rsidR="00FB1265" w:rsidRPr="00BC5DF3" w14:paraId="3BE79866" w14:textId="77777777" w:rsidTr="00FB1265">
        <w:tc>
          <w:tcPr>
            <w:tcW w:w="2155" w:type="dxa"/>
          </w:tcPr>
          <w:p w14:paraId="73EF328F" w14:textId="0383EA15" w:rsidR="00E67192" w:rsidRPr="00BC5DF3" w:rsidRDefault="00FA22B0" w:rsidP="001B3BF9">
            <w:pPr>
              <w:rPr>
                <w:rFonts w:cstheme="minorHAnsi"/>
              </w:rPr>
            </w:pPr>
            <w:r>
              <w:rPr>
                <w:rFonts w:cstheme="minorHAnsi"/>
              </w:rPr>
              <w:t>Minor Diameter</w:t>
            </w:r>
          </w:p>
        </w:tc>
        <w:tc>
          <w:tcPr>
            <w:tcW w:w="1530" w:type="dxa"/>
          </w:tcPr>
          <w:p w14:paraId="3A739036" w14:textId="68F8592A" w:rsidR="00E67192" w:rsidRPr="00BC5DF3" w:rsidRDefault="00FA22B0" w:rsidP="001B3BF9">
            <w:pPr>
              <w:rPr>
                <w:rFonts w:cstheme="minorHAnsi"/>
              </w:rPr>
            </w:pPr>
            <w:r>
              <w:rPr>
                <w:rFonts w:cstheme="minorHAnsi"/>
              </w:rPr>
              <w:t>- 0.9416 µm</w:t>
            </w:r>
          </w:p>
        </w:tc>
        <w:tc>
          <w:tcPr>
            <w:tcW w:w="1260" w:type="dxa"/>
          </w:tcPr>
          <w:p w14:paraId="7E702F9F" w14:textId="2A03C021" w:rsidR="00E67192" w:rsidRPr="00BC5DF3" w:rsidRDefault="00FA22B0" w:rsidP="001B3BF9">
            <w:pPr>
              <w:rPr>
                <w:rFonts w:cstheme="minorHAnsi"/>
              </w:rPr>
            </w:pPr>
            <w:r>
              <w:rPr>
                <w:rFonts w:cstheme="minorHAnsi"/>
              </w:rPr>
              <w:t>- 1.</w:t>
            </w:r>
            <w:r w:rsidR="007B2616">
              <w:rPr>
                <w:rFonts w:cstheme="minorHAnsi"/>
              </w:rPr>
              <w:t>965</w:t>
            </w:r>
          </w:p>
        </w:tc>
        <w:tc>
          <w:tcPr>
            <w:tcW w:w="1530" w:type="dxa"/>
          </w:tcPr>
          <w:p w14:paraId="30DFD5F5" w14:textId="53F0A4B6" w:rsidR="00E67192" w:rsidRPr="00BC5DF3" w:rsidRDefault="007B2616" w:rsidP="001B3BF9">
            <w:pPr>
              <w:rPr>
                <w:rFonts w:cstheme="minorHAnsi"/>
              </w:rPr>
            </w:pPr>
            <w:r>
              <w:rPr>
                <w:rFonts w:cstheme="minorHAnsi"/>
              </w:rPr>
              <w:t>398</w:t>
            </w:r>
          </w:p>
        </w:tc>
        <w:tc>
          <w:tcPr>
            <w:tcW w:w="1350" w:type="dxa"/>
          </w:tcPr>
          <w:p w14:paraId="161FE0C3" w14:textId="5F41C797" w:rsidR="00E67192" w:rsidRPr="00BC5DF3" w:rsidRDefault="007B2616" w:rsidP="001B3BF9">
            <w:pPr>
              <w:rPr>
                <w:rFonts w:cstheme="minorHAnsi"/>
              </w:rPr>
            </w:pPr>
            <w:r>
              <w:rPr>
                <w:rFonts w:cstheme="minorHAnsi"/>
              </w:rPr>
              <w:t>0.0371</w:t>
            </w:r>
          </w:p>
        </w:tc>
        <w:tc>
          <w:tcPr>
            <w:tcW w:w="1530" w:type="dxa"/>
          </w:tcPr>
          <w:p w14:paraId="5FFE5AA0" w14:textId="3941CE20" w:rsidR="00E67192" w:rsidRPr="00BC5DF3" w:rsidRDefault="00E67192" w:rsidP="001B3BF9">
            <w:pPr>
              <w:rPr>
                <w:rFonts w:cstheme="minorHAnsi"/>
              </w:rPr>
            </w:pPr>
            <w:r w:rsidRPr="00BC5DF3">
              <w:rPr>
                <w:rFonts w:cstheme="minorHAnsi"/>
              </w:rPr>
              <w:t>0.0</w:t>
            </w:r>
            <w:r w:rsidR="007B2616">
              <w:rPr>
                <w:rFonts w:cstheme="minorHAnsi"/>
              </w:rPr>
              <w:t>19</w:t>
            </w:r>
          </w:p>
        </w:tc>
      </w:tr>
      <w:tr w:rsidR="00FB1265" w:rsidRPr="00BC5DF3" w14:paraId="61D58EC0" w14:textId="77777777" w:rsidTr="00FB1265">
        <w:tc>
          <w:tcPr>
            <w:tcW w:w="2155" w:type="dxa"/>
          </w:tcPr>
          <w:p w14:paraId="3ECE4697" w14:textId="01064CE3" w:rsidR="00E67192" w:rsidRPr="00BC5DF3" w:rsidRDefault="00FA22B0" w:rsidP="001B3BF9">
            <w:pPr>
              <w:rPr>
                <w:rFonts w:cstheme="minorHAnsi"/>
              </w:rPr>
            </w:pPr>
            <w:r>
              <w:rPr>
                <w:rFonts w:cstheme="minorHAnsi"/>
              </w:rPr>
              <w:t>Measured Area</w:t>
            </w:r>
          </w:p>
        </w:tc>
        <w:tc>
          <w:tcPr>
            <w:tcW w:w="1530" w:type="dxa"/>
          </w:tcPr>
          <w:p w14:paraId="0A76D7EA" w14:textId="07F4926D" w:rsidR="00E67192" w:rsidRPr="00BC5DF3" w:rsidRDefault="007B2616" w:rsidP="001B3BF9">
            <w:pPr>
              <w:rPr>
                <w:rFonts w:cstheme="minorHAnsi"/>
                <w:vertAlign w:val="superscript"/>
              </w:rPr>
            </w:pPr>
            <w:r>
              <w:rPr>
                <w:rFonts w:cstheme="minorHAnsi"/>
              </w:rPr>
              <w:t>- 11.467</w:t>
            </w:r>
            <w:r w:rsidR="00E67192" w:rsidRPr="00BC5DF3">
              <w:rPr>
                <w:rFonts w:cstheme="minorHAnsi"/>
              </w:rPr>
              <w:t xml:space="preserve"> </w:t>
            </w:r>
            <w:r>
              <w:rPr>
                <w:rFonts w:cstheme="minorHAnsi"/>
              </w:rPr>
              <w:t>µm</w:t>
            </w:r>
            <w:r w:rsidRPr="00BC5DF3">
              <w:rPr>
                <w:rFonts w:cstheme="minorHAnsi"/>
                <w:vertAlign w:val="superscript"/>
              </w:rPr>
              <w:t xml:space="preserve"> </w:t>
            </w:r>
            <w:r w:rsidR="00E67192" w:rsidRPr="00BC5DF3">
              <w:rPr>
                <w:rFonts w:cstheme="minorHAnsi"/>
                <w:vertAlign w:val="superscript"/>
              </w:rPr>
              <w:t>2</w:t>
            </w:r>
          </w:p>
        </w:tc>
        <w:tc>
          <w:tcPr>
            <w:tcW w:w="1260" w:type="dxa"/>
          </w:tcPr>
          <w:p w14:paraId="0C45E34F" w14:textId="35A98F05" w:rsidR="00E67192" w:rsidRPr="00BC5DF3" w:rsidRDefault="007B2616" w:rsidP="001B3BF9">
            <w:pPr>
              <w:rPr>
                <w:rFonts w:cstheme="minorHAnsi"/>
              </w:rPr>
            </w:pPr>
            <w:r>
              <w:rPr>
                <w:rFonts w:cstheme="minorHAnsi"/>
              </w:rPr>
              <w:t>- 1.705</w:t>
            </w:r>
          </w:p>
        </w:tc>
        <w:tc>
          <w:tcPr>
            <w:tcW w:w="1530" w:type="dxa"/>
          </w:tcPr>
          <w:p w14:paraId="702E031F" w14:textId="795CEB94" w:rsidR="00E67192" w:rsidRPr="00BC5DF3" w:rsidRDefault="007B2616" w:rsidP="001B3BF9">
            <w:pPr>
              <w:rPr>
                <w:rFonts w:cstheme="minorHAnsi"/>
              </w:rPr>
            </w:pPr>
            <w:r>
              <w:rPr>
                <w:rFonts w:cstheme="minorHAnsi"/>
              </w:rPr>
              <w:t>399</w:t>
            </w:r>
          </w:p>
        </w:tc>
        <w:tc>
          <w:tcPr>
            <w:tcW w:w="1350" w:type="dxa"/>
          </w:tcPr>
          <w:p w14:paraId="303AA9A9" w14:textId="4EF2E04C" w:rsidR="00E67192" w:rsidRPr="00BC5DF3" w:rsidRDefault="007B2616" w:rsidP="001B3BF9">
            <w:pPr>
              <w:rPr>
                <w:rFonts w:cstheme="minorHAnsi"/>
              </w:rPr>
            </w:pPr>
            <w:r>
              <w:rPr>
                <w:rFonts w:cstheme="minorHAnsi"/>
              </w:rPr>
              <w:t>0.0891</w:t>
            </w:r>
          </w:p>
        </w:tc>
        <w:tc>
          <w:tcPr>
            <w:tcW w:w="1530" w:type="dxa"/>
          </w:tcPr>
          <w:p w14:paraId="558B735D" w14:textId="42A5FDEF" w:rsidR="00E67192" w:rsidRPr="00BC5DF3" w:rsidRDefault="00E67192" w:rsidP="001B3BF9">
            <w:pPr>
              <w:rPr>
                <w:rFonts w:cstheme="minorHAnsi"/>
              </w:rPr>
            </w:pPr>
            <w:r w:rsidRPr="00BC5DF3">
              <w:rPr>
                <w:rFonts w:cstheme="minorHAnsi"/>
              </w:rPr>
              <w:t>0.</w:t>
            </w:r>
            <w:r w:rsidR="007B2616">
              <w:rPr>
                <w:rFonts w:cstheme="minorHAnsi"/>
              </w:rPr>
              <w:t>005</w:t>
            </w:r>
          </w:p>
        </w:tc>
      </w:tr>
      <w:tr w:rsidR="00FB1265" w:rsidRPr="00BC5DF3" w14:paraId="401B5B3C" w14:textId="77777777" w:rsidTr="00FB1265">
        <w:tc>
          <w:tcPr>
            <w:tcW w:w="2155" w:type="dxa"/>
          </w:tcPr>
          <w:p w14:paraId="58D23F07" w14:textId="70F9E08D" w:rsidR="00E67192" w:rsidRPr="00BC5DF3" w:rsidRDefault="00FA22B0" w:rsidP="001B3BF9">
            <w:pPr>
              <w:rPr>
                <w:rFonts w:cstheme="minorHAnsi"/>
              </w:rPr>
            </w:pPr>
            <w:r>
              <w:rPr>
                <w:rFonts w:cstheme="minorHAnsi"/>
              </w:rPr>
              <w:t xml:space="preserve">Calculated Area </w:t>
            </w:r>
          </w:p>
        </w:tc>
        <w:tc>
          <w:tcPr>
            <w:tcW w:w="1530" w:type="dxa"/>
          </w:tcPr>
          <w:p w14:paraId="14C8E33C" w14:textId="74D16FDA" w:rsidR="00E67192" w:rsidRPr="00BC5DF3" w:rsidRDefault="007B2616" w:rsidP="001B3BF9">
            <w:pPr>
              <w:rPr>
                <w:rFonts w:cstheme="minorHAnsi"/>
              </w:rPr>
            </w:pPr>
            <w:r>
              <w:rPr>
                <w:rFonts w:cstheme="minorHAnsi"/>
              </w:rPr>
              <w:t>- 13.132</w:t>
            </w:r>
            <w:r w:rsidRPr="00BC5DF3">
              <w:rPr>
                <w:rFonts w:cstheme="minorHAnsi"/>
              </w:rPr>
              <w:t xml:space="preserve"> </w:t>
            </w:r>
            <w:r>
              <w:rPr>
                <w:rFonts w:cstheme="minorHAnsi"/>
              </w:rPr>
              <w:t>µm</w:t>
            </w:r>
            <w:r w:rsidRPr="00BC5DF3">
              <w:rPr>
                <w:rFonts w:cstheme="minorHAnsi"/>
                <w:vertAlign w:val="superscript"/>
              </w:rPr>
              <w:t xml:space="preserve"> 2</w:t>
            </w:r>
          </w:p>
        </w:tc>
        <w:tc>
          <w:tcPr>
            <w:tcW w:w="1260" w:type="dxa"/>
          </w:tcPr>
          <w:p w14:paraId="79C239A7" w14:textId="5C886357" w:rsidR="00E67192" w:rsidRPr="00BC5DF3" w:rsidRDefault="007B2616" w:rsidP="001B3BF9">
            <w:pPr>
              <w:rPr>
                <w:rFonts w:cstheme="minorHAnsi"/>
              </w:rPr>
            </w:pPr>
            <w:r>
              <w:rPr>
                <w:rFonts w:cstheme="minorHAnsi"/>
              </w:rPr>
              <w:t>-1.879</w:t>
            </w:r>
          </w:p>
        </w:tc>
        <w:tc>
          <w:tcPr>
            <w:tcW w:w="1530" w:type="dxa"/>
          </w:tcPr>
          <w:p w14:paraId="2B2AB919" w14:textId="696C8A7B" w:rsidR="00E67192" w:rsidRPr="00BC5DF3" w:rsidRDefault="007B2616" w:rsidP="001B3BF9">
            <w:pPr>
              <w:rPr>
                <w:rFonts w:cstheme="minorHAnsi"/>
              </w:rPr>
            </w:pPr>
            <w:r>
              <w:rPr>
                <w:rFonts w:cstheme="minorHAnsi"/>
              </w:rPr>
              <w:t>398</w:t>
            </w:r>
          </w:p>
        </w:tc>
        <w:tc>
          <w:tcPr>
            <w:tcW w:w="1350" w:type="dxa"/>
          </w:tcPr>
          <w:p w14:paraId="210BD09F" w14:textId="65A8DB76" w:rsidR="00E67192" w:rsidRPr="00BC5DF3" w:rsidRDefault="007B2616" w:rsidP="001B3BF9">
            <w:pPr>
              <w:rPr>
                <w:rFonts w:cstheme="minorHAnsi"/>
              </w:rPr>
            </w:pPr>
            <w:r>
              <w:rPr>
                <w:rFonts w:cstheme="minorHAnsi"/>
              </w:rPr>
              <w:t>0.0728</w:t>
            </w:r>
          </w:p>
        </w:tc>
        <w:tc>
          <w:tcPr>
            <w:tcW w:w="1530" w:type="dxa"/>
          </w:tcPr>
          <w:p w14:paraId="5D4F23C0" w14:textId="1BB81EFC" w:rsidR="00E67192" w:rsidRPr="00BC5DF3" w:rsidRDefault="007B2616" w:rsidP="001B3BF9">
            <w:pPr>
              <w:rPr>
                <w:rFonts w:cstheme="minorHAnsi"/>
              </w:rPr>
            </w:pPr>
            <w:r>
              <w:rPr>
                <w:rFonts w:cstheme="minorHAnsi"/>
              </w:rPr>
              <w:t>0.014</w:t>
            </w:r>
          </w:p>
        </w:tc>
      </w:tr>
    </w:tbl>
    <w:p w14:paraId="0F2D02DA" w14:textId="77777777" w:rsidR="00E67192" w:rsidRDefault="00E67192" w:rsidP="00A65D90">
      <w:pPr>
        <w:spacing w:line="240" w:lineRule="auto"/>
        <w:rPr>
          <w:rFonts w:cstheme="minorHAnsi"/>
          <w:sz w:val="24"/>
          <w:szCs w:val="24"/>
        </w:rPr>
      </w:pPr>
    </w:p>
    <w:p w14:paraId="06E70722" w14:textId="77777777" w:rsidR="00C05846" w:rsidRDefault="00C05846" w:rsidP="00A65D90">
      <w:pPr>
        <w:spacing w:line="240" w:lineRule="auto"/>
        <w:rPr>
          <w:rFonts w:cstheme="minorHAnsi"/>
          <w:sz w:val="24"/>
          <w:szCs w:val="24"/>
        </w:rPr>
      </w:pPr>
    </w:p>
    <w:p w14:paraId="498E521A" w14:textId="77777777" w:rsidR="00C05846" w:rsidRDefault="00C05846" w:rsidP="00A65D90">
      <w:pPr>
        <w:spacing w:line="240" w:lineRule="auto"/>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1"/>
        <w:gridCol w:w="3073"/>
        <w:gridCol w:w="3126"/>
      </w:tblGrid>
      <w:tr w:rsidR="00C05846" w14:paraId="19CE32B4" w14:textId="77777777" w:rsidTr="00C05846">
        <w:tc>
          <w:tcPr>
            <w:tcW w:w="3116" w:type="dxa"/>
          </w:tcPr>
          <w:p w14:paraId="09BEA851" w14:textId="73DC9782" w:rsidR="00FB1265" w:rsidRDefault="00FB1265" w:rsidP="00A65D90">
            <w:pPr>
              <w:rPr>
                <w:rFonts w:cstheme="minorHAnsi"/>
              </w:rPr>
            </w:pPr>
            <w:r>
              <w:rPr>
                <w:rFonts w:cstheme="minorHAnsi"/>
              </w:rPr>
              <w:t>(a)</w:t>
            </w:r>
          </w:p>
        </w:tc>
        <w:tc>
          <w:tcPr>
            <w:tcW w:w="3117" w:type="dxa"/>
          </w:tcPr>
          <w:p w14:paraId="724BD469" w14:textId="27F00F64" w:rsidR="00FB1265" w:rsidRDefault="00FB1265" w:rsidP="00A65D90">
            <w:pPr>
              <w:rPr>
                <w:rFonts w:cstheme="minorHAnsi"/>
              </w:rPr>
            </w:pPr>
            <w:r>
              <w:rPr>
                <w:rFonts w:cstheme="minorHAnsi"/>
              </w:rPr>
              <w:t>(b)</w:t>
            </w:r>
          </w:p>
        </w:tc>
        <w:tc>
          <w:tcPr>
            <w:tcW w:w="3117" w:type="dxa"/>
          </w:tcPr>
          <w:p w14:paraId="6220A7B2" w14:textId="23406074" w:rsidR="00FB1265" w:rsidRDefault="00FB1265" w:rsidP="00A65D90">
            <w:pPr>
              <w:rPr>
                <w:rFonts w:cstheme="minorHAnsi"/>
              </w:rPr>
            </w:pPr>
            <w:r>
              <w:rPr>
                <w:rFonts w:cstheme="minorHAnsi"/>
              </w:rPr>
              <w:t>(c)</w:t>
            </w:r>
          </w:p>
        </w:tc>
      </w:tr>
      <w:tr w:rsidR="00C05846" w14:paraId="1A4315EC" w14:textId="77777777" w:rsidTr="00C05846">
        <w:trPr>
          <w:trHeight w:val="1637"/>
        </w:trPr>
        <w:tc>
          <w:tcPr>
            <w:tcW w:w="3116" w:type="dxa"/>
          </w:tcPr>
          <w:p w14:paraId="167BF178" w14:textId="7CB077AE" w:rsidR="00FB1265" w:rsidRDefault="00FE27B3" w:rsidP="00A65D90">
            <w:pPr>
              <w:rPr>
                <w:rFonts w:cstheme="minorHAnsi"/>
              </w:rPr>
            </w:pPr>
            <w:r>
              <w:rPr>
                <w:rFonts w:cstheme="minorHAnsi"/>
                <w:noProof/>
              </w:rPr>
              <w:drawing>
                <wp:inline distT="0" distB="0" distL="0" distR="0" wp14:anchorId="3861E4F3" wp14:editId="41A7CB95">
                  <wp:extent cx="1909132" cy="1664970"/>
                  <wp:effectExtent l="0" t="0" r="0" b="0"/>
                  <wp:docPr id="20314968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3648"/>
                          <a:stretch/>
                        </pic:blipFill>
                        <pic:spPr bwMode="auto">
                          <a:xfrm>
                            <a:off x="0" y="0"/>
                            <a:ext cx="1947455" cy="1698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14:paraId="2BEB4669" w14:textId="1992E012" w:rsidR="00FB1265" w:rsidRDefault="00D34E89" w:rsidP="00A65D90">
            <w:pPr>
              <w:rPr>
                <w:rFonts w:cstheme="minorHAnsi"/>
              </w:rPr>
            </w:pPr>
            <w:r>
              <w:rPr>
                <w:rFonts w:cstheme="minorHAnsi"/>
                <w:noProof/>
              </w:rPr>
              <w:drawing>
                <wp:inline distT="0" distB="0" distL="0" distR="0" wp14:anchorId="7016FA51" wp14:editId="59193210">
                  <wp:extent cx="1851866" cy="1645920"/>
                  <wp:effectExtent l="0" t="0" r="0" b="0"/>
                  <wp:docPr id="11874899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25080"/>
                          <a:stretch/>
                        </pic:blipFill>
                        <pic:spPr bwMode="auto">
                          <a:xfrm>
                            <a:off x="0" y="0"/>
                            <a:ext cx="1893787" cy="168317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7" w:type="dxa"/>
          </w:tcPr>
          <w:p w14:paraId="7BF8FE5C" w14:textId="4FD9FF6F" w:rsidR="00FB1265" w:rsidRDefault="00C05846" w:rsidP="00A65D90">
            <w:pPr>
              <w:rPr>
                <w:rFonts w:cstheme="minorHAnsi"/>
              </w:rPr>
            </w:pPr>
            <w:r>
              <w:rPr>
                <w:rFonts w:cstheme="minorHAnsi"/>
                <w:noProof/>
              </w:rPr>
              <w:drawing>
                <wp:inline distT="0" distB="0" distL="0" distR="0" wp14:anchorId="1BE7F257" wp14:editId="08C7FBF2">
                  <wp:extent cx="1880022" cy="1645920"/>
                  <wp:effectExtent l="0" t="0" r="6350" b="0"/>
                  <wp:docPr id="52423666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23942"/>
                          <a:stretch/>
                        </pic:blipFill>
                        <pic:spPr bwMode="auto">
                          <a:xfrm>
                            <a:off x="0" y="0"/>
                            <a:ext cx="1895735" cy="165967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CE3D1CB" w14:textId="77777777" w:rsidR="00C05846" w:rsidRDefault="00C05846" w:rsidP="00F6013B">
      <w:pPr>
        <w:spacing w:line="240" w:lineRule="auto"/>
        <w:rPr>
          <w:rFonts w:cstheme="minorHAnsi"/>
          <w:b/>
          <w:bCs/>
        </w:rPr>
      </w:pPr>
    </w:p>
    <w:p w14:paraId="23640029" w14:textId="27F47E64" w:rsidR="00614AAD" w:rsidRPr="000171B5" w:rsidRDefault="00F6013B" w:rsidP="000171B5">
      <w:pPr>
        <w:spacing w:line="240" w:lineRule="auto"/>
        <w:rPr>
          <w:rFonts w:cstheme="minorHAnsi"/>
        </w:rPr>
      </w:pPr>
      <w:r w:rsidRPr="00BC5DF3">
        <w:rPr>
          <w:rFonts w:cstheme="minorHAnsi"/>
          <w:b/>
          <w:bCs/>
        </w:rPr>
        <w:t>Supplemental Figure S</w:t>
      </w:r>
      <w:r w:rsidR="000171B5">
        <w:rPr>
          <w:rFonts w:cstheme="minorHAnsi"/>
          <w:b/>
          <w:bCs/>
        </w:rPr>
        <w:t>4</w:t>
      </w:r>
      <w:r w:rsidRPr="00BC5DF3">
        <w:rPr>
          <w:rFonts w:cstheme="minorHAnsi"/>
          <w:b/>
          <w:bCs/>
        </w:rPr>
        <w:t xml:space="preserve">. Individual Pair Reaction Norms </w:t>
      </w:r>
      <w:r w:rsidRPr="00E141FA">
        <w:rPr>
          <w:rFonts w:cstheme="minorHAnsi"/>
          <w:b/>
          <w:bCs/>
        </w:rPr>
        <w:t>for</w:t>
      </w:r>
      <w:r w:rsidR="00675489">
        <w:rPr>
          <w:rFonts w:cstheme="minorHAnsi"/>
          <w:b/>
          <w:bCs/>
        </w:rPr>
        <w:t xml:space="preserve"> otolith</w:t>
      </w:r>
      <w:r w:rsidRPr="00E141FA">
        <w:rPr>
          <w:rFonts w:cstheme="minorHAnsi"/>
          <w:b/>
          <w:bCs/>
        </w:rPr>
        <w:t xml:space="preserve"> (a) </w:t>
      </w:r>
      <w:r w:rsidR="00675489">
        <w:rPr>
          <w:rFonts w:cstheme="minorHAnsi"/>
          <w:b/>
          <w:bCs/>
        </w:rPr>
        <w:t>minor diameter</w:t>
      </w:r>
      <w:r w:rsidRPr="00E141FA">
        <w:rPr>
          <w:rFonts w:cstheme="minorHAnsi"/>
          <w:b/>
          <w:bCs/>
        </w:rPr>
        <w:t>, (b) m</w:t>
      </w:r>
      <w:r w:rsidR="00675489">
        <w:rPr>
          <w:rFonts w:cstheme="minorHAnsi"/>
          <w:b/>
          <w:bCs/>
        </w:rPr>
        <w:t>easured</w:t>
      </w:r>
      <w:r w:rsidRPr="00E141FA">
        <w:rPr>
          <w:rFonts w:cstheme="minorHAnsi"/>
          <w:b/>
          <w:bCs/>
        </w:rPr>
        <w:t xml:space="preserve"> area, and (c) </w:t>
      </w:r>
      <w:r w:rsidR="00675489">
        <w:rPr>
          <w:rFonts w:cstheme="minorHAnsi"/>
          <w:b/>
          <w:bCs/>
        </w:rPr>
        <w:t>calculated area</w:t>
      </w:r>
      <w:r w:rsidRPr="00E141FA">
        <w:rPr>
          <w:rFonts w:cstheme="minorHAnsi"/>
          <w:b/>
          <w:bCs/>
        </w:rPr>
        <w:t>.</w:t>
      </w:r>
      <w:r w:rsidRPr="00143B3B">
        <w:rPr>
          <w:rFonts w:cstheme="minorHAnsi"/>
        </w:rPr>
        <w:t xml:space="preserve"> </w:t>
      </w:r>
      <w:r w:rsidRPr="00BC5DF3">
        <w:rPr>
          <w:rFonts w:cstheme="minorHAnsi"/>
        </w:rPr>
        <w:t xml:space="preserve">Each point represents the </w:t>
      </w:r>
      <w:r>
        <w:rPr>
          <w:rFonts w:cstheme="minorHAnsi"/>
        </w:rPr>
        <w:t xml:space="preserve">average </w:t>
      </w:r>
      <w:r w:rsidRPr="00BC5DF3">
        <w:rPr>
          <w:rFonts w:cstheme="minorHAnsi"/>
        </w:rPr>
        <w:t>metric value</w:t>
      </w:r>
      <w:r>
        <w:rPr>
          <w:rFonts w:cstheme="minorHAnsi"/>
        </w:rPr>
        <w:t xml:space="preserve"> for each clutch</w:t>
      </w:r>
      <w:r w:rsidRPr="00BC5DF3">
        <w:rPr>
          <w:rFonts w:cstheme="minorHAnsi"/>
        </w:rPr>
        <w:t xml:space="preserve"> per pair, per </w:t>
      </w:r>
      <w:r>
        <w:rPr>
          <w:rFonts w:cstheme="minorHAnsi"/>
        </w:rPr>
        <w:t>t</w:t>
      </w:r>
      <w:r w:rsidRPr="00BC5DF3">
        <w:rPr>
          <w:rFonts w:cstheme="minorHAnsi"/>
        </w:rPr>
        <w:t xml:space="preserve">reatment. Points are individually colored by the unique </w:t>
      </w:r>
      <w:r>
        <w:rPr>
          <w:rFonts w:cstheme="minorHAnsi"/>
        </w:rPr>
        <w:t>‘t</w:t>
      </w:r>
      <w:r w:rsidRPr="00BC5DF3">
        <w:rPr>
          <w:rFonts w:cstheme="minorHAnsi"/>
        </w:rPr>
        <w:t>ank ID</w:t>
      </w:r>
      <w:r>
        <w:rPr>
          <w:rFonts w:cstheme="minorHAnsi"/>
        </w:rPr>
        <w:t>’</w:t>
      </w:r>
      <w:r w:rsidRPr="00BC5DF3">
        <w:rPr>
          <w:rFonts w:cstheme="minorHAnsi"/>
        </w:rPr>
        <w:t xml:space="preserve"> of each parental pair. The fitted line connects the pair’s </w:t>
      </w:r>
      <w:r>
        <w:rPr>
          <w:rFonts w:cstheme="minorHAnsi"/>
        </w:rPr>
        <w:t>measured values</w:t>
      </w:r>
      <w:r w:rsidRPr="00BC5DF3">
        <w:rPr>
          <w:rFonts w:cstheme="minorHAnsi"/>
        </w:rPr>
        <w:t xml:space="preserve"> and represents the response to the two treatments.</w:t>
      </w:r>
    </w:p>
    <w:sectPr w:rsidR="00614AAD" w:rsidRPr="00017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F5"/>
    <w:rsid w:val="000171B5"/>
    <w:rsid w:val="000923FC"/>
    <w:rsid w:val="001C2907"/>
    <w:rsid w:val="0022724C"/>
    <w:rsid w:val="00434596"/>
    <w:rsid w:val="0047408E"/>
    <w:rsid w:val="005126FB"/>
    <w:rsid w:val="005923B9"/>
    <w:rsid w:val="00592BF3"/>
    <w:rsid w:val="005956D3"/>
    <w:rsid w:val="005D197D"/>
    <w:rsid w:val="00614AAD"/>
    <w:rsid w:val="006218E4"/>
    <w:rsid w:val="006651E9"/>
    <w:rsid w:val="00675489"/>
    <w:rsid w:val="006A03F9"/>
    <w:rsid w:val="006B4754"/>
    <w:rsid w:val="0078431B"/>
    <w:rsid w:val="007B2616"/>
    <w:rsid w:val="0084770B"/>
    <w:rsid w:val="0088234F"/>
    <w:rsid w:val="008E4FC4"/>
    <w:rsid w:val="009411F2"/>
    <w:rsid w:val="00966216"/>
    <w:rsid w:val="009A792B"/>
    <w:rsid w:val="00A16BF5"/>
    <w:rsid w:val="00A65D90"/>
    <w:rsid w:val="00B46EB7"/>
    <w:rsid w:val="00C05846"/>
    <w:rsid w:val="00C155F9"/>
    <w:rsid w:val="00C66B2F"/>
    <w:rsid w:val="00D34E89"/>
    <w:rsid w:val="00E141FA"/>
    <w:rsid w:val="00E67192"/>
    <w:rsid w:val="00EE0344"/>
    <w:rsid w:val="00F6013B"/>
    <w:rsid w:val="00FA22B0"/>
    <w:rsid w:val="00FB1265"/>
    <w:rsid w:val="00FD684E"/>
    <w:rsid w:val="00FE2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A761"/>
  <w15:chartTrackingRefBased/>
  <w15:docId w15:val="{41217525-078D-4E33-846C-265724413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B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6BF5"/>
    <w:rPr>
      <w:sz w:val="16"/>
      <w:szCs w:val="16"/>
    </w:rPr>
  </w:style>
  <w:style w:type="paragraph" w:styleId="CommentText">
    <w:name w:val="annotation text"/>
    <w:basedOn w:val="Normal"/>
    <w:link w:val="CommentTextChar"/>
    <w:uiPriority w:val="99"/>
    <w:unhideWhenUsed/>
    <w:rsid w:val="00A16BF5"/>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A16BF5"/>
    <w:rPr>
      <w:kern w:val="0"/>
      <w:sz w:val="20"/>
      <w:szCs w:val="20"/>
      <w14:ligatures w14:val="none"/>
    </w:rPr>
  </w:style>
  <w:style w:type="table" w:styleId="TableGrid">
    <w:name w:val="Table Grid"/>
    <w:basedOn w:val="TableNormal"/>
    <w:uiPriority w:val="59"/>
    <w:rsid w:val="00A16BF5"/>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23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Robin</dc:creator>
  <cp:keywords/>
  <dc:description/>
  <cp:lastModifiedBy>Francis, Robin</cp:lastModifiedBy>
  <cp:revision>2</cp:revision>
  <dcterms:created xsi:type="dcterms:W3CDTF">2024-11-03T19:56:00Z</dcterms:created>
  <dcterms:modified xsi:type="dcterms:W3CDTF">2024-11-03T19:56:00Z</dcterms:modified>
</cp:coreProperties>
</file>