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1FA1D" w14:textId="77777777" w:rsidR="00BD47BB" w:rsidRDefault="00BD47BB" w:rsidP="00B120F3">
      <w:pPr>
        <w:pStyle w:val="Ttulo"/>
        <w:sectPr w:rsidR="00BD47BB" w:rsidSect="00E31404">
          <w:headerReference w:type="default" r:id="rId7"/>
          <w:footerReference w:type="default" r:id="rId8"/>
          <w:headerReference w:type="first" r:id="rId9"/>
          <w:pgSz w:w="12240" w:h="15840"/>
          <w:pgMar w:top="1440" w:right="1440" w:bottom="1440" w:left="1440" w:header="432" w:footer="720" w:gutter="0"/>
          <w:cols w:space="720"/>
          <w:docGrid w:linePitch="360"/>
        </w:sectPr>
      </w:pPr>
    </w:p>
    <w:p w14:paraId="6EAEA44E" w14:textId="1DBEC5D3" w:rsidR="00C94AA5" w:rsidRDefault="00E2223B" w:rsidP="00B120F3">
      <w:pPr>
        <w:pStyle w:val="Note"/>
      </w:pPr>
      <w:r w:rsidRPr="00E2223B">
        <w:rPr>
          <w:rFonts w:eastAsiaTheme="majorEastAsia" w:cstheme="majorBidi"/>
          <w:b/>
          <w:color w:val="auto"/>
          <w:spacing w:val="-10"/>
          <w:kern w:val="28"/>
          <w:sz w:val="28"/>
          <w:szCs w:val="56"/>
        </w:rPr>
        <w:t>Index insurance as a risk management strategy to hydrological extremes for water utilities</w:t>
      </w:r>
    </w:p>
    <w:p w14:paraId="52712EF0" w14:textId="22F9B7C5" w:rsidR="00E2223B" w:rsidRPr="00322DF9" w:rsidRDefault="00E2223B" w:rsidP="00B120F3">
      <w:pPr>
        <w:pStyle w:val="Authors"/>
        <w:rPr>
          <w:b w:val="0"/>
          <w:bCs/>
          <w:lang w:val="pt-BR"/>
        </w:rPr>
      </w:pPr>
      <w:r w:rsidRPr="00E2223B">
        <w:rPr>
          <w:lang w:val="pt-BR"/>
        </w:rPr>
        <w:t xml:space="preserve">G. J. </w:t>
      </w:r>
      <w:proofErr w:type="spellStart"/>
      <w:r w:rsidRPr="00E2223B">
        <w:rPr>
          <w:lang w:val="pt-BR"/>
        </w:rPr>
        <w:t>da</w:t>
      </w:r>
      <w:proofErr w:type="spellEnd"/>
      <w:r w:rsidRPr="00E2223B">
        <w:rPr>
          <w:lang w:val="pt-BR"/>
        </w:rPr>
        <w:t xml:space="preserve"> Silva</w:t>
      </w:r>
      <w:r w:rsidRPr="00E2223B">
        <w:rPr>
          <w:vertAlign w:val="superscript"/>
          <w:lang w:val="pt-BR"/>
        </w:rPr>
        <w:t>1</w:t>
      </w:r>
      <w:r w:rsidRPr="00E2223B">
        <w:rPr>
          <w:lang w:val="pt-BR"/>
        </w:rPr>
        <w:t xml:space="preserve">, </w:t>
      </w:r>
      <w:r>
        <w:rPr>
          <w:lang w:val="pt-BR"/>
        </w:rPr>
        <w:t xml:space="preserve">G. C. </w:t>
      </w:r>
      <w:r w:rsidRPr="00E2223B">
        <w:rPr>
          <w:lang w:val="pt-BR"/>
        </w:rPr>
        <w:t>Gesu</w:t>
      </w:r>
      <w:r>
        <w:rPr>
          <w:lang w:val="pt-BR"/>
        </w:rPr>
        <w:t>aldo</w:t>
      </w:r>
      <w:r w:rsidRPr="00E2223B">
        <w:rPr>
          <w:vertAlign w:val="superscript"/>
          <w:lang w:val="pt-BR"/>
        </w:rPr>
        <w:t>1</w:t>
      </w:r>
      <w:r>
        <w:rPr>
          <w:lang w:val="pt-BR"/>
        </w:rPr>
        <w:t xml:space="preserve">, P; G. C. </w:t>
      </w:r>
      <w:proofErr w:type="spellStart"/>
      <w:r>
        <w:rPr>
          <w:lang w:val="pt-BR"/>
        </w:rPr>
        <w:t>da</w:t>
      </w:r>
      <w:proofErr w:type="spellEnd"/>
      <w:r>
        <w:rPr>
          <w:lang w:val="pt-BR"/>
        </w:rPr>
        <w:t xml:space="preserve"> Silva</w:t>
      </w:r>
      <w:r w:rsidRPr="00E2223B">
        <w:rPr>
          <w:vertAlign w:val="superscript"/>
          <w:lang w:val="pt-BR"/>
        </w:rPr>
        <w:t>1</w:t>
      </w:r>
      <w:r>
        <w:rPr>
          <w:lang w:val="pt-BR"/>
        </w:rPr>
        <w:t>,</w:t>
      </w:r>
      <w:r w:rsidRPr="00E2223B">
        <w:rPr>
          <w:lang w:val="pt-BR"/>
        </w:rPr>
        <w:t xml:space="preserve"> </w:t>
      </w:r>
      <w:r>
        <w:rPr>
          <w:lang w:val="pt-BR"/>
        </w:rPr>
        <w:t>M. R</w:t>
      </w:r>
      <w:r>
        <w:rPr>
          <w:lang w:val="pt-BR"/>
        </w:rPr>
        <w:t xml:space="preserve">. </w:t>
      </w:r>
      <w:r>
        <w:rPr>
          <w:lang w:val="pt-BR"/>
        </w:rPr>
        <w:t>Benso</w:t>
      </w:r>
      <w:r w:rsidRPr="00E2223B">
        <w:rPr>
          <w:vertAlign w:val="superscript"/>
          <w:lang w:val="pt-BR"/>
        </w:rPr>
        <w:t>1</w:t>
      </w:r>
      <w:r>
        <w:rPr>
          <w:lang w:val="pt-BR"/>
        </w:rPr>
        <w:t>, D. A. G. Arias</w:t>
      </w:r>
      <w:r w:rsidRPr="00E2223B">
        <w:rPr>
          <w:vertAlign w:val="superscript"/>
          <w:lang w:val="pt-BR"/>
        </w:rPr>
        <w:t>2</w:t>
      </w:r>
      <w:r>
        <w:rPr>
          <w:lang w:val="pt-BR"/>
        </w:rPr>
        <w:t xml:space="preserve">, </w:t>
      </w:r>
      <w:r w:rsidRPr="002138A3">
        <w:rPr>
          <w:lang w:val="pt-BR"/>
        </w:rPr>
        <w:t>L</w:t>
      </w:r>
      <w:r>
        <w:rPr>
          <w:lang w:val="pt-BR"/>
        </w:rPr>
        <w:t xml:space="preserve">. </w:t>
      </w:r>
      <w:r w:rsidRPr="002138A3">
        <w:rPr>
          <w:lang w:val="pt-BR"/>
        </w:rPr>
        <w:t>P</w:t>
      </w:r>
      <w:r>
        <w:rPr>
          <w:lang w:val="pt-BR"/>
        </w:rPr>
        <w:t xml:space="preserve">. </w:t>
      </w:r>
      <w:r w:rsidRPr="002138A3">
        <w:rPr>
          <w:lang w:val="pt-BR"/>
        </w:rPr>
        <w:t>Sabogal</w:t>
      </w:r>
      <w:r>
        <w:rPr>
          <w:lang w:val="pt-BR"/>
        </w:rPr>
        <w:t>-</w:t>
      </w:r>
      <w:r w:rsidRPr="002138A3">
        <w:rPr>
          <w:lang w:val="pt-BR"/>
        </w:rPr>
        <w:t>Paz</w:t>
      </w:r>
      <w:r w:rsidRPr="00E2223B">
        <w:rPr>
          <w:vertAlign w:val="superscript"/>
          <w:lang w:val="pt-BR"/>
        </w:rPr>
        <w:t>1</w:t>
      </w:r>
      <w:r w:rsidRPr="00E2223B">
        <w:rPr>
          <w:lang w:val="pt-BR"/>
        </w:rPr>
        <w:t>,</w:t>
      </w:r>
      <w:r>
        <w:rPr>
          <w:lang w:val="pt-BR"/>
        </w:rPr>
        <w:t xml:space="preserve"> J. A. M. Orsini</w:t>
      </w:r>
      <w:r w:rsidR="00322DF9">
        <w:rPr>
          <w:vertAlign w:val="superscript"/>
          <w:lang w:val="pt-BR"/>
        </w:rPr>
        <w:t>3</w:t>
      </w:r>
      <w:r w:rsidR="00322DF9">
        <w:rPr>
          <w:lang w:val="pt-BR"/>
        </w:rPr>
        <w:t xml:space="preserve"> </w:t>
      </w:r>
      <w:proofErr w:type="spellStart"/>
      <w:r w:rsidR="00322DF9">
        <w:rPr>
          <w:lang w:val="pt-BR"/>
        </w:rPr>
        <w:t>and</w:t>
      </w:r>
      <w:proofErr w:type="spellEnd"/>
      <w:r w:rsidR="00322DF9">
        <w:rPr>
          <w:lang w:val="pt-BR"/>
        </w:rPr>
        <w:t xml:space="preserve"> E. M. Mendiondo</w:t>
      </w:r>
      <w:r w:rsidR="00322DF9" w:rsidRPr="00E2223B">
        <w:rPr>
          <w:vertAlign w:val="superscript"/>
          <w:lang w:val="pt-BR"/>
        </w:rPr>
        <w:t>1</w:t>
      </w:r>
    </w:p>
    <w:p w14:paraId="70FC651E" w14:textId="290A7F89" w:rsidR="00C94AA5" w:rsidRDefault="008A6077" w:rsidP="00B719C8">
      <w:pPr>
        <w:pStyle w:val="Affiliation"/>
      </w:pPr>
      <w:r w:rsidRPr="00B43FDE">
        <w:rPr>
          <w:vertAlign w:val="superscript"/>
        </w:rPr>
        <w:t>1</w:t>
      </w:r>
      <w:r w:rsidR="00090F3F">
        <w:rPr>
          <w:vertAlign w:val="superscript"/>
        </w:rPr>
        <w:t xml:space="preserve"> </w:t>
      </w:r>
      <w:r w:rsidR="00322DF9">
        <w:t>Department of Hydraulics and Sanitation, São Carlos School of Engineering, University of São Paulo, São Carlos</w:t>
      </w:r>
      <w:r w:rsidR="005F6E07">
        <w:t xml:space="preserve">, </w:t>
      </w:r>
      <w:r w:rsidR="00322DF9">
        <w:t>Brazil</w:t>
      </w:r>
      <w:r w:rsidR="005F6E07">
        <w:t>.</w:t>
      </w:r>
    </w:p>
    <w:p w14:paraId="51B1C948" w14:textId="42FBDDC5" w:rsidR="005F6E07" w:rsidRPr="00090F3F" w:rsidRDefault="00545B6C" w:rsidP="00B719C8">
      <w:pPr>
        <w:pStyle w:val="Affiliation"/>
      </w:pPr>
      <w:r w:rsidRPr="00090F3F">
        <w:rPr>
          <w:vertAlign w:val="superscript"/>
        </w:rPr>
        <w:t>2</w:t>
      </w:r>
      <w:r w:rsidR="00090F3F" w:rsidRPr="00090F3F">
        <w:rPr>
          <w:vertAlign w:val="superscript"/>
        </w:rPr>
        <w:t xml:space="preserve"> </w:t>
      </w:r>
      <w:r w:rsidR="005F6E07" w:rsidRPr="00090F3F">
        <w:t xml:space="preserve">Department of Civil Engineering, </w:t>
      </w:r>
      <w:proofErr w:type="spellStart"/>
      <w:r w:rsidR="005F6E07" w:rsidRPr="00090F3F">
        <w:t>Pontifícia</w:t>
      </w:r>
      <w:proofErr w:type="spellEnd"/>
      <w:r w:rsidR="005F6E07" w:rsidRPr="00090F3F">
        <w:t xml:space="preserve"> </w:t>
      </w:r>
      <w:proofErr w:type="spellStart"/>
      <w:r w:rsidR="005F6E07" w:rsidRPr="00090F3F">
        <w:t>Bolivariana</w:t>
      </w:r>
      <w:proofErr w:type="spellEnd"/>
      <w:r w:rsidR="005F6E07" w:rsidRPr="00090F3F">
        <w:t xml:space="preserve"> University, Bucaramanga, Colombia</w:t>
      </w:r>
      <w:r w:rsidR="005F6E07" w:rsidRPr="00090F3F">
        <w:t>.</w:t>
      </w:r>
    </w:p>
    <w:p w14:paraId="515725E1" w14:textId="2D9A4004" w:rsidR="00DE3F91" w:rsidRPr="00090F3F" w:rsidRDefault="00545B6C" w:rsidP="00B719C8">
      <w:pPr>
        <w:pStyle w:val="Affiliation"/>
      </w:pPr>
      <w:r w:rsidRPr="00090F3F">
        <w:rPr>
          <w:vertAlign w:val="superscript"/>
        </w:rPr>
        <w:t>3</w:t>
      </w:r>
      <w:r w:rsidR="00090F3F" w:rsidRPr="00090F3F">
        <w:rPr>
          <w:vertAlign w:val="superscript"/>
        </w:rPr>
        <w:t xml:space="preserve"> </w:t>
      </w:r>
      <w:r w:rsidR="005F6E07" w:rsidRPr="00090F3F">
        <w:t xml:space="preserve">National Center for Natural Disaster Monitoring and Alerts - </w:t>
      </w:r>
      <w:proofErr w:type="spellStart"/>
      <w:r w:rsidR="005F6E07" w:rsidRPr="00090F3F">
        <w:t>Cemaden</w:t>
      </w:r>
      <w:proofErr w:type="spellEnd"/>
      <w:r w:rsidR="005F6E07" w:rsidRPr="00090F3F">
        <w:t>/MCTI</w:t>
      </w:r>
      <w:r w:rsidR="005F6E07" w:rsidRPr="00090F3F">
        <w:t>,</w:t>
      </w:r>
      <w:r w:rsidR="005F6E07" w:rsidRPr="00090F3F">
        <w:t xml:space="preserve"> São José dos Campos</w:t>
      </w:r>
      <w:r w:rsidR="005F6E07" w:rsidRPr="00090F3F">
        <w:t>, São Paulo, Brazil.</w:t>
      </w:r>
    </w:p>
    <w:p w14:paraId="5614852F" w14:textId="4D4EDFD7" w:rsidR="00DE3F91" w:rsidRPr="00720C58" w:rsidRDefault="008A6077" w:rsidP="003137C3">
      <w:pPr>
        <w:pStyle w:val="Affiliation"/>
        <w:rPr>
          <w:lang w:val="pt-BR"/>
        </w:rPr>
      </w:pPr>
      <w:proofErr w:type="spellStart"/>
      <w:r w:rsidRPr="00720C58">
        <w:rPr>
          <w:lang w:val="pt-BR"/>
        </w:rPr>
        <w:t>Correspond</w:t>
      </w:r>
      <w:r w:rsidR="00DE3F91" w:rsidRPr="00720C58">
        <w:rPr>
          <w:lang w:val="pt-BR"/>
        </w:rPr>
        <w:t>ing</w:t>
      </w:r>
      <w:proofErr w:type="spellEnd"/>
      <w:r w:rsidRPr="00720C58">
        <w:rPr>
          <w:lang w:val="pt-BR"/>
        </w:rPr>
        <w:t xml:space="preserve"> </w:t>
      </w:r>
      <w:proofErr w:type="spellStart"/>
      <w:r w:rsidR="006F662E" w:rsidRPr="00720C58">
        <w:rPr>
          <w:lang w:val="pt-BR"/>
        </w:rPr>
        <w:t>author</w:t>
      </w:r>
      <w:proofErr w:type="spellEnd"/>
      <w:r w:rsidR="006F662E" w:rsidRPr="00720C58">
        <w:rPr>
          <w:lang w:val="pt-BR"/>
        </w:rPr>
        <w:t>:</w:t>
      </w:r>
      <w:r w:rsidRPr="00720C58">
        <w:rPr>
          <w:lang w:val="pt-BR"/>
        </w:rPr>
        <w:t xml:space="preserve"> </w:t>
      </w:r>
      <w:r w:rsidR="00720C58" w:rsidRPr="00720C58">
        <w:rPr>
          <w:lang w:val="pt-BR"/>
        </w:rPr>
        <w:t>Greicelene Silva</w:t>
      </w:r>
      <w:r w:rsidR="00DE3F91" w:rsidRPr="00720C58">
        <w:rPr>
          <w:lang w:val="pt-BR"/>
        </w:rPr>
        <w:t xml:space="preserve"> (</w:t>
      </w:r>
      <w:hyperlink r:id="rId10" w:history="1">
        <w:r w:rsidR="00720C58" w:rsidRPr="00B2679A">
          <w:rPr>
            <w:rStyle w:val="Hyperlink"/>
            <w:lang w:val="pt-BR"/>
          </w:rPr>
          <w:t>greicelene.dasilva@gmail.com</w:t>
        </w:r>
      </w:hyperlink>
      <w:r w:rsidR="00720C58">
        <w:rPr>
          <w:lang w:val="pt-BR"/>
        </w:rPr>
        <w:t>)</w:t>
      </w:r>
    </w:p>
    <w:p w14:paraId="52EAA876" w14:textId="0F4D9CB3" w:rsidR="00C94AA5" w:rsidRDefault="00C94AA5" w:rsidP="005358D5">
      <w:pPr>
        <w:pStyle w:val="Heading-Main"/>
      </w:pPr>
      <w:r>
        <w:t>Key Points:</w:t>
      </w:r>
    </w:p>
    <w:p w14:paraId="201BA27D" w14:textId="77777777" w:rsidR="00186EC0" w:rsidRPr="004769D0" w:rsidRDefault="00186EC0" w:rsidP="00186EC0">
      <w:pPr>
        <w:pStyle w:val="PargrafodaLista"/>
        <w:numPr>
          <w:ilvl w:val="0"/>
          <w:numId w:val="14"/>
        </w:numPr>
        <w:spacing w:after="160"/>
        <w:jc w:val="both"/>
        <w:rPr>
          <w:rFonts w:ascii="Times New Roman" w:eastAsiaTheme="minorHAnsi" w:hAnsi="Times New Roman" w:cs="Times New Roman"/>
        </w:rPr>
      </w:pPr>
      <w:r>
        <w:rPr>
          <w:rFonts w:ascii="Times New Roman" w:eastAsia="Times New Roman" w:hAnsi="Times New Roman" w:cs="Times New Roman"/>
          <w:color w:val="000000"/>
        </w:rPr>
        <w:t xml:space="preserve">Index insurance helps reduce risk and maintain financial stability by protecting water supply </w:t>
      </w:r>
      <w:r>
        <w:rPr>
          <w:rFonts w:ascii="Times New Roman" w:eastAsia="Times New Roman" w:hAnsi="Times New Roman" w:cs="Times New Roman"/>
        </w:rPr>
        <w:t>companies' business or compensate end user.</w:t>
      </w:r>
    </w:p>
    <w:p w14:paraId="5F3550C0" w14:textId="77777777" w:rsidR="00186EC0" w:rsidRPr="00F56FAE" w:rsidRDefault="00186EC0" w:rsidP="00186EC0">
      <w:pPr>
        <w:pStyle w:val="PargrafodaLista"/>
        <w:numPr>
          <w:ilvl w:val="0"/>
          <w:numId w:val="14"/>
        </w:numPr>
        <w:spacing w:after="160"/>
        <w:jc w:val="both"/>
        <w:rPr>
          <w:rFonts w:ascii="Times New Roman" w:eastAsiaTheme="minorHAnsi" w:hAnsi="Times New Roman" w:cs="Times New Roman"/>
        </w:rPr>
      </w:pPr>
      <w:r w:rsidRPr="00F56FAE">
        <w:rPr>
          <w:rFonts w:ascii="Times New Roman" w:eastAsia="Times New Roman" w:hAnsi="Times New Roman" w:cs="Times New Roman"/>
        </w:rPr>
        <w:t xml:space="preserve">Improving the application of </w:t>
      </w:r>
      <w:r>
        <w:rPr>
          <w:rFonts w:ascii="Times New Roman" w:eastAsia="Times New Roman" w:hAnsi="Times New Roman" w:cs="Times New Roman"/>
        </w:rPr>
        <w:t>index insurance</w:t>
      </w:r>
      <w:r w:rsidRPr="00F56FAE">
        <w:rPr>
          <w:rFonts w:ascii="Times New Roman" w:eastAsia="Times New Roman" w:hAnsi="Times New Roman" w:cs="Times New Roman"/>
        </w:rPr>
        <w:t xml:space="preserve"> in the water sector by incorporating water pollution and flood risks is still necessary</w:t>
      </w:r>
      <w:r>
        <w:rPr>
          <w:rFonts w:ascii="Times New Roman" w:eastAsia="Times New Roman" w:hAnsi="Times New Roman" w:cs="Times New Roman"/>
        </w:rPr>
        <w:t>.</w:t>
      </w:r>
    </w:p>
    <w:p w14:paraId="1B67D08F" w14:textId="77777777" w:rsidR="00186EC0" w:rsidRPr="00A04411" w:rsidRDefault="00186EC0" w:rsidP="00186EC0">
      <w:pPr>
        <w:pStyle w:val="PargrafodaLista"/>
        <w:numPr>
          <w:ilvl w:val="0"/>
          <w:numId w:val="14"/>
        </w:numPr>
        <w:spacing w:after="160"/>
        <w:jc w:val="both"/>
        <w:rPr>
          <w:rFonts w:ascii="Times New Roman" w:eastAsiaTheme="minorHAnsi" w:hAnsi="Times New Roman" w:cs="Times New Roman"/>
        </w:rPr>
      </w:pPr>
      <w:r w:rsidRPr="00F126A6">
        <w:rPr>
          <w:rFonts w:ascii="Times New Roman" w:eastAsia="Times New Roman" w:hAnsi="Times New Roman" w:cs="Times New Roman"/>
        </w:rPr>
        <w:t xml:space="preserve">To implement </w:t>
      </w:r>
      <w:r>
        <w:rPr>
          <w:rFonts w:ascii="Times New Roman" w:eastAsia="Times New Roman" w:hAnsi="Times New Roman" w:cs="Times New Roman"/>
        </w:rPr>
        <w:t>this tool</w:t>
      </w:r>
      <w:r w:rsidRPr="00F126A6">
        <w:rPr>
          <w:rFonts w:ascii="Times New Roman" w:eastAsia="Times New Roman" w:hAnsi="Times New Roman" w:cs="Times New Roman"/>
        </w:rPr>
        <w:t>,</w:t>
      </w:r>
      <w:r>
        <w:rPr>
          <w:rFonts w:ascii="Times New Roman" w:eastAsia="Times New Roman" w:hAnsi="Times New Roman" w:cs="Times New Roman"/>
        </w:rPr>
        <w:t xml:space="preserve"> more studies</w:t>
      </w:r>
      <w:r w:rsidRPr="00F126A6">
        <w:rPr>
          <w:rFonts w:ascii="Times New Roman" w:eastAsia="Times New Roman" w:hAnsi="Times New Roman" w:cs="Times New Roman"/>
        </w:rPr>
        <w:t xml:space="preserve"> of extreme’s events</w:t>
      </w:r>
      <w:r>
        <w:rPr>
          <w:rFonts w:ascii="Times New Roman" w:eastAsia="Times New Roman" w:hAnsi="Times New Roman" w:cs="Times New Roman"/>
        </w:rPr>
        <w:t xml:space="preserve"> relationships</w:t>
      </w:r>
      <w:r w:rsidRPr="00F126A6">
        <w:rPr>
          <w:rFonts w:ascii="Times New Roman" w:eastAsia="Times New Roman" w:hAnsi="Times New Roman" w:cs="Times New Roman"/>
        </w:rPr>
        <w:t>, their implications in financial losses</w:t>
      </w:r>
      <w:r>
        <w:rPr>
          <w:rFonts w:ascii="Times New Roman" w:eastAsia="Times New Roman" w:hAnsi="Times New Roman" w:cs="Times New Roman"/>
        </w:rPr>
        <w:t>, among others, is needed.</w:t>
      </w:r>
    </w:p>
    <w:p w14:paraId="5C03B4CB" w14:textId="77777777" w:rsidR="00B719C8" w:rsidRDefault="00B719C8">
      <w:pPr>
        <w:rPr>
          <w:color w:val="00B0F0"/>
        </w:rPr>
      </w:pPr>
      <w:r>
        <w:br w:type="page"/>
      </w:r>
    </w:p>
    <w:p w14:paraId="2659CCE1" w14:textId="77777777" w:rsidR="002F3B11" w:rsidRDefault="008A6077" w:rsidP="00C81368">
      <w:pPr>
        <w:pStyle w:val="Heading-Main"/>
      </w:pPr>
      <w:r w:rsidRPr="00987EE5">
        <w:lastRenderedPageBreak/>
        <w:t>Abstract</w:t>
      </w:r>
    </w:p>
    <w:p w14:paraId="3FCFBF6F" w14:textId="77CDF5AE" w:rsidR="0045687F" w:rsidRDefault="0045687F" w:rsidP="00DE3F91">
      <w:pPr>
        <w:pStyle w:val="Abstract"/>
      </w:pPr>
      <w:r>
        <w:t xml:space="preserve">As the global economy expands, increasing losses of natural capital translate into substantially higher costs and inefficiencies in achieving future water security. Risk transfer is one risk management tools </w:t>
      </w:r>
      <w:r w:rsidR="00186EC0">
        <w:t>used</w:t>
      </w:r>
      <w:r>
        <w:t xml:space="preserve"> to protect regions particularly vulnerable to the effects of extreme events that affect water availability. Index insurance has been investigated as a potential solution for dealing with drought events that lead to water scarcity in the water supply sector. Nonetheless, water scarcity can result not only from drought but also from the degradation of quality. Floods also have an impact on water supply, resulting in economic losses for the supply sector. Water supply services are under threat from a variety of hazards intensified by extremes of climate variability and climate change and socioeconomic factors. This work aims to discuss index insurance adaptation to cover financial losses incurred by water utility companies as a result of a variety of extreme hydrological events and uncertainty drivers, bringing opportunities to improve index insurance application to the sector. Given the complex vulnerability to different hazards related to the quantity and quality of raw water, in addition to the drivers of uncertainty affecting water availability, improved risk transfer model application is still required to incorporate such multiple risks and uncertainties. Many gaps and limitations in the design and implementation of water infrastructure insurance remain, including improved characterization of the relationship between droughts, floods, and pollution extremes and their implications in financial losses for supply; and the development of damage quantification methodologies, among other issues.</w:t>
      </w:r>
    </w:p>
    <w:p w14:paraId="16752E20" w14:textId="77777777" w:rsidR="002F3B11" w:rsidRDefault="002F3B11" w:rsidP="00C81368">
      <w:pPr>
        <w:pStyle w:val="Heading-Main"/>
      </w:pPr>
      <w:r>
        <w:t>1 Introduction</w:t>
      </w:r>
    </w:p>
    <w:p w14:paraId="34D4C03D" w14:textId="77777777" w:rsidR="003A1010" w:rsidRPr="003A1010" w:rsidRDefault="003A1010" w:rsidP="003A1010">
      <w:pPr>
        <w:ind w:firstLine="540"/>
        <w:rPr>
          <w:rFonts w:eastAsia="Times New Roman"/>
          <w:sz w:val="24"/>
          <w:szCs w:val="24"/>
        </w:rPr>
      </w:pPr>
      <w:r w:rsidRPr="003A1010">
        <w:rPr>
          <w:rFonts w:eastAsia="Times New Roman"/>
          <w:sz w:val="24"/>
          <w:szCs w:val="24"/>
        </w:rPr>
        <w:t xml:space="preserve">Water security is defined as the availability of water in sufficient quantity and quality to meet human and economic needs, as well as the conservation of aquatic ecosystems with an acceptable level of risk from extreme events </w:t>
      </w:r>
      <w:r w:rsidRPr="003A1010">
        <w:rPr>
          <w:rFonts w:eastAsia="Times New Roman"/>
          <w:sz w:val="24"/>
          <w:szCs w:val="24"/>
        </w:rPr>
        <w:fldChar w:fldCharType="begin" w:fldLock="1"/>
      </w:r>
      <w:r w:rsidRPr="003A1010">
        <w:rPr>
          <w:rFonts w:eastAsia="Times New Roman"/>
          <w:sz w:val="24"/>
          <w:szCs w:val="24"/>
        </w:rPr>
        <w:instrText>ADDIN CSL_CITATION {"citationItems":[{"id":"ITEM-1","itemData":{"author":[{"dropping-particle":"","family":"ANA","given":"","non-dropping-particle":"","parse-names":false,"suffix":""}],"container-title":"ANA-Agência Nacional de Águas","id":"ITEM-1","issued":{"date-parts":[["2022"]]},"title":"O Índice de Segurança Hídrica ( ISH )","type":"article"},"uris":["http://www.mendeley.com/documents/?uuid=8f2befc3-0f47-441a-80e5-f8d4e0064794"]}],"mendeley":{"formattedCitation":"(ANA, 2022)","plainTextFormattedCitation":"(ANA, 2022)","previouslyFormattedCitation":"(ANA, 2022)"},"properties":{"noteIndex":0},"schema":"https://github.com/citation-style-language/schema/raw/master/csl-citation.json"}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(ANA, 2022)</w:t>
      </w:r>
      <w:r w:rsidRPr="003A1010">
        <w:rPr>
          <w:rFonts w:eastAsia="Times New Roman"/>
          <w:sz w:val="24"/>
          <w:szCs w:val="24"/>
        </w:rPr>
        <w:fldChar w:fldCharType="end"/>
      </w:r>
      <w:r w:rsidRPr="003A1010">
        <w:rPr>
          <w:rFonts w:eastAsia="Times New Roman"/>
          <w:sz w:val="24"/>
          <w:szCs w:val="24"/>
        </w:rPr>
        <w:t xml:space="preserve">. According to </w:t>
      </w:r>
      <w:r w:rsidRPr="003A1010">
        <w:rPr>
          <w:rFonts w:eastAsia="Times New Roman"/>
          <w:sz w:val="24"/>
          <w:szCs w:val="24"/>
        </w:rPr>
        <w:fldChar w:fldCharType="begin" w:fldLock="1"/>
      </w:r>
      <w:r w:rsidRPr="003A1010">
        <w:rPr>
          <w:rFonts w:eastAsia="Times New Roman"/>
          <w:sz w:val="24"/>
          <w:szCs w:val="24"/>
        </w:rPr>
        <w:instrText>ADDIN CSL_CITATION {"citationItems":[{"id":"ITEM-1","itemData":{"ISBN":"9789280738346","abstract":"The focus of the 2018 report is dual: The first part examines the gaps that exist in a number of areas that are central to taking stock and assessing progress on adaptation, namely the enabling environment as expressed through laws and policies, key development aspects of adaptive capacity, and the costs of and finance needed for adaptation. The second part of the report focuses on the adaptation gap in one particular sector, namely health. Based on the available scientific evidence on climate impacts and health outcomes, the second part provides an overview of the global adaptation gap in health, followed by a specific focus on three key areas of climate-related health risks: heat and extreme events, climate-sensitive infectious diseases, and food and nutritional security.","author":[{"dropping-particle":"","family":"UNEP","given":"","non-dropping-particle":"","parse-names":false,"suffix":""}],"id":"ITEM-1","issued":{"date-parts":[["2021"]]},"publisher-place":"Nairobi, Kenya","title":"United Nations Environment Programme: Adaptation Gap report 2020","type":"report"},"uris":["http://www.mendeley.com/documents/?uuid=8c057277-afdb-47af-bdb1-f413eea25df2"]}],"mendeley":{"formattedCitation":"(UNEP, 2021)","manualFormatting":"UNEP (2021)","plainTextFormattedCitation":"(UNEP, 2021)","previouslyFormattedCitation":"(UNEP, 2021)"},"properties":{"noteIndex":0},"schema":"https://github.com/citation-style-language/schema/raw/master/csl-citation.json"}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UNEP (2021)</w:t>
      </w:r>
      <w:r w:rsidRPr="003A1010">
        <w:rPr>
          <w:rFonts w:eastAsia="Times New Roman"/>
          <w:sz w:val="24"/>
          <w:szCs w:val="24"/>
        </w:rPr>
        <w:fldChar w:fldCharType="end"/>
      </w:r>
      <w:r w:rsidRPr="003A1010">
        <w:rPr>
          <w:rFonts w:eastAsia="Times New Roman"/>
          <w:sz w:val="24"/>
          <w:szCs w:val="24"/>
        </w:rPr>
        <w:t xml:space="preserve">, water insecurity is the second most vulnerable aspect to the effects of climate change in the eyes of the Paris agreement signatory countries. Water availability in quantity and quality has changed as a result of human activity development, and, at the same time, climate change has an impact on the hydrological cycle, increasing vulnerability to natural disasters and extreme events. Climate change is expected to exacerbate future heavy precipitation and drought conditions in many parts of the world due to changes in precipitation patterns, altered snowfall and melting regimes, and increased evapotranspiration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{"citationItems":[{"id":"ITEM-1","itemData":{"DOI":"10.1038/s41467-022-30729-2","ISSN":"2041-1723","abstract":"Droughts that exceed the magnitudes of historical variation ranges could occur increasingly frequently under future climate conditions. However, the time of the emergence of unprecedented drought conditions under climate change has rarely been examined. Here, using multimodel hydrological simulations, we investigate the changes in the frequency of hydrological drought (defined as abnormally low river discharge) under high and low greenhouse gas concentration scenarios and existing water resource management measures and estimate the time of the first emergence of unprecedented regional drought conditions centered on the low-flow season. The times are detected for several subcontinental-scale regions, and three regions, namely, Southwestern South America, Mediterranean Europe, and Northern Africa, exhibit particularly robust results under the high-emission scenario. These three regions are expected to confront unprecedented conditions within the next 30 years with a high likelihood regardless of the emission scenarios. In addition, the results obtained herein demonstrate the benefits of the lower-emission pathway in reducing the likelihood of emergence. The Paris Agreement goals are shown to be effective in reducing the likelihood to the unlikely level in most regions. However, appropriate and prior adaptation measures are considered indispensable when facing unprecedented drought conditions. The results of this study underscore the importance of improving drought preparedness within the considered time horizons.","author":[{"dropping-particle":"","family":"Satoh","given":"Yusuke","non-dropping-particle":"","parse-names":false,"suffix":""},{"dropping-particle":"","family":"Yoshimura","given":"Kei","non-dropping-particle":"","parse-names":false,"suffix":""},{"dropping-particle":"","family":"Pokhrel","given":"Yadu","non-dropping-particle":"","parse-names":false,"suffix":""},{"dropping-particle":"","family":"Kim","given":"Hyungjun","non-dropping-particle":"","parse-names":false,"suffix":""},{"dropping-particle":"","family":"Shiogama","given":"Hideo","non-dropping-particle":"","parse-names":false,"suffix":""},{"dropping-particle":"","family":"Yokohata","given":"Tokuta","non-dropping-particle":"","parse-names":false,"suffix":""},{"dropping-particle":"","family":"Hanasaki","given":"Naota","non-dropping-particle":"","parse-names":false,"suffix":""},{"dropping-particle":"","family":"Wada","given":"Yoshihide","non-dropping-particle":"","parse-names":false,"suffix":""},{"dropping-particle":"","family":"Burek","given":"Peter","non-dropping-particle":"","parse-names":false,"suffix":""},{"dropping-particle":"","family":"Byers","given":"Edward","non-dropping-particle":"","parse-names":false,"suffix":""},{"dropping-particle":"","family":"Schmied","given":"Hannes Müller","non-dropping-particle":"","parse-names":false,"suffix":""},{"dropping-particle":"","family":"Gerten","given":"Dieter","non-dropping-particle":"","parse-names":false,"suffix":""},{"dropping-particle":"","family":"Ostberg","given":"Sebastian","non-dropping-particle":"","parse-names":false,"suffix":""},{"dropping-particle":"","family":"Gosling","given":"Simon Newland","non-dropping-particle":"","parse-names":false,"suffix":""},{"dropping-particle":"","family":"Boulange","given":"Julien Eric Stanslas","non-dropping-particle":"","parse-names":false,"suffix":""},{"dropping-particle":"","family":"Oki","given":"Taikan","non-dropping-particle":"","parse-names":false,"suffix":""}],"container-title":"Nature Communications","id":"ITEM-1","issue":"1","issued":{"date-parts":[["2022","12","28"]]},"page":"3287","publisher":"Springer US","title":"The timing of unprecedented hydrological drought under climate change","type":"article-journal","volume":"13"},"uris":["http://www.mendeley.com/documents/?uuid=be108630-e152-4546-85ce-44ba8e15a9ec"]}],"mendeley":{"formattedCitation":"(Satoh et al., 2022)","plainTextFormattedCitation":"(Satoh et al., 2022)","previouslyFormattedCitation":"(Satoh et al., 2022)"},"properties":{"noteIndex":0},"schema":"https://github.com/citation-style-language/schema/raw/master/csl-citation.json"}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(Satoh et al., 2022)</w:t>
      </w:r>
      <w:r w:rsidRPr="003A1010">
        <w:rPr>
          <w:rFonts w:eastAsia="Times New Roman"/>
          <w:sz w:val="24"/>
          <w:szCs w:val="24"/>
        </w:rPr>
        <w:fldChar w:fldCharType="end"/>
      </w:r>
      <w:r w:rsidRPr="003A1010">
        <w:rPr>
          <w:rFonts w:eastAsia="Times New Roman"/>
          <w:sz w:val="24"/>
          <w:szCs w:val="24"/>
        </w:rPr>
        <w:t xml:space="preserve">.  Increased runoff and stormwater overflow from heavy rainfall over saturated catchments can transport pollutants to surface waters, increasing pathogens, turbidity, nutrients, and organic matter concentrations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{"citationItems":[{"id":"ITEM-1","itemData":{"DOI":"10.1016/J.WATRES.2021.117996","ISSN":"0043-1354","PMID":"34959067","abstract":"Understanding how climate change will affect water quality and therefore, health, is critical for building resilient water services in low- and middle-income countries (LMICs) where the effect of climate change will be felt most acutely. Evidence of the effect of climate variables such as temperate and rainfall on water quality can generate insights into the likely impact of future climate change. While the seasonal effects on water quality are known, and there is strong qualitative evidence that climate change will impact water quality, there are no reviews that synthesise quantitative evidence from LMICs on links between climate variables and water quality. We mapped the available evidence on a range of climate exposures and water quality outcomes and identified 98 peer-reviewed studies. This included observational studies on the impact of temperature and rainfall events (which may cause short-term changes in contaminant concentrations), and modelling studies on the long-term impacts of sea level rise. Evidence on links between antecedent rainfall and microbiological contamination of water supplies is strong and relatively evenly distributed geographically, but largely focused on faecal indicator bacteria and on untreated shallow groundwater sources of drinking water. The literature on climate effects on geogenic contaminants was sparse. There is substantial research on the links between water temperature and cyanobacteria blooms in surface waters, although most studies were from two countries and did not examine potential effects on water treatment. Similarly, studies modelling the impact of sea level rise on groundwater salinity, mostly from south-Asia and the Middle East, did not discuss challenges for drinking water supplies. We identified key future research priorities based on this review. These include: more studies on specific pathogens (including opportunistic pathogens) in water supplies and their relationships with climate variables; more studies that assess likely relationships between climate variables and water treatment processes; studies into the relationships between climate variables and geogenic contaminants, including risks from heavy metals released as glacier retreat; and, research into the impacts of wildfires on water quality in LMICs given the current dearth of studies but recognised importance.","author":[{"dropping-particle":"","family":"Nijhawan","given":"Anisha","non-dropping-particle":"","parse-names":false,"suffix":""},{"dropping-particle":"","family":"Howard","given":"Guy","non-dropping-particle":"","parse-names":false,"suffix":""}],"container-title":"Water Research","id":"ITEM-1","issued":{"date-parts":[["2022","2","15"]]},"page":"117996","publisher":"Pergamon","title":"Associations between climate variables and water quality in low- and middle-income countries: A scoping review","type":"article-journal","volume":"210"},"uris":["http://www.mendeley.com/documents/?uuid=67fbcb7e-9036-3741-ac8a-82dec4952fc1"]}],"mendeley":{"formattedCitation":"(Nijhawan &amp; Howard, 2022)","plainTextFormattedCitation":"(Nijhawan &amp; Howard, 2022)","previouslyFormattedCitation":"(Nijhawan &amp; Howard, 2022)"},"properties":{"noteIndex":0},"schema":"https://github.com/citation-style-language/schema/raw/master/csl-citation.json"}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(Nijhawan &amp; Howard, 2022)</w:t>
      </w:r>
      <w:r w:rsidRPr="003A1010">
        <w:rPr>
          <w:rFonts w:eastAsia="Times New Roman"/>
          <w:sz w:val="24"/>
          <w:szCs w:val="24"/>
        </w:rPr>
        <w:fldChar w:fldCharType="end"/>
      </w:r>
      <w:r w:rsidRPr="003A1010">
        <w:rPr>
          <w:rFonts w:eastAsia="Times New Roman"/>
          <w:sz w:val="24"/>
          <w:szCs w:val="24"/>
        </w:rPr>
        <w:t xml:space="preserve">.  Furthermore, unruly land use can degrade water quality and harm public health by allowing pollutants to enter without being adequately treated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{"citationItems":[{"id":"ITEM-1","itemData":{"DOI":"10.1590/s1413-41522019193351","ISSN":"14134152","abstract":"The occurrence of cyanobacteria and cyanotoxins in reservoirs in São Paulo State is a challenge to the production of drinking water. Seven reservoirs used for public supply and monitored by CETESB, were analyzed regarding cyanobacteria, microcystin and indicators of fecal contamination between 2011-2015. The percentages of non-compliance with water quality standards were calculated. Results highlighted the presence of cyanobacteria and microcystin (maximum of 22.4 μg/L), as well as conflicts with the standards provided by CONAMA Resolution No. 357/2005 (BRASIL, 2005), which reinforces the importance of investments in sanitary sewage collection and treatment. The need for greater integration between laws and resolutions on issues related to water quality were also discussed, as well as better planning of water resources, focusing on progressive goals for water quality improvement.","author":[{"dropping-particle":"","family":"Sonobe","given":"Henrique Gamon","non-dropping-particle":"","parse-names":false,"suffix":""},{"dropping-particle":"","family":"Lamparelli","given":"Marta Condé","non-dropping-particle":"","parse-names":false,"suffix":""},{"dropping-particle":"","family":"Cunha","given":"Davi Gasparini Fernandes","non-dropping-particle":"","parse-names":false,"suffix":""}],"container-title":"Engenharia Sanitaria e Ambiental","id":"ITEM-1","issue":"5","issued":{"date-parts":[["2019"]]},"page":"909-918","title":"Spatial and temporal assessment of sanitary aspects of public water supply reservoirs in SP, Brazil, with emphasis on cyanobacteria and cyanotoxins","type":"article-journal","volume":"24"},"uris":["http://www.mendeley.com/documents/?uuid=b2f9adf8-4079-43a4-8284-5c24d65f3087"]}],"mendeley":{"formattedCitation":"(Sonobe et al., 2019)","plainTextFormattedCitation":"(Sonobe et al., 2019)","previouslyFormattedCitation":"(Sonobe et al., 2019)"},"properties":{"noteIndex":0},"schema":"https://github.com/citation-style-language/schema/raw/master/csl-citation.json"}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(Sonobe et al., 2019)</w:t>
      </w:r>
      <w:r w:rsidRPr="003A1010">
        <w:rPr>
          <w:rFonts w:eastAsia="Times New Roman"/>
          <w:sz w:val="24"/>
          <w:szCs w:val="24"/>
        </w:rPr>
        <w:fldChar w:fldCharType="end"/>
      </w:r>
      <w:r w:rsidRPr="003A1010">
        <w:rPr>
          <w:rFonts w:eastAsia="Times New Roman"/>
          <w:sz w:val="24"/>
          <w:szCs w:val="24"/>
        </w:rPr>
        <w:t xml:space="preserve">. Under the same perspective, unplanned land use change can also have an impact on the hydrological cycle, and, thus, water availability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{"citationItems":[{"id":"ITEM-1","itemData":{"DOI":"10.1016/j.scitotenv.2018.07.017","ISSN":"18791026","PMID":"29990901","abstract":"Conflicts between increasing irrigated agricultural area, commercial crops, shifting cultivation and ever increasing domestic and industrial demand has already been a cause of tension in the society over water in the Ganga River Basin, India. For the development of sustainable water resource strategies, it is essential to establish interaction between landuse changes and local hydrology through proper assessment. Precisely, seeing how change in each LULC affects hydrologic regimes, or conversely evaluating which LULC shall be appropriate for the local hydrological regime can help decision makers to incorporate in the policy instruments. In this study, hydrologic regimes of the Ganga River basin have been assessed with landuse change. Catchment hydrologic responses were simulated using Soil and Water Assessment Tool (SWAT). Meteorological data from IMD of 0.25° × 0.25° spatial resolution were taken as the climate inputs. Simulated stream flow was compared at different gauge stations distributed across the Gang River and its tributaries. Urbanization has been the topmost contributor to the increase in surface runoff and water yield. While increased irrigation demands were the dominant contributor to the water consumption and also added to the increased evapotranspiration. This study can be important tool in quantifying the changes in hydrological components in response to changes made in landuse in especially basins undergoing rapid commercialization. This shall provide substantive information to the decision makers required to develop ameliorative strategies.","author":[{"dropping-particle":"","family":"Anand","given":"Jatin","non-dropping-particle":"","parse-names":false,"suffix":""},{"dropping-particle":"","family":"Gosain","given":"A. K.","non-dropping-particle":"","parse-names":false,"suffix":""},{"dropping-particle":"","family":"Khosa","given":"R.","non-dropping-particle":"","parse-names":false,"suffix":""}],"container-title":"Science of the Total Environment","id":"ITEM-1","issued":{"date-parts":[["2018"]]},"page":"503-519","publisher":"Elsevier B.V.","title":"Prediction of land use changes based on Land Change Modeler and attribution of changes in the water balance of Ganga basin to land use change using the SWAT model","type":"article-journal","volume":"644"},"uris":["http://www.mendeley.com/documents/?uuid=7d81e4d3-113d-4a84-89a0-b2a1690d4587"]}],"mendeley":{"formattedCitation":"(Anand et al., 2018)","plainTextFormattedCitation":"(Anand et al., 2018)","previouslyFormattedCitation":"(Anand et al., 2018)"},"properties":{"noteIndex":0},"schema":"https://github.com/citation-style-language/schema/raw/master/csl-citation.json"}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(Anand et al., 2018)</w:t>
      </w:r>
      <w:r w:rsidRPr="003A1010">
        <w:rPr>
          <w:rFonts w:eastAsia="Times New Roman"/>
          <w:sz w:val="24"/>
          <w:szCs w:val="24"/>
        </w:rPr>
        <w:fldChar w:fldCharType="end"/>
      </w:r>
      <w:r w:rsidRPr="003A1010">
        <w:rPr>
          <w:rFonts w:eastAsia="Times New Roman"/>
          <w:sz w:val="24"/>
          <w:szCs w:val="24"/>
        </w:rPr>
        <w:t>.</w:t>
      </w:r>
    </w:p>
    <w:p w14:paraId="60DFAF3D" w14:textId="77777777" w:rsidR="003A1010" w:rsidRPr="003A1010" w:rsidRDefault="003A1010" w:rsidP="003A1010">
      <w:pPr>
        <w:ind w:firstLine="540"/>
        <w:rPr>
          <w:rFonts w:eastAsia="Times New Roman"/>
          <w:sz w:val="24"/>
          <w:szCs w:val="24"/>
        </w:rPr>
      </w:pPr>
      <w:r w:rsidRPr="003A1010">
        <w:rPr>
          <w:rFonts w:eastAsia="Times New Roman"/>
          <w:sz w:val="24"/>
          <w:szCs w:val="24"/>
        </w:rPr>
        <w:t xml:space="preserve">Water availability declines can jeopardize the sustainability of other dependent services such as food security, energy supply, and consumer goods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10.4324/9780429453571-2","ISBN":"9789231004346","author":[{"dropping-particle":"","family":"UN-Water","given":"","non-dropping-particle":"","parse-names":false,"suffix":""}],"container-title":"UN-Water","id":"ITEM-1","issued":{"date-parts":[["2021"]]},"number-of-pages":"1-206","title":"The United Nations World Water Development Report 2021 Valuing water","type":"report"},"uris":["http://www.mendeley.com/documents/?uuid=042d0b6b-28e0-43e9-911d-aefb92b134ad"]}],"mendeley":{"formattedCitation":"(UN-Water, 2021)","plainTextFormattedCitation":"(UN-Water, 2021)","previouslyFormattedCitation":"(UN-Water, 2021)"},"properties":{"noteIndex":0},"schema":"https://github.com/citation-style-language/schema/raw/master/csl-citation.json"}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(UN-Water, 2021)</w:t>
      </w:r>
      <w:r w:rsidRPr="003A1010">
        <w:rPr>
          <w:rFonts w:eastAsia="Times New Roman"/>
          <w:sz w:val="24"/>
          <w:szCs w:val="24"/>
        </w:rPr>
        <w:fldChar w:fldCharType="end"/>
      </w:r>
      <w:r w:rsidRPr="003A1010">
        <w:rPr>
          <w:rFonts w:eastAsia="Times New Roman"/>
          <w:sz w:val="24"/>
          <w:szCs w:val="24"/>
        </w:rPr>
        <w:t xml:space="preserve">. As a result, such changes affect the risk of capital derived from the use of natural resources, which affects the concern of risk-averse individuals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{"citationItems":[{"id":"ITEM-1","itemData":{"DOI":"10.2139/ssrn.4143255","author":[{"dropping-particle":"","family":"Kelsall","given":"Claudia","non-dropping-particle":"","parse-names":false,"suffix":""},{"dropping-particle":"","family":"Quaas","given":"Martin F.","non-dropping-particle":"","parse-names":false,"suffix":""},{"dropping-particle":"","family":"QUEROU","given":"Nicolas","non-dropping-particle":"","parse-names":false,"suffix":""}],"container-title":"SSRN Electronic Journal","id":"ITEM-1","issue":"iDiv","issued":{"date-parts":[["2022"]]},"title":"Risk Aversion in Renewable Resource Harvesting","type":"article-journal"},"uris":["http://www.mendeley.com/documents/?uuid=bfbe1792-eca6-496e-afdb-44a86bbbac4a"]}],"mendeley":{"formattedCitation":"(Kelsall et al., 2022)","plainTextFormattedCitation":"(Kelsall et al., 2022)","previouslyFormattedCitation":"(Kelsall et al., 2022)"},"properties":{"noteIndex":0},"schema":"https://github.com/citation-style-language/schema/raw/master/csl-citation.json"}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(Kelsall et al., 2022)</w:t>
      </w:r>
      <w:r w:rsidRPr="003A1010">
        <w:rPr>
          <w:rFonts w:eastAsia="Times New Roman"/>
          <w:sz w:val="24"/>
          <w:szCs w:val="24"/>
        </w:rPr>
        <w:fldChar w:fldCharType="end"/>
      </w:r>
      <w:r w:rsidRPr="003A1010">
        <w:rPr>
          <w:rFonts w:eastAsia="Times New Roman"/>
          <w:sz w:val="24"/>
          <w:szCs w:val="24"/>
        </w:rPr>
        <w:t xml:space="preserve">. As the global economy expands, increasing losses of natural capital translate into substantially higher costs and inefficiencies in achieving future water security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{"citationItems":[{"id":"ITEM-1","itemData":{"DOI":"10.1016/j.gloenvcha.2021.102344","ISSN":"09593780","abstract":"Sustainable development demands reliable water resources, yet traditional water management has broadly failed to avoid environmental degradation and contain infrastructure costs. We explore the global-scale feasibility of combining natural capital with engineering-based (green-gray) approaches to meet water security threats over the 21st century. Threats to water resource systems are projected to rise throughout this period, together with a significant expansion in engineering deployments and progressive loss of natural capital. In many parts of the world, strong path dependencies are projected to arise from the legacy of prior environmental degradation that constrains future water management to a heavy reliance on engineering-based approaches. Elsewhere, retaining existing stocks of natural capital creates opportunities to employ blended green-gray water infrastructure. By 2050, annual engineering expenditures are projected to triple to $2.3 trillion, invested mainly in developing economies. In contrast, preserving natural capital for threat suppression represents a potential $3.0 trillion in avoided replacement costs by mid-century. Society pays a premium whenever these nature-based assets are lost, as the engineering costs necessary to achieve an equivalent level of threat management are, on average, twice as expensive. Countries projected to rapidly expand their engineering investments while losing natural capital will be most constrained in realizing green-gray water management. The situation is expected to be most restrictive across the developing world, where the economic, technical, and governance capacities to overcome such challenges remain limited. Our results demonstrate that policies that support blended green-gray approaches offer a pathway to future global water security but will require a strategic commitment to preserving natural capital. Absent such stewardship, the costs of water resource infrastructure and services will likely rise substantially and frustrate efforts to attain universal and sustainable water security.","author":[{"dropping-particle":"","family":"Vörösmarty","given":"Charles J.","non-dropping-particle":"","parse-names":false,"suffix":""},{"dropping-particle":"","family":"Stewart-Koster","given":"Ben","non-dropping-particle":"","parse-names":false,"suffix":""},{"dropping-particle":"","family":"Green","given":"Pamela A.","non-dropping-particle":"","parse-names":false,"suffix":""},{"dropping-particle":"","family":"Boone","given":"Edward L.","non-dropping-particle":"","parse-names":false,"suffix":""},{"dropping-particle":"","family":"Flörke","given":"Martina","non-dropping-particle":"","parse-names":false,"suffix":""},{"dropping-particle":"","family":"Fischer","given":"Günther","non-dropping-particle":"","parse-names":false,"suffix":""},{"dropping-particle":"","family":"Wiberg","given":"David A.","non-dropping-particle":"","parse-names":false,"suffix":""},{"dropping-particle":"","family":"Bunn","given":"Stuart E.","non-dropping-particle":"","parse-names":false,"suffix":""},{"dropping-particle":"","family":"Bhaduri","given":"Anik","non-dropping-particle":"","parse-names":false,"suffix":""},{"dropping-particle":"","family":"McIntyre","given":"Peter B.","non-dropping-particle":"","parse-names":false,"suffix":""},{"dropping-particle":"","family":"Sadoff","given":"Claudia","non-dropping-particle":"","parse-names":false,"suffix":""},{"dropping-particle":"","family":"Liu","given":"Hongxing","non-dropping-particle":"","parse-names":false,"suffix":""},{"dropping-particle":"","family":"Stifel","given":"David","non-dropping-particle":"","parse-names":false,"suffix":""}],"container-title":"Global Environmental Change","id":"ITEM-1","issue":"May","issued":{"date-parts":[["2021"]]},"title":"A green-gray path to global water security and sustainable infrastructure","type":"article-journal","volume":"70"},"uris":["http://www.mendeley.com/documents/?uuid=0a43d292-0dbe-49f8-91a6-c63540f9938c"]}],"mendeley":{"formattedCitation":"(Vörösmarty et al., 2021)","plainTextFormattedCitation":"(Vörösmarty et al., 2021)","previouslyFormattedCitation":"(Vörösmarty et al., 2021)"},"properties":{"noteIndex":0},"schema":"https://github.com/citation-style-language/schema/raw/master/csl-citation.json"}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(Vörösmarty et al., 2021)</w:t>
      </w:r>
      <w:r w:rsidRPr="003A1010">
        <w:rPr>
          <w:rFonts w:eastAsia="Times New Roman"/>
          <w:sz w:val="24"/>
          <w:szCs w:val="24"/>
        </w:rPr>
        <w:fldChar w:fldCharType="end"/>
      </w:r>
      <w:r w:rsidRPr="003A1010">
        <w:rPr>
          <w:rFonts w:eastAsia="Times New Roman"/>
          <w:sz w:val="24"/>
          <w:szCs w:val="24"/>
        </w:rPr>
        <w:t xml:space="preserve">. Risk management, according to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{"citationItems":[{"id":"ITEM-1","itemData":{"DOI":"10.1038/s41586-022-04917-5","ISSN":"14764687","abstract":"Risk management has reduced vulnerability to floods and droughts globally1,2, yet their impacts are still increasing3. An improved understanding of the causes of changing impacts is therefore needed, but has been hampered by a lack of empirical data4,5. On the basis of a global dataset of 45 pairs of events that occurred within the same area, we show that risk management generally reduces the impacts of floods and droughts but faces difficulties in reducing the impacts of unprecedented events of a magnitude not previously experienced. If the second event was much more hazardous than the first, its impact was almost always higher. This is because management was not designed to deal with such extreme events: for example, they exceeded the design levels of levees and reservoirs. In two success stories, the impact of the second, more hazardous, event was lower, as a result of improved risk management governance and high investment in integrated management. The observed difficulty of managing unprecedented events is alarming, given that more extreme hydrological events are projected owing to climate change3.","author":[{"dropping-particle":"","family":"Kreibich","given":"H.","non-dropping-particle":"","parse-names":false,"suffix":""},{"dropping-particle":"","family":"Loon","given":"A.F.","non-dropping-particle":"Van","parse-names":false,"suffix":""},{"dropping-particle":"","family":"Schröter","given":"K.","non-dropping-particle":"","parse-names":false,"suffix":""},{"dropping-particle":"","family":"Ward","given":"P.J.","non-dropping-particle":"","parse-names":false,"suffix":""},{"dropping-particle":"","family":"Mazzoleni","given":"M.","non-dropping-particle":"","parse-names":false,"suffix":""},{"dropping-particle":"","family":"Sairam","given":"N.","non-dropping-particle":"","parse-names":false,"suffix":""},{"dropping-particle":"","family":"Abeshu","given":"G.W.","non-dropping-particle":"","parse-names":false,"suffix":""},{"dropping-particle":"","family":"Agafonova","given":"S.","non-dropping-particle":"","parse-names":false,"suffix":""},{"dropping-particle":"","family":"AghaKouchak","given":"A.","non-dropping-particle":"","parse-names":false,"suffix":""},{"dropping-particle":"","family":"Aksoy","given":"H.","non-dropping-particle":"","parse-names":false,"suffix":""},{"dropping-particle":"","family":"Alvarez-Garreton","given":"C.","non-dropping-particle":"","parse-names":false,"suffix":""},{"dropping-particle":"","family":"Aznar","given":"B.","non-dropping-particle":"","parse-names":false,"suffix":""},{"dropping-particle":"","family":"Balkhi","given":"L.","non-dropping-particle":"","parse-names":false,"suffix":""},{"dropping-particle":"","family":"Barendrecht","given":"M.H.","non-dropping-particle":"","parse-names":false,"suffix":""},{"dropping-particle":"","family":"Biancamaria","given":"S.","non-dropping-particle":"","parse-names":false,"suffix":""},{"dropping-particle":"","family":"Bos-Burgering","given":"L.","non-dropping-particle":"","parse-names":false,"suffix":""},{"dropping-particle":"","family":"Bradley","given":"C.","non-dropping-particle":"","parse-names":false,"suffix":""},{"dropping-particle":"","family":"Budiyono","given":"Y.","non-dropping-particle":"","parse-names":false,"suffix":""},{"dropping-particle":"","family":"Buytaert","given":"W.","non-dropping-particle":"","parse-names":false,"suffix":""},{"dropping-particle":"","family":"Capewell","given":"L.","non-dropping-particle":"","parse-names":false,"suffix":""},{"dropping-particle":"","family":"Carlson","given":"H.","non-dropping-particle":"","parse-names":false,"suffix":""},{"dropping-particle":"","family":"Cavus","given":"Y.","non-dropping-particle":"","parse-names":false,"suffix":""},{"dropping-particle":"","family":"Couasnon","given":"A.","non-dropping-particle":"","parse-names":false,"suffix":""},{"dropping-particle":"","family":"Coxon","given":"G.","non-dropping-particle":"","parse-names":false,"suffix":""},{"dropping-particle":"","family":"Daliakopoulos","given":"I.","non-dropping-particle":"","parse-names":false,"suffix":""},{"dropping-particle":"","family":"Ruiter","given":"M.C.","non-dropping-particle":"de","parse-names":false,"suffix":""},{"dropping-particle":"","family":"Delus","given":"C.","non-dropping-particle":"","parse-names":false,"suffix":""},{"dropping-particle":"","family":"Erfurt","given":"M.","non-dropping-particle":"","parse-names":false,"suffix":""},{"dropping-particle":"","family":"Esposito","given":"G.","non-dropping-particle":"","parse-names":false,"suffix":""},{"dropping-particle":"","family":"François","given":"D.","non-dropping-particle":"","parse-names":false,"suffix":""},{"dropping-particle":"","family":"Frappart","given":"F.","non-dropping-particle":"","parse-names":false,"suffix":""},{"dropping-particle":"","family":"Freer","given":"J.","non-dropping-particle":"","parse-names":false,"suffix":""},{"dropping-particle":"","family":"Frolova","given":"N.","non-dropping-particle":"","parse-names":false,"suffix":""},{"dropping-particle":"","family":"Gain","given":"A.K.","non-dropping-particle":"","parse-names":false,"suffix":""},{"dropping-particle":"","family":"Grillakis","given":"M.","non-dropping-particle":"","parse-names":false,"suffix":""},{"dropping-particle":"","family":"Grima","given":"J.O.","non-dropping-particle":"","parse-names":false,"suffix":""},{"dropping-particle":"","family":"Guzmán","given":"D.A.","non-dropping-particle":"","parse-names":false,"suffix":""},{"dropping-particle":"","family":"Huning","given":"L.S.","non-dropping-particle":"","parse-names":false,"suffix":""},{"dropping-particle":"","family":"Ionita","given":"M.","non-dropping-particle":"","parse-names":false,"suffix":""},{"dropping-particle":"","family":"Kharlamov","given":"M.","non-dropping-particle":"","parse-names":false,"suffix":""},{"dropping-particle":"","family":"Khoi","given":"D.N.","non-dropping-particle":"","parse-names":false,"suffix":""},{"dropping-particle":"","family":"Kieboom","given":"N.","non-dropping-particle":"","parse-names":false,"suffix":""},{"dropping-particle":"","family":"Kireeva","given":"M.","non-dropping-particle":"","parse-names":false,"suffix":""},{"dropping-particle":"","family":"Koutroulis","given":"A.","non-dropping-particle":"","parse-names":false,"suffix":""},{"dropping-particle":"","family":"Lavado-Casimiro","given":"W.","non-dropping-particle":"","parse-names":false,"suffix":""},{"dropping-particle":"","family":"Li","given":"H.-Y.","non-dropping-particle":"","parse-names":false,"suffix":""},{"dropping-particle":"","family":"LLasat","given":"M.C.","non-dropping-particle":"","parse-names":false,"suffix":""},{"dropping-particle":"","family":"Macdonald","given":"D.","non-dropping-particle":"","parse-names":false,"suffix":""},{"dropping-particle":"","family":"Mård","given":"J.","non-dropping-particle":"","parse-names":false,"suffix":""},{"dropping-particle":"","family":"Mathew-Richards","given":"H.","non-dropping-particle":"","parse-names":false,"suffix":""},{"dropping-particle":"","family":"McKenzie","given":"A.","non-dropping-particle":"","parse-names":false,"suffix":""},{"dropping-particle":"","family":"Mejia","given":"A.","non-dropping-particle":"","parse-names":false,"suffix":""},{"dropping-particle":"","family":"Mendiondo","given":"E.M.","non-dropping-particle":"","parse-names":false,"suffix":""},{"dropping-particle":"","family":"Mens","given":"M.","non-dropping-particle":"","parse-names":false,"suffix":""},{"dropping-particle":"","family":"Mobini","given":"S.","non-dropping-particle":"","parse-names":false,"suffix":""},{"dropping-particle":"","family":"Mohor","given":"G.S.","non-dropping-particle":"","parse-names":false,"suffix":""},{"dropping-particle":"","family":"Nagavciuc","given":"V.","non-dropping-particle":"","parse-names":false,"suffix":""},{"dropping-particle":"","family":"Ngo-Duc","given":"T.","non-dropping-particle":"","parse-names":false,"suffix":""},{"dropping-particle":"","family":"Thao Nguyen Huynh","given":"T.","non-dropping-particle":"","parse-names":false,"suffix":""},{"dropping-particle":"","family":"Nhi","given":"P.T.T.","non-dropping-particle":"","parse-names":false,"suffix":""},{"dropping-particle":"","family":"Petrucci","given":"O.","non-dropping-particle":"","parse-names":false,"suffix":""},{"dropping-particle":"","family":"Nguyen","given":"H.Q.","non-dropping-particle":"","parse-names":false,"suffix":""},{"dropping-particle":"","family":"Quintana-Seguí","given":"P.","non-dropping-particle":"","parse-names":false,"suffix":""},{"dropping-particle":"","family":"Razavi","given":"S.","non-dropping-particle":"","parse-names":false,"suffix":""},{"dropping-particle":"","family":"Ridolfi","given":"E.","non-dropping-particle":"","parse-names":false,"suffix":""},{"dropping-particle":"","family":"Riegel","given":"J.","non-dropping-particle":"","parse-names":false,"suffix":""},{"dropping-particle":"","family":"Sadik","given":"M.S.","non-dropping-particle":"","parse-names":false,"suffix":""},{"dropping-particle":"","family":"Savelli","given":"E.","non-dropping-particle":"","parse-names":false,"suffix":""},{"dropping-particle":"","family":"Sazonov","given":"A.","non-dropping-particle":"","parse-names":false,"suffix":""},{"dropping-particle":"","family":"Sharma","given":"S.","non-dropping-particle":"","parse-names":false,"suffix":""},{"dropping-particle":"","family":"Sörensen","given":"J.","non-dropping-particle":"","parse-names":false,"suffix":""},{"dropping-particle":"","family":"Arguello Souza","given":"F.A.","non-dropping-particle":"","parse-names":false,"suffix":""},{"dropping-particle":"","family":"Stahl","given":"K.","non-dropping-particle":"","parse-names":false,"suffix":""},{"dropping-particle":"","family":"Steinhausen","given":"M.","non-dropping-particle":"","parse-names":false,"suffix":""},{"dropping-particle":"","family":"Stoelzle","given":"M.","non-dropping-particle":"","parse-names":false,"suffix":""},{"dropping-particle":"","family":"Szalińska","given":"W.","non-dropping-particle":"","parse-names":false,"suffix":""},{"dropping-particle":"","family":"Tang","given":"Q.","non-dropping-particle":"","parse-names":false,"suffix":""},{"dropping-particle":"","family":"Tian","given":"F.","non-dropping-particle":"","parse-names":false,"suffix":""},{"dropping-particle":"","family":"Tokarczyk","given":"T.","non-dropping-particle":"","parse-names":false,"suffix":""},{"dropping-particle":"","family":"Tovar","given":"C.","non-dropping-particle":"","parse-names":false,"suffix":""},{"dropping-particle":"","family":"Tran","given":"T.V.T.","non-dropping-particle":"","parse-names":false,"suffix":""},{"dropping-particle":"","family":"Huijgevoort","given":"M.H.J.","non-dropping-particle":"Van","parse-names":false,"suffix":""},{"dropping-particle":"","family":"Vliet","given":"M.T.H.","non-dropping-particle":"van","parse-names":false,"suffix":""},{"dropping-particle":"","family":"Vorogushyn","given":"S.","non-dropping-particle":"","parse-names":false,"suffix":""},{"dropping-particle":"","family":"Wagener","given":"T.","non-dropping-particle":"","parse-names":false,"suffix":""},{"dropping-particle":"","family":"Wang","given":"Y.","non-dropping-particle":"","parse-names":false,"suffix":""},{"dropping-particle":"","family":"Wendt","given":"D.E.","non-dropping-particle":"","parse-names":false,"suffix":""},{"dropping-particle":"","family":"Wickham","given":"E.","non-dropping-particle":"","parse-names":false,"suffix":""},{"dropping-particle":"","family":"Yang","given":"L.","non-dropping-particle":"","parse-names":false,"suffix":""},{"dropping-particle":"","family":"Zambrano-Bigiarini","given":"M.","non-dropping-particle":"","parse-names":false,"suffix":""},{"dropping-particle":"","family":"Blöschl","given":"G.","non-dropping-particle":"","parse-names":false,"suffix":""},{"dropping-particle":"","family":"Baldassarre","given":"G.","non-dropping-particle":"Di","parse-names":false,"suffix":""}],"container-title":"Nature","id":"ITEM-1","issue":"7921","issued":{"date-parts":[["2022"]]},"publisher":"Springer US","title":"The challenge of unprecedented floods and droughts in risk management","type":"article-journal","volume":"608"},"uris":["http://www.mendeley.com/documents/?uuid=529b3e3e-0b58-45ef-a0c0-4c389f196bef"]}],"mendeley":{"formattedCitation":"(Kreibich et al., 2022)","plainTextFormattedCitation":"(Kreibich et al., 2022)","previouslyFormattedCitation":"(Kreibich et al., 2022)"},"properties":{"noteIndex":0},"schema":"https://github.com/citation-style-language/schema/raw/master/csl-citation.json"}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(Kreibich et al., 2022)</w:t>
      </w:r>
      <w:r w:rsidRPr="003A1010">
        <w:rPr>
          <w:rFonts w:eastAsia="Times New Roman"/>
          <w:sz w:val="24"/>
          <w:szCs w:val="24"/>
        </w:rPr>
        <w:fldChar w:fldCharType="end"/>
      </w:r>
      <w:r w:rsidRPr="003A1010">
        <w:rPr>
          <w:rFonts w:eastAsia="Times New Roman"/>
          <w:sz w:val="24"/>
          <w:szCs w:val="24"/>
        </w:rPr>
        <w:t xml:space="preserve">, generally reduces the impacts of extreme weather and climate events. Risk transfer is one of the risk management tools that has been used to protect regions highly vulnerable to the impacts of extreme events, which are exacerbated by climate and land use and </w:t>
      </w:r>
      <w:r w:rsidRPr="003A1010">
        <w:rPr>
          <w:rFonts w:eastAsia="Times New Roman"/>
          <w:sz w:val="24"/>
          <w:szCs w:val="24"/>
        </w:rPr>
        <w:lastRenderedPageBreak/>
        <w:t xml:space="preserve">cover change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{"citationItems":[{"id":"ITEM-1","itemData":{"DOI":"10.1016/J.ECOHYD.2021.07.004","ISSN":"20803397","abstract":"The concept of water security considers the availability of water in sufficient quantity and quality for human activities and ecosystem maintenance in a resilient, stable politic and peaceful climate. The cooperation and interaction between human activities and ecosystems has not been clearly understood, which undermines the resilience of society and the environment against water-related disasters. Thus, we presented a theoretical approach of multistage risk management combining Nature-based Solutions (NbS), multidimensional indices and raising awareness measures to increase water security. Our results show how this proposal can improve risk management, decreasing economic global losses from natural hazards and increasing willingness to adapt and preparedness better than in some real cases analyzed here. We concluded that the understanding of the relationship among water security elements can increase the resilience of cities and urban centers, through the implementation of new tools such as NbS, multidimensional indices and other novel non-structural measures.","author":[{"dropping-particle":"","family":"Navarro","given":"Fabricio Alonso Richmond","non-dropping-particle":"","parse-names":false,"suffix":""},{"dropping-particle":"","family":"Gesualdo","given":"Gabriela Chiquito","non-dropping-particle":"","parse-names":false,"suffix":""},{"dropping-particle":"","family":"Ferreira","given":"Renan Gon","non-dropping-particle":"","parse-names":false,"suffix":""},{"dropping-particle":"","family":"Rápalo","given":"Luis Miguel Castillo","non-dropping-particle":"","parse-names":false,"suffix":""},{"dropping-particle":"","family":"Benso","given":"Marcos Roberto","non-dropping-particle":"","parse-names":false,"suffix":""},{"dropping-particle":"","family":"Macedo","given":"Marina Batalini","non-dropping-particle":"de","parse-names":false,"suffix":""},{"dropping-particle":"","family":"Mendiondo","given":"Eduardo Mario","non-dropping-particle":"","parse-names":false,"suffix":""}],"container-title":"Ecohydrology and Hydrobiology","id":"ITEM-1","issue":"3","issued":{"date-parts":[["2021","7","1"]]},"page":"443-453","publisher":"Elsevier B.V.","title":"A novel multistage risk management applied to water-related disaster using diversity of measures: A theoretical approach","type":"article-journal","volume":"21"},"uris":["http://www.mendeley.com/documents/?uuid=cb0705b9-4f0d-3624-816a-4cc961e4c0be"]},{"id":"ITEM-2","itemData":{"DOI":"10.5194/egusphere-2022-498","author":[{"dropping-particle":"","family":"Benso","given":"M R","non-dropping-particle":"","parse-names":false,"suffix":""},{"dropping-particle":"","family":"Gesualdo","given":"G C","non-dropping-particle":"","parse-names":false,"suffix":""},{"dropping-particle":"","family":"Silva","given":"G J","non-dropping-particle":"","parse-names":false,"suffix":""},{"dropping-particle":"","family":"Rápalo","given":"L M C","non-dropping-particle":"","parse-names":false,"suffix":""},{"dropping-particle":"","family":"Navarro","given":"F A R","non-dropping-particle":"","parse-names":false,"suffix":""},{"dropping-particle":"","family":"Silva","given":"R F","non-dropping-particle":"","parse-names":false,"suffix":""},{"dropping-particle":"","family":"Mendiondo","given":"E M","non-dropping-particle":"","parse-names":false,"suffix":""}],"container-title":"EGUsphere","id":"ITEM-2","issued":{"date-parts":[["2022"]]},"page":"1-24","title":"Review article: Design and Evaluation of Weather Index Insurance for Multi-Hazard Resilience and Food Insecurity","type":"article-journal"},"uris":["http://www.mendeley.com/documents/?uuid=7ddff0b8-306b-408d-b998-60db15707bb8"]}],"mendeley":{"formattedCitation":"(Benso et al., 2022; Navarro et al., 2021)","plainTextFormattedCitation":"(Benso et al., 2022; Navarro et al., 2021)","previouslyFormattedCitation":"(Benso et al., 2022; Navarro et al., 2021)"},"properties":{"noteIndex":0},"schema":"https://github.com/citation-style-language/schema/raw/master/csl-citation.json"}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(Benso et al., 2022; Navarro et al., 2021)</w:t>
      </w:r>
      <w:r w:rsidRPr="003A1010">
        <w:rPr>
          <w:rFonts w:eastAsia="Times New Roman"/>
          <w:sz w:val="24"/>
          <w:szCs w:val="24"/>
        </w:rPr>
        <w:fldChar w:fldCharType="end"/>
      </w:r>
      <w:r w:rsidRPr="003A1010">
        <w:rPr>
          <w:rFonts w:eastAsia="Times New Roman"/>
          <w:sz w:val="24"/>
          <w:szCs w:val="24"/>
        </w:rPr>
        <w:t xml:space="preserve">, in addition to demand changes caused by population growth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{"citationItems":[{"id":"ITEM-1","itemData":{"DOI":"10.3390/w12112954","ISSN":"20734441","abstract":"The sustainability of water utility companies is threatened by non-stationary drivers, such as climate and anthropogenic changes. To cope with potential economic losses, instruments such as insurance are useful for planning scenarios and mitigating impacts, but data limitations and risk uncertainties affect premium estimation and, consequently, business sustainability. This research estimated the possible economic impacts of business interruption to the Sao Paulo Water Utility Company derived from hydrological drought and how this could be mitigated with an insurance scheme. Multi-year insurance (MYI) was proposed through a set of “change” drivers: the climate driver, through forcing the water evaluation and planning system (WEAP) hydrological tool; the anthropogenic driver, through water demand projections; and the economic driver, associated with recent water price policies adopted by the utility company during water scarcity periods. In our study case, the evaluated indices showed that MYI contracts that cover only longer droughts, regardless of the magnitude, offer better financial performance than contracts that cover all events (in terms of drought duration). Moreover, through MYI contracts, we demonstrate solvency for the insurance fund in the long term and an annual average actuarially fair premium close to the total expected revenue reduction.","author":[{"dropping-particle":"","family":"Guzmán","given":"Diego A.","non-dropping-particle":"","parse-names":false,"suffix":""},{"dropping-particle":"","family":"Mohor","given":"Guilherme S.","non-dropping-particle":"","parse-names":false,"suffix":""},{"dropping-particle":"","family":"Mendiondo","given":"Eduardo M.","non-dropping-particle":"","parse-names":false,"suffix":""}],"container-title":"Water (Switzerland)","id":"ITEM-1","issue":"11","issued":{"date-parts":[["2020"]]},"page":"1-22","title":"Multi-year index-based insurance for adapting water utility companies to hydrological drought: Case study of a water supply system of the sao paulo metropolitan region, brazil","type":"article-journal","volume":"12"},"uris":["http://www.mendeley.com/documents/?uuid=11cab522-f772-4c36-ac0f-a57bec5eea76"]}],"mendeley":{"formattedCitation":"(Guzmán et al., 2020)","plainTextFormattedCitation":"(Guzmán et al., 2020)","previouslyFormattedCitation":"(Guzmán et al., 2020)"},"properties":{"noteIndex":0},"schema":"https://github.com/citation-style-language/schema/raw/master/csl-citation.json"}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(Guzmán et al., 2020)</w:t>
      </w:r>
      <w:r w:rsidRPr="003A1010">
        <w:rPr>
          <w:rFonts w:eastAsia="Times New Roman"/>
          <w:sz w:val="24"/>
          <w:szCs w:val="24"/>
        </w:rPr>
        <w:fldChar w:fldCharType="end"/>
      </w:r>
      <w:r w:rsidRPr="003A1010">
        <w:rPr>
          <w:rFonts w:eastAsia="Times New Roman"/>
          <w:sz w:val="24"/>
          <w:szCs w:val="24"/>
        </w:rPr>
        <w:t xml:space="preserve">. A functional insurance scheme can provide financial relief, which, when combined with adequate risk education and awareness, can result in a  higher income situation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{"citationItems":[{"id":"ITEM-1","itemData":{"DOI":"10.1016/j.ecolecon.2017.04.014","ISSN":"09218009","abstract":"Developing countries face large losses to extreme natural hazards. Regarding droughts, planning instruments are important for managing water resources and diminishing the losses. Under increasing demand scenario, varied criteria should be incorporated indicating society's capacity to bear the consequences. Here we present a Brazilian-contextualized insurance model and suggest its outputs as complementary criteria to assist water resources management and to inform the stakeholders. From the streamflow simulated using hydrologic models driven by a climate scenario, we applied the Hydrologic Risk Transfer Model (MTRH-SHS), an insurance fund simulator under a multi-year policy, to assess sustainability indicators and the premiums a community would pay to cover the expenses of water deficits. Multiple scenarios generated with MTRH-SHS link water yield and seasonality related to both premium and loss ratios. A 20% increase in water demand elevates the premium up to 0.1% of a local GDP. Even under current demand, premiums may surpass 0.5% of GDP because of changes in the hydrologic regime. Proportionally, more seasonal or varied regimes result in more heterogeneous loss events, which in turn is linked to higher insurance premiums. MTRH-SHS might raise awareness for decision-makers to cope with drought under changing water demand and climate in the Brazilian context.","author":[{"dropping-particle":"","family":"Mohor","given":"Guilherme Samprogna","non-dropping-particle":"","parse-names":false,"suffix":""},{"dropping-particle":"","family":"Mendiondo","given":"Eduardo Mario","non-dropping-particle":"","parse-names":false,"suffix":""}],"container-title":"Ecological Economics","id":"ITEM-1","issued":{"date-parts":[["2017"]]},"page":"66-78","title":"Economic indicators of hydrologic drought insurance under water demand and climate change scenarios in a Brazilian context","type":"article-journal","volume":"140"},"uris":["http://www.mendeley.com/documents/?uuid=b901471c-6cbb-4d22-a5ea-37590b678a86"]}],"mendeley":{"formattedCitation":"(Mohor &amp; Mendiondo, 2017)","plainTextFormattedCitation":"(Mohor &amp; Mendiondo, 2017)","previouslyFormattedCitation":"(Mohor &amp; Mendiondo, 2017)"},"properties":{"noteIndex":0},"schema":"https://github.com/citation-style-language/schema/raw/master/csl-citation.json"}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(Mohor &amp; Mendiondo, 2017)</w:t>
      </w:r>
      <w:r w:rsidRPr="003A1010">
        <w:rPr>
          <w:rFonts w:eastAsia="Times New Roman"/>
          <w:sz w:val="24"/>
          <w:szCs w:val="24"/>
        </w:rPr>
        <w:fldChar w:fldCharType="end"/>
      </w:r>
      <w:r w:rsidRPr="003A1010">
        <w:rPr>
          <w:rFonts w:eastAsia="Times New Roman"/>
          <w:sz w:val="24"/>
          <w:szCs w:val="24"/>
        </w:rPr>
        <w:t>.</w:t>
      </w:r>
    </w:p>
    <w:p w14:paraId="00529127" w14:textId="77777777" w:rsidR="003A1010" w:rsidRPr="003A1010" w:rsidRDefault="003A1010" w:rsidP="003A1010">
      <w:pPr>
        <w:ind w:firstLine="540"/>
        <w:rPr>
          <w:rFonts w:eastAsia="Times New Roman"/>
          <w:sz w:val="24"/>
          <w:szCs w:val="24"/>
        </w:rPr>
      </w:pPr>
      <w:r w:rsidRPr="003A1010">
        <w:rPr>
          <w:rFonts w:eastAsia="Times New Roman"/>
          <w:sz w:val="24"/>
          <w:szCs w:val="24"/>
        </w:rPr>
        <w:t xml:space="preserve">The insurance market has shown significant impacts on improving public infrastructure risk management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{"citationItems":[{"id":"ITEM-1","itemData":{"DOI":"10.2139/ssrn.3813348","abstract":"Bond insurers are intermediaries that are often relied upon by local governments for external financing. There is significant debate, however, about their impact on public infrastructure. In this paper, we study U.S. drinking water, and show that exogenous reductions in municipalities' access to bond insurance cause local governments to face higher borrowing costs, reduce external bond issuance, decrease investment in water infrastructure, and experience greater drinking water pollution. The evidence supports the view that well-functioning insurance markets for municipal debt have significant real effects on public infrastructure and environmental outcomes.","author":[{"dropping-particle":"","family":"Agrawal","given":"Ashwini","non-dropping-particle":"","parse-names":false,"suffix":""},{"dropping-particle":"","family":"Kim","given":"Daniel","non-dropping-particle":"","parse-names":false,"suffix":""}],"container-title":"SSRN Electronic Journal","id":"ITEM-1","issued":{"date-parts":[["2022"]]},"title":"Municipal Bond Insurance and Public Infrastructure: Evidence from Drinking Water","type":"article-journal"},"uris":["http://www.mendeley.com/documents/?uuid=3b917c19-ea9b-4b94-8cfd-ec746c02a45c"]}],"mendeley":{"formattedCitation":"(Agrawal &amp; Kim, 2022)","plainTextFormattedCitation":"(Agrawal &amp; Kim, 2022)","previouslyFormattedCitation":"(Agrawal &amp; Kim, 2022)"},"properties":{"noteIndex":0},"schema":"https://github.com/citation-style-language/schema/raw/master/csl-citation.json"}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(Agrawal &amp; Kim, 2022)</w:t>
      </w:r>
      <w:r w:rsidRPr="003A1010">
        <w:rPr>
          <w:rFonts w:eastAsia="Times New Roman"/>
          <w:sz w:val="24"/>
          <w:szCs w:val="24"/>
        </w:rPr>
        <w:fldChar w:fldCharType="end"/>
      </w:r>
      <w:r w:rsidRPr="003A1010">
        <w:rPr>
          <w:rFonts w:eastAsia="Times New Roman"/>
          <w:sz w:val="24"/>
          <w:szCs w:val="24"/>
        </w:rPr>
        <w:t xml:space="preserve">. Different from conventional insurance schemes that rely on loco-verifiable losses, index insurance relies on the observation of an index that is closely related to losses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{"citationItems":[{"id":"ITEM-1","itemData":{"DOI":"10.1093/aepp/pps031","ISSN":"20405790","abstract":"Unlike conventional insurance, which indemnifies policyholders for verifiable production losses arising from multiple perils, index insurance indemnifies policyholders based on the observed value of a specified \"index\" or some other closely related variable that is highly correlated with losses. Index insurance exhibits lower transaction costs than conventional insurance, potentially making it more affordable to the poor in the developing world. However, it also offers less effective individual risk protection. This article provides a review of recent theoretical and empirical research on index insurance for developing countries and summarizes lessons learned from index insurance projects implemented in the developing world since 2000. © The Author(s) 2012. Published by Oxford University Press, on behalf of Agricultural and Applied Economics Association. All rights reserved.","author":[{"dropping-particle":"","family":"Miranda","given":"Mario J.","non-dropping-particle":"","parse-names":false,"suffix":""},{"dropping-particle":"","family":"Farrin","given":"Katie","non-dropping-particle":"","parse-names":false,"suffix":""}],"container-title":"Applied Economic Perspectives and Policy","id":"ITEM-1","issue":"3","issued":{"date-parts":[["2012"]]},"page":"391-427","title":"Index insurance for developing countries","type":"article-journal","volume":"34"},"uris":["http://www.mendeley.com/documents/?uuid=608788cc-1f6f-48d5-ba65-97c19228f698"]}],"mendeley":{"formattedCitation":"(Miranda &amp; Farrin, 2012)","plainTextFormattedCitation":"(Miranda &amp; Farrin, 2012)","previouslyFormattedCitation":"(Miranda &amp; Farrin, 2012)"},"properties":{"noteIndex":0},"schema":"https://github.com/citation-style-language/schema/raw/master/csl-citation.json"}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(Miranda &amp; Farrin, 2012)</w:t>
      </w:r>
      <w:r w:rsidRPr="003A1010">
        <w:rPr>
          <w:rFonts w:eastAsia="Times New Roman"/>
          <w:sz w:val="24"/>
          <w:szCs w:val="24"/>
        </w:rPr>
        <w:fldChar w:fldCharType="end"/>
      </w:r>
      <w:r w:rsidRPr="003A1010">
        <w:rPr>
          <w:rFonts w:eastAsia="Times New Roman"/>
          <w:sz w:val="24"/>
          <w:szCs w:val="24"/>
        </w:rPr>
        <w:t xml:space="preserve">. Indexed insurance stands out as a risk transfer option because it reduces administrative costs by not requiring loss verification, making it more affordable for poorer regions, where insurance availability remains significantly lower than the global average </w:t>
      </w:r>
      <w:r w:rsidRPr="003A1010">
        <w:rPr>
          <w:rFonts w:eastAsia="Times New Roman"/>
          <w:sz w:val="24"/>
          <w:szCs w:val="24"/>
        </w:rPr>
        <w:fldChar w:fldCharType="begin" w:fldLock="1"/>
      </w:r>
      <w:r w:rsidRPr="003A1010">
        <w:rPr>
          <w:rFonts w:eastAsia="Times New Roman"/>
          <w:sz w:val="24"/>
          <w:szCs w:val="24"/>
        </w:rPr>
        <w:instrText>ADDIN CSL_CITATION {"citationItems":[{"id":"ITEM-1","itemData":{"author":[{"dropping-particle":"","family":"OECD","given":"","non-dropping-particle":"","parse-names":false,"suffix":""}],"id":"ITEM-1","issued":{"date-parts":[["2021"]]},"number-of-pages":"32","title":"GLOBAL INSURANCE MARKET TRENDS","type":"report"},"uris":["http://www.mendeley.com/documents/?uuid=b732eb19-8079-423f-94e0-fb33a049701b"]}],"mendeley":{"formattedCitation":"(OECD, 2021)","plainTextFormattedCitation":"(OECD, 2021)","previouslyFormattedCitation":"(OECD, 2021)"},"properties":{"noteIndex":0},"schema":"https://github.com/citation-style-language/schema/raw/master/csl-citation.json"}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(OECD, 2021)</w:t>
      </w:r>
      <w:r w:rsidRPr="003A1010">
        <w:rPr>
          <w:rFonts w:eastAsia="Times New Roman"/>
          <w:sz w:val="24"/>
          <w:szCs w:val="24"/>
        </w:rPr>
        <w:fldChar w:fldCharType="end"/>
      </w:r>
      <w:r w:rsidRPr="003A1010">
        <w:rPr>
          <w:rFonts w:eastAsia="Times New Roman"/>
          <w:sz w:val="24"/>
          <w:szCs w:val="24"/>
        </w:rPr>
        <w:t xml:space="preserve">. Since the losses are determined by the index value, if policyholders take other measures to mitigate their losses during an extreme event, they will receive the amount agreed upon in the contract. This creates conditions to reduce moral hazards and adverse selection problems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{"citationItems":[{"id":"ITEM-1","itemData":{"DOI":"10.1016/j.ijdrr.2018.01.001","ISSN":"22124209","abstract":"Climate change is increasing the risks of weather-related disasters in many regions around the world. This has an adverse socio-economic impact on households, farmers and small businesses. Some strategies for effectively managing climate related disasters include index based insurance products, which are increasingly offered as alternatives to traditional insurance, particularly in low-income countries. However, the uptake of index insurance remains low, which can be partially attributed to the inherent problem of basis risk. This review assesses the problem of basis risk that occurs when insurance payouts depend on an index that is imperfectly related with actual losses experienced by the insurance policyholder. Special attention is paid to the design of the index, quality and sampling data, the estimation of basis risk and its influence on insurance demand, and index-insurance supply. The paper concludes with several policy recommendations including the need for a systematic approach to quantify the magnitude of basis risk, to inform index design with participatory approaches, to offer index insurance through existing risk sharing networks. Moreover, we recommend to improve policyholders access to information about their risk and measures they can take to limit risk, create an enabling environment for a well-functioning insurance market, and lastly to have an integrated approach that incorporates insurance with other mechanisms that reduce basis risk.","author":[{"dropping-particle":"","family":"Clement","given":"Kristina Yuzva","non-dropping-particle":"","parse-names":false,"suffix":""},{"dropping-particle":"","family":"Wouter Botzen","given":"W. J.","non-dropping-particle":"","parse-names":false,"suffix":""},{"dropping-particle":"","family":"Brouwer","given":"Roy","non-dropping-particle":"","parse-names":false,"suffix":""},{"dropping-particle":"","family":"Aerts","given":"Jeroen C.J.H.","non-dropping-particle":"","parse-names":false,"suffix":""}],"container-title":"International Journal of Disaster Risk Reduction","id":"ITEM-1","issue":"April 2017","issued":{"date-parts":[["2018"]]},"page":"845-853","publisher":"Elsevier Ltd","title":"A global review of the impact of basis risk on the functioning of and demand for index insurance","type":"article-journal","volume":"28"},"uris":["http://www.mendeley.com/documents/?uuid=633d61fe-2546-4644-9b56-bbebb3914713"]}],"mendeley":{"formattedCitation":"(Clement et al., 2018)","plainTextFormattedCitation":"(Clement et al., 2018)","previouslyFormattedCitation":"(Clement et al., 2018)"},"properties":{"noteIndex":0},"schema":"https://github.com/citation-style-language/schema/raw/master/csl-citation.json"}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(Clement et al., 2018)</w:t>
      </w:r>
      <w:r w:rsidRPr="003A1010">
        <w:rPr>
          <w:rFonts w:eastAsia="Times New Roman"/>
          <w:sz w:val="24"/>
          <w:szCs w:val="24"/>
        </w:rPr>
        <w:fldChar w:fldCharType="end"/>
      </w:r>
      <w:r w:rsidRPr="003A1010">
        <w:rPr>
          <w:rFonts w:eastAsia="Times New Roman"/>
          <w:sz w:val="24"/>
          <w:szCs w:val="24"/>
        </w:rPr>
        <w:t xml:space="preserve">. </w:t>
      </w:r>
    </w:p>
    <w:p w14:paraId="7A973E69" w14:textId="77777777" w:rsidR="003A1010" w:rsidRPr="003A1010" w:rsidRDefault="003A1010" w:rsidP="003A1010">
      <w:pPr>
        <w:ind w:firstLine="540"/>
        <w:rPr>
          <w:rFonts w:eastAsia="Times New Roman"/>
          <w:sz w:val="24"/>
          <w:szCs w:val="24"/>
        </w:rPr>
      </w:pPr>
      <w:r w:rsidRPr="003A1010">
        <w:rPr>
          <w:rFonts w:eastAsia="Times New Roman"/>
          <w:sz w:val="24"/>
          <w:szCs w:val="24"/>
        </w:rPr>
        <w:t xml:space="preserve">Given the revenue losses associated with multiple droughts over several years or extended multiyear droughts in the water supply sector, index insurance is a recently studied alternative to cover loss and damage, in light of the challenges associated with an expansion of large supply capacities to meet cover demand during drought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{"citationItems":[{"id":"ITEM-1","itemData":{"DOI":"10.1002/wrcr.20364","ISSN":"19447973","abstract":"As developing new supply capacity has become increasingly expensive and difficult to permit (i.e., regulatory approval), utilities have become more reliant on temporary demand management programs, such as outdoor water use restrictions, for ensuring reliability during drought. However, a significant fraction of water utility income is often derived from the volumetric sale of water, and such restrictions can lead to substantial revenue losses. Given that many utilities set prices at levels commensurate with recovering costs, these revenue losses can leave them financially vulnerable to budgetary shortfalls. This work explores approaches for mitigating drought-related revenue losses through the use of third-party financial insurance contracts based on streamflow indices. Two different types of contracts are developed, and their efficacy is compared against two more traditional forms of financial hedging used by water utilities: Drought surcharges and contingency funds (i.e., self-insurance). Strategies involving each of these approaches, as well as their use in combination, are applied under conditions facing the water utility serving Durham, North Carolina. A multireservoir model provides information on the scale and timing of droughts, and the financial effects of these events are simulated using detailed data derived from utility billing records. Results suggest that third-party index insurance contracts, either independently or in combination with more traditional hedging tools, can provide an effective means of reducing a utility's financial vulnerability to drought. ©2013. American Geophysical Union. All Rights Reserved.","author":[{"dropping-particle":"","family":"Zeff","given":"Harrison B.","non-dropping-particle":"","parse-names":false,"suffix":""},{"dropping-particle":"","family":"Characklis","given":"Gregory W.","non-dropping-particle":"","parse-names":false,"suffix":""}],"container-title":"Water Resources Research","id":"ITEM-1","issue":"8","issued":{"date-parts":[["2013"]]},"page":"4939-4951","title":"Managing water utility financial risks through third-party index insurance contracts","type":"article-journal","volume":"49"},"uris":["http://www.mendeley.com/documents/?uuid=df453d34-58c9-464e-b711-9b08abe2f333"]},{"id":"ITEM-2","itemData":{"DOI":"10.1002/ 2017WR021468 Received","author":[{"dropping-particle":"","family":"Baum","given":"Rachel","non-dropping-particle":"","parse-names":false,"suffix":""},{"dropping-particle":"","family":"Characklis","given":"G W","non-dropping-particle":"","parse-names":false,"suffix":""},{"dropping-particle":"","family":"Serre","given":"M L","non-dropping-particle":"","parse-names":false,"suffix":""}],"container-title":"Water Resources Research","id":"ITEM-2","issued":{"date-parts":[["2018"]]},"title":"Effects of Geographic Diversification on Risk Pooling to Mitigate Drought-Related Financial Losses for Water Utilities","type":"article-journal"},"uris":["http://www.mendeley.com/documents/?uuid=b5fd5270-0f38-419d-8a90-5ec1666bb776"]},{"id":"ITEM-3","itemData":{"DOI":"10.1061/(asce)wr.1943-5452.0001202","ISSN":"0733-9496","abstract":"Concerns over drought-related financial risk have been growing for water utilities as adaptive measures, such as conservation (which reduces revenues) and water transfers (which increase costs), play larger roles in drought management. Recent research suggests that both utility-specific and generalized forms of index insurance can play an effective role in managing a water utility's drought-related financial risk. However, any entity offering these contracts to the water utility sector, whether a third-party insurer or a \"mutual\" formed by multiple utilities, will need to manage the \"tail\" risks of severe or widespread drought impacting many utilities simultaneously, which has the potential to drive high aggregate financial losses. When managing these risks, this entity must balance the opportunity costs of capital associated with higher reserve funds against the costs of mechanisms for transferring this tail risk (e.g., reinsurance). This research characterizes the financial risks of drought for a mutual, composed of surface water utilities distributed across all 344 climate divisions of the contiguous United States, that insures utilities against drought-related financial losses using contracts based on the Palmer Hydrologic Drought Index (PHDI). Tradeoffs associated with the mutual's risk management strategy involve varying levels of reserves and reinsurance. Results show that risk pooling via a mutual combined with reinsurance coverage can reduce the average annual net cost of risk management for member utilities by 7.5% while significantly reducing the average total net cost over 10-year periods by 17%.","author":[{"dropping-particle":"","family":"Baum","given":"Rachel","non-dropping-particle":"","parse-names":false,"suffix":""},{"dropping-particle":"","family":"Characklis","given":"Gregory W.","non-dropping-particle":"","parse-names":false,"suffix":""}],"container-title":"Journal of Water Resources Planning and Management","id":"ITEM-3","issue":"6","issued":{"date-parts":[["2020"]]},"page":"1-13","title":"Mitigating Drought-Related Financial Risks for Water Utilities via Integration of Risk Pooling and Reinsurance","type":"article-journal","volume":"146"},"uris":["http://www.mendeley.com/documents/?uuid=a0ebd81e-32fc-4ed1-9449-06de5b2f4075"]},{"id":"ITEM-4","itemData":{"DOI":"10.3390/w12112954","ISSN":"20734441","abstract":"The sustainability of water utility companies is threatened by non-stationary drivers, such as climate and anthropogenic changes. To cope with potential economic losses, instruments such as insurance are useful for planning scenarios and mitigating impacts, but data limitations and risk uncertainties affect premium estimation and, consequently, business sustainability. This research estimated the possible economic impacts of business interruption to the Sao Paulo Water Utility Company derived from hydrological drought and how this could be mitigated with an insurance scheme. Multi-year insurance (MYI) was proposed through a set of “change” drivers: the climate driver, through forcing the water evaluation and planning system (WEAP) hydrological tool; the anthropogenic driver, through water demand projections; and the economic driver, associated with recent water price policies adopted by the utility company during water scarcity periods. In our study case, the evaluated indices showed that MYI contracts that cover only longer droughts, regardless of the magnitude, offer better financial performance than contracts that cover all events (in terms of drought duration). Moreover, through MYI contracts, we demonstrate solvency for the insurance fund in the long term and an annual average actuarially fair premium close to the total expected revenue reduction.","author":[{"dropping-particle":"","family":"Guzmán","given":"Diego A.","non-dropping-particle":"","parse-names":false,"suffix":""},{"dropping-particle":"","family":"Mohor","given":"Guilherme S.","non-dropping-particle":"","parse-names":false,"suffix":""},{"dropping-particle":"","family":"Mendiondo","given":"Eduardo M.","non-dropping-particle":"","parse-names":false,"suffix":""}],"container-title":"Water (Switzerland)","id":"ITEM-4","issue":"11","issued":{"date-parts":[["2020"]]},"page":"1-22","title":"Multi-year index-based insurance for adapting water utility companies to hydrological drought: Case study of a water supply system of the sao paulo metropolitan region, brazil","type":"article-journal","volume":"12"},"uris":["http://www.mendeley.com/documents/?uuid=11cab522-f772-4c36-ac0f-a57bec5eea76"]}],"mendeley":{"formattedCitation":"(Baum et al., 2018; Baum &amp; Characklis, 2020; Guzmán et al., 2020; Zeff &amp; Characklis, 2013)","plainTextFormattedCitation":"(Baum et al., 2018; Baum &amp; Characklis, 2020; Guzmán et al., 2020; Zeff &amp; Characklis, 2013)","previouslyFormattedCitation":"(Baum et al., 2018; Baum &amp; Characklis, 2020; Guzmán et al., 2020; Zeff &amp; Characklis, 2013)"},"properties":{"noteIndex":0},"schema":"https://github.com/citation-style-language/schema/raw/master/csl-citation.json"}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(Baum et al., 2018; Baum &amp; Characklis, 2020; Guzmán et al., 2020; Zeff &amp; Characklis, 2013)</w:t>
      </w:r>
      <w:r w:rsidRPr="003A1010">
        <w:rPr>
          <w:rFonts w:eastAsia="Times New Roman"/>
          <w:sz w:val="24"/>
          <w:szCs w:val="24"/>
        </w:rPr>
        <w:fldChar w:fldCharType="end"/>
      </w:r>
      <w:r w:rsidRPr="003A1010">
        <w:rPr>
          <w:rFonts w:eastAsia="Times New Roman"/>
          <w:sz w:val="24"/>
          <w:szCs w:val="24"/>
        </w:rPr>
        <w:t xml:space="preserve">. Index insurance, according to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{"citationItems":[{"id":"ITEM-1","itemData":{"DOI":"10.1002/wrcr.20364","ISSN":"19447973","abstract":"As developing new supply capacity has become increasingly expensive and difficult to permit (i.e., regulatory approval), utilities have become more reliant on temporary demand management programs, such as outdoor water use restrictions, for ensuring reliability during drought. However, a significant fraction of water utility income is often derived from the volumetric sale of water, and such restrictions can lead to substantial revenue losses. Given that many utilities set prices at levels commensurate with recovering costs, these revenue losses can leave them financially vulnerable to budgetary shortfalls. This work explores approaches for mitigating drought-related revenue losses through the use of third-party financial insurance contracts based on streamflow indices. Two different types of contracts are developed, and their efficacy is compared against two more traditional forms of financial hedging used by water utilities: Drought surcharges and contingency funds (i.e., self-insurance). Strategies involving each of these approaches, as well as their use in combination, are applied under conditions facing the water utility serving Durham, North Carolina. A multireservoir model provides information on the scale and timing of droughts, and the financial effects of these events are simulated using detailed data derived from utility billing records. Results suggest that third-party index insurance contracts, either independently or in combination with more traditional hedging tools, can provide an effective means of reducing a utility's financial vulnerability to drought. ©2013. American Geophysical Union. All Rights Reserved.","author":[{"dropping-particle":"","family":"Zeff","given":"Harrison B.","non-dropping-particle":"","parse-names":false,"suffix":""},{"dropping-particle":"","family":"Characklis","given":"Gregory W.","non-dropping-particle":"","parse-names":false,"suffix":""}],"container-title":"Water Resources Research","id":"ITEM-1","issue":"8","issued":{"date-parts":[["2013"]]},"page":"4939-4951","title":"Managing water utility financial risks through third-party index insurance contracts","type":"article-journal","volume":"49"},"uris":["http://www.mendeley.com/documents/?uuid=df453d34-58c9-464e-b711-9b08abe2f333"]}],"mendeley":{"formattedCitation":"(Zeff &amp; Characklis, 2013)","manualFormatting":"Zeff &amp; Characklis (2013)","plainTextFormattedCitation":"(Zeff &amp; Characklis, 2013)","previouslyFormattedCitation":"(Zeff &amp; Characklis, 2013)"},"properties":{"noteIndex":0},"schema":"https://github.com/citation-style-language/schema/raw/master/csl-citation.json"}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Zeff &amp; Characklis (2013)</w:t>
      </w:r>
      <w:r w:rsidRPr="003A1010">
        <w:rPr>
          <w:rFonts w:eastAsia="Times New Roman"/>
          <w:sz w:val="24"/>
          <w:szCs w:val="24"/>
        </w:rPr>
        <w:fldChar w:fldCharType="end"/>
      </w:r>
      <w:r w:rsidRPr="003A1010">
        <w:rPr>
          <w:rFonts w:eastAsia="Times New Roman"/>
          <w:sz w:val="24"/>
          <w:szCs w:val="24"/>
        </w:rPr>
        <w:t xml:space="preserve">, is an alternative to be taken isolated or combined with temporary conservation measures, such as restrictions on specific types of water uses or surcharges and contingency funds. </w:t>
      </w:r>
    </w:p>
    <w:p w14:paraId="174239A9" w14:textId="77777777" w:rsidR="003A1010" w:rsidRPr="003A1010" w:rsidRDefault="003A1010" w:rsidP="003A1010">
      <w:pPr>
        <w:ind w:firstLine="540"/>
        <w:rPr>
          <w:rFonts w:eastAsia="Times New Roman"/>
          <w:sz w:val="24"/>
          <w:szCs w:val="24"/>
        </w:rPr>
      </w:pPr>
      <w:r w:rsidRPr="003A1010">
        <w:rPr>
          <w:rFonts w:eastAsia="Times New Roman"/>
          <w:sz w:val="24"/>
          <w:szCs w:val="24"/>
        </w:rPr>
        <w:t xml:space="preserve">According to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{"citationItems":[{"id":"ITEM-1","itemData":{"DOI":"10.1002/wrcr.20364","ISSN":"19447973","abstract":"As developing new supply capacity has become increasingly expensive and difficult to permit (i.e., regulatory approval), utilities have become more reliant on temporary demand management programs, such as outdoor water use restrictions, for ensuring reliability during drought. However, a significant fraction of water utility income is often derived from the volumetric sale of water, and such restrictions can lead to substantial revenue losses. Given that many utilities set prices at levels commensurate with recovering costs, these revenue losses can leave them financially vulnerable to budgetary shortfalls. This work explores approaches for mitigating drought-related revenue losses through the use of third-party financial insurance contracts based on streamflow indices. Two different types of contracts are developed, and their efficacy is compared against two more traditional forms of financial hedging used by water utilities: Drought surcharges and contingency funds (i.e., self-insurance). Strategies involving each of these approaches, as well as their use in combination, are applied under conditions facing the water utility serving Durham, North Carolina. A multireservoir model provides information on the scale and timing of droughts, and the financial effects of these events are simulated using detailed data derived from utility billing records. Results suggest that third-party index insurance contracts, either independently or in combination with more traditional hedging tools, can provide an effective means of reducing a utility's financial vulnerability to drought. ©2013. American Geophysical Union. All Rights Reserved.","author":[{"dropping-particle":"","family":"Zeff","given":"Harrison B.","non-dropping-particle":"","parse-names":false,"suffix":""},{"dropping-particle":"","family":"Characklis","given":"Gregory W.","non-dropping-particle":"","parse-names":false,"suffix":""}],"container-title":"Water Resources Research","id":"ITEM-1","issue":"8","issued":{"date-parts":[["2013"]]},"page":"4939-4951","title":"Managing water utility financial risks through third-party index insurance contracts","type":"article-journal","volume":"49"},"uris":["http://www.mendeley.com/documents/?uuid=df453d34-58c9-464e-b711-9b08abe2f333"]}],"mendeley":{"formattedCitation":"(Zeff &amp; Characklis, 2013)","manualFormatting":"Zeff &amp; Characklis (2013)","plainTextFormattedCitation":"(Zeff &amp; Characklis, 2013)","previouslyFormattedCitation":"(Zeff &amp; Characklis, 2013)"},"properties":{"noteIndex":0},"schema":"https://github.com/citation-style-language/schema/raw/master/csl-citation.json"}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Zeff &amp; Characklis (2013)</w:t>
      </w:r>
      <w:r w:rsidRPr="003A1010">
        <w:rPr>
          <w:rFonts w:eastAsia="Times New Roman"/>
          <w:sz w:val="24"/>
          <w:szCs w:val="24"/>
        </w:rPr>
        <w:fldChar w:fldCharType="end"/>
      </w:r>
      <w:r w:rsidRPr="003A1010">
        <w:rPr>
          <w:rFonts w:eastAsia="Times New Roman"/>
          <w:sz w:val="24"/>
          <w:szCs w:val="24"/>
        </w:rPr>
        <w:t>, index insurance is beneficial when the cost of mitigating high-cost and low-frequency drought events would require the maintenance of significant and infrequently used contingency funds, especially in the face of the increased water availability instability intensified by climate and land use changes. However, one limitation of index insurance implementation during high-cost drought extremes is the need to maintain large reserves, which raises the insurer's policy implementation costs. Further, this limitation, according to</w:t>
      </w:r>
      <w:r w:rsidRPr="003A1010">
        <w:rPr>
          <w:rFonts w:eastAsia="Times New Roman"/>
          <w:noProof/>
          <w:sz w:val="24"/>
          <w:szCs w:val="24"/>
        </w:rPr>
        <w:t xml:space="preserve"> Baum &amp; Characklis (2020)</w:t>
      </w:r>
      <w:r w:rsidRPr="003A1010">
        <w:rPr>
          <w:rFonts w:eastAsia="Times New Roman"/>
          <w:sz w:val="24"/>
          <w:szCs w:val="24"/>
        </w:rPr>
        <w:t>, can be overcome through risk pooling and reinsurance strategies. The literature also brings examples of tailored contracts during drought: Guzmán et al. (2020) estimated the police prices to the utility during drought in the face of climatic, anthropogenic, and economic change drivers and found that insurance contracts that cover only longer droughts offer better financial performance than contracts that cover all types of drought duration.</w:t>
      </w:r>
    </w:p>
    <w:p w14:paraId="62AABF77" w14:textId="77777777" w:rsidR="003A1010" w:rsidRPr="003A1010" w:rsidRDefault="003A1010" w:rsidP="003A1010">
      <w:pPr>
        <w:ind w:firstLine="540"/>
        <w:rPr>
          <w:rFonts w:eastAsia="Times New Roman"/>
          <w:sz w:val="24"/>
          <w:szCs w:val="24"/>
        </w:rPr>
      </w:pPr>
      <w:r w:rsidRPr="003A1010">
        <w:rPr>
          <w:rFonts w:eastAsia="Times New Roman"/>
          <w:sz w:val="24"/>
          <w:szCs w:val="24"/>
        </w:rPr>
        <w:t xml:space="preserve">Water scarcity, on the other hand, can result not only from a lack of water in terms of quantity, but also from the degradation of quality. The treatment process's efficiency is highly dependent on the quality of the raw water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{"citationItems":[{"id":"ITEM-1","itemData":{"DOI":"10.1111/j.1747-6593.2009.00194.x","ISSN":"17476585","abstract":"A simplified climate change impact assessment tool (SCIAT) has been developed to address the specific needs of the water industry and provides a tool to translate climate change projections into 'real world' impacts. Its application is demonstrated in this study to assess the impacts of climate change on the reservoir water quality and water treatment plant (WTP) operations at Grafham Water in the east of England. The primary aim is to provide WTP operators with knowledge of the potential impacts and associated probabilities of occurrence of climate change, enabling them to make informed, risk-based adaptation and planning decisions. Using a series of coupled hydrological and water-quality models, it is likely that there will be a decline in average reservoir water quality. Climate change will also have an impact on WTP operations, but these will be manageable within the current operational parameters. © 2009 The Authors. Water and Environment Journal © 2009 CIWEM.","author":[{"dropping-particle":"","family":"Thorne","given":"O.","non-dropping-particle":"","parse-names":false,"suffix":""},{"dropping-particle":"","family":"Fenner","given":"R. A.","non-dropping-particle":"","parse-names":false,"suffix":""}],"container-title":"Water and Environment Journal","id":"ITEM-1","issue":"1","issued":{"date-parts":[["2011"]]},"page":"74-87","title":"The impact of climate change on reservoir water quality and water treatment plant operations: A UK case study","type":"article-journal","volume":"25"},"uris":["http://www.mendeley.com/documents/?uuid=c2f414e5-ecd2-417e-8874-311d8fc3baba"]}],"mendeley":{"formattedCitation":"(Thorne &amp; Fenner, 2011)","plainTextFormattedCitation":"(Thorne &amp; Fenner, 2011)","previouslyFormattedCitation":"(Thorne &amp; Fenner, 2011)"},"properties":{"noteIndex":0},"schema":"https://github.com/citation-style-language/schema/raw/master/csl-citation.json"}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(Thorne &amp; Fenner, 2011)</w:t>
      </w:r>
      <w:r w:rsidRPr="003A1010">
        <w:rPr>
          <w:rFonts w:eastAsia="Times New Roman"/>
          <w:sz w:val="24"/>
          <w:szCs w:val="24"/>
        </w:rPr>
        <w:fldChar w:fldCharType="end"/>
      </w:r>
      <w:r w:rsidRPr="003A1010">
        <w:rPr>
          <w:rFonts w:eastAsia="Times New Roman"/>
          <w:sz w:val="24"/>
          <w:szCs w:val="24"/>
        </w:rPr>
        <w:t xml:space="preserve">. As a result, deterioration in water quality can cause failures in the treatment process, with consequences for health and supply reliability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{"citationItems":[{"id":"ITEM-1","itemData":{"DOI":"10.1039/c6ew00121a","ISSN":"20531419","abstract":"Water treatment plants (WTPs) are tasked with providing safe potable water to consumers. However, WTPs face numerous potential obstacles, including changes in source water quality and quantity, financial burdens related to operations and upgrades, and stringent water quality regulations. Moreover, these challenges may be exacerbated by climate change in the form of long-term climatic perturbations and the increasing frequency and intensity of extreme weather events. To help WTPs overcome these issues, decision support systems (DSSs), which are used to aid and enhance the quality and consistency of decision-making, have been developed. This paper reviews the scientific literature on the development and application of DSSs for water treatment, including physically-based models, statistical models, and artificial intelligence techniques, and suggests future directions in the field. We first set the context of how water quality is impacted by climate change and extreme weather events. We then provide a comprehensive review of DSSs and conclude by offering a series of recommendations for future DSS efforts for WTPs, suggesting that these tools should (1) more accurately reflect the practical needs of WTPs, (2) represent the tradeoffs between the multiple competing objectives inherent to water treatment, (3) explicitly handle uncertainty to better inform decision makers, (4) incorporate nonstationarity, especially with regard to extreme weather events and climate change for long-term planning, and (5) use standardized terminology to accelerate the dissemination of knowledge in the field.","author":[{"dropping-particle":"","family":"Raseman","given":"William J.","non-dropping-particle":"","parse-names":false,"suffix":""},{"dropping-particle":"","family":"Kasprzyk","given":"Joseph R.","non-dropping-particle":"","parse-names":false,"suffix":""},{"dropping-particle":"","family":"Rosario-Ortiz","given":"Fernando L.","non-dropping-particle":"","parse-names":false,"suffix":""},{"dropping-particle":"","family":"Stewart","given":"Jenna R.","non-dropping-particle":"","parse-names":false,"suffix":""},{"dropping-particle":"","family":"Livneh","given":"Ben","non-dropping-particle":"","parse-names":false,"suffix":""}],"container-title":"Environmental Science: Water Research and Technology","id":"ITEM-1","issue":"1","issued":{"date-parts":[["2017"]]},"page":"18-36","title":"Emerging investigators series: A critical review of decision support systems for water treatment: Making the case for incorporating climate change and climate extremes","type":"article-journal","volume":"3"},"uris":["http://www.mendeley.com/documents/?uuid=ec39086d-179a-4e0b-bbf4-467af0204b91"]}],"mendeley":{"formattedCitation":"(Raseman et al., 2017)","plainTextFormattedCitation":"(Raseman et al., 2017)","previouslyFormattedCitation":"(Raseman et al., 2017)"},"properties":{"noteIndex":0},"schema":"https://github.com/citation-style-language/schema/raw/master/csl-citation.json"}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(Raseman et al., 2017)</w:t>
      </w:r>
      <w:r w:rsidRPr="003A1010">
        <w:rPr>
          <w:rFonts w:eastAsia="Times New Roman"/>
          <w:sz w:val="24"/>
          <w:szCs w:val="24"/>
        </w:rPr>
        <w:fldChar w:fldCharType="end"/>
      </w:r>
      <w:r w:rsidRPr="003A1010">
        <w:rPr>
          <w:rFonts w:eastAsia="Times New Roman"/>
          <w:sz w:val="24"/>
          <w:szCs w:val="24"/>
        </w:rPr>
        <w:t xml:space="preserve">, as well as interruptions and financial losses for the company. In addition to changes in water quality, floods also impact water supply in the process of capturing, adducting, and distributing water, resulting in economic losses for the supply sector </w:t>
      </w:r>
      <w:r w:rsidRPr="003A1010">
        <w:rPr>
          <w:rFonts w:eastAsia="Times New Roman"/>
          <w:sz w:val="24"/>
          <w:szCs w:val="24"/>
        </w:rPr>
        <w:fldChar w:fldCharType="begin" w:fldLock="1"/>
      </w:r>
      <w:r w:rsidRPr="003A1010">
        <w:rPr>
          <w:rFonts w:eastAsia="Times New Roman"/>
          <w:sz w:val="24"/>
          <w:szCs w:val="24"/>
        </w:rPr>
        <w:instrText>ADDIN CSL_CITATION {"citationItems":[{"id":"ITEM-1","itemData":{"DOI":"10.21168/rega.v10n2.p37-50","author":[{"dropping-particle":"","family":"Milograna","given":"Jussanã","non-dropping-particle":"","parse-names":false,"suffix":""},{"dropping-particle":"","family":"Baptista","given":"Márcio","non-dropping-particle":"","parse-names":false,"suffix":""},{"dropping-particle":"","family":"Campana","given":"Néstor","non-dropping-particle":"","parse-names":false,"suffix":""}],"container-title":"Revista de Gestão de Água da América Latina","id":"ITEM-1","issue":"2","issued":{"date-parts":[["2013"]]},"page":"37-50","title":"Sistemática para avaliação dos danos diretos decorrentes de inundações à infraestrutura urbana","type":"article-journal","volume":"10"},"uris":["http://www.mendeley.com/documents/?uuid=13618fc1-39b8-491c-8dfb-1349a043e0f2"]}],"mendeley":{"formattedCitation":"(Milograna et al., 2013)","plainTextFormattedCitation":"(Milograna et al., 2013)","previouslyFormattedCitation":"(Milograna et al., 2013)"},"properties":{"noteIndex":0},"schema":"https://github.com/citation-style-language/schema/raw/master/csl-citation.json"}</w:instrText>
      </w:r>
      <w:r w:rsidRPr="003A1010">
        <w:rPr>
          <w:rFonts w:eastAsia="Times New Roman"/>
          <w:sz w:val="24"/>
          <w:szCs w:val="24"/>
        </w:rPr>
        <w:fldChar w:fldCharType="separate"/>
      </w:r>
      <w:r w:rsidRPr="003A1010">
        <w:rPr>
          <w:rFonts w:eastAsia="Times New Roman"/>
          <w:noProof/>
          <w:sz w:val="24"/>
          <w:szCs w:val="24"/>
        </w:rPr>
        <w:t>(Milograna et al., 2013)</w:t>
      </w:r>
      <w:r w:rsidRPr="003A1010">
        <w:rPr>
          <w:rFonts w:eastAsia="Times New Roman"/>
          <w:sz w:val="24"/>
          <w:szCs w:val="24"/>
        </w:rPr>
        <w:fldChar w:fldCharType="end"/>
      </w:r>
      <w:r w:rsidRPr="003A1010">
        <w:rPr>
          <w:rFonts w:eastAsia="Times New Roman"/>
          <w:sz w:val="24"/>
          <w:szCs w:val="24"/>
        </w:rPr>
        <w:t>.</w:t>
      </w:r>
    </w:p>
    <w:p w14:paraId="4B80257A" w14:textId="7A7AEA08" w:rsidR="003A1010" w:rsidRDefault="003A1010" w:rsidP="003A1010">
      <w:pPr>
        <w:ind w:firstLine="540"/>
        <w:rPr>
          <w:rFonts w:eastAsia="Times New Roman"/>
          <w:sz w:val="24"/>
          <w:szCs w:val="24"/>
        </w:rPr>
      </w:pPr>
      <w:r w:rsidRPr="003A1010">
        <w:rPr>
          <w:rFonts w:eastAsia="Times New Roman"/>
          <w:sz w:val="24"/>
          <w:szCs w:val="24"/>
        </w:rPr>
        <w:t xml:space="preserve">For the water supply sector, index insurance has been recently studied for drought. However, to the best of our knowledge, there is little evidence in the literature of suggestions or proposals for implementing risk transfer measures that assist water supply companies in managing other types of extreme events, such as floods and pollution extremes, as well as their interaction. Additionally, driver factors of uncertainty in water availability and demand affect the </w:t>
      </w:r>
      <w:r w:rsidRPr="003A1010">
        <w:rPr>
          <w:rFonts w:eastAsia="Times New Roman"/>
          <w:sz w:val="24"/>
          <w:szCs w:val="24"/>
        </w:rPr>
        <w:lastRenderedPageBreak/>
        <w:t xml:space="preserve">water supply sector and lead to a high degree of ambiguity in the appropriate premium for index insurance schemes (Guzmán et al, 2020). The </w:t>
      </w:r>
      <w:proofErr w:type="spellStart"/>
      <w:r w:rsidRPr="003A1010">
        <w:rPr>
          <w:rFonts w:eastAsia="Times New Roman"/>
          <w:sz w:val="24"/>
          <w:szCs w:val="24"/>
        </w:rPr>
        <w:t>multihazard</w:t>
      </w:r>
      <w:proofErr w:type="spellEnd"/>
      <w:r w:rsidRPr="003A1010">
        <w:rPr>
          <w:rFonts w:eastAsia="Times New Roman"/>
          <w:sz w:val="24"/>
          <w:szCs w:val="24"/>
        </w:rPr>
        <w:t xml:space="preserve"> nature of threats to water supply service and the role of driven factors in intensifying the occurrence of such extreme events that affect water supply provision should be discussed further in relation to all of these prerogatives. This discussion opens the door to expanding the use of risk transfer models as an alternative to hedge against water utility financial losses in a changing environment, taking into account a multi-hazard perspective. This work aims to discuss why and how index insurance frameworks can be adapted to cover financial losses incurred by municipal, state or private water utility companies because of a variety of extreme events and uncertainty drivers (which we call hereafter of </w:t>
      </w:r>
      <w:proofErr w:type="spellStart"/>
      <w:r w:rsidRPr="003A1010">
        <w:rPr>
          <w:rFonts w:eastAsia="Times New Roman"/>
          <w:sz w:val="24"/>
          <w:szCs w:val="24"/>
        </w:rPr>
        <w:t>multidrivers</w:t>
      </w:r>
      <w:proofErr w:type="spellEnd"/>
      <w:r w:rsidRPr="003A1010">
        <w:rPr>
          <w:rFonts w:eastAsia="Times New Roman"/>
          <w:sz w:val="24"/>
          <w:szCs w:val="24"/>
        </w:rPr>
        <w:t xml:space="preserve">), besides bringing opportunities to improve index insurance application to the water supply sector through a critical literature analysis. </w:t>
      </w:r>
    </w:p>
    <w:p w14:paraId="587126CC" w14:textId="1C3724C1" w:rsidR="00334E2C" w:rsidRDefault="00334E2C" w:rsidP="003A1010">
      <w:pPr>
        <w:ind w:firstLine="540"/>
        <w:rPr>
          <w:rFonts w:eastAsia="Times New Roman"/>
          <w:sz w:val="24"/>
          <w:szCs w:val="24"/>
        </w:rPr>
      </w:pPr>
    </w:p>
    <w:p w14:paraId="7A8760A4" w14:textId="5110CE11" w:rsidR="002F3B11" w:rsidRDefault="002F3B11" w:rsidP="00C81368">
      <w:pPr>
        <w:pStyle w:val="Heading-Main"/>
      </w:pPr>
      <w:r>
        <w:t xml:space="preserve">2 </w:t>
      </w:r>
      <w:r w:rsidR="00334E2C">
        <w:t xml:space="preserve">Theoretical </w:t>
      </w:r>
      <w:proofErr w:type="gramStart"/>
      <w:r w:rsidR="00334E2C">
        <w:t>background</w:t>
      </w:r>
      <w:proofErr w:type="gramEnd"/>
    </w:p>
    <w:p w14:paraId="5A16F0D8" w14:textId="208A419B" w:rsidR="002F3B11" w:rsidRDefault="002F3B11" w:rsidP="00C81368">
      <w:pPr>
        <w:pStyle w:val="Heading-Secondary"/>
      </w:pPr>
      <w:r>
        <w:t xml:space="preserve">2.1 </w:t>
      </w:r>
      <w:r w:rsidR="00334E2C" w:rsidRPr="00334E2C">
        <w:t>Climatic drivers impacting water supply</w:t>
      </w:r>
    </w:p>
    <w:p w14:paraId="7303A442" w14:textId="1D7E9AA6" w:rsidR="00334E2C" w:rsidRDefault="00334E2C" w:rsidP="00C81368">
      <w:pPr>
        <w:pStyle w:val="Heading-Secondary"/>
      </w:pPr>
      <w:r>
        <w:t xml:space="preserve">2.1.1 </w:t>
      </w:r>
      <w:r w:rsidRPr="00334E2C">
        <w:t>Climate change impacts on hydrological extreme events</w:t>
      </w:r>
    </w:p>
    <w:p w14:paraId="1156AE2E" w14:textId="77777777" w:rsidR="000C5076" w:rsidRPr="000C5076" w:rsidRDefault="000C5076" w:rsidP="000C5076">
      <w:pPr>
        <w:ind w:firstLine="720"/>
        <w:rPr>
          <w:rFonts w:eastAsia="Times New Roman"/>
          <w:sz w:val="24"/>
          <w:szCs w:val="24"/>
        </w:rPr>
      </w:pPr>
      <w:r w:rsidRPr="000C5076">
        <w:rPr>
          <w:rFonts w:eastAsia="Times New Roman"/>
          <w:sz w:val="24"/>
          <w:szCs w:val="24"/>
        </w:rPr>
        <w:t xml:space="preserve">One of the great challenges of the 21st century is to understand how climate change will impact the hydrological cycle. As a result, the first question in the 23 unsolved problems in hydrology (UPH) is related to the accelerating/decelerating of the hydrological cycle under global warming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{"citationItems":[{"id":"ITEM-1","itemData":{"DOI":"10.1080/02626667.2019.1620507/SUPPL_FILE/THSJ_A_1620507_SM4852.DOCX","ISSN":"21503435","abstract":"This paper is the outcome of a community initiative to identify major unsolved scientific problems in hydrology motivated by a need for stronger harmonisation of research efforts. The procedure involved a public consultation through online media, followed by two workshops through which a large number of potential science questions were collated, prioritised, and synthesised. In spite of the diversity of the participants (230 scientists in total), the process revealed much about community priorities and the state of our science: a preference for continuity in research questions rather than radical departures or redirections from past and current work. Questions remain focused on the process-based understanding of hydrological variability and causality at all space and time scales. Increased attention to environmental change drives a new emphasis on understanding how change propagates across interfaces within the hydrological system and across disciplinary boundaries. In particular, the expansion of the human footprint raises a new set of questions related to human interactions with nature and water cycle feedbacks in the context of complex water management problems. We hope that this reflection and synthesis of the 23 unsolved problems in hydrology will help guide research efforts for some years to come.","author":[{"dropping-particle":"","family":"Blöschl","given":"Günter","non-dropping-particle":"","parse-names":false,"suffix":""},{"dropping-particle":"","family":"Bierkens","given":"Marc F.P.","non-dropping-particle":"","parse-names":false,"suffix":""},{"dropping-particle":"","family":"Chambel","given":"Antonio","non-dropping-particle":"","parse-names":false,"suffix":""},{"dropping-particle":"","family":"Cudennec","given":"Christophe","non-dropping-particle":"","parse-names":false,"suffix":""},{"dropping-particle":"","family":"Destouni","given":"Georgia","non-dropping-particle":"","parse-names":false,"suffix":""},{"dropping-particle":"","family":"Fiori","given":"Aldo","non-dropping-particle":"","parse-names":false,"suffix":""},{"dropping-particle":"","family":"Kirchner","given":"James W.","non-dropping-particle":"","parse-names":false,"suffix":""},{"dropping-particle":"","family":"McDonnell","given":"Jeffrey J.","non-dropping-particle":"","parse-names":false,"suffix":""},{"dropping-particle":"","family":"Savenije","given":"Hubert H.G.","non-dropping-particle":"","parse-names":false,"suffix":""},{"dropping-particle":"","family":"Sivapalan","given":"Murugesu","non-dropping-particle":"","parse-names":false,"suffix":""},{"dropping-particle":"","family":"Stumpp","given":"Christine","non-dropping-particle":"","parse-names":false,"suffix":""},{"dropping-particle":"","family":"Toth","given":"Elena","non-dropping-particle":"","parse-names":false,"suffix":""},{"dropping-particle":"","family":"Volpi","given":"Elena","non-dropping-particle":"","parse-names":false,"suffix":""},{"dropping-particle":"","family":"Carr","given":"Gemma","non-dropping-particle":"","parse-names":false,"suffix":""},{"dropping-particle":"","family":"Lupton","given":"Claire","non-dropping-particle":"","parse-names":false,"suffix":""},{"dropping-particle":"","family":"Salinas","given":"Josè","non-dropping-particle":"","parse-names":false,"suffix":""},{"dropping-particle":"","family":"Széles","given":"Borbála","non-dropping-particle":"","parse-names":false,"suffix":""},{"dropping-particle":"","family":"Viglione","given":"Alberto","non-dropping-particle":"","parse-names":false,"suffix":""},{"dropping-particle":"","family":"Aksoy","given":"Hafzullah","non-dropping-particle":"","parse-names":false,"suffix":""},{"dropping-particle":"","family":"Allen","given":"Scott T.","non-dropping-particle":"","parse-names":false,"suffix":""},{"dropping-particle":"","family":"Amin","given":"Anam","non-dropping-particle":"","parse-names":false,"suffix":""},{"dropping-particle":"","family":"Andréassian","given":"Vazken","non-dropping-particle":"","parse-names":false,"suffix":""},{"dropping-particle":"","family":"Arheimer","given":"Berit","non-dropping-particle":"","parse-names":false,"suffix":""},{"dropping-particle":"","family":"Aryal","given":"Santosh K.","non-dropping-particle":"","parse-names":false,"suffix":""},{"dropping-particle":"","family":"Baker","given":"Victor","non-dropping-particle":"","parse-names":false,"suffix":""},{"dropping-particle":"","family":"Bardsley","given":"Earl","non-dropping-particle":"","parse-names":false,"suffix":""},{"dropping-particle":"","family":"Barendrecht","given":"Marlies H.","non-dropping-particle":"","parse-names":false,"suffix":""},{"dropping-particle":"","family":"Bartosova","given":"Alena","non-dropping-particle":"","parse-names":false,"suffix":""},{"dropping-particle":"","family":"Batelaan","given":"Okke","non-dropping-particle":"","parse-names":false,"suffix":""},{"dropping-particle":"","family":"Berghuijs","given":"Wouter R.","non-dropping-particle":"","parse-names":false,"suffix":""},{"dropping-particle":"","family":"Beven","given":"Keith","non-dropping-particle":"","parse-names":false,"suffix":""},{"dropping-particle":"","family":"Blume","given":"Theresa","non-dropping-particle":"","parse-names":false,"suffix":""},{"dropping-particle":"","family":"Bogaard","given":"Thom","non-dropping-particle":"","parse-names":false,"suffix":""},{"dropping-particle":"","family":"Borges de Amorim","given":"Pablo","non-dropping-particle":"","parse-names":false,"suffix":""},{"dropping-particle":"","family":"Böttcher","given":"Michael E.","non-dropping-particle":"","parse-names":false,"suffix":""},{"dropping-particle":"","family":"Boulet","given":"Gilles","non-dropping-particle":"","parse-names":false,"suffix":""},{"dropping-particle":"","family":"Breinl","given":"Korbinian","non-dropping-particle":"","parse-names":false,"suffix":""},{"dropping-particle":"","family":"Brilly","given":"Mitja","non-dropping-particle":"","parse-names":false,"suffix":""},{"dropping-particle":"","family":"Brocca","given":"Luca","non-dropping-particle":"","parse-names":false,"suffix":""},{"dropping-particle":"","family":"Buytaert","given":"Wouter","non-dropping-particle":"","parse-names":false,"suffix":""},{"dropping-particle":"","family":"Castellarin","given":"Attilio","non-dropping-particle":"","parse-names":false,"suffix":""},{"dropping-particle":"","family":"Castelletti","given":"Andrea","non-dropping-particle":"","parse-names":false,"suffix":""},{"dropping-particle":"","family":"Chen","given":"Xiaohong","non-dropping-particle":"","parse-names":false,"suffix":""},{"dropping-particle":"","family":"Chen","given":"Yangbo","non-dropping-particle":"","parse-names":false,"suffix":""},{"dropping-particle":"","family":"Chen","given":"Yuanfang","non-dropping-particle":"","parse-names":false,"suffix":""},{"dropping-particle":"","family":"Chifflard","given":"Peter","non-dropping-particle":"","parse-names":false,"suffix":""},{"dropping-particle":"","family":"Claps","given":"Pierluigi","non-dropping-particle":"","parse-names":false,"suffix":""},{"dropping-particle":"","family":"Clark","given":"Martyn P.","non-dropping-particle":"","parse-names":false,"suffix":""},{"dropping-particle":"","family":"Collins","given":"Adrian L.","non-dropping-particle":"","parse-names":false,"suffix":""},{"dropping-particle":"","family":"Croke","given":"Barry","non-dropping-particle":"","parse-names":false,"suffix":""},{"dropping-particle":"","family":"Dathe","given":"Annette","non-dropping-particle":"","parse-names":false,"suffix":""},{"dropping-particle":"","family":"David","given":"Paula C.","non-dropping-particle":"","parse-names":false,"suffix":""},{"dropping-particle":"","family":"Barros","given":"Felipe P.J.","non-dropping-particle":"de","parse-names":false,"suffix":""},{"dropping-particle":"","family":"Rooij","given":"Gerrit","non-dropping-particle":"de","parse-names":false,"suffix":""},{"dropping-particle":"","family":"Baldassarre","given":"Giuliano","non-dropping-particle":"Di","parse-names":false,"suffix":""},{"dropping-particle":"","family":"Driscoll","given":"Jessica M.","non-dropping-particle":"","parse-names":false,"suffix":""},{"dropping-particle":"","family":"Duethmann","given":"Doris","non-dropping-particle":"","parse-names":false,"suffix":""},{"dropping-particle":"","family":"Dwivedi","given":"Ravindra","non-dropping-particle":"","parse-names":false,"suffix":""},{"dropping-particle":"","family":"Eris","given":"Ebru","non-dropping-particle":"","parse-names":false,"suffix":""},{"dropping-particle":"","family":"Farmer","given":"William H.","non-dropping-particle":"","parse-names":false,"suffix":""},{"dropping-particle":"","family":"Feiccabrino","given":"James","non-dropping-particle":"","parse-names":false,"suffix":""},{"dropping-particle":"","family":"Ferguson","given":"Grant","non-dropping-particle":"","parse-names":false,"suffix":""},{"dropping-particle":"","family":"Ferrari","given":"Ennio","non-dropping-particle":"","parse-names":false,"suffix":""},{"dropping-particle":"","family":"Ferraris","given":"Stefano","non-dropping-particle":"","parse-names":false,"suffix":""},{"dropping-particle":"","family":"Fersch","given":"Benjamin","non-dropping-particle":"","parse-names":false,"suffix":""},{"dropping-particle":"","family":"Finger","given":"David","non-dropping-particle":"","parse-names":false,"suffix":""},{"dropping-particle":"","family":"Foglia","given":"Laura","non-dropping-particle":"","parse-names":false,"suffix":""},{"dropping-particle":"","family":"Fowler","given":"Keirnan","non-dropping-particle":"","parse-names":false,"suffix":""},{"dropping-particle":"","family":"Gartsman","given":"Boris","non-dropping-particle":"","parse-names":false,"suffix":""},{"dropping-particle":"","family":"Gascoin","given":"Simon","non-dropping-particle":"","parse-names":false,"suffix":""},{"dropping-particle":"","family":"Gaume","given":"Eric","non-dropping-particle":"","parse-names":false,"suffix":""},{"dropping-particle":"","family":"Gelfan","given":"Alexander","non-dropping-particle":"","parse-names":false,"suffix":""},{"dropping-particle":"","family":"Geris","given":"Josie","non-dropping-particle":"","parse-names":false,"suffix":""},{"dropping-particle":"","family":"Gharari","given":"Shervan","non-dropping-particle":"","parse-names":false,"suffix":""},{"dropping-particle":"","family":"Gleeson","given":"Tom","non-dropping-particle":"","parse-names":false,"suffix":""},{"dropping-particle":"","family":"Glendell","given":"Miriam","non-dropping-particle":"","parse-names":false,"suffix":""},{"dropping-particle":"","family":"Gonzalez Bevacqua","given":"Alena","non-dropping-particle":"","parse-names":false,"suffix":""},{"dropping-particle":"","family":"González-Dugo","given":"María P.","non-dropping-particle":"","parse-names":false,"suffix":""},{"dropping-particle":"","family":"Grimaldi","given":"Salvatore","non-dropping-particle":"","parse-names":false,"suffix":""},{"dropping-particle":"","family":"Gupta","given":"A. B.","non-dropping-particle":"","parse-names":false,"suffix":""},{"dropping-particle":"","family":"Guse","given":"Björn","non-dropping-particle":"","parse-names":false,"suffix":""},{"dropping-particle":"","family":"Han","given":"Dawei","non-dropping-particle":"","parse-names":false,"suffix":""},{"dropping-particle":"","family":"Hannah","given":"David","non-dropping-particle":"","parse-names":false,"suffix":""},{"dropping-particle":"","family":"Harpold","given":"Adrian","non-dropping-particle":"","parse-names":false,"suffix":""},{"dropping-particle":"","family":"Haun","given":"Stefan","non-dropping-particle":"","parse-names":false,"suffix":""},{"dropping-particle":"","family":"Heal","given":"Kate","non-dropping-particle":"","parse-names":false,"suffix":""},{"dropping-particle":"","family":"Helfricht","given":"Kay","non-dropping-particle":"","parse-names":false,"suffix":""},{"dropping-particle":"","family":"Herrnegger","given":"Mathew","non-dropping-particle":"","parse-names":false,"suffix":""},{"dropping-particle":"","family":"Hipsey","given":"Matthew","non-dropping-particle":"","parse-names":false,"suffix":""},{"dropping-particle":"","family":"Hlaváčiková","given":"Hana","non-dropping-particle":"","parse-names":false,"suffix":""},{"dropping-particle":"","family":"Hohmann","given":"Clara","non-dropping-particle":"","parse-names":false,"suffix":""},{"dropping-particle":"","family":"Holko","given":"Ladislav","non-dropping-particle":"","parse-names":false,"suffix":""},{"dropping-particle":"","family":"Hopkinson","given":"Christopher","non-dropping-particle":"","parse-names":false,"suffix":""},{"dropping-particle":"","family":"Hrachowitz","given":"Markus","non-dropping-particle":"","parse-names":false,"suffix":""},{"dropping-particle":"","family":"Illangasekare","given":"Tissa H.","non-dropping-particle":"","parse-names":false,"suffix":""},{"dropping-particle":"","family":"Inam","given":"Azhar","non-dropping-particle":"","parse-names":false,"suffix":""},{"dropping-particle":"","family":"Innocente","given":"Camyla","non-dropping-particle":"","parse-names":false,"suffix":""},{"dropping-particle":"","family":"Istanbulluoglu","given":"Erkan","non-dropping-particle":"","parse-names":false,"suffix":""},{"dropping-particle":"","family":"Jarihani","given":"Ben","non-dropping-particle":"","parse-names":false,"suffix":""},{"dropping-particle":"","family":"Kalantari","given":"Zahra","non-dropping-particle":"","parse-names":false,"suffix":""},{"dropping-particle":"","family":"Kalvans","given":"Andis","non-dropping-particle":"","parse-names":false,"suffix":""},{"dropping-particle":"","family":"Khanal","given":"Sonu","non-dropping-particle":"","parse-names":false,"suffix":""},{"dropping-particle":"","family":"Khatami","given":"Sina","non-dropping-particle":"","parse-names":false,"suffix":""},{"dropping-particle":"","family":"Kiesel","given":"Jens","non-dropping-particle":"","parse-names":false,"suffix":""},{"dropping-particle":"","family":"Kirkby","given":"Mike","non-dropping-particle":"","parse-names":false,"suffix":""},{"dropping-particle":"","family":"Knoben","given":"Wouter","non-dropping-particle":"","parse-names":false,"suffix":""},{"dropping-particle":"","family":"Kochanek","given":"Krzysztof","non-dropping-particle":"","parse-names":false,"suffix":""},{"dropping-particle":"","family":"Kohnová","given":"Silvia","non-dropping-particle":"","parse-names":false,"suffix":""},{"dropping-particle":"","family":"Kolechkina","given":"Alla","non-dropping-particle":"","parse-names":false,"suffix":""},{"dropping-particle":"","family":"Krause","given":"Stefan","non-dropping-particle":"","parse-names":false,"suffix":""},{"dropping-particle":"","family":"Kreamer","given":"David","non-dropping-particle":"","parse-names":false,"suffix":""},{"dropping-particle":"","family":"Kreibich","given":"Heidi","non-dropping-particle":"","parse-names":false,"suffix":""},{"dropping-particle":"","family":"Kunstmann","given":"Harald","non-dropping-particle":"","parse-names":false,"suffix":""},{"dropping-particle":"","family":"Lange","given":"Holger","non-dropping-particle":"","parse-names":false,"suffix":""},{"dropping-particle":"","family":"Liberato","given":"Margarida L.R.","non-dropping-particle":"","parse-names":false,"suffix":""},{"dropping-particle":"","family":"Lindquist","given":"Eric","non-dropping-particle":"","parse-names":false,"suffix":""},{"dropping-particle":"","family":"Link","given":"Timothy","non-dropping-particle":"","parse-names":false,"suffix":""},{"dropping-particle":"","family":"Liu","given":"Junguo","non-dropping-particle":"","parse-names":false,"suffix":""},{"dropping-particle":"","family":"Loucks","given":"Daniel Peter","non-dropping-particle":"","parse-names":false,"suffix":""},{"dropping-particle":"","family":"Luce","given":"Charles","non-dropping-particle":"","parse-names":false,"suffix":""},{"dropping-particle":"","family":"Mahé","given":"Gil","non-dropping-particle":"","parse-names":false,"suffix":""},{"dropping-particle":"","family":"Makarieva","given":"Olga","non-dropping-particle":"","parse-names":false,"suffix":""},{"dropping-particle":"","family":"Malard","given":"Julien","non-dropping-particle":"","parse-names":false,"suffix":""},{"dropping-particle":"","family":"Mashtayeva","given":"Shamshagul","non-dropping-particle":"","parse-names":false,"suffix":""},{"dropping-particle":"","family":"Maskey","given":"Shreedhar","non-dropping-particle":"","parse-names":false,"suffix":""},{"dropping-particle":"","family":"Mas-Pla","given":"Josep","non-dropping-particle":"","parse-names":false,"suffix":""},{"dropping-particle":"","family":"Mavrova-Guirguinova","given":"Maria","non-dropping-particle":"","parse-names":false,"suffix":""},{"dropping-particle":"","family":"Mazzoleni","given":"Maurizio","non-dropping-particle":"","parse-names":false,"suffix":""},{"dropping-particle":"","family":"Mernild","given":"Sebastian","non-dropping-particle":"","parse-names":false,"suffix":""},{"dropping-particle":"","family":"Misstear","given":"Bruce Dudley","non-dropping-particle":"","parse-names":false,"suffix":""},{"dropping-particle":"","family":"Montanari","given":"Alberto","non-dropping-particle":"","parse-names":false,"suffix":""},{"dropping-particle":"","family":"Müller-Thomy","given":"Hannes","non-dropping-particle":"","parse-names":false,"suffix":""},{"dropping-particle":"","family":"Nabizadeh","given":"Alireza","non-dropping-particle":"","parse-names":false,"suffix":""},{"dropping-particle":"","family":"Nardi","given":"Fernando","non-dropping-particle":"","parse-names":false,"suffix":""},{"dropping-particle":"","family":"Neale","given":"Christopher","non-dropping-particle":"","parse-names":false,"suffix":""},{"dropping-particle":"","family":"Nesterova","given":"Nataliia","non-dropping-particle":"","parse-names":false,"suffix":""},{"dropping-particle":"","family":"Nurtaev","given":"Bakhram","non-dropping-particle":"","parse-names":false,"suffix":""},{"dropping-particle":"","family":"Odongo","given":"Vincent O.","non-dropping-particle":"","parse-names":false,"suffix":""},{"dropping-particle":"","family":"Panda","given":"Subhabrata","non-dropping-particle":"","parse-names":false,"suffix":""},{"dropping-particle":"","family":"Pande","given":"Saket","non-dropping-particle":"","parse-names":false,"suffix":""},{"dropping-particle":"","family":"Pang","given":"Zhonghe","non-dropping-particle":"","parse-names":false,"suffix":""},{"dropping-particle":"","family":"Papacharalampous","given":"Georgia","non-dropping-particle":"","parse-names":false,"suffix":""},{"dropping-particle":"","family":"Perrin","given":"Charles","non-dropping-particle":"","parse-names":false,"suffix":""},{"dropping-particle":"","family":"Pfister","given":"Laurent","non-dropping-particle":"","parse-names":false,"suffix":""},{"dropping-particle":"","family":"Pimentel","given":"Rafael","non-dropping-particle":"","parse-names":false,"suffix":""},{"dropping-particle":"","family":"Polo","given":"María J.","non-dropping-particle":"","parse-names":false,"suffix":""},{"dropping-particle":"","family":"Post","given":"David","non-dropping-particle":"","parse-names":false,"suffix":""},{"dropping-particle":"","family":"Prieto Sierra","given":"Cristina","non-dropping-particle":"","parse-names":false,"suffix":""},{"dropping-particle":"","family":"Ramos","given":"Maria Helena","non-dropping-particle":"","parse-names":false,"suffix":""},{"dropping-particle":"","family":"Renner","given":"Maik","non-dropping-particle":"","parse-names":false,"suffix":""},{"dropping-particle":"","family":"Reynolds","given":"José Eduardo","non-dropping-particle":"","parse-names":false,"suffix":""},{"dropping-particle":"","family":"Ridolfi","given":"Elena","non-dropping-particle":"","parse-names":false,"suffix":""},{"dropping-particle":"","family":"Rigon","given":"Riccardo","non-dropping-particle":"","parse-names":false,"suffix":""},{"dropping-particle":"","family":"Riva","given":"Monica","non-dropping-particle":"","parse-names":false,"suffix":""},{"dropping-particle":"","family":"Robertson","given":"David E.","non-dropping-particle":"","parse-names":false,"suffix":""},{"dropping-particle":"","family":"Rosso","given":"Renzo","non-dropping-particle":"","parse-names":false,"suffix":""},{"dropping-particle":"","family":"Roy","given":"Tirthankar","non-dropping-particle":"","parse-names":false,"suffix":""},{"dropping-particle":"","family":"Sá","given":"João H.M.","non-dropping-particle":"","parse-names":false,"suffix":""},{"dropping-particle":"","family":"Salvadori","given":"Gianfausto","non-dropping-particle":"","parse-names":false,"suffix":""},{"dropping-particle":"","family":"Sandells","given":"Mel","non-dropping-particle":"","parse-names":false,"suffix":""},{"dropping-particle":"","family":"Schaefli","given":"Bettina","non-dropping-particle":"","parse-names":false,"suffix":""},{"dropping-particle":"","family":"Schumann","given":"Andreas","non-dropping-particle":"","parse-names":false,"suffix":""},{"dropping-particle":"","family":"Scolobig","given":"Anna","non-dropping-particle":"","parse-names":false,"suffix":""},{"dropping-particle":"","family":"Seibert","given":"Jan","non-dropping-particle":"","parse-names":false,"suffix":""},{"dropping-particle":"","family":"Servat","given":"Eric","non-dropping-particle":"","parse-names":false,"suffix":""},{"dropping-particle":"","family":"Shafiei","given":"Mojtaba","non-dropping-particle":"","parse-names":false,"suffix":""},{"dropping-particle":"","family":"Sharma","given":"Ashish","non-dropping-particle":"","parse-names":false,"suffix":""},{"dropping-particle":"","family":"Sidibe","given":"Moussa","non-dropping-particle":"","parse-names":false,"suffix":""},{"dropping-particle":"","family":"Sidle","given":"Roy C.","non-dropping-particle":"","parse-names":false,"suffix":""},{"dropping-particle":"","family":"Skaugen","given":"Thomas","non-dropping-particle":"","parse-names":false,"suffix":""},{"dropping-particle":"","family":"Smith","given":"Hugh","non-dropping-particle":"","parse-names":false,"suffix":""},{"dropping-particle":"","family":"Spiessl","given":"Sabine M.","non-dropping-particle":"","parse-names":false,"suffix":""},{"dropping-particle":"","family":"Stein","given":"Lina","non-dropping-particle":"","parse-names":false,"suffix":""},{"dropping-particle":"","family":"Steinsland","given":"Ingelin","non-dropping-particle":"","parse-names":false,"suffix":""},{"dropping-particle":"","family":"Strasser","given":"Ulrich","non-dropping-particle":"","parse-names":false,"suffix":""},{"dropping-particle":"","family":"Su","given":"Bob","non-dropping-particle":"","parse-names":false,"suffix":""},{"dropping-particle":"","family":"Szolgay","given":"Jan","non-dropping-particle":"","parse-names":false,"suffix":""},{"dropping-particle":"","family":"Tarboton","given":"David","non-dropping-particle":"","parse-names":false,"suffix":""},{"dropping-particle":"","family":"Tauro","given":"Flavia","non-dropping-particle":"","parse-names":false,"suffix":""},{"dropping-particle":"","family":"Thirel","given":"Guillaume","non-dropping-particle":"","parse-names":false,"suffix":""},{"dropping-particle":"","family":"Tian","given":"Fuqiang","non-dropping-particle":"","parse-names":false,"suffix":""},{"dropping-particle":"","family":"Tong","given":"Rui","non-dropping-particle":"","parse-names":false,"suffix":""},{"dropping-particle":"","family":"Tussupova","given":"Kamshat","non-dropping-particle":"","parse-names":false,"suffix":""},{"dropping-particle":"","family":"Tyralis","given":"Hristos","non-dropping-particle":"","parse-names":false,"suffix":""},{"dropping-particle":"","family":"Uijlenhoet","given":"Remko","non-dropping-particle":"","parse-names":false,"suffix":""},{"dropping-particle":"","family":"Beek","given":"Rens","non-dropping-particle":"van","parse-names":false,"suffix":""},{"dropping-particle":"","family":"Ent","given":"Ruud J.","non-dropping-particle":"van der","parse-names":false,"suffix":""},{"dropping-particle":"","family":"Ploeg","given":"Martine","non-dropping-particle":"van der","parse-names":false,"suffix":""},{"dropping-particle":"","family":"Loon","given":"Anne F.","non-dropping-particle":"Van","parse-names":false,"suffix":""},{"dropping-particle":"","family":"Meerveld","given":"Ilja","non-dropping-particle":"van","parse-names":false,"suffix":""},{"dropping-particle":"","family":"Nooijen","given":"Ronald","non-dropping-particle":"van","parse-names":false,"suffix":""},{"dropping-particle":"","family":"Oel","given":"Pieter R.","non-dropping-particle":"van","parse-names":false,"suffix":""},{"dropping-particle":"","family":"Vidal","given":"Jean Philippe","non-dropping-particle":"","parse-names":false,"suffix":""},{"dropping-particle":"","family":"Freyberg","given":"Jana","non-dropping-particle":"von","parse-names":false,"suffix":""},{"dropping-particle":"","family":"Vorogushyn","given":"Sergiy","non-dropping-particle":"","parse-names":false,"suffix":""},{"dropping-particle":"","family":"Wachniew","given":"Przemyslaw","non-dropping-particle":"","parse-names":false,"suffix":""},{"dropping-particle":"","family":"Wade","given":"Andrew J.","non-dropping-particle":"","parse-names":false,"suffix":""},{"dropping-particle":"","family":"Ward","given":"Philip","non-dropping-particle":"","parse-names":false,"suffix":""},{"dropping-particle":"","family":"Westerberg","given":"Ida K.","non-dropping-particle":"","parse-names":false,"suffix":""},{"dropping-particle":"","family":"White","given":"Christopher","non-dropping-particle":"","parse-names":false,"suffix":""},{"dropping-particle":"","family":"Wood","given":"Eric F.","non-dropping-particle":"","parse-names":false,"suffix":""},{"dropping-particle":"","family":"Woods","given":"Ross","non-dropping-particle":"","parse-names":false,"suffix":""},{"dropping-particle":"","family":"Xu","given":"Zongxue","non-dropping-particle":"","parse-names":false,"suffix":""},{"dropping-particle":"","family":"Yilmaz","given":"Koray K.","non-dropping-particle":"","parse-names":false,"suffix":""},{"dropping-particle":"","family":"Zhang","given":"Yongqiang","non-dropping-particle":"","parse-names":false,"suffix":""}],"container-title":"Hydrological Sciences Journal","id":"ITEM-1","issue":"10","issued":{"date-parts":[["2019","7","27"]]},"page":"1141-1158","publisher":"Taylor and Francis Ltd.","title":"Twenty-three unsolved problems in hydrology (UPH)–a community perspective","type":"article-journal","volume":"64"},"uris":["http://www.mendeley.com/documents/?uuid=459a1dca-1cf4-4e60-8998-44a1fd9a4351"]}],"mendeley":{"formattedCitation":"(Blöschl et al., 2019)","plainTextFormattedCitation":"(Blöschl et al., 2019)","previouslyFormattedCitation":"(Blöschl et al., 2019)"},"properties":{"noteIndex":0},"schema":"https://github.com/citation-style-language/schema/raw/master/csl-citation.json"}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(Blöschl et al., 2019)</w:t>
      </w:r>
      <w:r w:rsidRPr="000C5076">
        <w:rPr>
          <w:rFonts w:eastAsia="Times New Roman"/>
          <w:sz w:val="24"/>
          <w:szCs w:val="24"/>
        </w:rPr>
        <w:fldChar w:fldCharType="end"/>
      </w:r>
      <w:r w:rsidRPr="000C5076">
        <w:rPr>
          <w:rFonts w:eastAsia="Times New Roman"/>
          <w:sz w:val="24"/>
          <w:szCs w:val="24"/>
        </w:rPr>
        <w:t xml:space="preserve">. Despite the unanswered question in terms of the method - "how", scientists agree that climate change has affected and will continue to affect the hydrological cycle. According to the Intergovernmental Panel on Climate Change report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{"citationItems":[{"id":"ITEM-1","itemData":{"DOI":"10.1017/9781009325844.009.","ISBN":"9781009157926","abstract":"The Working Group III (WG III) contribution to the IPCC’s Sixth Assessment Report (AR6) assesses literature on the scientific, technological, environmental, economic and social aspects of mitigation of climate change. [FOOTNOTE 1] Levels of confidence [FOOTNOTE 2] are given in () brackets. Numerical ranges are presented in square [] brackets. References to Chapters, Sections, Figures and Boxes in the underlying report and Technical Summary (TS) are given in {} brackets.","author":[{"dropping-particle":"","family":"IPCC","given":"","non-dropping-particle":"","parse-names":false,"suffix":""}],"container-title":"IPCC","id":"ITEM-1","issued":{"date-parts":[["2022"]]},"number-of-pages":"3056 pp.","publisher-place":"New York","title":"Impacts, Adaptation and Vulnerability. Contribution of Working Group II to the Sixth Assessment Report of the Intergovernmental Panel on Climate Change","type":"report"},"uris":["http://www.mendeley.com/documents/?uuid=40a093ef-a983-45df-8365-6780853191b2"]}],"mendeley":{"formattedCitation":"(IPCC, 2022)","plainTextFormattedCitation":"(IPCC, 2022)","previouslyFormattedCitation":"(IPCC, 2022)"},"properties":{"noteIndex":0},"schema":"https://github.com/citation-style-language/schema/raw/master/csl-citation.json"}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(IPCC, 2022)</w:t>
      </w:r>
      <w:r w:rsidRPr="000C5076">
        <w:rPr>
          <w:rFonts w:eastAsia="Times New Roman"/>
          <w:sz w:val="24"/>
          <w:szCs w:val="24"/>
        </w:rPr>
        <w:fldChar w:fldCharType="end"/>
      </w:r>
      <w:r w:rsidRPr="000C5076">
        <w:rPr>
          <w:rFonts w:eastAsia="Times New Roman"/>
          <w:sz w:val="24"/>
          <w:szCs w:val="24"/>
        </w:rPr>
        <w:t>, the hydrological cycle has been intensified by climate change, and more people are exposed to extreme water-related events such as floods and droughts. This higher exposure exacerbates the water-related vulnerabilities, increases water insecurity and can negatively impact freshwater and terrestrial ecosystems, including regions already experiencing severe water stress.</w:t>
      </w:r>
    </w:p>
    <w:p w14:paraId="4564CB90" w14:textId="77777777" w:rsidR="000C5076" w:rsidRPr="000C5076" w:rsidRDefault="000C5076" w:rsidP="000C5076">
      <w:pPr>
        <w:ind w:firstLine="720"/>
        <w:rPr>
          <w:rFonts w:eastAsia="Times New Roman"/>
          <w:sz w:val="24"/>
          <w:szCs w:val="24"/>
        </w:rPr>
      </w:pPr>
      <w:r w:rsidRPr="000C5076">
        <w:rPr>
          <w:rFonts w:eastAsia="Times New Roman"/>
          <w:sz w:val="24"/>
          <w:szCs w:val="24"/>
        </w:rPr>
        <w:t xml:space="preserve">Rising temperature, decreasing precipitation, and increasing open water evaporation are among the range of climatic factors responsible for decreasing inflows that have been reported in several cases around the world observed by Gravity Recovery and Climate Experiment (GRACE) satellite data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{"citationItems":[{"id":"ITEM-1","itemData":{"DOI":"10.1038/s41561-018-0265-7","ISBN":"4156101802657","ISSN":"1752-0908","abstract":"Endorheic (hydrologically landlocked) basins spatially concur with arid/semi-arid climates. Given limited precipitation but high potential evaporation, their water storage is vulnerable to subtle flux perturbations, which are exacerbated by global warming and human activities. Increasing regional evidence suggests a probably recent net decline in endorheic water storage, but this remains unquantified at a global scale. By integrating satellite observations and hydrological modelling, we reveal that during 2002–2016 the global endorheic system experienced a widespread water loss of about 106.3 Gt yr−1, attributed to comparable losses in surface water, soil moisture and groundwater. This decadal decline, disparate from water storage fluctuations in exorheic basins, appears less sensitive to El Niño–Southern Oscillation-driven climate variability, which implies a possible response to longer-term climate conditions and human water management. In the mass-conserved hydrosphere, such an endorheic water loss not only exacerbates local water stress, but also imposes excess water on exorheic basins, leading to a potential sea level rise that matches the contribution of nearly half of the land glacier retreat (excluding Greenland and Antarctica). Given these dual ramifications, we suggest the necessity for long-term monitoring of water storage variation in the global endorheic system and the inclusion of its net contribution to future sea level budgeting. Hydrologically landlocked basins worldwide have experienced widespread decline in water storage over the past decade.","author":[{"dropping-particle":"","family":"Wang","given":"Jida","non-dropping-particle":"","parse-names":false,"suffix":""},{"dropping-particle":"","family":"Song","given":"Chunqiao","non-dropping-particle":"","parse-names":false,"suffix":""},{"dropping-particle":"","family":"Reager","given":"John T.","non-dropping-particle":"","parse-names":false,"suffix":""},{"dropping-particle":"","family":"Yao","given":"Fangfang","non-dropping-particle":"","parse-names":false,"suffix":""},{"dropping-particle":"","family":"Famiglietti","given":"James S.","non-dropping-particle":"","parse-names":false,"suffix":""},{"dropping-particle":"","family":"Sheng","given":"Yongwei","non-dropping-particle":"","parse-names":false,"suffix":""},{"dropping-particle":"","family":"MacDonald","given":"Glen M.","non-dropping-particle":"","parse-names":false,"suffix":""},{"dropping-particle":"","family":"Brun","given":"Fanny","non-dropping-particle":"","parse-names":false,"suffix":""},{"dropping-particle":"","family":"Schmied","given":"Hannes Müller","non-dropping-particle":"","parse-names":false,"suffix":""},{"dropping-particle":"","family":"Marston","given":"Richard A.","non-dropping-particle":"","parse-names":false,"suffix":""},{"dropping-particle":"","family":"Wada","given":"Yoshihide","non-dropping-particle":"","parse-names":false,"suffix":""}],"container-title":"Nature Geoscience 2018 11:12","id":"ITEM-1","issue":"12","issued":{"date-parts":[["2018","11","30"]]},"page":"926-932","publisher":"Nature Publishing Group","title":"Recent global decline in endorheic basin water storages","type":"article-journal","volume":"11"},"uris":["http://www.mendeley.com/documents/?uuid=b3460613-73e2-405a-8c1b-31ef0edb72a1"]}],"mendeley":{"formattedCitation":"(J. Wang et al., 2018)","plainTextFormattedCitation":"(J. Wang et al., 2018)","previouslyFormattedCitation":"(J. Wang et al., 2018)"},"properties":{"noteIndex":0},"schema":"https://github.com/citation-style-language/schema/raw/master/csl-citation.json"}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(J. Wang et al., 2018)</w:t>
      </w:r>
      <w:r w:rsidRPr="000C5076">
        <w:rPr>
          <w:rFonts w:eastAsia="Times New Roman"/>
          <w:sz w:val="24"/>
          <w:szCs w:val="24"/>
        </w:rPr>
        <w:fldChar w:fldCharType="end"/>
      </w:r>
      <w:r w:rsidRPr="000C5076">
        <w:rPr>
          <w:rFonts w:eastAsia="Times New Roman"/>
          <w:sz w:val="24"/>
          <w:szCs w:val="24"/>
        </w:rPr>
        <w:t xml:space="preserve">. The evidence of storage decline, captured by GRACE, is in contrast with the intensification of extreme precipitation and flood events reported by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{"citationItems":[{"id":"ITEM-1","itemData":{"DOI":"10.1038/s41598-020-70816-2","ISBN":"0123456789","ISSN":"2045-2322","PMID":"32792563","abstract":"The hydrological cycle is expected to intensify with global warming, which likely increases the intensity of extreme precipitation events and the risk of flooding. The changes, however, often differ from the theorized expectation of increases in water‐holding capacity of the atmosphere in the warmer conditions, especially when water availability is limited. Here, the relationships of changes in extreme precipitation and flood intensities for the end of the twenty-first century with spatial and seasonal water availability are quantified. Results show an intensification of extreme precipitation and flood events over all climate regions which increases as water availability increases from dry to wet regions. Similarly, there is an increase in the intensification of extreme precipitation and flood with the seasonal cycle of water availability. The connection between extreme precipitation and flood intensity changes and spatial and seasonal water availability becomes stronger as events become less extreme.","author":[{"dropping-particle":"","family":"Tabari","given":"Hossein","non-dropping-particle":"","parse-names":false,"suffix":""}],"container-title":"Scientific Reports 2020 10:1","id":"ITEM-1","issue":"1","issued":{"date-parts":[["2020","8","13"]]},"page":"1-10","publisher":"Nature Publishing Group","title":"Climate change impact on flood and extreme precipitation increases with water availability","type":"article-journal","volume":"10"},"uris":["http://www.mendeley.com/documents/?uuid=573c3c3e-10a8-4c28-94fe-9f5a46558e4e"]}],"mendeley":{"formattedCitation":"(Tabari, 2020)","manualFormatting":"Tabari (2020)","plainTextFormattedCitation":"(Tabari, 2020)","previouslyFormattedCitation":"(Tabari, 2020)"},"properties":{"noteIndex":0},"schema":"https://github.com/citation-style-language/schema/raw/master/csl-citation.json"}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Tabari (2020)</w:t>
      </w:r>
      <w:r w:rsidRPr="000C5076">
        <w:rPr>
          <w:rFonts w:eastAsia="Times New Roman"/>
          <w:sz w:val="24"/>
          <w:szCs w:val="24"/>
        </w:rPr>
        <w:fldChar w:fldCharType="end"/>
      </w:r>
      <w:r w:rsidRPr="000C5076">
        <w:rPr>
          <w:rFonts w:eastAsia="Times New Roman"/>
          <w:sz w:val="24"/>
          <w:szCs w:val="24"/>
        </w:rPr>
        <w:t xml:space="preserve">. According to the authors, there is a clear connection between floods and extreme precipitation changes with water availability. This means that the intensification of flood events increases as water availability increases from dry to wet regions.  For instance, the changes in seasonal variability of precipitation can lead to extended dry periods - droughts, and also concentrated precipitation over a relatively short period - floods, leading to operational difficulties in reservoir water management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{"citationItems":[{"id":"ITEM-1","itemData":{"DOI":"10.1007/S00382-014-2278-2/FIGURES/15","ISSN":"14320894","abstract":"Two new indicators of rainfall seasonality based on information entropy, the relative entropy (RE) and the dimensionless seasonality index (DSI), together with the mean annual rainfall, are evaluated on a global scale for recently updated precipitation gridded datasets and for historical simulations from coupled atmosphere–ocean general circulation models. The RE provides a measure of the number of wet months and, for precipitation regimes featuring a distinct wet and dry season, it is directly related to the duration of the wet season. The DSI combines the rainfall intensity with its degree of seasonality and it is an indicator of the extent of the global monsoon region. We show that the RE and the DSI are fairly independent of the time resolution of the precipitation data, thereby allowing objective metrics for model intercomparison and ranking. Regions with different precipitation regimes are classified and characterized in terms of RE and DSI. Comparison of different land observational datasets reveals substantial difference in their local representation of seasonality. It is shown that two-dimensional maps of RE provide an easy way to compare rainfall seasonality from various datasets and to determine areas of interest. Models participating to the Coupled Model Intercomparison Project platform, Phase 5, consistently overestimate the RE over tropical Latin America and underestimate it in West Africa, western Mexico and East Asia. It is demonstrated that positive RE biases in a general circulation model are associated with excessively peaked monthly precipitation fractions, too large during the wet months and too small in the months preceding and following the wet season; negative biases are instead due, in most cases, to an excess of rainfall during the premonsoonal months.","author":[{"dropping-particle":"","family":"Pascale","given":"Salvatore","non-dropping-particle":"","parse-names":false,"suffix":""},{"dropping-particle":"","family":"Lucarini","given":"Valerio","non-dropping-particle":"","parse-names":false,"suffix":""},{"dropping-particle":"","family":"Feng","given":"Xue","non-dropping-particle":"","parse-names":false,"suffix":""},{"dropping-particle":"","family":"Porporato","given":"Amilcare","non-dropping-particle":"","parse-names":false,"suffix":""},{"dropping-particle":"","family":"Hasson","given":"Shabeh ul","non-dropping-particle":"","parse-names":false,"suffix":""}],"container-title":"Climate Dynamics","id":"ITEM-1","issue":"11-12","issued":{"date-parts":[["2015","6","22"]]},"page":"3281-3301","publisher":"Springer Verlag","title":"Analysis of rainfall seasonality from observations and climate models","type":"article-journal","volume":"44"},"uris":["http://www.mendeley.com/documents/?uuid=796516cc-7e64-4684-b933-ce14b8728a8e"]},{"id":"ITEM-2","itemData":{"DOI":"10.1038/s41467-020-16757-w","ISSN":"2041-1723","PMID":"32576822","abstract":"Both seasonal and annual mean precipitation and evaporation influence patterns of water availability impacting society and ecosystems. Existing global climate studies rarely consider such patterns from non-parametric statistical standpoint. Here, we employ a non-parametric analysis framework to analyze seasonal hydroclimatic regimes by classifying global land regions into nine regimes using late 20th century precipitation means and seasonality. These regimes are used to assess implications for water availability due to concomitant changes in mean and seasonal precipitation and evaporation changes using CMIP5 model future climate projections. Out of 9 regimes, 4 show increased precipitation variation, while 5 show decreased evaporation variation coupled with increasing mean precipitation and evaporation. Increases in projected seasonal precipitation variation in already highly variable precipitation regimes gives rise to a pattern of “seasonally variable regimes becoming more variable”. Regimes with low seasonality in precipitation, instead, experience increased wet season precipitation. Adequate water availability is key to human and ecosystem sustainability. Here, the authors show that seasonally variable regimes become more variable, and the combined influence of seasonality and magnitude of climate variables will affect future water availability.","author":[{"dropping-particle":"","family":"Konapala","given":"Goutam","non-dropping-particle":"","parse-names":false,"suffix":""},{"dropping-particle":"","family":"Mishra","given":"Ashok K.","non-dropping-particle":"","parse-names":false,"suffix":""},{"dropping-particle":"","family":"Wada","given":"Yoshihide","non-dropping-particle":"","parse-names":false,"suffix":""},{"dropping-particle":"","family":"Mann","given":"Michael E.","non-dropping-particle":"","parse-names":false,"suffix":""}],"container-title":"Nature Communications 2020 11:1","id":"ITEM-2","issue":"1","issued":{"date-parts":[["2020","6","23"]]},"page":"1-10","publisher":"Nature Publishing Group","title":"Climate change will affect global water availability through compounding changes in seasonal precipitation and evaporation","type":"article-journal","volume":"11"},"uris":["http://www.mendeley.com/documents/?uuid=02059f29-f846-4906-a27e-9b168e4c1783"]}],"mendeley":{"formattedCitation":"(Konapala et al., 2020; Pascale et al., 2015)","plainTextFormattedCitation":"(Konapala et al., 2020; Pascale et al., 2015)","previouslyFormattedCitation":"(Konapala et al., 2020; Pascale et al., 2015)"},"properties":{"noteIndex":0},"schema":"https://github.com/citation-style-language/schema/raw/master/csl-citation.json"}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(Konapala et al., 2020; Pascale et al., 2015)</w:t>
      </w:r>
      <w:r w:rsidRPr="000C5076">
        <w:rPr>
          <w:rFonts w:eastAsia="Times New Roman"/>
          <w:sz w:val="24"/>
          <w:szCs w:val="24"/>
        </w:rPr>
        <w:fldChar w:fldCharType="end"/>
      </w:r>
      <w:r w:rsidRPr="000C5076">
        <w:rPr>
          <w:rFonts w:eastAsia="Times New Roman"/>
          <w:sz w:val="24"/>
          <w:szCs w:val="24"/>
        </w:rPr>
        <w:t xml:space="preserve">. </w:t>
      </w:r>
    </w:p>
    <w:p w14:paraId="46E23DA3" w14:textId="77777777" w:rsidR="000C5076" w:rsidRPr="000C5076" w:rsidRDefault="000C5076" w:rsidP="000C5076">
      <w:pPr>
        <w:ind w:firstLine="720"/>
        <w:rPr>
          <w:rFonts w:eastAsia="Times New Roman"/>
          <w:sz w:val="24"/>
          <w:szCs w:val="24"/>
        </w:rPr>
      </w:pP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{"citationItems":[{"id":"ITEM-1","itemData":{"DOI":"10.1016/J.SCITOTENV.2021.147322","ISSN":"0048-9697","abstract":"Hydrological extremes both dry extremes and wet extremes can be exacerbated by climate change and threat water security in Lancang-Mekong River Basin (LMRB). Reservoirs can be managed effectively mitigate the risks of these extreme events. However, current knowledge about changes in hydrological extreme events under climate change and the effectiveness of reservoir regulation in LMRB remains limited. This study fills the knowledge gap by evaluating the effectiveness of reservoir regulation for changing hydrological extremes in the 21st century. The VIC-Reservoir hydrological model forced by the bias-corrected CMIP6 climate forcing data were used to project the future streamflow changes in LMRB, and the copula-based joint Standardized Streamflow Index (SSI) was adopted to identify basin-wide dry and wet hydrological extremes. Our results indicate that the streamflow in LMRB will first decrease until 2038 and then increase under the SSP5-RCP8.5 scenario (Similarly, 2020 in the SSP1-RCP2.6 scenario and 2042 in the SSP3-RCP7.0 scenario), which will lead to a substantial increase in basin-wide dry hydrological extremes (up to 33% in the 2040s) and wet hydrological extremes (up to 363% by the end of the 21st century). Reservoir regulation can mitigate the basin-wide dry extreme events by 100% and the wet extreme by 32%. While the future dry hydrological extreme can be mitigated by reservoir regulation, the lack of the reservoir storage capacity to deal with wet hydrological extreme poses a challenge to transboundary water management in the basin.","author":[{"dropping-particle":"","family":"Yun","given":"Xiaobo","non-dropping-particle":"","parse-names":false,"suffix":""},{"dropping-particle":"","family":"Tang","given":"Qiuhong","non-dropping-particle":"","parse-names":false,"suffix":""},{"dropping-particle":"","family":"Li","given":"Jiabo","non-dropping-particle":"","parse-names":false,"suffix":""},{"dropping-particle":"","family":"Lu","given":"Hui","non-dropping-particle":"","parse-names":false,"suffix":""},{"dropping-particle":"","family":"Zhang","given":"Lu","non-dropping-particle":"","parse-names":false,"suffix":""},{"dropping-particle":"","family":"Chen","given":"Deliang","non-dropping-particle":"","parse-names":false,"suffix":""}],"container-title":"Science of The Total Environment","id":"ITEM-1","issued":{"date-parts":[["2021","9","1"]]},"page":"147322","publisher":"Elsevier","title":"Can reservoir regulation mitigate future climate change induced hydrological extremes in the Lancang-Mekong River Basin?","type":"article-journal","volume":"785"},"uris":["http://www.mendeley.com/documents/?uuid=9432c20b-9ef0-48f6-990f-622459200897"]}],"mendeley":{"formattedCitation":"(Yun et al., 2021)","manualFormatting":"Yun et al. (2021)","plainTextFormattedCitation":"(Yun et al., 2021)","previouslyFormattedCitation":"(Yun et al., 2021)"},"properties":{"noteIndex":0},"schema":"https://github.com/citation-style-language/schema/raw/master/csl-citation.json"}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Yun et al. (2021)</w:t>
      </w:r>
      <w:r w:rsidRPr="000C5076">
        <w:rPr>
          <w:rFonts w:eastAsia="Times New Roman"/>
          <w:sz w:val="24"/>
          <w:szCs w:val="24"/>
        </w:rPr>
        <w:fldChar w:fldCharType="end"/>
      </w:r>
      <w:r w:rsidRPr="000C5076">
        <w:rPr>
          <w:rFonts w:eastAsia="Times New Roman"/>
          <w:sz w:val="24"/>
          <w:szCs w:val="24"/>
        </w:rPr>
        <w:t xml:space="preserve"> showed that the future dry hydrological extreme could be mitigated by reservoir regulation, although the lack of reservoir storage capacity can be a challenge to water management. Similarly,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{"citationItems":[{"id":"ITEM-1","itemData":{"DOI":"10.1029/2018EF001091","ISSN":"2328-4277","abstract":"Population growth and climate change will combine to pose substantial challenges for water management in the United States. Projections of water supply and demand over the 21st century show that in the absence of further adaptation efforts, serious water shortages are likely in some regions. Continued improvements in water use efficiency are likely but will be insufficient to avoid future shortages. Some adaptation measures that have been effective in the past, most importantly large additions to reservoir storage, have little promise. Other major adaptations commonly used in the past, especially instream flow removals and groundwater mining, can substantially lower shortages but have serious external costs. If those costs are to be avoided, transfers from irrigated agriculture probably will be needed and could be substantial.","author":[{"dropping-particle":"","family":"Brown","given":"Thomas C.","non-dropping-particle":"","parse-names":false,"suffix":""},{"dropping-particle":"","family":"Mahat","given":"Vinod","non-dropping-particle":"","parse-names":false,"suffix":""},{"dropping-particle":"","family":"Ramirez","given":"Jorge A.","non-dropping-particle":"","parse-names":false,"suffix":""}],"container-title":"Earth's Future","id":"ITEM-1","issue":"3","issued":{"date-parts":[["2019","3","1"]]},"page":"219-234","publisher":"John Wiley &amp; Sons, Ltd","title":"Adaptation to Future Water Shortages in the United States Caused by Population Growth and Climate Change","type":"article-journal","volume":"7"},"uris":["http://www.mendeley.com/documents/?uuid=2fbbf88e-63aa-45f6-acfd-fe59bb377a57"]}],"mendeley":{"formattedCitation":"(Brown et al., 2019)","manualFormatting":"Brown et al. (2019)","plainTextFormattedCitation":"(Brown et al., 2019)","previouslyFormattedCitation":"(Brown et al., 2019)"},"properties":{"noteIndex":0},"schema":"https://github.com/citation-style-language/schema/raw/master/csl-citation.json"}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Brown et al. (2019)</w:t>
      </w:r>
      <w:r w:rsidRPr="000C5076">
        <w:rPr>
          <w:rFonts w:eastAsia="Times New Roman"/>
          <w:sz w:val="24"/>
          <w:szCs w:val="24"/>
        </w:rPr>
        <w:fldChar w:fldCharType="end"/>
      </w:r>
      <w:r w:rsidRPr="000C5076">
        <w:rPr>
          <w:rFonts w:eastAsia="Times New Roman"/>
          <w:sz w:val="24"/>
          <w:szCs w:val="24"/>
        </w:rPr>
        <w:t xml:space="preserve"> reported that additions to reservoir storage and improvement in water use efficiency would be insufficient to avoid future shortages in the United States. Thus, adaptation measures that have been effective in the past may contribute, but will not be the answer to mitigate future events. To reduce the impact despite the increase in </w:t>
      </w:r>
      <w:r w:rsidRPr="000C5076">
        <w:rPr>
          <w:rFonts w:eastAsia="Times New Roman"/>
          <w:sz w:val="24"/>
          <w:szCs w:val="24"/>
        </w:rPr>
        <w:lastRenderedPageBreak/>
        <w:t xml:space="preserve">hazard, Kreibich et al. (2022) identified three success factors in the management of extreme events: (1) effective governance of risk and emergency management; (2) high investments in structural and non-structural measures; and (3) improved early warning and real-time control systems. In addition, it is essential to consider interactions between hazards, </w:t>
      </w:r>
      <w:proofErr w:type="spellStart"/>
      <w:r w:rsidRPr="000C5076">
        <w:rPr>
          <w:rFonts w:eastAsia="Times New Roman"/>
          <w:sz w:val="24"/>
          <w:szCs w:val="24"/>
        </w:rPr>
        <w:t>i.g.</w:t>
      </w:r>
      <w:proofErr w:type="spellEnd"/>
      <w:r w:rsidRPr="000C5076">
        <w:rPr>
          <w:rFonts w:eastAsia="Times New Roman"/>
          <w:sz w:val="24"/>
          <w:szCs w:val="24"/>
        </w:rPr>
        <w:t xml:space="preserve"> floods and droughts, to better design disaster risk reduction strategies and policies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{"citationItems":[{"id":"ITEM-1","itemData":{"DOI":"10.1016/J.WASEC.2020.100070","ISSN":"2468-3124","abstract":"Most research on hydrological risks focuses either on flood risk or drought risk, whilst floods and droughts are two extremes of the same hydrological cycle. To better design disaster risk reduction (DRR) measures and strategies, it is important to consider interactions between these closely linked phenomena. We show examples of: (a) how flood or drought DRR measures can have (unintended) positive or negative impacts on risk of the opposite hazard; and (b) how flood or drought DRR measures can be negatively impacted by the opposite hazard. We focus on dikes and levees, dams, stormwater control and upstream measures, subsurface storage, migration, agricultural practices, and vulnerability and preparedness. We identify key challenges for moving towards a more holistic risk management approach.","author":[{"dropping-particle":"","family":"Ward","given":"Philip J.","non-dropping-particle":"","parse-names":false,"suffix":""},{"dropping-particle":"","family":"Ruiter","given":"Marleen C.","non-dropping-particle":"de","parse-names":false,"suffix":""},{"dropping-particle":"","family":"Mård","given":"Johanna","non-dropping-particle":"","parse-names":false,"suffix":""},{"dropping-particle":"","family":"Schröter","given":"Kai","non-dropping-particle":"","parse-names":false,"suffix":""},{"dropping-particle":"","family":"Loon","given":"Anne","non-dropping-particle":"Van","parse-names":false,"suffix":""},{"dropping-particle":"","family":"Veldkamp","given":"Ted","non-dropping-particle":"","parse-names":false,"suffix":""},{"dropping-particle":"","family":"Uexkull","given":"Nina","non-dropping-particle":"von","parse-names":false,"suffix":""},{"dropping-particle":"","family":"Wanders","given":"Niko","non-dropping-particle":"","parse-names":false,"suffix":""},{"dropping-particle":"","family":"AghaKouchak","given":"Amir","non-dropping-particle":"","parse-names":false,"suffix":""},{"dropping-particle":"","family":"Arnbjerg-Nielsen","given":"Karsten","non-dropping-particle":"","parse-names":false,"suffix":""},{"dropping-particle":"","family":"Capewell","given":"Lucinda","non-dropping-particle":"","parse-names":false,"suffix":""},{"dropping-particle":"","family":"Carmen Llasat","given":"Maria","non-dropping-particle":"","parse-names":false,"suffix":""},{"dropping-particle":"","family":"Day","given":"Rosie","non-dropping-particle":"","parse-names":false,"suffix":""},{"dropping-particle":"","family":"Dewals","given":"Benjamin","non-dropping-particle":"","parse-names":false,"suffix":""},{"dropping-particle":"","family":"Baldassarre","given":"Giuliano","non-dropping-particle":"Di","parse-names":false,"suffix":""},{"dropping-particle":"","family":"Huning","given":"Laurie S.","non-dropping-particle":"","parse-names":false,"suffix":""},{"dropping-particle":"","family":"Kreibich","given":"Heidi","non-dropping-particle":"","parse-names":false,"suffix":""},{"dropping-particle":"","family":"Mazzoleni","given":"Maurizio","non-dropping-particle":"","parse-names":false,"suffix":""},{"dropping-particle":"","family":"Savelli","given":"Elisa","non-dropping-particle":"","parse-names":false,"suffix":""},{"dropping-particle":"","family":"Teutschbein","given":"Claudia","non-dropping-particle":"","parse-names":false,"suffix":""},{"dropping-particle":"","family":"Berg","given":"Harmen","non-dropping-particle":"van den","parse-names":false,"suffix":""},{"dropping-particle":"","family":"Heijden","given":"Anne","non-dropping-particle":"van der","parse-names":false,"suffix":""},{"dropping-particle":"","family":"Vincken","given":"Jelle M.R.","non-dropping-particle":"","parse-names":false,"suffix":""},{"dropping-particle":"","family":"Waterloo","given":"Maarten J.","non-dropping-particle":"","parse-names":false,"suffix":""},{"dropping-particle":"","family":"Wens","given":"Marthe","non-dropping-particle":"","parse-names":false,"suffix":""}],"container-title":"Water Security","id":"ITEM-1","issued":{"date-parts":[["2020","12","1"]]},"page":"100070","publisher":"Elsevier","title":"The need to integrate flood and drought disaster risk reduction strategies","type":"article-journal","volume":"11"},"uris":["http://www.mendeley.com/documents/?uuid=6c7c5d77-ae1f-4fbc-bd89-be928ed5e434"]}],"mendeley":{"formattedCitation":"(Ward et al., 2020)","plainTextFormattedCitation":"(Ward et al., 2020)","previouslyFormattedCitation":"(Ward et al., 2020)"},"properties":{"noteIndex":0},"schema":"https://github.com/citation-style-language/schema/raw/master/csl-citation.json"}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(Ward et al., 2020)</w:t>
      </w:r>
      <w:r w:rsidRPr="000C5076">
        <w:rPr>
          <w:rFonts w:eastAsia="Times New Roman"/>
          <w:sz w:val="24"/>
          <w:szCs w:val="24"/>
        </w:rPr>
        <w:fldChar w:fldCharType="end"/>
      </w:r>
      <w:r w:rsidRPr="000C5076">
        <w:rPr>
          <w:rFonts w:eastAsia="Times New Roman"/>
          <w:sz w:val="24"/>
          <w:szCs w:val="24"/>
        </w:rPr>
        <w:t>.</w:t>
      </w:r>
    </w:p>
    <w:p w14:paraId="70636663" w14:textId="77777777" w:rsidR="000C5076" w:rsidRPr="000C5076" w:rsidRDefault="000C5076" w:rsidP="000C5076">
      <w:pPr>
        <w:ind w:firstLine="720"/>
        <w:rPr>
          <w:rFonts w:eastAsia="Times New Roman"/>
          <w:color w:val="FF0000"/>
          <w:sz w:val="24"/>
          <w:szCs w:val="24"/>
        </w:rPr>
      </w:pPr>
      <w:r w:rsidRPr="000C5076">
        <w:rPr>
          <w:rFonts w:eastAsia="Times New Roman"/>
          <w:sz w:val="24"/>
          <w:szCs w:val="24"/>
        </w:rPr>
        <w:t xml:space="preserve">In the water supply sector, disaster risk reduction strategies are of paramount importance, since a disruption in the supply system means leaving communities, ecosystems, and many other sectors, including agriculture, energy, and manufacturing, in a vulnerable situation. For example, in the case of an extreme flood event, the water supply can be interrupted because of the flooded system, through the damage in the catchment, adduction and water distribution structures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10.21168/rega.v10n2.p37-50","author":[{"dropping-particle":"","family":"Milograna","given":"Jussanã","non-dropping-particle":"","parse-names":false,"suffix":""},{"dropping-particle":"","family":"Baptista","given":"Márcio","non-dropping-particle":"","parse-names":false,"suffix":""},{"dropping-particle":"","family":"Campana","given":"Néstor","non-dropping-particle":"","parse-names":false,"suffix":""}],"container-title":"Revista de Gestão de Água da América Latina","id":"ITEM-1","issue":"2","issued":{"date-parts":[["2013"]]},"page":"37-50","title":"Sistemática para avaliação dos danos diretos decorrentes de inundações à infraestrutura urbana","type":"article-journal","volume":"10"},"uris":["http://www.mendeley.com/documents/?uuid=13618fc1-39b8-491c-8dfb-1349a043e0f2"]}],"mendeley":{"formattedCitation":"(Milograna et al., 2013)","plainTextFormattedCitation":"(Milograna et al., 2013)","previouslyFormattedCitation":"(Milograna et al., 2013)"},"properties":{"noteIndex":0},"schema":"https://github.com/citation-style-language/schema/raw/master/csl-citation.json"}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(Milograna et al., 2013)</w:t>
      </w:r>
      <w:r w:rsidRPr="000C5076">
        <w:rPr>
          <w:rFonts w:eastAsia="Times New Roman"/>
          <w:sz w:val="24"/>
          <w:szCs w:val="24"/>
        </w:rPr>
        <w:fldChar w:fldCharType="end"/>
      </w:r>
      <w:r w:rsidRPr="000C5076">
        <w:rPr>
          <w:rFonts w:eastAsia="Times New Roman"/>
          <w:sz w:val="24"/>
          <w:szCs w:val="24"/>
        </w:rPr>
        <w:t xml:space="preserve">. Similarly, an extreme drought event can directly impact water availability, ranging from loss of water supply to increased costs and reduced revenues. From the perspective of the water supply utility, these disruptions are difficult to remedy on a short-run basis as the operation prices cannot be easily modified </w:t>
      </w:r>
      <w:r w:rsidRPr="000C5076">
        <w:rPr>
          <w:rFonts w:eastAsia="Times New Roman"/>
          <w:sz w:val="24"/>
          <w:szCs w:val="24"/>
        </w:rPr>
        <w:fldChar w:fldCharType="begin" w:fldLock="1"/>
      </w:r>
      <w:r w:rsidRPr="000C5076">
        <w:rPr>
          <w:rFonts w:eastAsia="Times New Roman"/>
          <w:sz w:val="24"/>
          <w:szCs w:val="24"/>
        </w:rPr>
        <w:instrText>ADDIN CSL_CITATION {"citationItems":[{"id":"ITEM-1","itemData":{"DOI":"10.1002/ 2017WR021468 Received","author":[{"dropping-particle":"","family":"Baum","given":"Rachel","non-dropping-particle":"","parse-names":false,"suffix":""},{"dropping-particle":"","family":"Characklis","given":"G W","non-dropping-particle":"","parse-names":false,"suffix":""},{"dropping-particle":"","family":"Serre","given":"M L","non-dropping-particle":"","parse-names":false,"suffix":""}],"container-title":"Water Resources Research","id":"ITEM-1","issued":{"date-parts":[["2018"]]},"title":"Effects of Geographic Diversification on Risk Pooling to Mitigate Drought-Related Financial Losses for Water Utilities","type":"article-journal"},"uris":["http://www.mendeley.com/documents/?uuid=b5fd5270-0f38-419d-8a90-5ec1666bb776"]}],"mendeley":{"formattedCitation":"(Baum et al., 2018)","plainTextFormattedCitation":"(Baum et al., 2018)","previouslyFormattedCitation":"(Baum et al., 2018)"},"properties":{"noteIndex":0},"schema":"https://github.com/citation-style-language/schema/raw/master/csl-citation.json"}</w:instrText>
      </w:r>
      <w:r w:rsidRPr="000C5076">
        <w:rPr>
          <w:rFonts w:eastAsia="Times New Roman"/>
          <w:sz w:val="24"/>
          <w:szCs w:val="24"/>
        </w:rPr>
        <w:fldChar w:fldCharType="separate"/>
      </w:r>
      <w:r w:rsidRPr="000C5076">
        <w:rPr>
          <w:rFonts w:eastAsia="Times New Roman"/>
          <w:noProof/>
          <w:sz w:val="24"/>
          <w:szCs w:val="24"/>
        </w:rPr>
        <w:t>(Baum et al., 2018)</w:t>
      </w:r>
      <w:r w:rsidRPr="000C5076">
        <w:rPr>
          <w:rFonts w:eastAsia="Times New Roman"/>
          <w:sz w:val="24"/>
          <w:szCs w:val="24"/>
        </w:rPr>
        <w:fldChar w:fldCharType="end"/>
      </w:r>
      <w:r w:rsidRPr="000C5076">
        <w:rPr>
          <w:rFonts w:eastAsia="Times New Roman"/>
          <w:sz w:val="24"/>
          <w:szCs w:val="24"/>
        </w:rPr>
        <w:t>. Therefore, there is a growing interest in developing new financial risk management strategies to reduce utilities and population vulnerabilities facing hydrological extreme events.</w:t>
      </w:r>
    </w:p>
    <w:p w14:paraId="18E254B1" w14:textId="0A04D003" w:rsidR="00250AD8" w:rsidRDefault="00250AD8" w:rsidP="00250AD8">
      <w:pPr>
        <w:pStyle w:val="Heading-Secondary"/>
      </w:pPr>
      <w:r>
        <w:t>2.1.</w:t>
      </w:r>
      <w:r>
        <w:t>2</w:t>
      </w:r>
      <w:r>
        <w:t xml:space="preserve"> </w:t>
      </w:r>
      <w:r w:rsidR="00C71159" w:rsidRPr="00C71159">
        <w:t>Climate change impacts on water quality</w:t>
      </w:r>
    </w:p>
    <w:p w14:paraId="34DE4A10" w14:textId="77777777" w:rsidR="00250AD8" w:rsidRPr="00250AD8" w:rsidRDefault="00250AD8" w:rsidP="00250AD8">
      <w:pPr>
        <w:pBdr>
          <w:top w:val="nil"/>
          <w:left w:val="nil"/>
          <w:bottom w:val="nil"/>
          <w:right w:val="nil"/>
          <w:between w:val="nil"/>
        </w:pBdr>
        <w:tabs>
          <w:tab w:val="left" w:pos="720"/>
        </w:tabs>
        <w:ind w:firstLine="540"/>
        <w:rPr>
          <w:rFonts w:eastAsia="Times New Roman"/>
          <w:color w:val="000000"/>
          <w:sz w:val="24"/>
          <w:szCs w:val="24"/>
        </w:rPr>
      </w:pPr>
      <w:r w:rsidRPr="00250AD8">
        <w:rPr>
          <w:rFonts w:eastAsia="Times New Roman"/>
          <w:sz w:val="24"/>
          <w:szCs w:val="24"/>
        </w:rPr>
        <w:t xml:space="preserve">Global warming is unequivocal and has resulted in unprecedented changes on climate, including the quantity of water availability </w:t>
      </w:r>
      <w:r w:rsidRPr="00250AD8">
        <w:rPr>
          <w:rFonts w:eastAsia="Times New Roman"/>
          <w:color w:val="000000"/>
          <w:sz w:val="24"/>
          <w:szCs w:val="24"/>
        </w:rPr>
        <w:t xml:space="preserve">but also in water quality (IPCC 2021). More intense rainfall due to climate change </w:t>
      </w:r>
      <w:r w:rsidRPr="00250AD8">
        <w:rPr>
          <w:rFonts w:eastAsia="Times New Roman"/>
          <w:color w:val="000000"/>
          <w:sz w:val="24"/>
          <w:szCs w:val="24"/>
        </w:rPr>
        <w:fldChar w:fldCharType="begin" w:fldLock="1"/>
      </w:r>
      <w:r w:rsidRPr="00250AD8">
        <w:rPr>
          <w:rFonts w:eastAsia="Times New Roman"/>
          <w:color w:val="000000"/>
          <w:sz w:val="24"/>
          <w:szCs w:val="24"/>
        </w:rPr>
        <w:instrText>ADDIN CSL_CITATION {"citationItems":[{"id":"ITEM-1","itemData":{"DOI":"10.1038/s41598-020-70816-2","ISBN":"0123456789","ISSN":"2045-2322","PMID":"32792563","abstract":"The hydrological cycle is expected to intensify with global warming, which likely increases the intensity of extreme precipitation events and the risk of flooding. The changes, however, often differ from the theorized expectation of increases in water‐holding capacity of the atmosphere in the warmer conditions, especially when water availability is limited. Here, the relationships of changes in extreme precipitation and flood intensities for the end of the twenty-first century with spatial and seasonal water availability are quantified. Results show an intensification of extreme precipitation and flood events over all climate regions which increases as water availability increases from dry to wet regions. Similarly, there is an increase in the intensification of extreme precipitation and flood with the seasonal cycle of water availability. The connection between extreme precipitation and flood intensity changes and spatial and seasonal water availability becomes stronger as events become less extreme.","author":[{"dropping-particle":"","family":"Tabari","given":"Hossein","non-dropping-particle":"","parse-names":false,"suffix":""}],"container-title":"Scientific Reports 2020 10:1","id":"ITEM-1","issue":"1","issued":{"date-parts":[["2020","8","13"]]},"page":"1-10","publisher":"Nature Publishing Group","title":"Climate change impact on flood and extreme precipitation increases with water availability","type":"article-journal","volume":"10"},"uris":["http://www.mendeley.com/documents/?uuid=573c3c3e-10a8-4c28-94fe-9f5a46558e4e"]}],"mendeley":{"formattedCitation":"(Tabari, 2020)","plainTextFormattedCitation":"(Tabari, 2020)","previouslyFormattedCitation":"(Tabari, 2020)"},"properties":{"noteIndex":0},"schema":"https://github.com/citation-style-language/schema/raw/master/csl-citation.json"}</w:instrText>
      </w:r>
      <w:r w:rsidRPr="00250AD8">
        <w:rPr>
          <w:rFonts w:eastAsia="Times New Roman"/>
          <w:color w:val="000000"/>
          <w:sz w:val="24"/>
          <w:szCs w:val="24"/>
        </w:rPr>
        <w:fldChar w:fldCharType="separate"/>
      </w:r>
      <w:r w:rsidRPr="00250AD8">
        <w:rPr>
          <w:rFonts w:eastAsia="Times New Roman"/>
          <w:noProof/>
          <w:color w:val="000000"/>
          <w:sz w:val="24"/>
          <w:szCs w:val="24"/>
        </w:rPr>
        <w:t>(Tabari, 2020)</w:t>
      </w:r>
      <w:r w:rsidRPr="00250AD8">
        <w:rPr>
          <w:rFonts w:eastAsia="Times New Roman"/>
          <w:color w:val="000000"/>
          <w:sz w:val="24"/>
          <w:szCs w:val="24"/>
        </w:rPr>
        <w:fldChar w:fldCharType="end"/>
      </w:r>
      <w:r w:rsidRPr="00250AD8">
        <w:rPr>
          <w:rFonts w:eastAsia="Times New Roman"/>
          <w:color w:val="000000"/>
          <w:sz w:val="24"/>
          <w:szCs w:val="24"/>
        </w:rPr>
        <w:t xml:space="preserve"> would lead to greater rates of erosion, which would cause an increase in suspended solids (turbidity) in lakes and reservoirs. Also, the projected increase in precipitation intensity is expected to lead to a deterioration of water quality due to enhanced transport of pathogens and other dissolved pollutants (e.g., pesticides) to surface waters and groundwater </w:t>
      </w:r>
      <w:r w:rsidRPr="00250AD8">
        <w:rPr>
          <w:rFonts w:eastAsia="Times New Roman"/>
          <w:color w:val="000000"/>
          <w:sz w:val="24"/>
          <w:szCs w:val="24"/>
        </w:rPr>
        <w:fldChar w:fldCharType="begin" w:fldLock="1"/>
      </w:r>
      <w:r w:rsidRPr="00250AD8">
        <w:rPr>
          <w:rFonts w:eastAsia="Times New Roman"/>
          <w:color w:val="000000"/>
          <w:sz w:val="24"/>
          <w:szCs w:val="24"/>
        </w:rPr>
        <w:instrText>ADDIN CSL_CITATION {"citationItems":[{"id":"ITEM-1","itemData":{"DOI":"10.1029/90EO00112","ISBN":"9789291691234","ISSN":"23249250","abstract":"There is considerable consensus among the international scientific community that we are facing global warming due to increasing levels of atmospheric carbon dioxide, methane, CFCs and other greenhouse gases. The perceived wisdom is that the average global temperature has increased 0.5°–0.7°C since the turn of the century or, according to some, since the 1860s. Current estimates from models indicate that temperatures may increase 1°–3°C during the next 40–60 years. However, since there are considerable gaps in our knowledge and data availability, reliability of such models leaves much to be desired. ©1990. American Geophysical Union. All Rights Reserved.","author":[{"dropping-particle":"","family":"Bates","given":"B.C.","non-dropping-particle":"","parse-names":false,"suffix":""},{"dropping-particle":"","family":"Kundzewicz","given":"Z.W.","non-dropping-particle":"","parse-names":false,"suffix":""},{"dropping-particle":"","family":"Wu","given":"S.","non-dropping-particle":"","parse-names":false,"suffix":""},{"dropping-particle":"","family":"Palutikof","given":"J.P.","non-dropping-particle":"","parse-names":false,"suffix":""}],"container-title":"IPCC Secretariat","id":"ITEM-1","issued":{"date-parts":[["2008"]]},"number-of-pages":"210 pp","publisher-place":"Geneva","title":"Climate Change and Water. Technical Paper ofthe Inter- governmental Panel on Climate Change","type":"report"},"uris":["http://www.mendeley.com/documents/?uuid=77f0cf74-dc7f-4756-a6c4-c258ab7cdb78"]}],"mendeley":{"formattedCitation":"(Bates et al., 2008)","plainTextFormattedCitation":"(Bates et al., 2008)","previouslyFormattedCitation":"(Bates et al., 2008)"},"properties":{"noteIndex":0},"schema":"https://github.com/citation-style-language/schema/raw/master/csl-citation.json"}</w:instrText>
      </w:r>
      <w:r w:rsidRPr="00250AD8">
        <w:rPr>
          <w:rFonts w:eastAsia="Times New Roman"/>
          <w:color w:val="000000"/>
          <w:sz w:val="24"/>
          <w:szCs w:val="24"/>
        </w:rPr>
        <w:fldChar w:fldCharType="separate"/>
      </w:r>
      <w:r w:rsidRPr="00250AD8">
        <w:rPr>
          <w:rFonts w:eastAsia="Times New Roman"/>
          <w:noProof/>
          <w:color w:val="000000"/>
          <w:sz w:val="24"/>
          <w:szCs w:val="24"/>
        </w:rPr>
        <w:t>(Bates et al., 2008)</w:t>
      </w:r>
      <w:r w:rsidRPr="00250AD8">
        <w:rPr>
          <w:rFonts w:eastAsia="Times New Roman"/>
          <w:color w:val="000000"/>
          <w:sz w:val="24"/>
          <w:szCs w:val="24"/>
        </w:rPr>
        <w:fldChar w:fldCharType="end"/>
      </w:r>
      <w:r w:rsidRPr="00250AD8">
        <w:rPr>
          <w:rFonts w:eastAsia="Times New Roman"/>
          <w:color w:val="000000"/>
          <w:sz w:val="24"/>
          <w:szCs w:val="24"/>
        </w:rPr>
        <w:t>.</w:t>
      </w:r>
    </w:p>
    <w:p w14:paraId="4ECC228D" w14:textId="77777777" w:rsidR="00250AD8" w:rsidRPr="00250AD8" w:rsidRDefault="00250AD8" w:rsidP="00250AD8">
      <w:pPr>
        <w:pBdr>
          <w:top w:val="nil"/>
          <w:left w:val="nil"/>
          <w:bottom w:val="nil"/>
          <w:right w:val="nil"/>
          <w:between w:val="nil"/>
        </w:pBdr>
        <w:tabs>
          <w:tab w:val="left" w:pos="720"/>
        </w:tabs>
        <w:ind w:firstLine="540"/>
        <w:rPr>
          <w:rFonts w:eastAsia="Times New Roman"/>
          <w:color w:val="000000"/>
          <w:sz w:val="24"/>
          <w:szCs w:val="24"/>
        </w:rPr>
      </w:pPr>
      <w:r w:rsidRPr="00250AD8">
        <w:rPr>
          <w:rFonts w:eastAsia="Times New Roman"/>
          <w:color w:val="000000"/>
          <w:sz w:val="24"/>
          <w:szCs w:val="24"/>
        </w:rPr>
        <w:t>Droughts are also increasing in frequency and severity in many regions of the world due to climate change (Tabari, 2020, IPCC 2021, 2022), which causes a reduction in runoff capture, impacting river flow and lake levels. Changes in the intensity and frequency of hydrological droughts also cause change</w:t>
      </w:r>
      <w:r w:rsidRPr="00250AD8">
        <w:rPr>
          <w:rFonts w:eastAsia="Times New Roman"/>
          <w:sz w:val="24"/>
          <w:szCs w:val="24"/>
        </w:rPr>
        <w:t>s</w:t>
      </w:r>
      <w:r w:rsidRPr="00250AD8">
        <w:rPr>
          <w:rFonts w:eastAsia="Times New Roman"/>
          <w:color w:val="000000"/>
          <w:sz w:val="24"/>
          <w:szCs w:val="24"/>
        </w:rPr>
        <w:t xml:space="preserve"> in water quality. </w:t>
      </w:r>
      <w:r w:rsidRPr="00250AD8">
        <w:rPr>
          <w:rFonts w:eastAsia="Times New Roman"/>
          <w:color w:val="000000"/>
          <w:sz w:val="24"/>
          <w:szCs w:val="24"/>
        </w:rPr>
        <w:fldChar w:fldCharType="begin" w:fldLock="1"/>
      </w:r>
      <w:r w:rsidRPr="00250AD8">
        <w:rPr>
          <w:rFonts w:eastAsia="Times New Roman"/>
          <w:color w:val="000000"/>
          <w:sz w:val="24"/>
          <w:szCs w:val="24"/>
        </w:rPr>
        <w:instrText>ADDIN CSL_CITATION {"citationItems":[{"id":"ITEM-1","itemData":{"DOI":"10.1016/j.earscirev.2014.11.010","ISSN":"00128252","abstract":"Droughts are increasing in frequency and severity in many regions of the world due to climate change. The meteorological drivers of drought often cause subsequent hydrological effects such as reduced catchment runoff, river flows and lake levels. Hydrological droughts may also result in significant changes in water quality. This review provides a synthesis of past observational research on the effects of drought on the water quality of freshwater systems (rivers, streams, lakes, reservoirs). Over the last 10-20. years there has been an increasing amount of studies on the water quality effects of drought, mostly in North America, Europe, and Australia. In general droughts, and the immediate recovery period, were found to have profound water quality effects. These effects were varied, depending on the characteristics of the water body and its catchment. Key drivers of water quality change were identified and integrated across different systems using quantitative analysis where possible. Water flow and volume decreases during drought typically led to increased salinity due to reduced dilution and concentration of mass. Temperature increases and enhanced stratification occurred during drought in some systems due to air temperature increases and longer hydraulic residence times. This also enhanced algal production, promoted toxic cyanobacterial blooms, and lowered dissolved oxygen concentrations. Nutrient, turbidity and algal levels also often increased in lake systems due to reduced flushing and enhanced productivity, and resuspension in some shallow lakes. In contrast, nutrients and turbidity often decreased during droughts in rivers and streams with no significant loading from point and agricultural non-point sources. This was due to disruption of catchment inputs and increased influence of internal processes (e.g. biological uptake of nutrients, denitrification, settling). Where point sources of pollution were present, water quality generally showed deterioration due to less dilution, particularly for nutrients. Storage and buildup of material and changed geochemistry (e.g. sulfide oxidation) in catchments during drought resulted in mobilisation of large post-drought flood loadings of constituents such as major ions, nutrients and carbon. In some cases this caused severe downstream water quality effects such as deoxygenation. Key areas for further research are process-level understanding of the key drivers of water quality change in catchments and receiv…","author":[{"dropping-particle":"","family":"Mosley","given":"Luke M.","non-dropping-particle":"","parse-names":false,"suffix":""}],"container-title":"Earth-Science Reviews","id":"ITEM-1","issued":{"date-parts":[["2015"]]},"page":"203-214","publisher":"Elsevier B.V.","title":"Drought impacts on the water quality of freshwater systems; review and integration","type":"article-journal","volume":"140"},"uris":["http://www.mendeley.com/documents/?uuid=c6cadc3f-05fe-4d8e-9463-1e808d59012e"]}],"mendeley":{"formattedCitation":"(Mosley, 2015)","manualFormatting":"Mosley (2015)","plainTextFormattedCitation":"(Mosley, 2015)","previouslyFormattedCitation":"(Mosley, 2015)"},"properties":{"noteIndex":0},"schema":"https://github.com/citation-style-language/schema/raw/master/csl-citation.json"}</w:instrText>
      </w:r>
      <w:r w:rsidRPr="00250AD8">
        <w:rPr>
          <w:rFonts w:eastAsia="Times New Roman"/>
          <w:color w:val="000000"/>
          <w:sz w:val="24"/>
          <w:szCs w:val="24"/>
        </w:rPr>
        <w:fldChar w:fldCharType="separate"/>
      </w:r>
      <w:r w:rsidRPr="00250AD8">
        <w:rPr>
          <w:rFonts w:eastAsia="Times New Roman"/>
          <w:noProof/>
          <w:color w:val="000000"/>
          <w:sz w:val="24"/>
          <w:szCs w:val="24"/>
        </w:rPr>
        <w:t>Mosley (2015)</w:t>
      </w:r>
      <w:r w:rsidRPr="00250AD8">
        <w:rPr>
          <w:rFonts w:eastAsia="Times New Roman"/>
          <w:color w:val="000000"/>
          <w:sz w:val="24"/>
          <w:szCs w:val="24"/>
        </w:rPr>
        <w:fldChar w:fldCharType="end"/>
      </w:r>
      <w:r w:rsidRPr="00250AD8">
        <w:rPr>
          <w:rFonts w:eastAsia="Times New Roman"/>
          <w:color w:val="000000"/>
          <w:sz w:val="24"/>
          <w:szCs w:val="24"/>
        </w:rPr>
        <w:t xml:space="preserve"> reviewed several works around the world on the impacts of drought on water quality</w:t>
      </w:r>
      <w:r w:rsidRPr="00250AD8">
        <w:rPr>
          <w:rFonts w:eastAsia="Times New Roman"/>
          <w:sz w:val="24"/>
          <w:szCs w:val="24"/>
        </w:rPr>
        <w:t>,</w:t>
      </w:r>
      <w:r w:rsidRPr="00250AD8">
        <w:rPr>
          <w:rFonts w:eastAsia="Times New Roman"/>
          <w:color w:val="000000"/>
          <w:sz w:val="24"/>
          <w:szCs w:val="24"/>
        </w:rPr>
        <w:t xml:space="preserve"> and the author states that the decrease in volume during the drought usually leads to an increase in salinity due to the reduction in the dilution and concentration of water mass. In addition, the author points out that the concentration of nutrients and turbidity in rivers and streams decrease during droughts when there is no significant input of punctual and diffuse load. This is due to the increased influence of internal processes such as biological absorption of nutrients, denitrification and sedimentation. However, with the contribution of point sources, the concentration of such eutrophication-enhancing pollutants increases due to the lower dilution capacity in these events. Furthermore, during the dry season, there is an accumulation and storage of pollutants in the basin, with the mobilization of large loads of ions, nutrients and carbon at the beginning of the rainy season, which can cause oxygenation in the water body (Mosley, 2015).</w:t>
      </w:r>
    </w:p>
    <w:p w14:paraId="085653CB" w14:textId="77777777" w:rsidR="00250AD8" w:rsidRPr="00250AD8" w:rsidRDefault="00250AD8" w:rsidP="00250AD8">
      <w:pPr>
        <w:pBdr>
          <w:top w:val="nil"/>
          <w:left w:val="nil"/>
          <w:bottom w:val="nil"/>
          <w:right w:val="nil"/>
          <w:between w:val="nil"/>
        </w:pBdr>
        <w:tabs>
          <w:tab w:val="left" w:pos="720"/>
        </w:tabs>
        <w:ind w:firstLine="540"/>
        <w:rPr>
          <w:rFonts w:eastAsia="Times New Roman"/>
          <w:sz w:val="24"/>
          <w:szCs w:val="24"/>
        </w:rPr>
      </w:pPr>
      <w:r w:rsidRPr="00250AD8">
        <w:rPr>
          <w:rFonts w:eastAsia="Times New Roman"/>
          <w:sz w:val="24"/>
          <w:szCs w:val="24"/>
        </w:rPr>
        <w:t xml:space="preserve">In addition to the increase and severity of droughts and in air temperature, there is a growing concern that this changing environment affects the structure and composition of the phytoplankton community, including a greater prevalence and geographic spread of harmful algal blooms (HABs) </w:t>
      </w:r>
      <w:r w:rsidRPr="00250AD8">
        <w:rPr>
          <w:rFonts w:eastAsia="Times New Roman"/>
          <w:sz w:val="24"/>
          <w:szCs w:val="24"/>
        </w:rPr>
        <w:fldChar w:fldCharType="begin" w:fldLock="1"/>
      </w:r>
      <w:r w:rsidRPr="00250AD8">
        <w:rPr>
          <w:rFonts w:eastAsia="Times New Roman"/>
          <w:sz w:val="24"/>
          <w:szCs w:val="24"/>
        </w:rPr>
        <w:instrText>ADDIN CSL_CITATION {"citationItems":[{"id":"ITEM-1","itemData":{"DOI":"10.1016/j.hal.2015.07.009","ISSN":"18781470","PMID":"27011761","abstract":"Climate change pressures will influence marine planktonic systems globally, and it is conceivable that harmful algal blooms may increase in frequency and severity. These pressures will be manifest as alterations in temperature, stratification, light, ocean acidification, precipitation-induced nutrient inputs, and grazing, but absence of fundamental knowledge of the mechanisms driving harmful algal blooms frustrates most hope of forecasting their future prevalence. Summarized here is the consensus of a recent workshop held to address what currently is known and not known about the environmental conditions that favor initiation and maintenance of harmful algal blooms. There is expectation that harmful algal bloom (HAB) geographical domains should expand in some cases, as will seasonal windows of opportunity for harmful algal blooms at higher latitudes. Nonetheless there is only basic information to speculate upon which regions or habitats HAB species may be the most resilient or susceptible. Moreover, current research strategies are not well suited to inform these fundamental linkages. There is a critical absence of tenable hypotheses for how climate pressures mechanistically affect HAB species, and the lack of uniform experimental protocols limits the quantitative cross-investigation comparisons essential to advancement. A HAB \"best practices\" manual would help foster more uniform research strategies and protocols, and selection of a small target list of model HAB species or isolates for study would greatly promote the accumulation of knowledge. Despite the need to focus on keystone species, more studies need to address strain variability within species, their responses under multifactorial conditions, and the retrospective analyses of long-term plankton and cyst core data; research topics that are departures from the norm. Examples of some fundamental unknowns include how larger and more frequent extreme weather events may break down natural biogeographic barriers, how stratification may enhance or diminish HAB events, how trace nutrients (metals, vitamins) influence cell toxicity, and how grazing pressures may leverage, or mitigate HAB development. There is an absence of high quality time-series data in most regions currently experiencing HAB outbreaks, and little if any data from regions expected to develop HAB events in the future. A subset of observer sites is recommended to help develop stronger linkages among global, national, and regional climate…","author":[{"dropping-particle":"","family":"Wells","given":"Mark L.","non-dropping-particle":"","parse-names":false,"suffix":""},{"dropping-particle":"","family":"Trainer","given":"Vera L.","non-dropping-particle":"","parse-names":false,"suffix":""},{"dropping-particle":"","family":"Smayda","given":"Theodore J.","non-dropping-particle":"","parse-names":false,"suffix":""},{"dropping-particle":"","family":"Karlson","given":"Bengt S.O.","non-dropping-particle":"","parse-names":false,"suffix":""},{"dropping-particle":"","family":"Trick","given":"Charles G.","non-dropping-particle":"","parse-names":false,"suffix":""},{"dropping-particle":"","family":"Kudela","given":"Raphael M.","non-dropping-particle":"","parse-names":false,"suffix":""},{"dropping-particle":"","family":"Ishikawa","given":"Akira","non-dropping-particle":"","parse-names":false,"suffix":""},{"dropping-particle":"","family":"Bernard","given":"Stewart","non-dropping-particle":"","parse-names":false,"suffix":""},{"dropping-particle":"","family":"Wulff","given":"Angela","non-dropping-particle":"","parse-names":false,"suffix":""},{"dropping-particle":"","family":"Anderson","given":"Donald M.","non-dropping-particle":"","parse-names":false,"suffix":""},{"dropping-particle":"","family":"Cochlan","given":"William P.","non-dropping-particle":"","parse-names":false,"suffix":""}],"container-title":"Harmful Algae","id":"ITEM-1","issued":{"date-parts":[["2015"]]},"page":"68-93","publisher":"Elsevier B.V.","title":"Harmful algal blooms and climate change: Learning from the past and present to forecast the future","type":"article-journal","volume":"49"},"uris":["http://www.mendeley.com/documents/?uuid=b8758593-39f4-4835-a26e-f9e2efb4f542"]}],"mendeley":{"formattedCitation":"(Wells et al., 2015)","plainTextFormattedCitation":"(Wells et al., 2015)","previouslyFormattedCitation":"(Wells et al., 2015)"},"properties":{"noteIndex":0},"schema":"https://github.com/citation-style-language/schema/raw/master/csl-citation.json"}</w:instrText>
      </w:r>
      <w:r w:rsidRPr="00250AD8">
        <w:rPr>
          <w:rFonts w:eastAsia="Times New Roman"/>
          <w:sz w:val="24"/>
          <w:szCs w:val="24"/>
        </w:rPr>
        <w:fldChar w:fldCharType="separate"/>
      </w:r>
      <w:r w:rsidRPr="00250AD8">
        <w:rPr>
          <w:rFonts w:eastAsia="Times New Roman"/>
          <w:noProof/>
          <w:sz w:val="24"/>
          <w:szCs w:val="24"/>
        </w:rPr>
        <w:t>(Wells et al., 2015)</w:t>
      </w:r>
      <w:r w:rsidRPr="00250AD8">
        <w:rPr>
          <w:rFonts w:eastAsia="Times New Roman"/>
          <w:sz w:val="24"/>
          <w:szCs w:val="24"/>
        </w:rPr>
        <w:fldChar w:fldCharType="end"/>
      </w:r>
      <w:r w:rsidRPr="00250AD8">
        <w:rPr>
          <w:rFonts w:eastAsia="Times New Roman"/>
          <w:sz w:val="24"/>
          <w:szCs w:val="24"/>
        </w:rPr>
        <w:t xml:space="preserve">. The occurrence of these events can produce toxic substances and taste and </w:t>
      </w:r>
      <w:proofErr w:type="spellStart"/>
      <w:r w:rsidRPr="00250AD8">
        <w:rPr>
          <w:rFonts w:eastAsia="Times New Roman"/>
          <w:sz w:val="24"/>
          <w:szCs w:val="24"/>
        </w:rPr>
        <w:t>odour</w:t>
      </w:r>
      <w:proofErr w:type="spellEnd"/>
      <w:r w:rsidRPr="00250AD8">
        <w:rPr>
          <w:rFonts w:eastAsia="Times New Roman"/>
          <w:sz w:val="24"/>
          <w:szCs w:val="24"/>
        </w:rPr>
        <w:t xml:space="preserve"> in the water </w:t>
      </w:r>
      <w:r w:rsidRPr="00250AD8">
        <w:rPr>
          <w:rFonts w:eastAsia="Times New Roman"/>
          <w:sz w:val="24"/>
          <w:szCs w:val="24"/>
        </w:rPr>
        <w:fldChar w:fldCharType="begin" w:fldLock="1"/>
      </w:r>
      <w:r w:rsidRPr="00250AD8">
        <w:rPr>
          <w:rFonts w:eastAsia="Times New Roman"/>
          <w:sz w:val="24"/>
          <w:szCs w:val="24"/>
        </w:rPr>
        <w:instrText>ADDIN CSL_CITATION {"citationItems":[{"id":"ITEM-1","itemData":{"DOI":"10.1029/2018WR022865","ISSN":"19447973","abstract":"Water resources planning and management by water utilities have traditionally been based on consideration of water availability. However, the reliability of public water supplies can also be influenced by the quality of water bodies. In this study, we proposed a framework that integrates the analysis of risks of inadequate water quality and risks of insufficient water availability. We have developed a coupled modeling system that combines hydrological modeling of river water quantity and quality, rules for water withdrawals from rivers into storage reservoirs, and dynamical simulation of harmful algal blooms in storage reservoirs. We use this framework to assess the impact of climate change, demand growth, and land-use change on the reliability of public water supplies. The proposed method is tested on the River Thames catchment in the south of England. The results show that alongside the well-known risks of rising water demand in the south of England and uncertain impacts of climate change, diffuse pollution from agriculture and effluent from upstream waste water treatment works potentially represent a threat to the reliability of public water supplies in London. We quantify the steps that could be taken to ameliorate these threats, though even a vigorous pollution-prevention strategy would not be sufficient to offset the projected effects of climate change on water quality and the reliability of public water supplies. The proposed method can help water utilities to recognize their system vulnerability and evaluate the potential solutions to achieve more reliable water supplies.","author":[{"dropping-particle":"","family":"Mortazavi-Naeini","given":"Mohammad","non-dropping-particle":"","parse-names":false,"suffix":""},{"dropping-particle":"","family":"Bussi","given":"Gianbattista","non-dropping-particle":"","parse-names":false,"suffix":""},{"dropping-particle":"","family":"Elliott","given":"J. Alex","non-dropping-particle":"","parse-names":false,"suffix":""},{"dropping-particle":"","family":"Hall","given":"Jim W.","non-dropping-particle":"","parse-names":false,"suffix":""},{"dropping-particle":"","family":"Whitehead","given":"Paul G.","non-dropping-particle":"","parse-names":false,"suffix":""}],"container-title":"Water Resources Research","id":"ITEM-1","issue":"12","issued":{"date-parts":[["2019"]]},"page":"10386-10404","title":"Assessment of Risks to Public Water Supply From Low Flows and Harmful Water Quality in a Changing Climate","type":"article-journal","volume":"55"},"uris":["http://www.mendeley.com/documents/?uuid=bf5c883d-372f-473b-9840-2eeb7382e3dd"]}],"mendeley":{"formattedCitation":"(Mortazavi-Naeini et al., 2019)","plainTextFormattedCitation":"(Mortazavi-Naeini et al., 2019)","previouslyFormattedCitation":"(Mortazavi-Naeini et al., 2019)"},"properties":{"noteIndex":0},"schema":"https://github.com/citation-style-language/schema/raw/master/csl-citation.json"}</w:instrText>
      </w:r>
      <w:r w:rsidRPr="00250AD8">
        <w:rPr>
          <w:rFonts w:eastAsia="Times New Roman"/>
          <w:sz w:val="24"/>
          <w:szCs w:val="24"/>
        </w:rPr>
        <w:fldChar w:fldCharType="separate"/>
      </w:r>
      <w:r w:rsidRPr="00250AD8">
        <w:rPr>
          <w:rFonts w:eastAsia="Times New Roman"/>
          <w:noProof/>
          <w:sz w:val="24"/>
          <w:szCs w:val="24"/>
        </w:rPr>
        <w:t>(Mortazavi-Naeini et al., 2019)</w:t>
      </w:r>
      <w:r w:rsidRPr="00250AD8">
        <w:rPr>
          <w:rFonts w:eastAsia="Times New Roman"/>
          <w:sz w:val="24"/>
          <w:szCs w:val="24"/>
        </w:rPr>
        <w:fldChar w:fldCharType="end"/>
      </w:r>
      <w:r w:rsidRPr="00250AD8">
        <w:rPr>
          <w:rFonts w:eastAsia="Times New Roman"/>
          <w:sz w:val="24"/>
          <w:szCs w:val="24"/>
        </w:rPr>
        <w:t xml:space="preserve">, in addition to making the treatment difficult and expensive. According to </w:t>
      </w:r>
      <w:r w:rsidRPr="00250AD8">
        <w:rPr>
          <w:rFonts w:eastAsia="Times New Roman"/>
          <w:sz w:val="24"/>
          <w:szCs w:val="24"/>
        </w:rPr>
        <w:fldChar w:fldCharType="begin" w:fldLock="1"/>
      </w:r>
      <w:r w:rsidRPr="00250AD8">
        <w:rPr>
          <w:rFonts w:eastAsia="Times New Roman"/>
          <w:sz w:val="24"/>
          <w:szCs w:val="24"/>
        </w:rPr>
        <w:instrText>ADDIN CSL_CITATION {"citationItems":[{"id":"ITEM-1","itemData":{"author":[{"dropping-particle":"","family":"Sperling","given":"Marcos","non-dropping-particle":"Von","parse-names":false,"suffix":""}],"id":"ITEM-1","issued":{"date-parts":[["2014"]]},"number-of-pages":"472","publisher":"UFMG","publisher-place":"Belo Horizonte, Brazil","title":"Introdução à qualidade das águas e ao tratamento de esgotos","type":"book"},"uris":["http://www.mendeley.com/documents/?uuid=444a52ee-487f-41ad-b2ea-a510a631f3fb"]}],"mendeley":{"formattedCitation":"(Von Sperling, 2014)","manualFormatting":"Von Sperling (2014)","plainTextFormattedCitation":"(Von Sperling, 2014)","previouslyFormattedCitation":"(Von Sperling, 2014)"},"properties":{"noteIndex":0},"schema":"https://github.com/citation-style-language/schema/raw/master/csl-citation.json"}</w:instrText>
      </w:r>
      <w:r w:rsidRPr="00250AD8">
        <w:rPr>
          <w:rFonts w:eastAsia="Times New Roman"/>
          <w:sz w:val="24"/>
          <w:szCs w:val="24"/>
        </w:rPr>
        <w:fldChar w:fldCharType="separate"/>
      </w:r>
      <w:r w:rsidRPr="00250AD8">
        <w:rPr>
          <w:rFonts w:eastAsia="Times New Roman"/>
          <w:noProof/>
          <w:sz w:val="24"/>
          <w:szCs w:val="24"/>
        </w:rPr>
        <w:t>Von Sperling (2014)</w:t>
      </w:r>
      <w:r w:rsidRPr="00250AD8">
        <w:rPr>
          <w:rFonts w:eastAsia="Times New Roman"/>
          <w:sz w:val="24"/>
          <w:szCs w:val="24"/>
        </w:rPr>
        <w:fldChar w:fldCharType="end"/>
      </w:r>
      <w:r w:rsidRPr="00250AD8">
        <w:rPr>
          <w:rFonts w:eastAsia="Times New Roman"/>
          <w:sz w:val="24"/>
          <w:szCs w:val="24"/>
        </w:rPr>
        <w:t xml:space="preserve">, changes in </w:t>
      </w:r>
      <w:r w:rsidRPr="00250AD8">
        <w:rPr>
          <w:rFonts w:eastAsia="Times New Roman"/>
          <w:sz w:val="24"/>
          <w:szCs w:val="24"/>
        </w:rPr>
        <w:lastRenderedPageBreak/>
        <w:t xml:space="preserve">taste and </w:t>
      </w:r>
      <w:proofErr w:type="spellStart"/>
      <w:r w:rsidRPr="00250AD8">
        <w:rPr>
          <w:rFonts w:eastAsia="Times New Roman"/>
          <w:sz w:val="24"/>
          <w:szCs w:val="24"/>
        </w:rPr>
        <w:t>odour</w:t>
      </w:r>
      <w:proofErr w:type="spellEnd"/>
      <w:r w:rsidRPr="00250AD8">
        <w:rPr>
          <w:rFonts w:eastAsia="Times New Roman"/>
          <w:sz w:val="24"/>
          <w:szCs w:val="24"/>
        </w:rPr>
        <w:t xml:space="preserve"> in water are the leading cause of consumer complaints, who, when questioned about its reliability, may seek alternative sources of greater health risk.</w:t>
      </w:r>
    </w:p>
    <w:p w14:paraId="72D93AAE" w14:textId="77777777" w:rsidR="00250AD8" w:rsidRPr="00250AD8" w:rsidRDefault="00250AD8" w:rsidP="00250AD8">
      <w:pPr>
        <w:ind w:firstLine="540"/>
        <w:rPr>
          <w:rFonts w:eastAsia="Times New Roman"/>
          <w:sz w:val="24"/>
          <w:szCs w:val="24"/>
        </w:rPr>
      </w:pPr>
      <w:r w:rsidRPr="00250AD8">
        <w:rPr>
          <w:rFonts w:eastAsia="Times New Roman"/>
          <w:sz w:val="24"/>
          <w:szCs w:val="24"/>
        </w:rPr>
        <w:t xml:space="preserve">As the efficiency of the treatment process is strongly dependent on the quality of raw water, the degradation of the water quality can increase the need for chemical or energy inputs or, even, it can lead to failures in the treatment process, requiring additional treatment </w:t>
      </w:r>
      <w:r w:rsidRPr="00250AD8">
        <w:rPr>
          <w:rFonts w:eastAsia="Times New Roman"/>
          <w:sz w:val="24"/>
          <w:szCs w:val="24"/>
        </w:rPr>
        <w:fldChar w:fldCharType="begin" w:fldLock="1"/>
      </w:r>
      <w:r w:rsidRPr="00250AD8">
        <w:rPr>
          <w:rFonts w:eastAsia="Times New Roman"/>
          <w:sz w:val="24"/>
          <w:szCs w:val="24"/>
        </w:rPr>
        <w:instrText>ADDIN CSL_CITATION {"citationItems":[{"id":"ITEM-1","itemData":{"DOI":"10.1111/j.1747-6593.2009.00194.x","ISSN":"17476585","abstract":"A simplified climate change impact assessment tool (SCIAT) has been developed to address the specific needs of the water industry and provides a tool to translate climate change projections into 'real world' impacts. Its application is demonstrated in this study to assess the impacts of climate change on the reservoir water quality and water treatment plant (WTP) operations at Grafham Water in the east of England. The primary aim is to provide WTP operators with knowledge of the potential impacts and associated probabilities of occurrence of climate change, enabling them to make informed, risk-based adaptation and planning decisions. Using a series of coupled hydrological and water-quality models, it is likely that there will be a decline in average reservoir water quality. Climate change will also have an impact on WTP operations, but these will be manageable within the current operational parameters. © 2009 The Authors. Water and Environment Journal © 2009 CIWEM.","author":[{"dropping-particle":"","family":"Thorne","given":"O.","non-dropping-particle":"","parse-names":false,"suffix":""},{"dropping-particle":"","family":"Fenner","given":"R. A.","non-dropping-particle":"","parse-names":false,"suffix":""}],"container-title":"Water and Environment Journal","id":"ITEM-1","issue":"1","issued":{"date-parts":[["2011"]]},"page":"74-87","title":"The impact of climate change on reservoir water quality and water treatment plant operations: A UK case study","type":"article-journal","volume":"25"},"uris":["http://www.mendeley.com/documents/?uuid=c2f414e5-ecd2-417e-8874-311d8fc3baba"]}],"mendeley":{"formattedCitation":"(Thorne &amp; Fenner, 2011)","plainTextFormattedCitation":"(Thorne &amp; Fenner, 2011)","previouslyFormattedCitation":"(Thorne &amp; Fenner, 2011)"},"properties":{"noteIndex":0},"schema":"https://github.com/citation-style-language/schema/raw/master/csl-citation.json"}</w:instrText>
      </w:r>
      <w:r w:rsidRPr="00250AD8">
        <w:rPr>
          <w:rFonts w:eastAsia="Times New Roman"/>
          <w:sz w:val="24"/>
          <w:szCs w:val="24"/>
        </w:rPr>
        <w:fldChar w:fldCharType="separate"/>
      </w:r>
      <w:r w:rsidRPr="00250AD8">
        <w:rPr>
          <w:rFonts w:eastAsia="Times New Roman"/>
          <w:noProof/>
          <w:sz w:val="24"/>
          <w:szCs w:val="24"/>
        </w:rPr>
        <w:t>(Thorne &amp; Fenner, 2011)</w:t>
      </w:r>
      <w:r w:rsidRPr="00250AD8">
        <w:rPr>
          <w:rFonts w:eastAsia="Times New Roman"/>
          <w:sz w:val="24"/>
          <w:szCs w:val="24"/>
        </w:rPr>
        <w:fldChar w:fldCharType="end"/>
      </w:r>
      <w:r w:rsidRPr="00250AD8">
        <w:rPr>
          <w:rFonts w:eastAsia="Times New Roman"/>
          <w:sz w:val="24"/>
          <w:szCs w:val="24"/>
        </w:rPr>
        <w:t xml:space="preserve">. The high input of solids due to algal blooms or increased turbidity during the rainy season can cause partial shutdowns for maintenance due to operational difficulties in treating raw water </w:t>
      </w:r>
      <w:r w:rsidRPr="00250AD8">
        <w:rPr>
          <w:rFonts w:eastAsia="Times New Roman"/>
          <w:sz w:val="24"/>
          <w:szCs w:val="24"/>
        </w:rPr>
        <w:fldChar w:fldCharType="begin" w:fldLock="1"/>
      </w:r>
      <w:r w:rsidRPr="00250AD8">
        <w:rPr>
          <w:rFonts w:eastAsia="Times New Roman"/>
          <w:sz w:val="24"/>
          <w:szCs w:val="24"/>
        </w:rPr>
        <w:instrText>ADDIN CSL_CITATION {"citationItems":[{"id":"ITEM-1","itemData":{"DOI":"10.1111/j.1747-6593.2009.00194.x","ISSN":"17476585","abstract":"A simplified climate change impact assessment tool (SCIAT) has been developed to address the specific needs of the water industry and provides a tool to translate climate change projections into 'real world' impacts. Its application is demonstrated in this study to assess the impacts of climate change on the reservoir water quality and water treatment plant (WTP) operations at Grafham Water in the east of England. The primary aim is to provide WTP operators with knowledge of the potential impacts and associated probabilities of occurrence of climate change, enabling them to make informed, risk-based adaptation and planning decisions. Using a series of coupled hydrological and water-quality models, it is likely that there will be a decline in average reservoir water quality. Climate change will also have an impact on WTP operations, but these will be manageable within the current operational parameters. © 2009 The Authors. Water and Environment Journal © 2009 CIWEM.","author":[{"dropping-particle":"","family":"Thorne","given":"O.","non-dropping-particle":"","parse-names":false,"suffix":""},{"dropping-particle":"","family":"Fenner","given":"R. A.","non-dropping-particle":"","parse-names":false,"suffix":""}],"container-title":"Water and Environment Journal","id":"ITEM-1","issue":"1","issued":{"date-parts":[["2011"]]},"page":"74-87","title":"The impact of climate change on reservoir water quality and water treatment plant operations: A UK case study","type":"article-journal","volume":"25"},"uris":["http://www.mendeley.com/documents/?uuid=c2f414e5-ecd2-417e-8874-311d8fc3baba"]},{"id":"ITEM-2","itemData":{"DOI":"10.1029/2018WR022865","ISSN":"19447973","abstract":"Water resources planning and management by water utilities have traditionally been based on consideration of water availability. However, the reliability of public water supplies can also be influenced by the quality of water bodies. In this study, we proposed a framework that integrates the analysis of risks of inadequate water quality and risks of insufficient water availability. We have developed a coupled modeling system that combines hydrological modeling of river water quantity and quality, rules for water withdrawals from rivers into storage reservoirs, and dynamical simulation of harmful algal blooms in storage reservoirs. We use this framework to assess the impact of climate change, demand growth, and land-use change on the reliability of public water supplies. The proposed method is tested on the River Thames catchment in the south of England. The results show that alongside the well-known risks of rising water demand in the south of England and uncertain impacts of climate change, diffuse pollution from agriculture and effluent from upstream waste water treatment works potentially represent a threat to the reliability of public water supplies in London. We quantify the steps that could be taken to ameliorate these threats, though even a vigorous pollution-prevention strategy would not be sufficient to offset the projected effects of climate change on water quality and the reliability of public water supplies. The proposed method can help water utilities to recognize their system vulnerability and evaluate the potential solutions to achieve more reliable water supplies.","author":[{"dropping-particle":"","family":"Mortazavi-Naeini","given":"Mohammad","non-dropping-particle":"","parse-names":false,"suffix":""},{"dropping-particle":"","family":"Bussi","given":"Gianbattista","non-dropping-particle":"","parse-names":false,"suffix":""},{"dropping-particle":"","family":"Elliott","given":"J. Alex","non-dropping-particle":"","parse-names":false,"suffix":""},{"dropping-particle":"","family":"Hall","given":"Jim W.","non-dropping-particle":"","parse-names":false,"suffix":""},{"dropping-particle":"","family":"Whitehead","given":"Paul G.","non-dropping-particle":"","parse-names":false,"suffix":""}],"container-title":"Water Resources Research","id":"ITEM-2","issue":"12","issued":{"date-parts":[["2019"]]},"page":"10386-10404","title":"Assessment of Risks to Public Water Supply From Low Flows and Harmful Water Quality in a Changing Climate","type":"article-journal","volume":"55"},"uris":["http://www.mendeley.com/documents/?uuid=bf5c883d-372f-473b-9840-2eeb7382e3dd"]},{"id":"ITEM-3","itemData":{"DOI":"10.1016/j.scitotenv.2020.137487","ISSN":"18791026","PMID":"32143098","abstract":"Water companies are responsible for supplying water to customers 24 h per day. However, due to extreme natural events and/or anthropogenic actions, water companies suffer from unplanned water supply interruptions, which directly impact customers and incur expenses by the companies. In this study, for the first time, we estimated the shadow price (or implicit cost) of unplanned water supply interruptions using stochastic frontier techniques for a sample of 21 Chilean water companies over the period of 2007–2017. The results indicate that, on average, the Chilean water company needed to spend an extra 2.547€ in operating expenditures to avoid 1 h of interruption. Average shadow price of unplanned water supply interruptions was higher for concessionary and full private companies than public ones. These findings demonstrate that the regulatory agency may need to promote effective policies and incentives to ensure and improve the continuity of the water supply. This is very relevant to the Chilean water industry, where there is an ongoing policy debate regarding the use of penalties and compensations as an incentive to avoid unplanned water supply interruptions.","author":[{"dropping-particle":"","family":"Maziotis","given":"Alexandros","non-dropping-particle":"","parse-names":false,"suffix":""},{"dropping-particle":"","family":"Villegas","given":"Andres","non-dropping-particle":"","parse-names":false,"suffix":""},{"dropping-particle":"","family":"Molinos-Senante","given":"María","non-dropping-particle":"","parse-names":false,"suffix":""}],"container-title":"Science of the Total Environment","id":"ITEM-3","issued":{"date-parts":[["2020"]]},"page":"137487","publisher":"Elsevier B.V.","title":"The cost of reducing unplanned water supply interruptions: A parametric shadow price approach","type":"article-journal","volume":"719"},"uris":["http://www.mendeley.com/documents/?uuid=c5a562c8-abef-45ca-ad7c-caebaa85e192"]}],"mendeley":{"formattedCitation":"(Maziotis et al., 2020; Mortazavi-Naeini et al., 2019; Thorne &amp; Fenner, 2011)","plainTextFormattedCitation":"(Maziotis et al., 2020; Mortazavi-Naeini et al., 2019; Thorne &amp; Fenner, 2011)","previouslyFormattedCitation":"(Maziotis et al., 2020; Mortazavi-Naeini et al., 2019; Thorne &amp; Fenner, 2011)"},"properties":{"noteIndex":0},"schema":"https://github.com/citation-style-language/schema/raw/master/csl-citation.json"}</w:instrText>
      </w:r>
      <w:r w:rsidRPr="00250AD8">
        <w:rPr>
          <w:rFonts w:eastAsia="Times New Roman"/>
          <w:sz w:val="24"/>
          <w:szCs w:val="24"/>
        </w:rPr>
        <w:fldChar w:fldCharType="separate"/>
      </w:r>
      <w:r w:rsidRPr="00250AD8">
        <w:rPr>
          <w:rFonts w:eastAsia="Times New Roman"/>
          <w:noProof/>
          <w:sz w:val="24"/>
          <w:szCs w:val="24"/>
        </w:rPr>
        <w:t>(Maziotis et al., 2020; Mortazavi-Naeini et al., 2019; Thorne &amp; Fenner, 2011)</w:t>
      </w:r>
      <w:r w:rsidRPr="00250AD8">
        <w:rPr>
          <w:rFonts w:eastAsia="Times New Roman"/>
          <w:sz w:val="24"/>
          <w:szCs w:val="24"/>
        </w:rPr>
        <w:fldChar w:fldCharType="end"/>
      </w:r>
      <w:r w:rsidRPr="00250AD8">
        <w:rPr>
          <w:rFonts w:eastAsia="Times New Roman"/>
          <w:sz w:val="24"/>
          <w:szCs w:val="24"/>
        </w:rPr>
        <w:t xml:space="preserve">. Water treatment process failures can undermine consumer confidence in the safety and reliability of the water supply </w:t>
      </w:r>
      <w:r w:rsidRPr="00250AD8">
        <w:rPr>
          <w:rFonts w:eastAsia="Times New Roman"/>
          <w:sz w:val="24"/>
          <w:szCs w:val="24"/>
        </w:rPr>
        <w:fldChar w:fldCharType="begin" w:fldLock="1"/>
      </w:r>
      <w:r w:rsidRPr="00250AD8">
        <w:rPr>
          <w:rFonts w:eastAsia="Times New Roman"/>
          <w:sz w:val="24"/>
          <w:szCs w:val="24"/>
        </w:rPr>
        <w:instrText>ADDIN CSL_CITATION {"citationItems":[{"id":"ITEM-1","itemData":{"DOI":"10.1039/c6ew00121a","ISSN":"20531419","abstract":"Water treatment plants (WTPs) are tasked with providing safe potable water to consumers. However, WTPs face numerous potential obstacles, including changes in source water quality and quantity, financial burdens related to operations and upgrades, and stringent water quality regulations. Moreover, these challenges may be exacerbated by climate change in the form of long-term climatic perturbations and the increasing frequency and intensity of extreme weather events. To help WTPs overcome these issues, decision support systems (DSSs), which are used to aid and enhance the quality and consistency of decision-making, have been developed. This paper reviews the scientific literature on the development and application of DSSs for water treatment, including physically-based models, statistical models, and artificial intelligence techniques, and suggests future directions in the field. We first set the context of how water quality is impacted by climate change and extreme weather events. We then provide a comprehensive review of DSSs and conclude by offering a series of recommendations for future DSS efforts for WTPs, suggesting that these tools should (1) more accurately reflect the practical needs of WTPs, (2) represent the tradeoffs between the multiple competing objectives inherent to water treatment, (3) explicitly handle uncertainty to better inform decision makers, (4) incorporate nonstationarity, especially with regard to extreme weather events and climate change for long-term planning, and (5) use standardized terminology to accelerate the dissemination of knowledge in the field.","author":[{"dropping-particle":"","family":"Raseman","given":"William J.","non-dropping-particle":"","parse-names":false,"suffix":""},{"dropping-particle":"","family":"Kasprzyk","given":"Joseph R.","non-dropping-particle":"","parse-names":false,"suffix":""},{"dropping-particle":"","family":"Rosario-Ortiz","given":"Fernando L.","non-dropping-particle":"","parse-names":false,"suffix":""},{"dropping-particle":"","family":"Stewart","given":"Jenna R.","non-dropping-particle":"","parse-names":false,"suffix":""},{"dropping-particle":"","family":"Livneh","given":"Ben","non-dropping-particle":"","parse-names":false,"suffix":""}],"container-title":"Environmental Science: Water Research and Technology","id":"ITEM-1","issue":"1","issued":{"date-parts":[["2017"]]},"page":"18-36","title":"Emerging investigators series: A critical review of decision support systems for water treatment: Making the case for incorporating climate change and climate extremes","type":"article-journal","volume":"3"},"uris":["http://www.mendeley.com/documents/?uuid=ec39086d-179a-4e0b-bbf4-467af0204b91"]}],"mendeley":{"formattedCitation":"(Raseman et al., 2017)","plainTextFormattedCitation":"(Raseman et al., 2017)","previouslyFormattedCitation":"(Raseman et al., 2017)"},"properties":{"noteIndex":0},"schema":"https://github.com/citation-style-language/schema/raw/master/csl-citation.json"}</w:instrText>
      </w:r>
      <w:r w:rsidRPr="00250AD8">
        <w:rPr>
          <w:rFonts w:eastAsia="Times New Roman"/>
          <w:sz w:val="24"/>
          <w:szCs w:val="24"/>
        </w:rPr>
        <w:fldChar w:fldCharType="separate"/>
      </w:r>
      <w:r w:rsidRPr="00250AD8">
        <w:rPr>
          <w:rFonts w:eastAsia="Times New Roman"/>
          <w:noProof/>
          <w:sz w:val="24"/>
          <w:szCs w:val="24"/>
        </w:rPr>
        <w:t>(Raseman et al., 2017)</w:t>
      </w:r>
      <w:r w:rsidRPr="00250AD8">
        <w:rPr>
          <w:rFonts w:eastAsia="Times New Roman"/>
          <w:sz w:val="24"/>
          <w:szCs w:val="24"/>
        </w:rPr>
        <w:fldChar w:fldCharType="end"/>
      </w:r>
      <w:r w:rsidRPr="00250AD8">
        <w:rPr>
          <w:rFonts w:eastAsia="Times New Roman"/>
          <w:sz w:val="24"/>
          <w:szCs w:val="24"/>
        </w:rPr>
        <w:t>, in addition to generating economic losses to supply companies due to increased costs of treating raw water.</w:t>
      </w:r>
    </w:p>
    <w:p w14:paraId="039F70FC" w14:textId="242C9336" w:rsidR="006A051A" w:rsidRDefault="006A051A" w:rsidP="006A051A">
      <w:pPr>
        <w:pStyle w:val="Heading-Secondary"/>
      </w:pPr>
      <w:r>
        <w:t>2.</w:t>
      </w:r>
      <w:r>
        <w:t>2</w:t>
      </w:r>
      <w:r>
        <w:t xml:space="preserve"> </w:t>
      </w:r>
      <w:r w:rsidR="00E81A9B" w:rsidRPr="00E81A9B">
        <w:t>Socioeconomic drivers impacting water supply</w:t>
      </w:r>
    </w:p>
    <w:p w14:paraId="2BFF2986" w14:textId="77777777" w:rsidR="009F7DE7" w:rsidRPr="009F7DE7" w:rsidRDefault="009F7DE7" w:rsidP="009F7DE7">
      <w:pPr>
        <w:ind w:firstLine="566"/>
        <w:rPr>
          <w:rFonts w:eastAsia="Times New Roman"/>
          <w:sz w:val="24"/>
          <w:szCs w:val="24"/>
        </w:rPr>
      </w:pPr>
      <w:r w:rsidRPr="009F7DE7">
        <w:rPr>
          <w:rFonts w:eastAsia="Times New Roman"/>
          <w:sz w:val="24"/>
          <w:szCs w:val="24"/>
        </w:rPr>
        <w:t xml:space="preserve">Inevitably, global water demand is growing at a rate of 1% per year, and it will continue to do so in the coming decades </w:t>
      </w:r>
      <w:r w:rsidRPr="009F7DE7">
        <w:rPr>
          <w:rFonts w:eastAsia="Times New Roman"/>
          <w:sz w:val="24"/>
          <w:szCs w:val="24"/>
        </w:rPr>
        <w:fldChar w:fldCharType="begin" w:fldLock="1"/>
      </w:r>
      <w:r w:rsidRPr="009F7DE7">
        <w:rPr>
          <w:rFonts w:eastAsia="Times New Roman"/>
          <w:sz w:val="24"/>
          <w:szCs w:val="24"/>
        </w:rPr>
        <w:instrText>ADDIN CSL_CITATION {"citationItems":[{"id":"ITEM-1","itemData":{"ISBN":"9789231002649","abstract":"Prologue: The state of water resources in the context of nature-based solutions -- Nature-based solutions (NBS) and water -- NBS for managing water availability -- NBS for managing water quality -- NBS for managing water-related risks, variability and change -- National and regional experiences with implementation -- Enabling accelerated uptake of NBS -- Realizing the potential of NBS for water and sustainable development.","author":[{"dropping-particle":"","family":"WWAP","given":"","non-dropping-particle":"","parse-names":false,"suffix":""}],"container-title":"Unesco","id":"ITEM-1","issued":{"date-parts":[["2018"]]},"number-of-pages":"1-139","title":"The United Nations world water development report 2018: Nature-Based Solutions for Water","type":"report"},"uris":["http://www.mendeley.com/documents/?uuid=5b921a6b-69f2-4896-9d01-f53a2ba3d08c"]}],"mendeley":{"formattedCitation":"(WWAP, 2018)","plainTextFormattedCitation":"(WWAP, 2018)","previouslyFormattedCitation":"(WWAP, 2018)"},"properties":{"noteIndex":0},"schema":"https://github.com/citation-style-language/schema/raw/master/csl-citation.json"}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(WWAP, 2018)</w:t>
      </w:r>
      <w:r w:rsidRPr="009F7DE7">
        <w:rPr>
          <w:rFonts w:eastAsia="Times New Roman"/>
          <w:sz w:val="24"/>
          <w:szCs w:val="24"/>
        </w:rPr>
        <w:fldChar w:fldCharType="end"/>
      </w:r>
      <w:r w:rsidRPr="009F7DE7">
        <w:rPr>
          <w:rFonts w:eastAsia="Times New Roman"/>
          <w:sz w:val="24"/>
          <w:szCs w:val="24"/>
        </w:rPr>
        <w:t xml:space="preserve">. The world population of 7.43 billion people had an annual water demand for all users of 4,600 km³ in 2016, and population growth will increase this figure by 20% to 30% in 2050, reaching an annual demand of 5,500 to 6,000 km³ </w:t>
      </w:r>
      <w:r w:rsidRPr="009F7DE7">
        <w:rPr>
          <w:rFonts w:eastAsia="Times New Roman"/>
          <w:sz w:val="24"/>
          <w:szCs w:val="24"/>
        </w:rPr>
        <w:fldChar w:fldCharType="begin" w:fldLock="1"/>
      </w:r>
      <w:r w:rsidRPr="009F7DE7">
        <w:rPr>
          <w:rFonts w:eastAsia="Times New Roman"/>
          <w:sz w:val="24"/>
          <w:szCs w:val="24"/>
        </w:rPr>
        <w:instrText>ADDIN CSL_CITATION {"citationItems":[{"id":"ITEM-1","itemData":{"abstract":"The Water Futures and Solutions Initiative (WFaS) is a cross-sector, collaborative global water project. Its objective is to apply systems analysis, develop scientific evidence and identify water-related policies and management practices, working together consistently across scales and sectors to improve human well-being through water security. The approach is a stakeholder-informed, scenario- based assessment of water resources and water demand that employs ensembles of state-of-the-art socio-economic and hydrological models, examines possible futures and tests the feasibility, sustainability and robustness of options that can be implemented today and can be sustainable and robust across a range of possible futures and associated uncertainties. This report aims at assessing the global current and future water situation.","author":[{"dropping-particle":"","family":"Burek","given":"P.","non-dropping-particle":"","parse-names":false,"suffix":""},{"dropping-particle":"","family":"Satoh","given":"Y.","non-dropping-particle":"","parse-names":false,"suffix":""},{"dropping-particle":"","family":"Fischer","given":"G.","non-dropping-particle":"","parse-names":false,"suffix":""},{"dropping-particle":"","family":"Kahil","given":"M. T.","non-dropping-particle":"","parse-names":false,"suffix":""},{"dropping-particle":"","family":"Scherzer","given":"A.","non-dropping-particle":"","parse-names":false,"suffix":""},{"dropping-particle":"","family":"Tramberend","given":"S.","non-dropping-particle":"","parse-names":false,"suffix":""},{"dropping-particle":"","family":"Nava","given":"L. F.","non-dropping-particle":"","parse-names":false,"suffix":""},{"dropping-particle":"","family":"Wada","given":"Y.","non-dropping-particle":"","parse-names":false,"suffix":""},{"dropping-particle":"","family":"Eisner","given":"S.","non-dropping-particle":"","parse-names":false,"suffix":""},{"dropping-particle":"","family":"Flörke","given":"M.","non-dropping-particle":"","parse-names":false,"suffix":""},{"dropping-particle":"","family":"Hanasaki","given":"N.","non-dropping-particle":"","parse-names":false,"suffix":""},{"dropping-particle":"","family":"Magnuszewski","given":"P.","non-dropping-particle":"","parse-names":false,"suffix":""},{"dropping-particle":"","family":"Cosgrove","given":"B.","non-dropping-particle":"","parse-names":false,"suffix":""},{"dropping-particle":"","family":"Wiberg","given":"D.","non-dropping-particle":"","parse-names":false,"suffix":""}],"container-title":"International Institute for Applied Systems Analysi","id":"ITEM-1","issue":"May","issued":{"date-parts":[["2016"]]},"number-of-pages":"1-113","title":"Water Futures and Solution","type":"report"},"uris":["http://www.mendeley.com/documents/?uuid=04e27beb-b5a3-48ae-97c7-2b631c557919"]}],"mendeley":{"formattedCitation":"(Burek et al., 2016)","plainTextFormattedCitation":"(Burek et al., 2016)","previouslyFormattedCitation":"(Burek et al., 2016)"},"properties":{"noteIndex":0},"schema":"https://github.com/citation-style-language/schema/raw/master/csl-citation.json"}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(Burek et al., 2016)</w:t>
      </w:r>
      <w:r w:rsidRPr="009F7DE7">
        <w:rPr>
          <w:rFonts w:eastAsia="Times New Roman"/>
          <w:sz w:val="24"/>
          <w:szCs w:val="24"/>
        </w:rPr>
        <w:fldChar w:fldCharType="end"/>
      </w:r>
      <w:r w:rsidRPr="009F7DE7">
        <w:rPr>
          <w:rFonts w:eastAsia="Times New Roman"/>
          <w:sz w:val="24"/>
          <w:szCs w:val="24"/>
        </w:rPr>
        <w:t xml:space="preserve">. The river basin’s water management challenges exceed their limit as well, contributing to clear inconsistencies between supply and demand due to climatic changes </w:t>
      </w:r>
      <w:r w:rsidRPr="009F7DE7">
        <w:rPr>
          <w:rFonts w:eastAsia="Times New Roman"/>
          <w:sz w:val="24"/>
          <w:szCs w:val="24"/>
        </w:rPr>
        <w:fldChar w:fldCharType="begin" w:fldLock="1"/>
      </w:r>
      <w:r w:rsidRPr="009F7DE7">
        <w:rPr>
          <w:rFonts w:eastAsia="Times New Roman"/>
          <w:sz w:val="24"/>
          <w:szCs w:val="24"/>
        </w:rPr>
        <w:instrText>ADDIN CSL_CITATION {"citationItems":[{"id":"ITEM-1","itemData":{"DOI":"10.1016/j.eiar.2020.106515","ISSN":"01959255","abstract":"In the current era, water is a significant resource for socio-economic growth and the protection of healthy environments. Properly controlled water resources are considered a vital part of development, which reduces poverty and equity. Conventional Water system Management maximizes the existing water flows available to satisfy all competing demands, including on-site water and groundwater. Therefore, Climatic change would intensify the specific challenges in water resource management by contributing to uncertainty. Sustainable water resources management is an essential process for ensuring the earth's life and the future. Nonlinear effects, stochastic dynamics, and hydraulic constraints are challenging in ecological planning for sustainable water development. In this paper, Adaptive Intelligent Dynamic Water Resource Planning (AIDWRP) has been proposed to sustain the urban areas' water environment. Here, an adaptive intelligent approach is a subset of the Artificial Intelligence (AI) technique in which environmental planning for sustainable water development has been modeled effectively. Artificial intelligence modeling improves water efficiency by transforming information into a leaner process, improving decision-making based on data-driven by combining numeric AI tools and human intellectual skills. In AIDWRP, Markov Decision Process (MDP) discusses the dynamic water resource management issue with annual use and released locational constraints that develop sensitivity-driven methods to optimize several efficient environmental planning and management policies. Consequently, there is a specific relief from the engagement of supply and demand for water resources, and substantial improvements in local economic efficiency have been simulated with numerical outcomes.","author":[{"dropping-particle":"","family":"Xiang","given":"Xiaojun","non-dropping-particle":"","parse-names":false,"suffix":""},{"dropping-particle":"","family":"Li","given":"Qiong","non-dropping-particle":"","parse-names":false,"suffix":""},{"dropping-particle":"","family":"Khan","given":"Shahnawaz","non-dropping-particle":"","parse-names":false,"suffix":""},{"dropping-particle":"","family":"Khalaf","given":"Osamah Ibrahim","non-dropping-particle":"","parse-names":false,"suffix":""}],"container-title":"Environmental Impact Assessment Review","id":"ITEM-1","issue":"September 2020","issued":{"date-parts":[["2021"]]},"page":"106515","publisher":"Elsevier Inc.","title":"Urban water resource management for sustainable environment planning using artificial intelligence techniques","type":"article-journal","volume":"86"},"uris":["http://www.mendeley.com/documents/?uuid=6afc756c-1d72-4dcd-b877-b57ab3479025"]}],"mendeley":{"formattedCitation":"(Xiang et al., 2021)","plainTextFormattedCitation":"(Xiang et al., 2021)","previouslyFormattedCitation":"(Xiang et al., 2021)"},"properties":{"noteIndex":0},"schema":"https://github.com/citation-style-language/schema/raw/master/csl-citation.json"}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(Xiang et al., 2021)</w:t>
      </w:r>
      <w:r w:rsidRPr="009F7DE7">
        <w:rPr>
          <w:rFonts w:eastAsia="Times New Roman"/>
          <w:sz w:val="24"/>
          <w:szCs w:val="24"/>
        </w:rPr>
        <w:fldChar w:fldCharType="end"/>
      </w:r>
      <w:r w:rsidRPr="009F7DE7">
        <w:rPr>
          <w:rFonts w:eastAsia="Times New Roman"/>
          <w:sz w:val="24"/>
          <w:szCs w:val="24"/>
        </w:rPr>
        <w:t>.</w:t>
      </w:r>
    </w:p>
    <w:p w14:paraId="76E8CB20" w14:textId="77777777" w:rsidR="009F7DE7" w:rsidRPr="009F7DE7" w:rsidRDefault="009F7DE7" w:rsidP="009F7DE7">
      <w:pPr>
        <w:ind w:firstLine="566"/>
        <w:rPr>
          <w:rFonts w:eastAsia="Times New Roman"/>
          <w:sz w:val="24"/>
          <w:szCs w:val="24"/>
        </w:rPr>
      </w:pPr>
      <w:r w:rsidRPr="009F7DE7">
        <w:rPr>
          <w:rFonts w:eastAsia="Times New Roman"/>
          <w:sz w:val="24"/>
          <w:szCs w:val="24"/>
        </w:rPr>
        <w:t xml:space="preserve">With the growing concern for global water, energy and food security, a detailed exploration of the interconnections between them has gotten a lot of attention in recent years </w:t>
      </w:r>
      <w:r w:rsidRPr="009F7DE7">
        <w:rPr>
          <w:rFonts w:eastAsia="Times New Roman"/>
          <w:sz w:val="24"/>
          <w:szCs w:val="24"/>
        </w:rPr>
        <w:fldChar w:fldCharType="begin" w:fldLock="1"/>
      </w:r>
      <w:r w:rsidRPr="009F7DE7">
        <w:rPr>
          <w:rFonts w:eastAsia="Times New Roman"/>
          <w:sz w:val="24"/>
          <w:szCs w:val="24"/>
        </w:rPr>
        <w:instrText>ADDIN CSL_CITATION {"citationItems":[{"id":"ITEM-1","itemData":{"DOI":"10.1016/j.apenergy.2017.08.243","ISSN":"03062619","abstract":"Over the past decade, analyzing issues within the ‘water-energy nexus’ has become a topic of increasing attention for the scientific and policy communities. Based on an extensive survey of recent scientific literature on the water-energy nexus, 70 studies were identified and 35 were selected as comprehensive case studies for review. The reviewed studies were classified and assessed according to groupings based on both geographic scale and their ‘nexus scope’. In addition to providing a depository summary of a wide range of current existing methods and tools for water-energy nexus analysis, the paper discusses these approaches based on their main purposes. From this review, it is clear that the research on water-energy nexus has seen a significant increase in both the number of studies and the capacity of the scientific community to productively assess water and energy interlinkages at a higher resolution. At the same time, this review has also concluded that, while many studies aim to develop new methods and frameworks to comprehensively assess interactions between water, energy and other elements, none can or do provide a singular framework for performing a “nexus study”. Furthermore, many researches are at the “understanding” stage with an emphasis on the quantitative analysis of the water-energy nexus. Fewer approaches are designed to support governance and implementation of technical solutions, and this is considered to a priority challenge area for the scientific community if it aims to achieve greater impact on resource policy and management. There is a clear need to improve our ability to classify and compare the capacities, strengths and weaknesses between existing approaches. This would better enable a wider group of stakeholders to utilize existing knowledge to improve their effective management of water and energy resources. It could also help focus the scientific community to more effectively improve upon the existing knowledge base and to increase focus on “governing” and “implementing” the nexus.","author":[{"dropping-particle":"","family":"Dai","given":"Jiangyu","non-dropping-particle":"","parse-names":false,"suffix":""},{"dropping-particle":"","family":"Wu","given":"Shiqiang","non-dropping-particle":"","parse-names":false,"suffix":""},{"dropping-particle":"","family":"Han","given":"Guoyi","non-dropping-particle":"","parse-names":false,"suffix":""},{"dropping-particle":"","family":"Weinberg","given":"Josh","non-dropping-particle":"","parse-names":false,"suffix":""},{"dropping-particle":"","family":"Xie","given":"Xinghua","non-dropping-particle":"","parse-names":false,"suffix":""},{"dropping-particle":"","family":"Wu","given":"Xiufeng","non-dropping-particle":"","parse-names":false,"suffix":""},{"dropping-particle":"","family":"Song","given":"Xingqiang","non-dropping-particle":"","parse-names":false,"suffix":""},{"dropping-particle":"","family":"Jia","given":"Benyou","non-dropping-particle":"","parse-names":false,"suffix":""},{"dropping-particle":"","family":"Xue","given":"Wanyun","non-dropping-particle":"","parse-names":false,"suffix":""},{"dropping-particle":"","family":"Yang","given":"Qianqian","non-dropping-particle":"","parse-names":false,"suffix":""}],"container-title":"Applied Energy","id":"ITEM-1","issue":"August 2017","issued":{"date-parts":[["2018"]]},"page":"393-408","publisher":"Elsevier","title":"Water-energy nexus: A review of methods and tools for macro-assessment","type":"article-journal","volume":"210"},"uris":["http://www.mendeley.com/documents/?uuid=79e6a3fc-a4de-496a-9b08-2d55f0b85517"]},{"id":"ITEM-2","itemData":{"DOI":"10.1016/j.apenergy.2017.08.002","ISSN":"03062619","abstract":"The importance of the interdependence between water and energy, also known as the water-energy nexus, is well recognized. The water-energy nexus is typically characterized in resource use efficiency terms such as energy intensity. This study aims to explore the quantitative results of the nexus in terms of energy intensity and environmental impacts (mainly greenhouse gas emissions) on existing water systems within urban water cycles. We also characterized the influence of water risks on the water-energy nexus, including baseline water stress (a water quantity indicator) and return flow ratio (a water quality indicator). For the 20 regions and 4 countries surveyed (including regions with low to extremely high water risks that are geographically located in Africa, Australia, Asia, Europe, and North America), their energy intensities were positively related to the water risks. Regions with higher water risks were observed to have relatively higher energy and GHG intensities associated with their water supply systems. This mainly reflected the major influence of source water accessibility on the nexus, particularly for regions requiring energy-intensive imported or groundwater supplies, or desalination. Regions that use tertiary treatment (for water reclamation or environmental protection) for their wastewater treatment systems also had relatively higher energy and GHG emission intensities, but the intensities seemed to be independent from the water risks. On-site energy recovery (e.g., biogas or waste heat) in the wastewater treatment systems offered a great opportunity for reducing overall energy demand and its associated environmental impacts. Future policy making for the water and energy sectors should carefully consider the water-energy nexus at the regional or local level to achieve maximum environmental and economic benefits. The results from this study can provide a better understanding of the water-energy nexus and informative recommendations for future policy directions for the effective management of water and energy.","author":[{"dropping-particle":"","family":"Lee","given":"Mengshan","non-dropping-particle":"","parse-names":false,"suffix":""},{"dropping-particle":"","family":"Keller","given":"Arturo A.","non-dropping-particle":"","parse-names":false,"suffix":""},{"dropping-particle":"","family":"Chiang","given":"Pen Chi","non-dropping-particle":"","parse-names":false,"suffix":""},{"dropping-particle":"","family":"Den","given":"Walter","non-dropping-particle":"","parse-names":false,"suffix":""},{"dropping-particle":"","family":"Wang","given":"Hongtao","non-dropping-particle":"","parse-names":false,"suffix":""},{"dropping-particle":"","family":"Hou","given":"Chia Hung","non-dropping-particle":"","parse-names":false,"suffix":""},{"dropping-particle":"","family":"Wu","given":"Jiang","non-dropping-particle":"","parse-names":false,"suffix":""},{"dropping-particle":"","family":"Wang","given":"Xin","non-dropping-particle":"","parse-names":false,"suffix":""},{"dropping-particle":"","family":"Yan","given":"Jinyue","non-dropping-particle":"","parse-names":false,"suffix":""}],"container-title":"Applied Energy","id":"ITEM-2","issue":"March","issued":{"date-parts":[["2017"]]},"page":"589-601","publisher":"Elsevier","title":"Water-energy nexus for urban water systems: A comparative review on energy intensity and environmental impacts in relation to global water risks","type":"article-journal","volume":"205"},"uris":["http://www.mendeley.com/documents/?uuid=53234edf-c212-41a0-9985-cf829d7bf72d"]},{"id":"ITEM-3","itemData":{"DOI":"10.1016/j.indic.2021.100124","ISSN":"26659727","abstract":"The Water-Energy-Food (WEF) nexus is a dynamic and complex system, in which the resources of water, energy, and food are inextricably linked. The system faces a number of threats including man-made hazards, e.g. overpopulation, urbanisation, ageing population, terrorism and geopolitical upheaval, and natural hazards such as climate change and extreme weather events. General indicators for the WEF nexus provide information on current access and availability of water, energy and food to a population. However, in industrialised nations such as the UK, such information is often masked by the consistently high access and availability of WEF resources. This paper proposes a composite WEF resilience index formed by aggregating two sets of indicators: one representing the availability level of WEF resources in terms of three WEF sectors; and the other representing population access to the resources at the household level. The WEF availability and the household accessibility indicators were calculated separately within the water, energy, food, and household sectors. Within each sector, an Analytical Hierarchical Process (AHP) was used for weighting sub-indicators based on experts’ evaluation of the relative importance among the sub-indicators. This allowed us to synthesize individual opinions using expertise level in a group decision-making framework. A pilot study was performed on the UK WEF nexus to measure resilience in recent times. This prototype composite index can be used for exploring the resilience of the WEF systems to shocks and changes in the presence of high WEF access and availability.","author":[{"dropping-particle":"","family":"Shu","given":"Qingying","non-dropping-particle":"","parse-names":false,"suffix":""},{"dropping-particle":"","family":"Scott","given":"Marian","non-dropping-particle":"","parse-names":false,"suffix":""},{"dropping-particle":"","family":"Todman","given":"Lindsay","non-dropping-particle":"","parse-names":false,"suffix":""},{"dropping-particle":"","family":"McGrane","given":"Scott J.","non-dropping-particle":"","parse-names":false,"suffix":""}],"container-title":"Environmental and Sustainability Indicators","id":"ITEM-3","issue":"May","issued":{"date-parts":[["2021"]]},"page":"100124","publisher":"Elsevier Inc.","title":"Development of a prototype composite index for resilience and security of water-energy-food (WEF) systems in industrialised nations","type":"article-journal","volume":"11"},"uris":["http://www.mendeley.com/documents/?uuid=b1da79e8-85bd-4725-b6c0-b9e96db1101b"]}],"mendeley":{"formattedCitation":"(Dai et al., 2018; Lee et al., 2017; Shu et al., 2021)","plainTextFormattedCitation":"(Dai et al., 2018; Lee et al., 2017; Shu et al., 2021)","previouslyFormattedCitation":"(Dai et al., 2018; Lee et al., 2017; Shu et al., 2021)"},"properties":{"noteIndex":0},"schema":"https://github.com/citation-style-language/schema/raw/master/csl-citation.json"}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(Dai et al., 2018; Lee et al., 2017; Shu et al., 2021)</w:t>
      </w:r>
      <w:r w:rsidRPr="009F7DE7">
        <w:rPr>
          <w:rFonts w:eastAsia="Times New Roman"/>
          <w:sz w:val="24"/>
          <w:szCs w:val="24"/>
        </w:rPr>
        <w:fldChar w:fldCharType="end"/>
      </w:r>
      <w:r w:rsidRPr="009F7DE7">
        <w:rPr>
          <w:rFonts w:eastAsia="Times New Roman"/>
          <w:sz w:val="24"/>
          <w:szCs w:val="24"/>
        </w:rPr>
        <w:t>. Nonetheless, to reach the necessary synergy of both aspects, society has faced challenges involving the possible roads to take and the impacts generated for choosing determinate pathways of development for the future.</w:t>
      </w:r>
    </w:p>
    <w:p w14:paraId="5BC57579" w14:textId="77777777" w:rsidR="009F7DE7" w:rsidRPr="009F7DE7" w:rsidRDefault="009F7DE7" w:rsidP="009F7DE7">
      <w:pPr>
        <w:ind w:firstLine="566"/>
        <w:rPr>
          <w:rFonts w:eastAsia="Times New Roman"/>
          <w:sz w:val="24"/>
          <w:szCs w:val="24"/>
        </w:rPr>
      </w:pPr>
      <w:r w:rsidRPr="009F7DE7">
        <w:rPr>
          <w:rFonts w:eastAsia="Times New Roman"/>
          <w:sz w:val="24"/>
          <w:szCs w:val="24"/>
        </w:rPr>
        <w:t xml:space="preserve">In order to meet the world's future sustainability needs, it is essential to develop a deeper understanding of the socioeconomic mechanisms behind water use trends to target the most-effective strategies </w:t>
      </w:r>
      <w:r w:rsidRPr="009F7DE7">
        <w:rPr>
          <w:rFonts w:eastAsia="Times New Roman"/>
          <w:sz w:val="24"/>
          <w:szCs w:val="24"/>
        </w:rPr>
        <w:fldChar w:fldCharType="begin" w:fldLock="1"/>
      </w:r>
      <w:r w:rsidRPr="009F7DE7">
        <w:rPr>
          <w:rFonts w:eastAsia="Times New Roman"/>
          <w:sz w:val="24"/>
          <w:szCs w:val="24"/>
        </w:rPr>
        <w:instrText>ADDIN CSL_CITATION {"citationItems":[{"id":"ITEM-1","itemData":{"DOI":"10.1029/2018WR024216","ISSN":"19447973","abstract":"The recent intensification of international trade has led to a growing disconnection between consumer demand for goods and services and the water resources that support them. The important role of household demands on the exploitation of distant freshwater resources is widely recognized, yet the different socioeconomic drivers underlying the trends in domestic and foreign water use remain poorly quantified. In this work, the main mechanisms governing the exploitation of domestic and foreign freshwater resources are quantified by undertaking a structural decomposition analysis over the period 1994–2010 in 186 countries. Our results show that growth in affluence has been the main determinant of rising water consumption trends worldwide. There are indications that consumers in developed countries tend to increase their affluence by intensifying the use of foreign water resources. Conversely, affluence growth in developing regions seems to rely on the exploitation of local water resources revealing a significant imbalance among economies. The growth of affluence and population has been only partially offset by improvements in the intensity of blue water use by producers and, to a lesser extent, by changes in the interdependences among sectors.","author":[{"dropping-particle":"","family":"Soligno","given":"Irene","non-dropping-particle":"","parse-names":false,"suffix":""},{"dropping-particle":"","family":"Malik","given":"Arunima","non-dropping-particle":"","parse-names":false,"suffix":""},{"dropping-particle":"","family":"Lenzen","given":"Manfred","non-dropping-particle":"","parse-names":false,"suffix":""}],"container-title":"Water Resources Research","id":"ITEM-1","issue":"7","issued":{"date-parts":[["2019"]]},"page":"5650-5664","title":"Socioeconomic Drivers of Global Blue Water Use","type":"article-journal","volume":"55"},"uris":["http://www.mendeley.com/documents/?uuid=4bef789a-cb45-48a8-b753-a168c009455a"]}],"mendeley":{"formattedCitation":"(Soligno et al., 2019)","plainTextFormattedCitation":"(Soligno et al., 2019)","previouslyFormattedCitation":"(Soligno et al., 2019)"},"properties":{"noteIndex":0},"schema":"https://github.com/citation-style-language/schema/raw/master/csl-citation.json"}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(Soligno et al., 2019)</w:t>
      </w:r>
      <w:r w:rsidRPr="009F7DE7">
        <w:rPr>
          <w:rFonts w:eastAsia="Times New Roman"/>
          <w:sz w:val="24"/>
          <w:szCs w:val="24"/>
        </w:rPr>
        <w:fldChar w:fldCharType="end"/>
      </w:r>
      <w:r w:rsidRPr="009F7DE7">
        <w:rPr>
          <w:rFonts w:eastAsia="Times New Roman"/>
          <w:sz w:val="24"/>
          <w:szCs w:val="24"/>
        </w:rPr>
        <w:t xml:space="preserve">. According to </w:t>
      </w:r>
      <w:r w:rsidRPr="009F7DE7">
        <w:rPr>
          <w:rFonts w:eastAsia="Times New Roman"/>
          <w:sz w:val="24"/>
          <w:szCs w:val="24"/>
        </w:rPr>
        <w:fldChar w:fldCharType="begin" w:fldLock="1"/>
      </w:r>
      <w:r w:rsidRPr="009F7DE7">
        <w:rPr>
          <w:rFonts w:eastAsia="Times New Roman"/>
          <w:sz w:val="24"/>
          <w:szCs w:val="24"/>
        </w:rPr>
        <w:instrText>ADDIN CSL_CITATION {"citationItems":[{"id":"ITEM-1","itemData":{"DOI":"10.1016/j.ecolecon.2013.09.010","ISSN":"09218009","abstract":"The aim of this paper is to examine how technology, processes of input substitution, and changes in final demand, all of which underlie economic growth, influence water consumption. This analysis is undertaken for Spain during a significant socio-economic period, from 1980, the beginning of the democratic era, to 2007, the onset of the current economic crisis.To this end, we construct water consumption series linked to a time series of input-output tables generated for the Spanish economy, and we develop a structural decomposition analysis to study mainly changes in water consumption embodied in final demand.We find that the growth in Spanish demand (all other things being constant) would have implied an increase in water consumption almost three times the growth actually observed. However, this demand effect is largely offset by technology and intensity effects, mainly due to changes in agricultural crops. Given the importance of the demand growth, the final demand effect is also analyzed in detail, broken down by categories as well as level and composition. Household demand and the increase of exports appear as key explicative factors. © 2013 Elsevier B.V.","author":[{"dropping-particle":"","family":"Cazcarro","given":"Ignacio","non-dropping-particle":"","parse-names":false,"suffix":""},{"dropping-particle":"","family":"Duarte","given":"Rosa","non-dropping-particle":"","parse-names":false,"suffix":""},{"dropping-particle":"","family":"Sánchez-Chóliz","given":"Julio","non-dropping-particle":"","parse-names":false,"suffix":""}],"container-title":"Ecological Economics","id":"ITEM-1","issue":"June","issued":{"date-parts":[["2013"]]},"page":"51-61","publisher":"Elsevier B.V.","title":"Economic growth and the evolution of water consumption in Spain: A structural decomposition analysis","type":"article-journal","volume":"96"},"uris":["http://www.mendeley.com/documents/?uuid=4e8117b7-660f-4c15-a14f-8b08657201be"]}],"mendeley":{"formattedCitation":"(Cazcarro et al., 2013)","manualFormatting":"Cazcarro et al. (2013)","plainTextFormattedCitation":"(Cazcarro et al., 2013)","previouslyFormattedCitation":"(Cazcarro et al., 2013)"},"properties":{"noteIndex":0},"schema":"https://github.com/citation-style-language/schema/raw/master/csl-citation.json"}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Cazcarro et al. (2013)</w:t>
      </w:r>
      <w:r w:rsidRPr="009F7DE7">
        <w:rPr>
          <w:rFonts w:eastAsia="Times New Roman"/>
          <w:sz w:val="24"/>
          <w:szCs w:val="24"/>
        </w:rPr>
        <w:fldChar w:fldCharType="end"/>
      </w:r>
      <w:r w:rsidRPr="009F7DE7">
        <w:rPr>
          <w:rFonts w:eastAsia="Times New Roman"/>
          <w:sz w:val="24"/>
          <w:szCs w:val="24"/>
        </w:rPr>
        <w:t xml:space="preserve">, economic growth is influenced by changes in technologies, processes of input substitution, and changes in final demands. These technological, structural and demand factors also influence the patterns of resource consumption. Corroborating with these authors, </w:t>
      </w:r>
      <w:r w:rsidRPr="009F7DE7">
        <w:rPr>
          <w:rFonts w:eastAsia="Times New Roman"/>
          <w:sz w:val="24"/>
          <w:szCs w:val="24"/>
        </w:rPr>
        <w:fldChar w:fldCharType="begin" w:fldLock="1"/>
      </w:r>
      <w:r w:rsidRPr="009F7DE7">
        <w:rPr>
          <w:rFonts w:eastAsia="Times New Roman"/>
          <w:sz w:val="24"/>
          <w:szCs w:val="24"/>
        </w:rPr>
        <w:instrText>ADDIN CSL_CITATION {"citationItems":[{"id":"ITEM-1","itemData":{"DOI":"10.1021/es404830x","ISSN":"15205851","PMID":"24564549","abstract":"The United States Geological Survey (USGS) reports that U.S. water withdrawals have been steady since 1980, but the population and economy have grown since then. This implies that other factors have contributed to offsetting decreases in water withdrawals. Using water withdrawal data from USGS and economic data from Bureau of Economic Analysis (BEA), direct and total water withdrawals were estimated for 134 industrial summary sectors in the 1997 U.S. economic input-output (EIO) table and 136 industrial sectors in the 2002 EIO table. Using structural decomposition analysis (SDA), the change in water withdrawals for the economy from 1997 to 2002 was allocated to changes in population, GDP per capita, water use intensity, production structure, and consumption patterns. The changes in population, GDP per capita, and water use intensity led to increased water withdrawals, while the changes in production structure and consumption patterns decreased water withdrawals from 1997 to 2002. Consumption patterns change was the largest net contributor to the change in water withdrawals. The model was used to predict aggregate changes in total water withdrawals from 2002 to 2010 due to known changes in population and GDP per capita; a more complete model assessment must await release of updated data on USGS water withdrawals and EIO data. © 2014 American Chemical Society.","author":[{"dropping-particle":"","family":"Wang","given":"Hui","non-dropping-particle":"","parse-names":false,"suffix":""},{"dropping-particle":"","family":"Small","given":"Mitchell J.","non-dropping-particle":"","parse-names":false,"suffix":""},{"dropping-particle":"","family":"Dzombak","given":"David A.","non-dropping-particle":"","parse-names":false,"suffix":""}],"container-title":"Environmental Science and Technology","id":"ITEM-1","issue":"6","issued":{"date-parts":[["2014"]]},"page":"3420-3429","title":"Factors governing change in water withdrawals for U.S. industrial sectors from 1997 to 2002","type":"article-journal","volume":"48"},"uris":["http://www.mendeley.com/documents/?uuid=917c170b-0d37-410b-9336-bc768db8a796"]}],"mendeley":{"formattedCitation":"(H. Wang et al., 2014)","manualFormatting":"Wang et al. ( 2014)","plainTextFormattedCitation":"(H. Wang et al., 2014)","previouslyFormattedCitation":"(H. Wang et al., 2014)"},"properties":{"noteIndex":0},"schema":"https://github.com/citation-style-language/schema/raw/master/csl-citation.json"}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Wang et al. ( 2014)</w:t>
      </w:r>
      <w:r w:rsidRPr="009F7DE7">
        <w:rPr>
          <w:rFonts w:eastAsia="Times New Roman"/>
          <w:sz w:val="24"/>
          <w:szCs w:val="24"/>
        </w:rPr>
        <w:fldChar w:fldCharType="end"/>
      </w:r>
      <w:r w:rsidRPr="009F7DE7">
        <w:rPr>
          <w:rFonts w:eastAsia="Times New Roman"/>
          <w:sz w:val="24"/>
          <w:szCs w:val="24"/>
        </w:rPr>
        <w:t xml:space="preserve"> highlighted how the change in water withdrawal is a consequence of factors associated with, and jointly influenced by population, GDP per capita, water use intensity, production structure, and consumption patterns. Furthermore, the authors point out that the growth of the population and the economy does not necessarily imply an overall increase in water withdrawals, but is linked to the behavior of the consumption. In this sense, the impact of socioeconomic alterations can imply a higher consumption and demand of water, even if the population growth is not high.</w:t>
      </w:r>
    </w:p>
    <w:p w14:paraId="41387DB2" w14:textId="77777777" w:rsidR="009F7DE7" w:rsidRPr="009F7DE7" w:rsidRDefault="009F7DE7" w:rsidP="009F7DE7">
      <w:pPr>
        <w:ind w:firstLine="566"/>
        <w:rPr>
          <w:rFonts w:eastAsia="Times New Roman"/>
          <w:sz w:val="24"/>
          <w:szCs w:val="24"/>
        </w:rPr>
      </w:pPr>
      <w:r w:rsidRPr="009F7DE7">
        <w:rPr>
          <w:rFonts w:eastAsia="Times New Roman"/>
          <w:sz w:val="24"/>
          <w:szCs w:val="24"/>
        </w:rPr>
        <w:t xml:space="preserve">The crescent concern about the water supply has faced not only the problems with hydrological processes but also the intended and/or unintended consequences of long-term changes in social norms and values, ideology or political systems, which are not typically anticipated or accounted for in coping with water-related issues </w:t>
      </w:r>
      <w:r w:rsidRPr="009F7DE7">
        <w:rPr>
          <w:rFonts w:eastAsia="Times New Roman"/>
          <w:sz w:val="24"/>
          <w:szCs w:val="24"/>
        </w:rPr>
        <w:fldChar w:fldCharType="begin" w:fldLock="1"/>
      </w:r>
      <w:r w:rsidRPr="009F7DE7">
        <w:rPr>
          <w:rFonts w:eastAsia="Times New Roman"/>
          <w:sz w:val="24"/>
          <w:szCs w:val="24"/>
        </w:rPr>
        <w:instrText>ADDIN CSL_CITATION {"citationItems":[{"id":"ITEM-1","itemData":{"DOI":"10.1029/2018WR023901","ISSN":"19447973","abstract":"The Sustainable Development Goals (SDGs) of the United Nations Agenda 2030 represent an ambitious blueprint to reduce inequalities globally and achieve a sustainable future for all mankind. Meeting the SDGs for water requires an integrated approach to managing and allocating water resources, by involving all actors and stakeholders, and considering how water resources link different sectors of society. To date, water management practice is dominated by technocratic, scenario-based approaches that may work well in the short term but can result in unintended consequences in the long term due to limited accounting of dynamic feedbacks between the natural, technical, and social dimensions of human-water systems. The discipline of sociohydrology has an important role to play in informing policy by developing a generalizable understanding of phenomena that arise from interactions between water and human systems. To explain these phenomena, sociohydrology must address several scientific challenges to strengthen the field and broaden its scope. These include engagement with social scientists to accommodate social heterogeneity, power relations, trust, cultural beliefs, and cognitive biases, which strongly influence the way in which people alter, and adapt to, changing hydrological regimes. It also requires development of new methods to formulate and test alternative hypotheses for the explanation of emergent phenomena generated by feedbacks between water and society. Advancing sociohydrology in these ways therefore represents a major contribution toward meeting the targets set by the SDGs, the societal grand challenge of our time.","author":[{"dropping-particle":"","family":"Baldassarre","given":"Giuliano","non-dropping-particle":"Di","parse-names":false,"suffix":""},{"dropping-particle":"","family":"Sivapalan","given":"Murugesu","non-dropping-particle":"","parse-names":false,"suffix":""},{"dropping-particle":"","family":"Rusca","given":"Maria","non-dropping-particle":"","parse-names":false,"suffix":""},{"dropping-particle":"","family":"Cudennec","given":"Christophe","non-dropping-particle":"","parse-names":false,"suffix":""},{"dropping-particle":"","family":"Garcia","given":"Margaret","non-dropping-particle":"","parse-names":false,"suffix":""},{"dropping-particle":"","family":"Kreibich","given":"Heidi","non-dropping-particle":"","parse-names":false,"suffix":""},{"dropping-particle":"","family":"Konar","given":"Megan","non-dropping-particle":"","parse-names":false,"suffix":""},{"dropping-particle":"","family":"Mondino","given":"Elena","non-dropping-particle":"","parse-names":false,"suffix":""},{"dropping-particle":"","family":"Mård","given":"Johanna","non-dropping-particle":"","parse-names":false,"suffix":""},{"dropping-particle":"","family":"Pande","given":"Saket","non-dropping-particle":"","parse-names":false,"suffix":""},{"dropping-particle":"","family":"Sanderson","given":"Matthew R.","non-dropping-particle":"","parse-names":false,"suffix":""},{"dropping-particle":"","family":"Tian","given":"Fuqiang","non-dropping-particle":"","parse-names":false,"suffix":""},{"dropping-particle":"","family":"Viglione","given":"Alberto","non-dropping-particle":"","parse-names":false,"suffix":""},{"dropping-particle":"","family":"Wei","given":"Jing","non-dropping-particle":"","parse-names":false,"suffix":""},{"dropping-particle":"","family":"Wei","given":"Yongping","non-dropping-particle":"","parse-names":false,"suffix":""},{"dropping-particle":"","family":"Yu","given":"David J.","non-dropping-particle":"","parse-names":false,"suffix":""},{"dropping-particle":"","family":"Srinivasan","given":"Veena","non-dropping-particle":"","parse-names":false,"suffix":""},{"dropping-particle":"","family":"Blöschl","given":"Günter","non-dropping-particle":"","parse-names":false,"suffix":""}],"container-title":"Water Resources Research","id":"ITEM-1","issue":"8","issued":{"date-parts":[["2019"]]},"page":"6327-6355","title":"Sociohydrology: Scientific Challenges in Addressing the Sustainable Development Goals","type":"article-journal","volume":"55"},"uris":["http://www.mendeley.com/documents/?uuid=37026351-aa15-42b3-9e2a-10429dbbc8db"]}],"mendeley":{"formattedCitation":"(Di Baldassarre et al., 2019)","plainTextFormattedCitation":"(Di Baldassarre et al., 2019)"},"properties":{"noteIndex":0},"schema":"https://github.com/citation-style-language/schema/raw/master/csl-citation.json"}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(Di Baldassarre et al., 2019)</w:t>
      </w:r>
      <w:r w:rsidRPr="009F7DE7">
        <w:rPr>
          <w:rFonts w:eastAsia="Times New Roman"/>
          <w:sz w:val="24"/>
          <w:szCs w:val="24"/>
        </w:rPr>
        <w:fldChar w:fldCharType="end"/>
      </w:r>
      <w:r w:rsidRPr="009F7DE7">
        <w:rPr>
          <w:rFonts w:eastAsia="Times New Roman"/>
          <w:sz w:val="24"/>
          <w:szCs w:val="24"/>
        </w:rPr>
        <w:t xml:space="preserve">. To put these aspects docket, </w:t>
      </w:r>
      <w:proofErr w:type="spellStart"/>
      <w:r w:rsidRPr="009F7DE7">
        <w:rPr>
          <w:rFonts w:eastAsia="Times New Roman"/>
          <w:sz w:val="24"/>
          <w:szCs w:val="24"/>
        </w:rPr>
        <w:t>sociohydrology</w:t>
      </w:r>
      <w:proofErr w:type="spellEnd"/>
      <w:r w:rsidRPr="009F7DE7">
        <w:rPr>
          <w:rFonts w:eastAsia="Times New Roman"/>
          <w:sz w:val="24"/>
          <w:szCs w:val="24"/>
        </w:rPr>
        <w:t xml:space="preserve"> perspective has become a key for adaptation to water scarcity, through the interactions of water consumption for food, energy and drinking water supply, pollution or freshwater resources, policies, markets and technology </w:t>
      </w:r>
      <w:r w:rsidRPr="009F7DE7">
        <w:rPr>
          <w:rFonts w:eastAsia="Times New Roman"/>
          <w:sz w:val="24"/>
          <w:szCs w:val="24"/>
        </w:rPr>
        <w:fldChar w:fldCharType="begin" w:fldLock="1"/>
      </w:r>
      <w:r w:rsidRPr="009F7DE7">
        <w:rPr>
          <w:rFonts w:eastAsia="Times New Roman"/>
          <w:sz w:val="24"/>
          <w:szCs w:val="24"/>
        </w:rPr>
        <w:instrText>ADDIN CSL_CITATION {"citationItems":[{"id":"ITEM-1","itemData":{"DOI":"10.1002/HYP.8426","ISSN":"1099-1085","author":[{"dropping-particle":"","family":"Sivapalan","given":"Murugesu","non-dropping-particle":"","parse-names":false,"suffix":""},{"dropping-particle":"","family":"Savenije","given":"Hubert H.G.","non-dropping-particle":"","parse-names":false,"suffix":""},{"dropping-particle":"","family":"Blöschl","given":"Günter","non-dropping-particle":"","parse-names":false,"suffix":""}],"container-title":"Hydrological Processes","id":"ITEM-1","issue":"8","issued":{"date-parts":[["2012","4","15"]]},"page":"1270-1276","publisher":"John Wiley &amp; Sons, Ltd","title":"Socio-hydrology: A new science of people and water","type":"article-journal","volume":"26"},"uris":["http://www.mendeley.com/documents/?uuid=d757c239-ea87-3c7d-a36e-e8a88f11e529"]}],"mendeley":{"formattedCitation":"(Sivapalan et al., 2012)","plainTextFormattedCitation":"(Sivapalan et al., 2012)","previouslyFormattedCitation":"(Sivapalan et al., 2012)"},"properties":{"noteIndex":0},"schema":"https://github.com/citation-style-language/schema/raw/master/csl-citation.json"}</w:instrText>
      </w:r>
      <w:r w:rsidRPr="009F7DE7">
        <w:rPr>
          <w:rFonts w:eastAsia="Times New Roman"/>
          <w:sz w:val="24"/>
          <w:szCs w:val="24"/>
        </w:rPr>
        <w:fldChar w:fldCharType="separate"/>
      </w:r>
      <w:r w:rsidRPr="009F7DE7">
        <w:rPr>
          <w:rFonts w:eastAsia="Times New Roman"/>
          <w:noProof/>
          <w:sz w:val="24"/>
          <w:szCs w:val="24"/>
        </w:rPr>
        <w:t>(Sivapalan et al., 2012)</w:t>
      </w:r>
      <w:r w:rsidRPr="009F7DE7">
        <w:rPr>
          <w:rFonts w:eastAsia="Times New Roman"/>
          <w:sz w:val="24"/>
          <w:szCs w:val="24"/>
        </w:rPr>
        <w:fldChar w:fldCharType="end"/>
      </w:r>
      <w:r w:rsidRPr="009F7DE7">
        <w:rPr>
          <w:rFonts w:eastAsia="Times New Roman"/>
          <w:sz w:val="24"/>
          <w:szCs w:val="24"/>
        </w:rPr>
        <w:t xml:space="preserve">. According to Sivapalan et al. (2011), under the </w:t>
      </w:r>
      <w:proofErr w:type="spellStart"/>
      <w:r w:rsidRPr="009F7DE7">
        <w:rPr>
          <w:rFonts w:eastAsia="Times New Roman"/>
          <w:sz w:val="24"/>
          <w:szCs w:val="24"/>
        </w:rPr>
        <w:t>sociohydrology</w:t>
      </w:r>
      <w:proofErr w:type="spellEnd"/>
      <w:r w:rsidRPr="009F7DE7">
        <w:rPr>
          <w:rFonts w:eastAsia="Times New Roman"/>
          <w:sz w:val="24"/>
          <w:szCs w:val="24"/>
        </w:rPr>
        <w:t xml:space="preserve"> principles, humans and their actions are considered part and parcel of water cycle dynamics, and the aim is to predict the dynamics of both. That approach could permit a better assessment of how the water distribution </w:t>
      </w:r>
      <w:r w:rsidRPr="009F7DE7">
        <w:rPr>
          <w:rFonts w:eastAsia="Times New Roman"/>
          <w:sz w:val="24"/>
          <w:szCs w:val="24"/>
        </w:rPr>
        <w:lastRenderedPageBreak/>
        <w:t xml:space="preserve">can be improved to meet multiple purposes, associated with effective structural and structuring policies, assisting in reducing water waste and improving water security. </w:t>
      </w:r>
    </w:p>
    <w:p w14:paraId="4871EB51" w14:textId="1644C5E4" w:rsidR="000C276E" w:rsidRDefault="000C276E" w:rsidP="000C276E">
      <w:pPr>
        <w:pStyle w:val="Heading-Secondary"/>
      </w:pPr>
      <w:r>
        <w:t>2.</w:t>
      </w:r>
      <w:r>
        <w:t>3</w:t>
      </w:r>
      <w:r>
        <w:t xml:space="preserve"> </w:t>
      </w:r>
      <w:r w:rsidRPr="000C276E">
        <w:t>Risk management options for water supply business interruptions</w:t>
      </w:r>
    </w:p>
    <w:p w14:paraId="15B5F5EE" w14:textId="77777777" w:rsidR="00C20BAD" w:rsidRPr="00C20BAD" w:rsidRDefault="00C20BAD" w:rsidP="00C20BAD">
      <w:pPr>
        <w:ind w:firstLine="360"/>
        <w:rPr>
          <w:rFonts w:eastAsia="Times New Roman"/>
          <w:sz w:val="24"/>
          <w:szCs w:val="24"/>
          <w:highlight w:val="yellow"/>
        </w:rPr>
      </w:pPr>
      <w:r w:rsidRPr="00C20BAD">
        <w:rPr>
          <w:rFonts w:eastAsia="Times New Roman"/>
          <w:sz w:val="24"/>
          <w:szCs w:val="24"/>
        </w:rPr>
        <w:t>As previously stated, the occurrence of droughts, floods, and pollution extremes, which are frequently exacerbated by climate change and modulated by socioeconomic pathways, often causes disruption or unexpected increases in utility expenses. In this section, we will go over the mechanisms that utilities use to protect themselves from these events. Table 1 depicts a series of global cases to demonstrate the hazards, damages, and mechanisms by which utilities respond to them.</w:t>
      </w:r>
    </w:p>
    <w:p w14:paraId="41304943" w14:textId="77777777" w:rsidR="00AE79D9" w:rsidRPr="00AE79D9" w:rsidRDefault="00AE79D9" w:rsidP="00AE79D9">
      <w:pPr>
        <w:ind w:firstLine="360"/>
        <w:rPr>
          <w:rFonts w:eastAsia="Times New Roman"/>
          <w:sz w:val="24"/>
          <w:szCs w:val="24"/>
        </w:rPr>
      </w:pPr>
      <w:r w:rsidRPr="00AE79D9">
        <w:rPr>
          <w:rFonts w:eastAsia="Times New Roman"/>
          <w:sz w:val="24"/>
          <w:szCs w:val="24"/>
        </w:rPr>
        <w:t>As shown in Table 1, despite acting through different mechanisms, the three types of hazards, when combined or isolated, are capable of disrupting the utility business by causing water service interruption, increasing costs in the treatment and maintenance of hydric infrastructure, and causing interruption to water-related business.</w:t>
      </w:r>
    </w:p>
    <w:p w14:paraId="74775E16" w14:textId="77777777" w:rsidR="00AE79D9" w:rsidRPr="00AE79D9" w:rsidRDefault="00AE79D9" w:rsidP="00AE79D9">
      <w:pPr>
        <w:ind w:firstLine="360"/>
        <w:rPr>
          <w:rFonts w:eastAsia="Times New Roman"/>
          <w:sz w:val="24"/>
          <w:szCs w:val="24"/>
        </w:rPr>
      </w:pPr>
      <w:r w:rsidRPr="00AE79D9">
        <w:rPr>
          <w:rFonts w:eastAsia="Times New Roman"/>
          <w:sz w:val="24"/>
          <w:szCs w:val="24"/>
        </w:rPr>
        <w:t xml:space="preserve">In the short term, water utilities' financial structures are based on approximately 80-95% fixed costs, with much of this (up to 50%) destined for debt service payments on infrastructure, and approximately 80-90% of the revenue comes from volumetric water sales </w:t>
      </w:r>
      <w:r w:rsidRPr="00AE79D9">
        <w:rPr>
          <w:rFonts w:eastAsia="Times New Roman"/>
          <w:sz w:val="24"/>
          <w:szCs w:val="24"/>
        </w:rPr>
        <w:fldChar w:fldCharType="begin" w:fldLock="1"/>
      </w:r>
      <w:r w:rsidRPr="00AE79D9">
        <w:rPr>
          <w:rFonts w:eastAsia="Times New Roman"/>
          <w:sz w:val="24"/>
          <w:szCs w:val="24"/>
        </w:rPr>
        <w:instrText>ADDIN CSL_CITATION {"citationItems":[{"id":"ITEM-1","itemData":{"ISBN":"9781605731995","abstract":"See Notes","author":[{"dropping-particle":"","family":"Hughes","given":"Jeff","non-dropping-particle":"","parse-names":false,"suffix":""},{"dropping-particle":"","family":"Tiger","given":"Mary","non-dropping-particle":"","parse-names":false,"suffix":""},{"dropping-particle":"","family":"Eskaf","given":"Shadi","non-dropping-particle":"","parse-names":false,"suffix":""},{"dropping-particle":"","family":"Berahzer","given":"Stacey Isaac","non-dropping-particle":"","parse-names":false,"suffix":""},{"dropping-particle":"","family":"Royster","given":"Sarah","non-dropping-particle":"","parse-names":false,"suffix":""},{"dropping-particle":"","family":"Boyle","given":"Christine","non-dropping-particle":"","parse-names":false,"suffix":""},{"dropping-particle":"","family":"Batten","given":"Dayne","non-dropping-particle":"","parse-names":false,"suffix":""},{"dropping-particle":"","family":"Brandt","given":"Peiffer","non-dropping-particle":"","parse-names":false,"suffix":""},{"dropping-particle":"","family":"Noyes","given":"Catherine","non-dropping-particle":"","parse-names":false,"suffix":""}],"id":"ITEM-1","issue":"June 2015","issued":{"date-parts":[["2014"]]},"number-of-pages":"262, 139-215","title":"Defining a Resilient Business Model for Water Utilities","type":"book"},"uris":["http://www.mendeley.com/documents/?uuid=bda5b647-1b56-4cf0-b220-4fcdf28d09bb"]}],"mendeley":{"formattedCitation":"(Hughes et al., 2014)","plainTextFormattedCitation":"(Hughes et al., 2014)","previouslyFormattedCitation":"(Hughes et al., 2014)"},"properties":{"noteIndex":0},"schema":"https://github.com/citation-style-language/schema/raw/master/csl-citation.json"}</w:instrText>
      </w:r>
      <w:r w:rsidRPr="00AE79D9">
        <w:rPr>
          <w:rFonts w:eastAsia="Times New Roman"/>
          <w:sz w:val="24"/>
          <w:szCs w:val="24"/>
        </w:rPr>
        <w:fldChar w:fldCharType="separate"/>
      </w:r>
      <w:r w:rsidRPr="00AE79D9">
        <w:rPr>
          <w:rFonts w:eastAsia="Times New Roman"/>
          <w:noProof/>
          <w:sz w:val="24"/>
          <w:szCs w:val="24"/>
        </w:rPr>
        <w:t>(Hughes et al., 2014)</w:t>
      </w:r>
      <w:r w:rsidRPr="00AE79D9">
        <w:rPr>
          <w:rFonts w:eastAsia="Times New Roman"/>
          <w:sz w:val="24"/>
          <w:szCs w:val="24"/>
        </w:rPr>
        <w:fldChar w:fldCharType="end"/>
      </w:r>
      <w:r w:rsidRPr="00AE79D9">
        <w:rPr>
          <w:rFonts w:eastAsia="Times New Roman"/>
          <w:sz w:val="24"/>
          <w:szCs w:val="24"/>
        </w:rPr>
        <w:t xml:space="preserve">. Prices are set in such a way that revenues are expected to equal costs at the end of each budgeting period, which is typically annual (Hughes et al., 2014). Water offers fall during droughts, unbalancing revenue and exposing utilities to financial risk. Expanding and/or maintaining large supply capacities is one way to deal with this issue; however, the high cost and difficult regulatory approval processes associated with this measure </w:t>
      </w:r>
      <w:r w:rsidRPr="00AE79D9">
        <w:rPr>
          <w:rFonts w:eastAsia="Times New Roman"/>
          <w:sz w:val="24"/>
          <w:szCs w:val="24"/>
        </w:rPr>
        <w:fldChar w:fldCharType="begin" w:fldLock="1"/>
      </w:r>
      <w:r w:rsidRPr="00AE79D9">
        <w:rPr>
          <w:rFonts w:eastAsia="Times New Roman"/>
          <w:sz w:val="24"/>
          <w:szCs w:val="24"/>
        </w:rPr>
        <w:instrText>ADDIN CSL_CITATION {"citationItems":[{"id":"ITEM-1","itemData":{"DOI":"10.4324/9781849773904","ISBN":"1844071553","abstract":"Viewed by some as symbols of progress and by others as inherently flawed, large dams remain one of the most contentious development issues on Earth. Building on the work of the now defunct World Commission on Dams, Thayer Scudder wades into the debate with unprecedented authority. Employing the Commission's Seven Strategic priorities, Scudder charts the 'middle way' forward by examining the impacts of large dams on ecosystems, societies and political economies. He also analyses the structure of the decision-making process for water resource development and tackles the highly contentious issue of dam-induced resettlement, illuminated by a statistical analysis of 50 cases.","author":[{"dropping-particle":"","family":"Scudder","given":"Thayer Ted","non-dropping-particle":"","parse-names":false,"suffix":""}],"container-title":"The Future of Large Dams","id":"ITEM-1","issued":{"date-parts":[["2012"]]},"title":"The Future of Large Dams","type":"book"},"uris":["http://www.mendeley.com/documents/?uuid=8c2675d1-fa37-4b0b-aad8-8cc03fbbb610"]}],"mendeley":{"formattedCitation":"(Scudder, 2012)","plainTextFormattedCitation":"(Scudder, 2012)","previouslyFormattedCitation":"(Scudder, 2012)"},"properties":{"noteIndex":0},"schema":"https://github.com/citation-style-language/schema/raw/master/csl-citation.json"}</w:instrText>
      </w:r>
      <w:r w:rsidRPr="00AE79D9">
        <w:rPr>
          <w:rFonts w:eastAsia="Times New Roman"/>
          <w:sz w:val="24"/>
          <w:szCs w:val="24"/>
        </w:rPr>
        <w:fldChar w:fldCharType="separate"/>
      </w:r>
      <w:r w:rsidRPr="00AE79D9">
        <w:rPr>
          <w:rFonts w:eastAsia="Times New Roman"/>
          <w:noProof/>
          <w:sz w:val="24"/>
          <w:szCs w:val="24"/>
        </w:rPr>
        <w:t>(Scudder, 2012)</w:t>
      </w:r>
      <w:r w:rsidRPr="00AE79D9">
        <w:rPr>
          <w:rFonts w:eastAsia="Times New Roman"/>
          <w:sz w:val="24"/>
          <w:szCs w:val="24"/>
        </w:rPr>
        <w:fldChar w:fldCharType="end"/>
      </w:r>
      <w:r w:rsidRPr="00AE79D9">
        <w:rPr>
          <w:rFonts w:eastAsia="Times New Roman"/>
          <w:sz w:val="24"/>
          <w:szCs w:val="24"/>
        </w:rPr>
        <w:t xml:space="preserve"> force water utilities to frequently rely on conservation strategies to hedge drought, such as drought surcharges (Zeff &amp; </w:t>
      </w:r>
      <w:r w:rsidRPr="00AE79D9">
        <w:rPr>
          <w:noProof/>
          <w:sz w:val="24"/>
          <w:szCs w:val="24"/>
        </w:rPr>
        <w:t>Characklis,</w:t>
      </w:r>
      <w:r w:rsidRPr="00AE79D9">
        <w:rPr>
          <w:rFonts w:eastAsia="Times New Roman"/>
          <w:sz w:val="24"/>
          <w:szCs w:val="24"/>
        </w:rPr>
        <w:t xml:space="preserve"> 2013), as seen in the majority of the drought cases exposed in Table 1.</w:t>
      </w:r>
    </w:p>
    <w:p w14:paraId="22616E86" w14:textId="12BE84A3" w:rsidR="00AE79D9" w:rsidRDefault="00AE79D9" w:rsidP="00AE79D9">
      <w:pPr>
        <w:ind w:firstLine="360"/>
        <w:rPr>
          <w:rFonts w:eastAsia="Times New Roman"/>
          <w:sz w:val="24"/>
          <w:szCs w:val="24"/>
        </w:rPr>
      </w:pPr>
      <w:r w:rsidRPr="00AE79D9">
        <w:rPr>
          <w:rFonts w:eastAsia="Times New Roman"/>
          <w:sz w:val="24"/>
          <w:szCs w:val="24"/>
        </w:rPr>
        <w:t xml:space="preserve">Droughts can last for months or years, putting serious constraints on the company's operations that can affect user’s needs. Low-frequency flood events, on the other hand, even if they last only a day or a few days, can cause damages to utilities due to equipment loss, additional operational costs, and welfare damages to consumers who experience disruption or loss of services, causing the utility to spend more on and after these events.  As illustrated by the Minnesota case in Table 1, following these events, utilities respond by purchasing new equipment or infrastructure, increasing the amount destined for debt service payments on infrastructure in the face of a frequently constrained budget. Similarly, when there is a drought, the raw water quality can degrade due to reduced dilution in the source or by the need to abstract in low water levels, as is the case of the São Paulo Metropolitan </w:t>
      </w:r>
      <w:proofErr w:type="gramStart"/>
      <w:r w:rsidRPr="00AE79D9">
        <w:rPr>
          <w:rFonts w:eastAsia="Times New Roman"/>
          <w:sz w:val="24"/>
          <w:szCs w:val="24"/>
        </w:rPr>
        <w:t>Region  (</w:t>
      </w:r>
      <w:proofErr w:type="gramEnd"/>
      <w:r w:rsidRPr="00AE79D9">
        <w:rPr>
          <w:rFonts w:eastAsia="Times New Roman"/>
          <w:sz w:val="24"/>
          <w:szCs w:val="24"/>
        </w:rPr>
        <w:t xml:space="preserve">Table 1), increasing treatment costs and the frequency of maintenance outages. Furthermore, during wet periods, due to runoff and soil erosion, some treatment plants may face problems in treating water due to the high turbidity of the raw water (Thorne &amp; Fenner, 2011; </w:t>
      </w:r>
      <w:proofErr w:type="spellStart"/>
      <w:r w:rsidRPr="00AE79D9">
        <w:rPr>
          <w:rFonts w:eastAsia="Times New Roman"/>
          <w:sz w:val="24"/>
          <w:szCs w:val="24"/>
        </w:rPr>
        <w:t>Maziotis</w:t>
      </w:r>
      <w:proofErr w:type="spellEnd"/>
      <w:r w:rsidRPr="00AE79D9">
        <w:rPr>
          <w:rFonts w:eastAsia="Times New Roman"/>
          <w:sz w:val="24"/>
          <w:szCs w:val="24"/>
        </w:rPr>
        <w:t xml:space="preserve"> et al., 2020). The degradation of water quality during weather extremes increases the utility's financial vulnerability during these events. Resizing treatment processes, diversifying water supply options, increasing plant design redundancy, changing long-term operations, developing effective plans to respond to extreme events, and improving water quality monitoring are some solutions to the raw water quality problem (</w:t>
      </w:r>
      <w:proofErr w:type="spellStart"/>
      <w:r w:rsidRPr="00AE79D9">
        <w:rPr>
          <w:rFonts w:eastAsia="Times New Roman"/>
          <w:sz w:val="24"/>
          <w:szCs w:val="24"/>
        </w:rPr>
        <w:t>Raseman</w:t>
      </w:r>
      <w:proofErr w:type="spellEnd"/>
      <w:r w:rsidRPr="00AE79D9">
        <w:rPr>
          <w:rFonts w:eastAsia="Times New Roman"/>
          <w:sz w:val="24"/>
          <w:szCs w:val="24"/>
        </w:rPr>
        <w:t xml:space="preserve"> et al. 2017). However, implementing some of these measures adds to the high cost and challenges regulatory approval. </w:t>
      </w:r>
    </w:p>
    <w:p w14:paraId="1FC6BF09" w14:textId="77777777" w:rsidR="006D73F0" w:rsidRDefault="006D73F0" w:rsidP="00AE79D9">
      <w:pPr>
        <w:ind w:firstLine="360"/>
        <w:rPr>
          <w:rFonts w:eastAsia="Times New Roman"/>
          <w:sz w:val="24"/>
          <w:szCs w:val="24"/>
        </w:rPr>
        <w:sectPr w:rsidR="006D73F0" w:rsidSect="00BD47BB">
          <w:type w:val="continuous"/>
          <w:pgSz w:w="12240" w:h="15840"/>
          <w:pgMar w:top="1440" w:right="1440" w:bottom="1440" w:left="1440" w:header="432" w:footer="720" w:gutter="0"/>
          <w:lnNumType w:countBy="1" w:restart="continuous"/>
          <w:cols w:space="720"/>
          <w:docGrid w:linePitch="360"/>
        </w:sectPr>
      </w:pPr>
    </w:p>
    <w:p w14:paraId="2743FE79" w14:textId="77777777" w:rsidR="00FA5B54" w:rsidRPr="00FA5B54" w:rsidRDefault="00FA5B54" w:rsidP="00FA5B54">
      <w:pPr>
        <w:spacing w:line="276" w:lineRule="auto"/>
        <w:ind w:firstLine="360"/>
        <w:jc w:val="both"/>
        <w:rPr>
          <w:rFonts w:eastAsia="Times New Roman"/>
          <w:sz w:val="24"/>
          <w:szCs w:val="24"/>
        </w:rPr>
      </w:pPr>
      <w:r w:rsidRPr="00FA5B54">
        <w:rPr>
          <w:rFonts w:eastAsia="Times New Roman"/>
          <w:sz w:val="24"/>
          <w:szCs w:val="24"/>
        </w:rPr>
        <w:lastRenderedPageBreak/>
        <w:t>Table 1 – Extreme events of flood, water pollution and drought in some locations around the world, damage associated with water supply and response measures taken.</w:t>
      </w:r>
    </w:p>
    <w:tbl>
      <w:tblPr>
        <w:tblW w:w="14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404"/>
        <w:gridCol w:w="891"/>
        <w:gridCol w:w="1255"/>
        <w:gridCol w:w="3015"/>
        <w:gridCol w:w="2790"/>
        <w:gridCol w:w="3060"/>
        <w:gridCol w:w="1800"/>
      </w:tblGrid>
      <w:tr w:rsidR="00FA5B54" w14:paraId="05BBDE59" w14:textId="77777777" w:rsidTr="00907CEB">
        <w:trPr>
          <w:trHeight w:val="579"/>
          <w:jc w:val="center"/>
        </w:trPr>
        <w:tc>
          <w:tcPr>
            <w:tcW w:w="1404" w:type="dxa"/>
            <w:vAlign w:val="center"/>
          </w:tcPr>
          <w:p w14:paraId="7686234C" w14:textId="77777777" w:rsidR="00FA5B54" w:rsidRDefault="00FA5B54" w:rsidP="00907CEB">
            <w:pPr>
              <w:spacing w:line="276" w:lineRule="auto"/>
              <w:jc w:val="center"/>
              <w:rPr>
                <w:rFonts w:eastAsia="Times New Roman"/>
                <w:b/>
                <w:color w:val="000000"/>
              </w:rPr>
            </w:pPr>
            <w:r>
              <w:rPr>
                <w:rFonts w:eastAsia="Times New Roman"/>
                <w:b/>
                <w:color w:val="000000"/>
              </w:rPr>
              <w:t>Location of the incident</w:t>
            </w:r>
          </w:p>
        </w:tc>
        <w:tc>
          <w:tcPr>
            <w:tcW w:w="891" w:type="dxa"/>
            <w:vAlign w:val="center"/>
          </w:tcPr>
          <w:p w14:paraId="1305156B" w14:textId="77777777" w:rsidR="00FA5B54" w:rsidRDefault="00FA5B54" w:rsidP="00907CEB">
            <w:pPr>
              <w:spacing w:line="276" w:lineRule="auto"/>
              <w:jc w:val="center"/>
              <w:rPr>
                <w:rFonts w:eastAsia="Times New Roman"/>
                <w:b/>
                <w:color w:val="000000"/>
              </w:rPr>
            </w:pPr>
            <w:r>
              <w:rPr>
                <w:rFonts w:eastAsia="Times New Roman"/>
                <w:b/>
                <w:color w:val="000000"/>
              </w:rPr>
              <w:t>Period</w:t>
            </w:r>
          </w:p>
        </w:tc>
        <w:tc>
          <w:tcPr>
            <w:tcW w:w="1255" w:type="dxa"/>
            <w:vAlign w:val="center"/>
          </w:tcPr>
          <w:p w14:paraId="4513789F" w14:textId="77777777" w:rsidR="00FA5B54" w:rsidRDefault="00FA5B54" w:rsidP="00907CEB">
            <w:pPr>
              <w:spacing w:line="276" w:lineRule="auto"/>
              <w:jc w:val="center"/>
              <w:rPr>
                <w:rFonts w:eastAsia="Times New Roman"/>
                <w:b/>
                <w:color w:val="000000"/>
              </w:rPr>
            </w:pPr>
            <w:r>
              <w:rPr>
                <w:rFonts w:eastAsia="Times New Roman"/>
                <w:b/>
                <w:color w:val="000000"/>
              </w:rPr>
              <w:t>Type of hazard</w:t>
            </w:r>
          </w:p>
        </w:tc>
        <w:tc>
          <w:tcPr>
            <w:tcW w:w="3015" w:type="dxa"/>
            <w:vAlign w:val="center"/>
          </w:tcPr>
          <w:p w14:paraId="170741EF" w14:textId="77777777" w:rsidR="00FA5B54" w:rsidRDefault="00FA5B54" w:rsidP="00907CEB">
            <w:pPr>
              <w:spacing w:line="276" w:lineRule="auto"/>
              <w:jc w:val="center"/>
              <w:rPr>
                <w:rFonts w:eastAsia="Times New Roman"/>
                <w:b/>
                <w:color w:val="000000"/>
              </w:rPr>
            </w:pPr>
            <w:r>
              <w:rPr>
                <w:rFonts w:eastAsia="Times New Roman"/>
                <w:b/>
                <w:color w:val="000000"/>
              </w:rPr>
              <w:t>Description of hazard</w:t>
            </w:r>
          </w:p>
        </w:tc>
        <w:tc>
          <w:tcPr>
            <w:tcW w:w="2790" w:type="dxa"/>
            <w:vAlign w:val="center"/>
          </w:tcPr>
          <w:p w14:paraId="0C791CF5" w14:textId="77777777" w:rsidR="00FA5B54" w:rsidRDefault="00FA5B54" w:rsidP="00907CEB">
            <w:pPr>
              <w:spacing w:line="276" w:lineRule="auto"/>
              <w:jc w:val="center"/>
              <w:rPr>
                <w:rFonts w:eastAsia="Times New Roman"/>
                <w:b/>
                <w:color w:val="000000"/>
              </w:rPr>
            </w:pPr>
            <w:r>
              <w:rPr>
                <w:rFonts w:eastAsia="Times New Roman"/>
                <w:b/>
                <w:color w:val="000000"/>
              </w:rPr>
              <w:t>Damage registered</w:t>
            </w:r>
          </w:p>
        </w:tc>
        <w:tc>
          <w:tcPr>
            <w:tcW w:w="3060" w:type="dxa"/>
            <w:vAlign w:val="center"/>
          </w:tcPr>
          <w:p w14:paraId="1D58A026" w14:textId="77777777" w:rsidR="00FA5B54" w:rsidRDefault="00FA5B54" w:rsidP="00907CEB">
            <w:pPr>
              <w:spacing w:line="276" w:lineRule="auto"/>
              <w:jc w:val="center"/>
              <w:rPr>
                <w:rFonts w:eastAsia="Times New Roman"/>
                <w:b/>
                <w:color w:val="000000"/>
              </w:rPr>
            </w:pPr>
            <w:r>
              <w:rPr>
                <w:rFonts w:eastAsia="Times New Roman"/>
                <w:b/>
                <w:color w:val="000000"/>
              </w:rPr>
              <w:t>Response measures taken</w:t>
            </w:r>
          </w:p>
        </w:tc>
        <w:tc>
          <w:tcPr>
            <w:tcW w:w="1800" w:type="dxa"/>
            <w:vAlign w:val="center"/>
          </w:tcPr>
          <w:p w14:paraId="6C048DAC" w14:textId="77777777" w:rsidR="00FA5B54" w:rsidRDefault="00FA5B54" w:rsidP="00907CEB">
            <w:pPr>
              <w:spacing w:line="276" w:lineRule="auto"/>
              <w:jc w:val="center"/>
              <w:rPr>
                <w:rFonts w:eastAsia="Times New Roman"/>
                <w:b/>
                <w:color w:val="000000"/>
              </w:rPr>
            </w:pPr>
            <w:r>
              <w:rPr>
                <w:rFonts w:eastAsia="Times New Roman"/>
                <w:b/>
                <w:color w:val="000000"/>
              </w:rPr>
              <w:t>Reference</w:t>
            </w:r>
          </w:p>
        </w:tc>
      </w:tr>
      <w:tr w:rsidR="00FA5B54" w14:paraId="19D6F7ED" w14:textId="77777777" w:rsidTr="00907CEB">
        <w:trPr>
          <w:trHeight w:val="2114"/>
          <w:jc w:val="center"/>
        </w:trPr>
        <w:tc>
          <w:tcPr>
            <w:tcW w:w="1404" w:type="dxa"/>
            <w:vAlign w:val="center"/>
          </w:tcPr>
          <w:p w14:paraId="134DAE50" w14:textId="77777777" w:rsidR="00FA5B54" w:rsidRPr="0050088B" w:rsidRDefault="00FA5B54" w:rsidP="00907CEB">
            <w:pPr>
              <w:spacing w:line="276" w:lineRule="auto"/>
              <w:jc w:val="center"/>
              <w:rPr>
                <w:rFonts w:eastAsia="Times New Roman"/>
                <w:color w:val="000000"/>
                <w:lang w:val="pt-BR"/>
              </w:rPr>
            </w:pPr>
            <w:r w:rsidRPr="0050088B">
              <w:rPr>
                <w:rFonts w:eastAsia="Times New Roman"/>
                <w:color w:val="000000"/>
                <w:lang w:val="pt-BR"/>
              </w:rPr>
              <w:t xml:space="preserve">Guandu River </w:t>
            </w:r>
            <w:proofErr w:type="spellStart"/>
            <w:r w:rsidRPr="0050088B">
              <w:rPr>
                <w:rFonts w:eastAsia="Times New Roman"/>
                <w:color w:val="000000"/>
                <w:lang w:val="pt-BR"/>
              </w:rPr>
              <w:t>Basin</w:t>
            </w:r>
            <w:proofErr w:type="spellEnd"/>
            <w:r w:rsidRPr="0050088B">
              <w:rPr>
                <w:rFonts w:eastAsia="Times New Roman"/>
                <w:color w:val="000000"/>
                <w:lang w:val="pt-BR"/>
              </w:rPr>
              <w:t xml:space="preserve">, Rio de Janeiro, </w:t>
            </w:r>
            <w:proofErr w:type="spellStart"/>
            <w:r w:rsidRPr="0050088B">
              <w:rPr>
                <w:rFonts w:eastAsia="Times New Roman"/>
                <w:color w:val="000000"/>
                <w:lang w:val="pt-BR"/>
              </w:rPr>
              <w:t>Brazil</w:t>
            </w:r>
            <w:proofErr w:type="spellEnd"/>
          </w:p>
        </w:tc>
        <w:tc>
          <w:tcPr>
            <w:tcW w:w="891" w:type="dxa"/>
            <w:vAlign w:val="center"/>
          </w:tcPr>
          <w:p w14:paraId="2624EC76" w14:textId="77777777" w:rsidR="00FA5B54" w:rsidRDefault="00FA5B54" w:rsidP="00907CEB">
            <w:pPr>
              <w:spacing w:line="276" w:lineRule="auto"/>
              <w:jc w:val="center"/>
              <w:rPr>
                <w:rFonts w:eastAsia="Times New Roman"/>
                <w:color w:val="000000"/>
              </w:rPr>
            </w:pPr>
            <w:r>
              <w:rPr>
                <w:rFonts w:eastAsia="Times New Roman"/>
                <w:color w:val="000000"/>
              </w:rPr>
              <w:t>2020, 2021</w:t>
            </w:r>
          </w:p>
        </w:tc>
        <w:tc>
          <w:tcPr>
            <w:tcW w:w="1255" w:type="dxa"/>
            <w:vAlign w:val="center"/>
          </w:tcPr>
          <w:p w14:paraId="71902396" w14:textId="77777777" w:rsidR="00FA5B54" w:rsidRDefault="00FA5B54" w:rsidP="00907CEB">
            <w:pPr>
              <w:spacing w:line="276" w:lineRule="auto"/>
              <w:jc w:val="center"/>
              <w:rPr>
                <w:rFonts w:eastAsia="Times New Roman"/>
                <w:color w:val="000000"/>
              </w:rPr>
            </w:pPr>
            <w:r>
              <w:rPr>
                <w:rFonts w:eastAsia="Times New Roman"/>
                <w:color w:val="000000"/>
              </w:rPr>
              <w:t>Water quality degradation</w:t>
            </w:r>
          </w:p>
        </w:tc>
        <w:tc>
          <w:tcPr>
            <w:tcW w:w="3015" w:type="dxa"/>
            <w:vAlign w:val="center"/>
          </w:tcPr>
          <w:p w14:paraId="41B21E97" w14:textId="77777777" w:rsidR="00FA5B54" w:rsidRDefault="00FA5B54" w:rsidP="00907CEB">
            <w:pPr>
              <w:spacing w:line="276" w:lineRule="auto"/>
              <w:jc w:val="center"/>
              <w:rPr>
                <w:rFonts w:eastAsia="Times New Roman"/>
                <w:color w:val="000000"/>
              </w:rPr>
            </w:pPr>
            <w:r>
              <w:rPr>
                <w:rFonts w:eastAsia="Times New Roman"/>
                <w:color w:val="000000"/>
              </w:rPr>
              <w:t>High levels of dissolved total phosphorus, cyanobacteria, and enteric bacteria affecting the WTP causing eutrophication. Potable water driven from the river had high levels of 2-MIB/</w:t>
            </w:r>
            <w:proofErr w:type="spellStart"/>
            <w:r>
              <w:rPr>
                <w:rFonts w:eastAsia="Times New Roman"/>
                <w:color w:val="000000"/>
              </w:rPr>
              <w:t>geosmin</w:t>
            </w:r>
            <w:proofErr w:type="spellEnd"/>
            <w:r>
              <w:rPr>
                <w:rFonts w:eastAsia="Times New Roman"/>
                <w:color w:val="000000"/>
              </w:rPr>
              <w:t>.</w:t>
            </w:r>
          </w:p>
        </w:tc>
        <w:tc>
          <w:tcPr>
            <w:tcW w:w="2790" w:type="dxa"/>
            <w:vAlign w:val="center"/>
          </w:tcPr>
          <w:p w14:paraId="694C4C50" w14:textId="77777777" w:rsidR="00FA5B54" w:rsidRDefault="00FA5B54" w:rsidP="00907CEB">
            <w:pPr>
              <w:spacing w:line="276" w:lineRule="auto"/>
              <w:jc w:val="center"/>
              <w:rPr>
                <w:rFonts w:eastAsia="Times New Roman"/>
                <w:color w:val="000000"/>
              </w:rPr>
            </w:pPr>
            <w:r>
              <w:rPr>
                <w:rFonts w:eastAsia="Times New Roman"/>
                <w:color w:val="000000"/>
              </w:rPr>
              <w:t xml:space="preserve">Series of water supply interruptions. Consumer </w:t>
            </w:r>
            <w:r>
              <w:rPr>
                <w:rFonts w:eastAsia="Times New Roman"/>
              </w:rPr>
              <w:t>dissatisfaction</w:t>
            </w:r>
            <w:r>
              <w:rPr>
                <w:rFonts w:eastAsia="Times New Roman"/>
                <w:color w:val="000000"/>
              </w:rPr>
              <w:t xml:space="preserve"> given to taste and </w:t>
            </w:r>
            <w:proofErr w:type="spellStart"/>
            <w:r>
              <w:rPr>
                <w:rFonts w:eastAsia="Times New Roman"/>
              </w:rPr>
              <w:t>odour</w:t>
            </w:r>
            <w:proofErr w:type="spellEnd"/>
            <w:r>
              <w:rPr>
                <w:rFonts w:eastAsia="Times New Roman"/>
                <w:color w:val="000000"/>
              </w:rPr>
              <w:t xml:space="preserve"> of treated water, leading to </w:t>
            </w:r>
            <w:r>
              <w:rPr>
                <w:rFonts w:eastAsia="Times New Roman"/>
              </w:rPr>
              <w:t xml:space="preserve">the </w:t>
            </w:r>
            <w:r>
              <w:rPr>
                <w:rFonts w:eastAsia="Times New Roman"/>
                <w:color w:val="000000"/>
              </w:rPr>
              <w:t xml:space="preserve">search for mineral water. </w:t>
            </w:r>
            <w:r>
              <w:rPr>
                <w:rFonts w:eastAsia="Times New Roman"/>
              </w:rPr>
              <w:t>A penalty</w:t>
            </w:r>
            <w:r>
              <w:rPr>
                <w:rFonts w:eastAsia="Times New Roman"/>
                <w:color w:val="000000"/>
              </w:rPr>
              <w:t xml:space="preserve"> of 1,06 million to the state water utility in 2020.</w:t>
            </w:r>
          </w:p>
        </w:tc>
        <w:tc>
          <w:tcPr>
            <w:tcW w:w="3060" w:type="dxa"/>
            <w:vAlign w:val="center"/>
          </w:tcPr>
          <w:p w14:paraId="2F188184" w14:textId="77777777" w:rsidR="00FA5B54" w:rsidRDefault="00FA5B54" w:rsidP="00907CEB">
            <w:pPr>
              <w:spacing w:line="276" w:lineRule="auto"/>
              <w:jc w:val="center"/>
              <w:rPr>
                <w:rFonts w:eastAsia="Times New Roman"/>
                <w:color w:val="000000"/>
              </w:rPr>
            </w:pPr>
            <w:r>
              <w:rPr>
                <w:rFonts w:eastAsia="Times New Roman"/>
                <w:color w:val="000000"/>
              </w:rPr>
              <w:t xml:space="preserve">Use of activated charcoal in the treatment process. Use of </w:t>
            </w:r>
            <w:proofErr w:type="spellStart"/>
            <w:r>
              <w:rPr>
                <w:rFonts w:eastAsia="Times New Roman"/>
                <w:color w:val="000000"/>
              </w:rPr>
              <w:t>Phoslock</w:t>
            </w:r>
            <w:proofErr w:type="spellEnd"/>
            <w:r>
              <w:rPr>
                <w:rFonts w:eastAsia="Times New Roman"/>
                <w:color w:val="000000"/>
              </w:rPr>
              <w:t xml:space="preserve"> in lagoons. Opening the floodgates for flow with greater volume and speed, partially renewing the water in the lagoon.</w:t>
            </w:r>
          </w:p>
        </w:tc>
        <w:tc>
          <w:tcPr>
            <w:tcW w:w="1800" w:type="dxa"/>
            <w:vAlign w:val="center"/>
          </w:tcPr>
          <w:p w14:paraId="5A2D605F" w14:textId="77777777" w:rsidR="00FA5B54" w:rsidRDefault="00FA5B54" w:rsidP="00907CEB">
            <w:pPr>
              <w:spacing w:line="276" w:lineRule="auto"/>
              <w:jc w:val="center"/>
              <w:rPr>
                <w:rFonts w:eastAsia="Times New Roman"/>
                <w:color w:val="000000"/>
              </w:rPr>
            </w:pPr>
            <w:r>
              <w:rPr>
                <w:rFonts w:eastAsia="Times New Roman"/>
                <w:color w:val="000000"/>
              </w:rPr>
              <w:fldChar w:fldCharType="begin" w:fldLock="1"/>
            </w:r>
            <w:r>
              <w:rPr>
                <w:rFonts w:eastAsia="Times New Roman"/>
                <w:color w:val="000000"/>
              </w:rPr>
              <w:instrText>ADDIN CSL_CITATION {"citationItems":[{"id":"ITEM-1","itemData":{"DOI":"10.1007/s00248-021-01839-z","ISBN":"0123456789","ISSN":"1432184X","abstract":"The Guandu River, one of the main rivers in the state of Rio de Janeiro, provides water for more than nine million people in the metropolitan region. However, the Guandu has suffered from massive domestic and industrial pollution for more than two decades, leading to high levels of dissolved total phosphorus, cyanobacteria, and enteric bacteria observed during the summers of 2020 and 2021. The use of Phoslock, a palliative compound, was not effective in mitigating the levels of phosphorus in the Guandu River. Furthermore, potable water driven from the river had levels of 2-MIB/geosmin and a mud smell/taste. With all these problems, several solutions are proposed for improving the Guandu River water quality, including establishment of (i) sewage treatment plants (STPs), (ii) strict water quality monitoring, (iii) environmental recovery (e.g., reforestation), and (iv) permanent protected areas. The objective of this paper is to verify the poor water quality in the Guandu and the ineffectiveness and undesired effects of Phoslock.","author":[{"dropping-particle":"","family":"Bacha","given":"Leonardo","non-dropping-particle":"","parse-names":false,"suffix":""},{"dropping-particle":"","family":"Ventura","given":"Rodrigo","non-dropping-particle":"","parse-names":false,"suffix":""},{"dropping-particle":"","family":"Barrios","given":"Maria","non-dropping-particle":"","parse-names":false,"suffix":""},{"dropping-particle":"","family":"Seabra","given":"Jean","non-dropping-particle":"","parse-names":false,"suffix":""},{"dropping-particle":"","family":"Tschoeke","given":"Diogo","non-dropping-particle":"","parse-names":false,"suffix":""},{"dropping-particle":"","family":"Garcia","given":"Gizele","non-dropping-particle":"","parse-names":false,"suffix":""},{"dropping-particle":"","family":"Masi","given":"Bruno","non-dropping-particle":"","parse-names":false,"suffix":""},{"dropping-particle":"","family":"Macedo","given":"Larissa","non-dropping-particle":"","parse-names":false,"suffix":""},{"dropping-particle":"","family":"Godoy","given":"Jose Marcus de O.","non-dropping-particle":"","parse-names":false,"suffix":""},{"dropping-particle":"","family":"Cosenza","given":"Carlos","non-dropping-particle":"","parse-names":false,"suffix":""},{"dropping-particle":"","family":"Rezende","given":"Carlos E.","non-dropping-particle":"de","parse-names":false,"suffix":""},{"dropping-particle":"","family":"Lima","given":"Vinicius","non-dropping-particle":"","parse-names":false,"suffix":""},{"dropping-particle":"","family":"Ottoni","given":"Adacto B.","non-dropping-particle":"","parse-names":false,"suffix":""},{"dropping-particle":"","family":"Thompson","given":"Cristiane","non-dropping-particle":"","parse-names":false,"suffix":""},{"dropping-particle":"","family":"Thompson","given":"Fabiano","non-dropping-particle":"","parse-names":false,"suffix":""}],"container-title":"Microbial Ecology","id":"ITEM-1","issue":"0123456789","issued":{"date-parts":[["2021"]]},"title":"Risk of Collapse in Water Quality in the Guandu River (Rio de Janeiro, Brazil)","type":"article-journal"},"uris":["http://www.mendeley.com/documents/?uuid=725413f9-5c28-4c7a-a2cd-e96fe5c93d50"]},{"id":"ITEM-2","itemData":{"author":[{"dropping-particle":"","family":"Rodrigues","given":"L","non-dropping-particle":"","parse-names":false,"suffix":""}],"container-title":"Agência Brasil","id":"ITEM-2","issued":{"date-parts":[["2021"]]},"page":"1-5","title":"Crise da água no Rio : Cedae suspende e retoma operação no Guandu","type":"article-newspaper"},"uris":["http://www.mendeley.com/documents/?uuid=e9ac911d-2d91-49ab-8bcc-dfc81bdc1bc4"]}],"mendeley":{"formattedCitation":"(Bacha et al., 2021; Rodrigues, 2021)","manualFormatting":"Bacha et al., (2021); Rodrigues (2021)","plainTextFormattedCitation":"(Bacha et al., 2021; Rodrigues, 2021)","previouslyFormattedCitation":"(Bacha et al., 2021; Rodrigues, 2021)"},"properties":{"noteIndex":0},"schema":"https://github.com/citation-style-language/schema/raw/master/csl-citation.json"}</w:instrText>
            </w:r>
            <w:r>
              <w:rPr>
                <w:rFonts w:eastAsia="Times New Roman"/>
                <w:color w:val="000000"/>
              </w:rPr>
              <w:fldChar w:fldCharType="separate"/>
            </w:r>
            <w:r w:rsidRPr="00E10529">
              <w:rPr>
                <w:rFonts w:eastAsia="Times New Roman"/>
                <w:noProof/>
                <w:color w:val="000000"/>
              </w:rPr>
              <w:t xml:space="preserve">Bacha et al., </w:t>
            </w:r>
            <w:r>
              <w:rPr>
                <w:rFonts w:eastAsia="Times New Roman"/>
                <w:noProof/>
                <w:color w:val="000000"/>
              </w:rPr>
              <w:t>(</w:t>
            </w:r>
            <w:r w:rsidRPr="00E10529">
              <w:rPr>
                <w:rFonts w:eastAsia="Times New Roman"/>
                <w:noProof/>
                <w:color w:val="000000"/>
              </w:rPr>
              <w:t>2021</w:t>
            </w:r>
            <w:r>
              <w:rPr>
                <w:rFonts w:eastAsia="Times New Roman"/>
                <w:noProof/>
                <w:color w:val="000000"/>
              </w:rPr>
              <w:t>)</w:t>
            </w:r>
            <w:r w:rsidRPr="00E10529">
              <w:rPr>
                <w:rFonts w:eastAsia="Times New Roman"/>
                <w:noProof/>
                <w:color w:val="000000"/>
              </w:rPr>
              <w:t xml:space="preserve">; Rodrigues </w:t>
            </w:r>
            <w:r>
              <w:rPr>
                <w:rFonts w:eastAsia="Times New Roman"/>
                <w:noProof/>
                <w:color w:val="000000"/>
              </w:rPr>
              <w:t>(</w:t>
            </w:r>
            <w:r w:rsidRPr="00E10529">
              <w:rPr>
                <w:rFonts w:eastAsia="Times New Roman"/>
                <w:noProof/>
                <w:color w:val="000000"/>
              </w:rPr>
              <w:t>2021)</w:t>
            </w:r>
            <w:r>
              <w:rPr>
                <w:rFonts w:eastAsia="Times New Roman"/>
                <w:color w:val="000000"/>
              </w:rPr>
              <w:fldChar w:fldCharType="end"/>
            </w:r>
            <w:r>
              <w:rPr>
                <w:rFonts w:eastAsia="Times New Roman"/>
                <w:color w:val="000000"/>
              </w:rPr>
              <w:t>.</w:t>
            </w:r>
          </w:p>
        </w:tc>
      </w:tr>
      <w:tr w:rsidR="00FA5B54" w14:paraId="1FA15427" w14:textId="77777777" w:rsidTr="00907CEB">
        <w:trPr>
          <w:trHeight w:val="1871"/>
          <w:jc w:val="center"/>
        </w:trPr>
        <w:tc>
          <w:tcPr>
            <w:tcW w:w="1404" w:type="dxa"/>
            <w:vAlign w:val="center"/>
          </w:tcPr>
          <w:p w14:paraId="66F209A6" w14:textId="77777777" w:rsidR="00FA5B54" w:rsidRPr="00A01938" w:rsidRDefault="00FA5B54" w:rsidP="00907CEB">
            <w:pPr>
              <w:spacing w:line="276" w:lineRule="auto"/>
              <w:jc w:val="center"/>
              <w:rPr>
                <w:rFonts w:eastAsia="Times New Roman"/>
                <w:color w:val="000000"/>
                <w:lang w:val="pt-BR"/>
              </w:rPr>
            </w:pPr>
            <w:r w:rsidRPr="00A01938">
              <w:rPr>
                <w:rFonts w:eastAsia="Times New Roman"/>
                <w:color w:val="000000"/>
                <w:lang w:val="pt-BR"/>
              </w:rPr>
              <w:t xml:space="preserve">São Paulo Metropolitan </w:t>
            </w:r>
            <w:proofErr w:type="spellStart"/>
            <w:r w:rsidRPr="00A01938">
              <w:rPr>
                <w:rFonts w:eastAsia="Times New Roman"/>
                <w:color w:val="000000"/>
                <w:lang w:val="pt-BR"/>
              </w:rPr>
              <w:t>Region</w:t>
            </w:r>
            <w:proofErr w:type="spellEnd"/>
            <w:r w:rsidRPr="00A01938">
              <w:rPr>
                <w:rFonts w:eastAsia="Times New Roman"/>
                <w:color w:val="000000"/>
                <w:lang w:val="pt-BR"/>
              </w:rPr>
              <w:t xml:space="preserve"> (</w:t>
            </w:r>
            <w:proofErr w:type="spellStart"/>
            <w:r w:rsidRPr="00A01938">
              <w:rPr>
                <w:rFonts w:eastAsia="Times New Roman"/>
                <w:color w:val="000000"/>
                <w:lang w:val="pt-BR"/>
              </w:rPr>
              <w:t>Brazil</w:t>
            </w:r>
            <w:proofErr w:type="spellEnd"/>
            <w:r w:rsidRPr="00A01938">
              <w:rPr>
                <w:rFonts w:eastAsia="Times New Roman"/>
                <w:color w:val="000000"/>
                <w:lang w:val="pt-BR"/>
              </w:rPr>
              <w:t>)</w:t>
            </w:r>
          </w:p>
        </w:tc>
        <w:tc>
          <w:tcPr>
            <w:tcW w:w="891" w:type="dxa"/>
            <w:vAlign w:val="center"/>
          </w:tcPr>
          <w:p w14:paraId="6E691B3D" w14:textId="77777777" w:rsidR="00FA5B54" w:rsidRDefault="00FA5B54" w:rsidP="00907CEB">
            <w:pPr>
              <w:spacing w:line="276" w:lineRule="auto"/>
              <w:jc w:val="center"/>
              <w:rPr>
                <w:rFonts w:eastAsia="Times New Roman"/>
                <w:color w:val="000000"/>
              </w:rPr>
            </w:pPr>
            <w:r>
              <w:rPr>
                <w:rFonts w:eastAsia="Times New Roman"/>
                <w:color w:val="000000"/>
              </w:rPr>
              <w:t>2013-2015</w:t>
            </w:r>
          </w:p>
        </w:tc>
        <w:tc>
          <w:tcPr>
            <w:tcW w:w="1255" w:type="dxa"/>
            <w:vAlign w:val="center"/>
          </w:tcPr>
          <w:p w14:paraId="5146EF9E" w14:textId="77777777" w:rsidR="00FA5B54" w:rsidRDefault="00FA5B54" w:rsidP="00907CEB">
            <w:pPr>
              <w:spacing w:line="276" w:lineRule="auto"/>
              <w:jc w:val="center"/>
              <w:rPr>
                <w:rFonts w:eastAsia="Times New Roman"/>
                <w:color w:val="000000"/>
              </w:rPr>
            </w:pPr>
            <w:r>
              <w:rPr>
                <w:rFonts w:eastAsia="Times New Roman"/>
              </w:rPr>
              <w:t>Hydrological d</w:t>
            </w:r>
            <w:r>
              <w:rPr>
                <w:rFonts w:eastAsia="Times New Roman"/>
                <w:color w:val="000000"/>
              </w:rPr>
              <w:t>rought and associated water quality degradation</w:t>
            </w:r>
          </w:p>
        </w:tc>
        <w:tc>
          <w:tcPr>
            <w:tcW w:w="3015" w:type="dxa"/>
            <w:vAlign w:val="center"/>
          </w:tcPr>
          <w:p w14:paraId="29634F00" w14:textId="77777777" w:rsidR="00FA5B54" w:rsidRDefault="00FA5B54" w:rsidP="00907CEB">
            <w:pPr>
              <w:spacing w:line="276" w:lineRule="auto"/>
              <w:jc w:val="center"/>
              <w:rPr>
                <w:rFonts w:eastAsia="Times New Roman"/>
                <w:color w:val="000000"/>
              </w:rPr>
            </w:pPr>
            <w:r>
              <w:rPr>
                <w:rFonts w:eastAsia="Times New Roman"/>
                <w:color w:val="000000"/>
              </w:rPr>
              <w:t>Reduced levels of flow in the reservoir systems due to reduced precipitation records.</w:t>
            </w:r>
          </w:p>
        </w:tc>
        <w:tc>
          <w:tcPr>
            <w:tcW w:w="2790" w:type="dxa"/>
            <w:vAlign w:val="center"/>
          </w:tcPr>
          <w:p w14:paraId="61DA7B3B" w14:textId="77777777" w:rsidR="00FA5B54" w:rsidRDefault="00FA5B54" w:rsidP="00907CEB">
            <w:pPr>
              <w:spacing w:line="276" w:lineRule="auto"/>
              <w:jc w:val="center"/>
              <w:rPr>
                <w:rFonts w:eastAsia="Times New Roman"/>
                <w:color w:val="000000"/>
              </w:rPr>
            </w:pPr>
            <w:r>
              <w:rPr>
                <w:rFonts w:eastAsia="Times New Roman"/>
                <w:color w:val="000000"/>
              </w:rPr>
              <w:t xml:space="preserve">Water utility massive revenue reduction profit </w:t>
            </w:r>
            <w:r>
              <w:rPr>
                <w:rFonts w:eastAsia="Times New Roman"/>
              </w:rPr>
              <w:t xml:space="preserve">of </w:t>
            </w:r>
            <w:r>
              <w:rPr>
                <w:rFonts w:eastAsia="Times New Roman"/>
                <w:color w:val="000000"/>
              </w:rPr>
              <w:t xml:space="preserve">close to 60%. Direct and indirect economic losses in other sectors </w:t>
            </w:r>
            <w:r>
              <w:rPr>
                <w:rFonts w:eastAsia="Times New Roman"/>
              </w:rPr>
              <w:t xml:space="preserve">are </w:t>
            </w:r>
            <w:r>
              <w:rPr>
                <w:rFonts w:eastAsia="Times New Roman"/>
                <w:color w:val="000000"/>
              </w:rPr>
              <w:t>dependent on the water supplied by the water utility.</w:t>
            </w:r>
          </w:p>
        </w:tc>
        <w:tc>
          <w:tcPr>
            <w:tcW w:w="3060" w:type="dxa"/>
            <w:vAlign w:val="center"/>
          </w:tcPr>
          <w:p w14:paraId="15B6642C" w14:textId="77777777" w:rsidR="00FA5B54" w:rsidRDefault="00FA5B54" w:rsidP="00907CEB">
            <w:pPr>
              <w:spacing w:line="276" w:lineRule="auto"/>
              <w:jc w:val="center"/>
              <w:rPr>
                <w:rFonts w:eastAsia="Times New Roman"/>
                <w:color w:val="000000"/>
              </w:rPr>
            </w:pPr>
            <w:r>
              <w:rPr>
                <w:rFonts w:eastAsia="Times New Roman"/>
                <w:color w:val="000000"/>
              </w:rPr>
              <w:t>Drought surcharges; advertising campaign; penalty and bonus tariff; pressure reduction; transfer for other reservoirs; reduced consumption; dead volume extraction; water treatment costs increase.</w:t>
            </w:r>
          </w:p>
        </w:tc>
        <w:tc>
          <w:tcPr>
            <w:tcW w:w="1800" w:type="dxa"/>
            <w:vAlign w:val="center"/>
          </w:tcPr>
          <w:p w14:paraId="112DA861" w14:textId="77777777" w:rsidR="00FA5B54" w:rsidRDefault="00FA5B54" w:rsidP="00907CEB">
            <w:pPr>
              <w:spacing w:line="276" w:lineRule="auto"/>
              <w:jc w:val="center"/>
              <w:rPr>
                <w:rFonts w:eastAsia="Times New Roman"/>
                <w:color w:val="000000"/>
              </w:rPr>
            </w:pPr>
            <w:r>
              <w:rPr>
                <w:rFonts w:eastAsia="Times New Roman"/>
                <w:color w:val="000000"/>
              </w:rPr>
              <w:fldChar w:fldCharType="begin" w:fldLock="1"/>
            </w:r>
            <w:r>
              <w:rPr>
                <w:rFonts w:eastAsia="Times New Roman"/>
                <w:color w:val="000000"/>
              </w:rPr>
              <w:instrText>ADDIN CSL_CITATION {"citationItems":[{"id":"ITEM-1","itemData":{"DOI":"10.1080/02508060.2016.1188352","ISSN":"02508060","abstract":"Integrating seasonal patterns of water availability and land-use/land-cover change is crucial in watershed planning. Often, these are not considered under hydrological extremes affecting decision making. This article presents results from a multi-site, nested catchment experiment carried out during a dry period in the Cantareira Water Supply System, South-East Brazil, linking quali-quantitative freshwater monitoring to land-use/land-cover change. Results from 17 catchments show regional behaviour for nitrate loads and drainage areas (0.66–925 km2). An inverse correlation between forest cover and water yield was observed. Despite forest growth in spatial extent, nutrient loads showed potential hazards for water security.","author":[{"dropping-particle":"","family":"Taffarello","given":"Denise","non-dropping-particle":"","parse-names":false,"suffix":""},{"dropping-particle":"","family":"Samprogna Mohor","given":"Guilherme","non-dropping-particle":"","parse-names":false,"suffix":""},{"dropping-particle":"","family":"Carmo Calijuri","given":"Maria","non-dropping-particle":"do","parse-names":false,"suffix":""},{"dropping-particle":"","family":"Mendiondo","given":"Eduardo Mario","non-dropping-particle":"","parse-names":false,"suffix":""}],"container-title":"Water International","id":"ITEM-1","issue":"5","issued":{"date-parts":[["2016"]]},"page":"776-800","title":"Field investigations of the 2013–14 drought through quali-quantitative freshwater monitoring at the headwaters of the Cantareira System, Brazil","type":"article-journal","volume":"41"},"uris":["http://www.mendeley.com/documents/?uuid=759798e1-b9fb-4401-8d74-3f34e5e28ca4"]},{"id":"ITEM-2","itemData":{"DOI":"10.3390/w12112954","ISSN":"20734441","abstract":"The sustainability of water utility companies is threatened by non-stationary drivers, such as climate and anthropogenic changes. To cope with potential economic losses, instruments such as insurance are useful for planning scenarios and mitigating impacts, but data limitations and risk uncertainties affect premium estimation and, consequently, business sustainability. This research estimated the possible economic impacts of business interruption to the Sao Paulo Water Utility Company derived from hydrological drought and how this could be mitigated with an insurance scheme. Multi-year insurance (MYI) was proposed through a set of “change” drivers: the climate driver, through forcing the water evaluation and planning system (WEAP) hydrological tool; the anthropogenic driver, through water demand projections; and the economic driver, associated with recent water price policies adopted by the utility company during water scarcity periods. In our study case, the evaluated indices showed that MYI contracts that cover only longer droughts, regardless of the magnitude, offer better financial performance than contracts that cover all events (in terms of drought duration). Moreover, through MYI contracts, we demonstrate solvency for the insurance fund in the long term and an annual average actuarially fair premium close to the total expected revenue reduction.","author":[{"dropping-particle":"","family":"Guzmán","given":"Diego A.","non-dropping-particle":"","parse-names":false,"suffix":""},{"dropping-particle":"","family":"Mohor","given":"Guilherme S.","non-dropping-particle":"","parse-names":false,"suffix":""},{"dropping-particle":"","family":"Mendiondo","given":"Eduardo M.","non-dropping-particle":"","parse-names":false,"suffix":""}],"container-title":"Water (Switzerland)","id":"ITEM-2","issue":"11","issued":{"date-parts":[["2020"]]},"page":"1-22","title":"Multi-year index-based insurance for adapting water utility companies to hydrological drought: Case study of a water supply system of the sao paulo metropolitan region, brazil","type":"article-journal","volume":"12"},"uris":["http://www.mendeley.com/documents/?uuid=11cab522-f772-4c36-ac0f-a57bec5eea76"]},{"id":"ITEM-3","itemData":{"DOI":"10.1080/1573062X.2022.2047735","ISSN":"17449006","abstract":"Literature has suggested that droughts and societies are mutually shaped and, therefore, both require a better understanding of their coevolution on risk reduction and water adaptation. Although the São Paulo Metropolitan Region drew attention because of the 2013-2015 drought, this was not the first event. This paper revisits this event and the 1985-1986 drought to compare the evolution of drought risk management aspects. Documents and hydrological records are analyzed to evaluate the hazard intensity, preparedness, exposure, vulnerability, responses, and mitigation aspects of both events. Although the hazard intensity and exposure of the latter event were larger than the former one, the policy implementation delay and the dependency of service areas in a single reservoir exposed the region to higher vulnerability. In addition to the structural and non-structural tools implemented just after the events, this work raises the possibility of rainwater reuse for reducing the stress in reservoirs.","author":[{"dropping-particle":"","family":"Souza","given":"Felipe Augusto Arguello","non-dropping-particle":"","parse-names":false,"suffix":""},{"dropping-particle":"","family":"Samprogna Mohor","given":"Guilherme","non-dropping-particle":"","parse-names":false,"suffix":""},{"dropping-particle":"","family":"Guzmán Arias","given":"Diego Alejandro","non-dropping-particle":"","parse-names":false,"suffix":""},{"dropping-particle":"","family":"Buarque","given":"Ana Carolina Sarmento","non-dropping-particle":"","parse-names":false,"suffix":""},{"dropping-particle":"","family":"Taffarello","given":"Denise","non-dropping-particle":"","parse-names":false,"suffix":""},{"dropping-particle":"","family":"Mendiondo","given":"Eduardo Mario","non-dropping-particle":"","parse-names":false,"suffix":""}],"container-title":"Urban Water Journal","id":"ITEM-3","issue":"00","issued":{"date-parts":[["2022"]]},"page":"1-13","publisher":"Taylor &amp; Francis","title":"Droughts in São Paulo: challenges and lessons for a water-adaptive society","type":"article-journal","volume":"00"},"uris":["http://www.mendeley.com/documents/?uuid=03895369-9a32-4cce-9499-d31ca9f01fb8"]},{"id":"ITEM-4","itemData":{"DOI":"10.4236/jwarp.2016.82022","ISSN":"1945-3094","abstract":"Since the austral summer of 2014 southeastern Brazil has been experiencing one of the most severe droughts in decades. This rainfall deficiency has generated water shortages and a water crisis that have affected population and local economies in the metropolitan region of Sao Paulo, the largest megacity in South America. By January 2015, main reservoirs had reached storage levels of only 5% of their 1.3 billion m3 capacity. The meteorological causes of the drought situation were linked to changes in the regional circulation, characterized by a mid-troposphere blocking high that lasted 45 days during the summer of 2014 over southeastern Brazil, something not seen in five decades. The water crisis was aggravated by a combination of lack of rainfall and higher temperatures, the summer of 2014 being the warmest and driest over the Cantareira reservoir system since 1951. Increasing population and water consumption increased vulnerability in the region, and while human-induced warming may not have generated the atmospheric conditions behind the 2014 and 2015 summer droughts in Southeast Brazil, it is more likely that the warm temperatures have affected the severity of the drought and exacerbated the impacts on the population.","author":[{"dropping-particle":"","family":"Nobre","given":"Carlos A.","non-dropping-particle":"","parse-names":false,"suffix":""},{"dropping-particle":"","family":"Marengo","given":"Jose A.","non-dropping-particle":"","parse-names":false,"suffix":""},{"dropping-particle":"","family":"Seluchi","given":"Marcelo E.","non-dropping-particle":"","parse-names":false,"suffix":""},{"dropping-particle":"","family":"Cuartas","given":"L. Adriana","non-dropping-particle":"","parse-names":false,"suffix":""},{"dropping-particle":"","family":"Alves","given":"Lincoln M.","non-dropping-particle":"","parse-names":false,"suffix":""}],"container-title":"Journal of Water Resource and Protection","id":"ITEM-4","issue":"02","issued":{"date-parts":[["2016"]]},"page":"252-262","title":"Some Characteristics and Impacts of the Drought and Water Crisis in Southeastern Brazil during 2014 and 2015","type":"article-journal","volume":"08"},"uris":["http://www.mendeley.com/documents/?uuid=633ffb88-11fd-4936-a324-27ae6cf3cdc2"]},{"id":"ITEM-5","itemData":{"DOI":"10.11606/issn.2316-9036.v0i106p31-44","ISSN":"0103-9989","abstract":"A maior parte da estação chuvosa de 2014 transcorreu com valores de chuva inferiores à média histórica sobre a porção sudeste do país, incluindo o Sistema Cantareira. A causa principal para a grande falta de chuva foi a atuação de um intenso, persistente e anômalo sistema de alta pressão atmosférica que prejudicou o transporte de umidade da Amazônia, assim como a passagem/ desenvolvimento dos principais sistemas causadores de chuva, como a Zona de Convergência do Atlântico Sul e as frentes frias. Esse sistema, denominado de bloqueio atmosférico, teve uma duração de 45 dias, fato que resulta extremamente raro. A combinação dos baixos índices pluviométricos, o grande crescimento da demanda de água e o ineficiente gerenciamento desse recurso têm gerado uma “crise hídrica” durante os anos 2014 e 2015","author":[{"dropping-particle":"","family":"Marengo","given":"José A.","non-dropping-particle":"","parse-names":false,"suffix":""},{"dropping-particle":"","family":"Nobre","given":"Carlos Afonso","non-dropping-particle":"","parse-names":false,"suffix":""},{"dropping-particle":"","family":"Seluchi","given":"Marcelo Enrique","non-dropping-particle":"","parse-names":false,"suffix":""},{"dropping-particle":"","family":"Cuartas","given":"Adriana","non-dropping-particle":</w:instrText>
            </w:r>
            <w:r w:rsidRPr="00EF7B94">
              <w:rPr>
                <w:rFonts w:eastAsia="Times New Roman"/>
                <w:color w:val="000000"/>
                <w:lang w:val="pt-BR"/>
              </w:rPr>
              <w:instrText>"","parse-names":false,"suffix":""},{"dropping-particle":"","family":"Alves","given":"Lincoln Muniz","non-dropping-particle":"","parse-names":false,"suffix":""},{"dropping-particle":"","family":"Mendiondo","given":"Eduardo Mario","non-dropping-particle":"","parse-names":false,"suffix":""},{"dropping-particle":"","family":"Obregón","given":"Guillermo","non-dropping-particle":"","parse-names":false,"suffix":""},{"dropping-particle":"","family":"Sampaio","given":"Gilvan","non-dropping-particle":"","parse-names":false,"suffix":""}],"container-title":"Revista USP","id":"ITEM-5","issue":"106","issued":{"date-parts":[["2015"]]},"page":"31-44","title":"A seca e a crise hídrica de 2014-2015 em São Paulo","type":"article-journal"},"uris":["http://www.mendeley.com/documents/?uuid=dfcf2bf4-f81f-45c7-a564-fc5c3919c0cf"]}],"mendeley":{"formattedCitation":"(Guzmán et al., 2020; Marengo et al., 2015; Nobre et al., 2016; Souza et al., 2022; Taffarello et al., 2016)","manualFormatting":"Guzmán et al., (2020); Marengo et al. (2015); Nobre et al. (2016); Souza et al. (2022); Taffarello et al. (2016)","plainTextFormattedCitation":"(Guzmán et al., 2020; Marengo et al., 2015; Nobre et al., 2016; Souza et al., 2022; Taffarello et al., 2016)","previouslyFormattedCitation":"(Guzmán et al., 2020; Marengo et al., 2015; Nobre et al., 2016; Souza et al., 2022; Taffarello et al., 2016)"},"properties":{"noteIndex":0},"schema":"https://github.com/citation-style-language/schema/raw/master/csl-citation.json"}</w:instrText>
            </w:r>
            <w:r>
              <w:rPr>
                <w:rFonts w:eastAsia="Times New Roman"/>
                <w:color w:val="000000"/>
              </w:rPr>
              <w:fldChar w:fldCharType="separate"/>
            </w:r>
            <w:r w:rsidRPr="00EF7B94">
              <w:rPr>
                <w:rFonts w:eastAsia="Times New Roman"/>
                <w:noProof/>
                <w:color w:val="000000"/>
                <w:lang w:val="pt-BR"/>
              </w:rPr>
              <w:t xml:space="preserve">Guzmán et al., (2020); Marengo et al. (2015); Nobre et al. (2016); Souza et al. </w:t>
            </w:r>
            <w:r>
              <w:rPr>
                <w:rFonts w:eastAsia="Times New Roman"/>
                <w:noProof/>
                <w:color w:val="000000"/>
              </w:rPr>
              <w:t>(</w:t>
            </w:r>
            <w:r w:rsidRPr="00A01938">
              <w:rPr>
                <w:rFonts w:eastAsia="Times New Roman"/>
                <w:noProof/>
                <w:color w:val="000000"/>
              </w:rPr>
              <w:t>2022</w:t>
            </w:r>
            <w:r>
              <w:rPr>
                <w:rFonts w:eastAsia="Times New Roman"/>
                <w:noProof/>
                <w:color w:val="000000"/>
              </w:rPr>
              <w:t>)</w:t>
            </w:r>
            <w:r w:rsidRPr="00A01938">
              <w:rPr>
                <w:rFonts w:eastAsia="Times New Roman"/>
                <w:noProof/>
                <w:color w:val="000000"/>
              </w:rPr>
              <w:t xml:space="preserve">; Taffarello et al. </w:t>
            </w:r>
            <w:r>
              <w:rPr>
                <w:rFonts w:eastAsia="Times New Roman"/>
                <w:noProof/>
                <w:color w:val="000000"/>
              </w:rPr>
              <w:t>(</w:t>
            </w:r>
            <w:r w:rsidRPr="00A01938">
              <w:rPr>
                <w:rFonts w:eastAsia="Times New Roman"/>
                <w:noProof/>
                <w:color w:val="000000"/>
              </w:rPr>
              <w:t>2016)</w:t>
            </w:r>
            <w:r>
              <w:rPr>
                <w:rFonts w:eastAsia="Times New Roman"/>
                <w:color w:val="000000"/>
              </w:rPr>
              <w:fldChar w:fldCharType="end"/>
            </w:r>
            <w:r>
              <w:rPr>
                <w:rFonts w:eastAsia="Times New Roman"/>
                <w:color w:val="000000"/>
              </w:rPr>
              <w:t>.</w:t>
            </w:r>
          </w:p>
        </w:tc>
      </w:tr>
      <w:tr w:rsidR="00FA5B54" w14:paraId="0BD164E0" w14:textId="77777777" w:rsidTr="00907CEB">
        <w:trPr>
          <w:trHeight w:val="2896"/>
          <w:jc w:val="center"/>
        </w:trPr>
        <w:tc>
          <w:tcPr>
            <w:tcW w:w="1404" w:type="dxa"/>
            <w:vAlign w:val="center"/>
          </w:tcPr>
          <w:p w14:paraId="0B261784" w14:textId="77777777" w:rsidR="00FA5B54" w:rsidRDefault="00FA5B54" w:rsidP="00907CEB">
            <w:pPr>
              <w:spacing w:line="276" w:lineRule="auto"/>
              <w:jc w:val="center"/>
              <w:rPr>
                <w:rFonts w:eastAsia="Times New Roman"/>
                <w:color w:val="000000"/>
              </w:rPr>
            </w:pPr>
            <w:r>
              <w:rPr>
                <w:rFonts w:eastAsia="Times New Roman"/>
                <w:color w:val="000000"/>
              </w:rPr>
              <w:t>Lake Erie Basin, Ohio, USA</w:t>
            </w:r>
          </w:p>
        </w:tc>
        <w:tc>
          <w:tcPr>
            <w:tcW w:w="891" w:type="dxa"/>
            <w:vAlign w:val="center"/>
          </w:tcPr>
          <w:p w14:paraId="4F60D109" w14:textId="77777777" w:rsidR="00FA5B54" w:rsidRDefault="00FA5B54" w:rsidP="00907CEB">
            <w:pPr>
              <w:spacing w:line="276" w:lineRule="auto"/>
              <w:jc w:val="center"/>
              <w:rPr>
                <w:rFonts w:eastAsia="Times New Roman"/>
                <w:color w:val="000000"/>
              </w:rPr>
            </w:pPr>
            <w:r>
              <w:rPr>
                <w:rFonts w:eastAsia="Times New Roman"/>
                <w:color w:val="000000"/>
              </w:rPr>
              <w:t>2011, 2012, 2014</w:t>
            </w:r>
          </w:p>
        </w:tc>
        <w:tc>
          <w:tcPr>
            <w:tcW w:w="1255" w:type="dxa"/>
            <w:vAlign w:val="center"/>
          </w:tcPr>
          <w:p w14:paraId="504014F2" w14:textId="77777777" w:rsidR="00FA5B54" w:rsidRDefault="00FA5B54" w:rsidP="00907CEB">
            <w:pPr>
              <w:spacing w:line="276" w:lineRule="auto"/>
              <w:jc w:val="center"/>
              <w:rPr>
                <w:rFonts w:eastAsia="Times New Roman"/>
                <w:color w:val="000000"/>
              </w:rPr>
            </w:pPr>
            <w:r>
              <w:rPr>
                <w:rFonts w:eastAsia="Times New Roman"/>
                <w:color w:val="000000"/>
              </w:rPr>
              <w:t xml:space="preserve">Water quality degradation (mainly) and </w:t>
            </w:r>
            <w:r>
              <w:rPr>
                <w:rFonts w:eastAsia="Times New Roman"/>
              </w:rPr>
              <w:t xml:space="preserve">Hydrological </w:t>
            </w:r>
            <w:r>
              <w:rPr>
                <w:rFonts w:eastAsia="Times New Roman"/>
                <w:color w:val="000000"/>
              </w:rPr>
              <w:t>drought (some years)</w:t>
            </w:r>
          </w:p>
        </w:tc>
        <w:tc>
          <w:tcPr>
            <w:tcW w:w="3015" w:type="dxa"/>
            <w:vAlign w:val="center"/>
          </w:tcPr>
          <w:p w14:paraId="4570571D" w14:textId="77777777" w:rsidR="00FA5B54" w:rsidRDefault="00FA5B54" w:rsidP="00907CEB">
            <w:pPr>
              <w:spacing w:line="276" w:lineRule="auto"/>
              <w:jc w:val="center"/>
              <w:rPr>
                <w:rFonts w:eastAsia="Times New Roman"/>
                <w:color w:val="000000"/>
              </w:rPr>
            </w:pPr>
            <w:r>
              <w:rPr>
                <w:rFonts w:eastAsia="Times New Roman"/>
                <w:color w:val="000000"/>
              </w:rPr>
              <w:t>Cyanobacterial bloom and hypoxia</w:t>
            </w:r>
          </w:p>
        </w:tc>
        <w:tc>
          <w:tcPr>
            <w:tcW w:w="2790" w:type="dxa"/>
            <w:vAlign w:val="center"/>
          </w:tcPr>
          <w:p w14:paraId="01CACD27" w14:textId="77777777" w:rsidR="00FA5B54" w:rsidRDefault="00FA5B54" w:rsidP="00907CEB">
            <w:pPr>
              <w:spacing w:line="276" w:lineRule="auto"/>
              <w:jc w:val="center"/>
              <w:rPr>
                <w:rFonts w:eastAsia="Times New Roman"/>
                <w:color w:val="000000"/>
              </w:rPr>
            </w:pPr>
            <w:proofErr w:type="spellStart"/>
            <w:r>
              <w:rPr>
                <w:rFonts w:eastAsia="Times New Roman"/>
                <w:color w:val="000000"/>
              </w:rPr>
              <w:t>Microcystins</w:t>
            </w:r>
            <w:proofErr w:type="spellEnd"/>
            <w:r>
              <w:rPr>
                <w:rFonts w:eastAsia="Times New Roman"/>
                <w:color w:val="000000"/>
              </w:rPr>
              <w:t xml:space="preserve"> levels exceed drinking and recreational water guidance values. Water supply interruption for 500,000 users. Lake Erie’s fishing and tourism industries were also affected.</w:t>
            </w:r>
          </w:p>
        </w:tc>
        <w:tc>
          <w:tcPr>
            <w:tcW w:w="3060" w:type="dxa"/>
            <w:vAlign w:val="center"/>
          </w:tcPr>
          <w:p w14:paraId="5C2D0DEF" w14:textId="77777777" w:rsidR="00FA5B54" w:rsidRDefault="00FA5B54" w:rsidP="00907CEB">
            <w:pPr>
              <w:spacing w:line="276" w:lineRule="auto"/>
              <w:jc w:val="center"/>
              <w:rPr>
                <w:rFonts w:eastAsia="Times New Roman"/>
                <w:color w:val="000000"/>
              </w:rPr>
            </w:pPr>
            <w:r>
              <w:rPr>
                <w:rFonts w:eastAsia="Times New Roman"/>
                <w:color w:val="000000"/>
              </w:rPr>
              <w:t>Increase in treatment cost due to chemical acquisitions; water destined for other parts of the state diverted to the affected region; search for alternative water resources.</w:t>
            </w:r>
          </w:p>
        </w:tc>
        <w:tc>
          <w:tcPr>
            <w:tcW w:w="1800" w:type="dxa"/>
            <w:vAlign w:val="center"/>
          </w:tcPr>
          <w:p w14:paraId="477C6F94" w14:textId="77777777" w:rsidR="00FA5B54" w:rsidRDefault="00FA5B54" w:rsidP="00907CEB">
            <w:pPr>
              <w:spacing w:line="276" w:lineRule="auto"/>
              <w:jc w:val="center"/>
              <w:rPr>
                <w:rFonts w:eastAsia="Times New Roman"/>
                <w:color w:val="000000"/>
              </w:rPr>
            </w:pPr>
            <w:r>
              <w:rPr>
                <w:rFonts w:eastAsia="Times New Roman"/>
                <w:color w:val="000000"/>
              </w:rPr>
              <w:fldChar w:fldCharType="begin" w:fldLock="1"/>
            </w:r>
            <w:r>
              <w:rPr>
                <w:rFonts w:eastAsia="Times New Roman"/>
                <w:color w:val="000000"/>
              </w:rPr>
              <w:instrText>ADDIN CSL_CITATION {"citationItems":[{"id":"ITEM-1","itemData":{"DOI":"10.1016/j.hal.2016.04.010","ISSN":"18781470","PMID":"28073496","abstract":"Lake Erie supplies drinking water to more than 11 million consumers, processes millions of gallons of wastewater, provides important species habitat and supports a substantial industrial sector, with &gt;$50 billion annual income to tourism, recreational boating, shipping, fisheries, and other industries. These and other key ecosystem services are currently threatened by an excess supply of nutrients, manifested in particular by increases in the magnitude and extent of harmful planktonic and benthic algal blooms (HABs) and hypoxia. Widespread concern for this important international waterbody has been manifested in a strong focus of scientific and public material on the subject, and commitments for Canada-US remedial actions in recent agreements among Federal, Provincial and State agencies. This review provides a retrospective synthesis of past and current nutrient inputs, impairments by planktonic and benthic HABs and hypoxia, modelling and Best Management Practices in the Lake Erie basin. The results demonstrate that phosphorus reduction is of primary importance, but the effects of climate, nitrogen and other factors should also be considered in the context of adaptive management. Actions to reduce nutrient levels by targeted Best Management Practices will likely need to be tailored for soil types, topography, and farming practices.","author":[{"dropping-particle":"","family":"Watson","given":"Susan B.","non-dropping-particle":"","parse-names":false,"suffix":""},{"dropping-particle":"","family":"Miller","given":"Carol","non-dropping-particle":"","parse-names":false,"suffix":""},{"dropping-particle":"","family":"Arhonditsis","given":"George","non-dropping-particle":"","parse-names":false,"suffix":""},{"dropping-particle":"","family":"Boyer","given":"Gregory L.","non-dropping-particle":"","parse-names":false,"suffix":""},{"dropping-particle":"","family":"Carmichael","given":"Wayne","non-dropping-particle":"","parse-names":false,"suffix":""},{"dropping-particle":"","family":"Charlton","given":"Murray N.","non-dropping-particle":"","parse-names":false,"suffix":""},{"dropping-particle":"","family":"Confesor","given":"Remegio","non-dropping-particle":"","parse-names":false,"suffix":""},{"dropping-particle":"","family":"Depew","given":"David C.","non-dropping-particle":"","parse-names":false,"suffix":""},{"dropping-particle":"","family":"Höök","given":"Tomas O.","non-dropping-particle":"","parse-names":false,"suffix":""},{"dropping-particle":"","family":"Ludsin","given":"Stuart A.","non-dropping-particle":"","parse-names":false,"suffix":""},{"dropping-particle":"","family":"Matisoff","given":"Gerald","non-dropping-particle":"","parse-names":false,"suffix":""},{"dropping-particle":"","family":"McElmurry","given":"Shawn P.","non-dropping-particle":"","parse-names":false,"suffix":""},{"dropping-particle":"","family":"Murray","given":"Michael W.","non-dropping-particle":"","parse-names":false,"suffix":""},{"dropping-particle":"","family":"Peter Richards","given":"R.","non-dropping-particle":"","parse-names":false,"suffix":""},{"dropping-particle":"","family":"Rao","given":"Yerubandi R.","non-dropping-particle":"","parse-names":false,"suffix":""},{"dropping-particle":"","family":"Steffen","given":"Morgan M.","non-dropping-particle":"","parse-names":false,"suffix":""},{"dropping-particle":"","family":"Wilhelm","given":"Steven W.","non-dropping-particle":"","parse-names":false,"suffix":""}],"container-title":"Harmful Algae","id":"ITEM-1","issued":{"date-parts":[["2016"]]},"page":"44-66","title":"The re-eutrophication of Lake Erie: Harmful algal blooms and hypoxia","type":"article-journal","volume":"56"},"uris":["http://www.mendeley.com/documents/?uuid=cb301199-cb51-45e1-820e-96d51fa1c539"]},{"id":"ITEM-2","itemData":{"author":[{"dropping-particle":"","family":"Dungjen","given":"T.","non-dropping-particle":"","parse-names":false,"suffix":""},{"dropping-particle":"","family":"Patch","given":"D.","non-dropping-particle":"","parse-names":false,"suffix":""}],"container-title":"Blade","id":"ITEM-2","issued":{"date-parts":[["2022"]]},"page":"1-5","title":"TOLEDO-AREA WATER ADVISORY EXPECTED TO CONTINUE THROUGH SUNDAY AS LEADERS AWAIT TESTS ; WATER STATIONS TO REMAIN OPEN MICROCYSTIN FOUND IN SAMPLES ; BOILING NOT RECOMMENDED","type":"article-newspaper"},"uris":["http://www.mendeley.com/documents/?uuid=0e5b1d0f-5e3a-4685-8a7a-60721e87703f"]}],"mendeley":{"formattedCitation":"(Dungjen &amp; Patch, 2022; Watson et al., 2016)","manualFormatting":"Dungjen &amp; Patch (2022); Watson et al. (2016)","plainTextFormattedCitation":"(Dungjen &amp; Patch, 2022; Watson et al., 2016)","previouslyFormattedCitation":"(Dungjen &amp; Patch, 2022; Watson et al., 2016)"},"properties":{"noteIndex":0},"schema":"https://github.com/citation-style-language/schema/raw/master/csl-citation.json"}</w:instrText>
            </w:r>
            <w:r>
              <w:rPr>
                <w:rFonts w:eastAsia="Times New Roman"/>
                <w:color w:val="000000"/>
              </w:rPr>
              <w:fldChar w:fldCharType="separate"/>
            </w:r>
            <w:r w:rsidRPr="001326FD">
              <w:rPr>
                <w:rFonts w:eastAsia="Times New Roman"/>
                <w:noProof/>
                <w:color w:val="000000"/>
              </w:rPr>
              <w:t xml:space="preserve">Dungjen &amp; Patch </w:t>
            </w:r>
            <w:r>
              <w:rPr>
                <w:rFonts w:eastAsia="Times New Roman"/>
                <w:noProof/>
                <w:color w:val="000000"/>
              </w:rPr>
              <w:t>(</w:t>
            </w:r>
            <w:r w:rsidRPr="001326FD">
              <w:rPr>
                <w:rFonts w:eastAsia="Times New Roman"/>
                <w:noProof/>
                <w:color w:val="000000"/>
              </w:rPr>
              <w:t>2022</w:t>
            </w:r>
            <w:r>
              <w:rPr>
                <w:rFonts w:eastAsia="Times New Roman"/>
                <w:noProof/>
                <w:color w:val="000000"/>
              </w:rPr>
              <w:t>)</w:t>
            </w:r>
            <w:r w:rsidRPr="001326FD">
              <w:rPr>
                <w:rFonts w:eastAsia="Times New Roman"/>
                <w:noProof/>
                <w:color w:val="000000"/>
              </w:rPr>
              <w:t xml:space="preserve">; Watson et al. </w:t>
            </w:r>
            <w:r>
              <w:rPr>
                <w:rFonts w:eastAsia="Times New Roman"/>
                <w:noProof/>
                <w:color w:val="000000"/>
              </w:rPr>
              <w:t>(</w:t>
            </w:r>
            <w:r w:rsidRPr="001326FD">
              <w:rPr>
                <w:rFonts w:eastAsia="Times New Roman"/>
                <w:noProof/>
                <w:color w:val="000000"/>
              </w:rPr>
              <w:t>2016)</w:t>
            </w:r>
            <w:r>
              <w:rPr>
                <w:rFonts w:eastAsia="Times New Roman"/>
                <w:color w:val="000000"/>
              </w:rPr>
              <w:fldChar w:fldCharType="end"/>
            </w:r>
            <w:r>
              <w:rPr>
                <w:rFonts w:eastAsia="Times New Roman"/>
                <w:color w:val="000000"/>
              </w:rPr>
              <w:t>.</w:t>
            </w:r>
          </w:p>
        </w:tc>
      </w:tr>
      <w:tr w:rsidR="00FA5B54" w14:paraId="608E0805" w14:textId="77777777" w:rsidTr="00907CEB">
        <w:trPr>
          <w:trHeight w:val="1259"/>
          <w:jc w:val="center"/>
        </w:trPr>
        <w:tc>
          <w:tcPr>
            <w:tcW w:w="1404" w:type="dxa"/>
            <w:vAlign w:val="center"/>
          </w:tcPr>
          <w:p w14:paraId="7B178C42" w14:textId="77777777" w:rsidR="00FA5B54" w:rsidRDefault="00FA5B54" w:rsidP="00907CEB">
            <w:pPr>
              <w:spacing w:line="276" w:lineRule="auto"/>
              <w:jc w:val="center"/>
              <w:rPr>
                <w:rFonts w:eastAsia="Times New Roman"/>
                <w:color w:val="000000"/>
              </w:rPr>
            </w:pPr>
            <w:r>
              <w:rPr>
                <w:rFonts w:eastAsia="Times New Roman"/>
                <w:color w:val="000000"/>
              </w:rPr>
              <w:lastRenderedPageBreak/>
              <w:t>Cape Town, South Africa</w:t>
            </w:r>
          </w:p>
        </w:tc>
        <w:tc>
          <w:tcPr>
            <w:tcW w:w="891" w:type="dxa"/>
            <w:vAlign w:val="center"/>
          </w:tcPr>
          <w:p w14:paraId="516CCA98" w14:textId="77777777" w:rsidR="00FA5B54" w:rsidRDefault="00FA5B54" w:rsidP="00907CEB">
            <w:pPr>
              <w:spacing w:line="276" w:lineRule="auto"/>
              <w:jc w:val="center"/>
              <w:rPr>
                <w:rFonts w:eastAsia="Times New Roman"/>
                <w:color w:val="000000"/>
              </w:rPr>
            </w:pPr>
            <w:r>
              <w:rPr>
                <w:rFonts w:eastAsia="Times New Roman"/>
                <w:color w:val="000000"/>
              </w:rPr>
              <w:t>2017-2018</w:t>
            </w:r>
          </w:p>
        </w:tc>
        <w:tc>
          <w:tcPr>
            <w:tcW w:w="1255" w:type="dxa"/>
            <w:vAlign w:val="center"/>
          </w:tcPr>
          <w:p w14:paraId="55A5048E" w14:textId="77777777" w:rsidR="00FA5B54" w:rsidRDefault="00FA5B54" w:rsidP="00907CEB">
            <w:pPr>
              <w:spacing w:line="276" w:lineRule="auto"/>
              <w:jc w:val="center"/>
              <w:rPr>
                <w:rFonts w:eastAsia="Times New Roman"/>
                <w:color w:val="000000"/>
              </w:rPr>
            </w:pPr>
            <w:r>
              <w:rPr>
                <w:rFonts w:eastAsia="Times New Roman"/>
              </w:rPr>
              <w:t>Hydrological d</w:t>
            </w:r>
            <w:r>
              <w:rPr>
                <w:rFonts w:eastAsia="Times New Roman"/>
                <w:color w:val="000000"/>
              </w:rPr>
              <w:t>rought</w:t>
            </w:r>
          </w:p>
        </w:tc>
        <w:tc>
          <w:tcPr>
            <w:tcW w:w="3015" w:type="dxa"/>
            <w:vAlign w:val="center"/>
          </w:tcPr>
          <w:p w14:paraId="36ACA589" w14:textId="77777777" w:rsidR="00FA5B54" w:rsidRDefault="00FA5B54" w:rsidP="00907CEB">
            <w:pPr>
              <w:spacing w:line="276" w:lineRule="auto"/>
              <w:jc w:val="center"/>
              <w:rPr>
                <w:rFonts w:eastAsia="Times New Roman"/>
                <w:color w:val="000000"/>
              </w:rPr>
            </w:pPr>
            <w:r>
              <w:rPr>
                <w:rFonts w:eastAsia="Times New Roman"/>
                <w:color w:val="000000"/>
              </w:rPr>
              <w:t>Hydrologic drought due to reduced precipitation records</w:t>
            </w:r>
          </w:p>
        </w:tc>
        <w:tc>
          <w:tcPr>
            <w:tcW w:w="2790" w:type="dxa"/>
            <w:vAlign w:val="center"/>
          </w:tcPr>
          <w:p w14:paraId="18574C78" w14:textId="77777777" w:rsidR="00FA5B54" w:rsidRDefault="00FA5B54" w:rsidP="00907CEB">
            <w:pPr>
              <w:spacing w:line="276" w:lineRule="auto"/>
              <w:jc w:val="center"/>
              <w:rPr>
                <w:rFonts w:eastAsia="Times New Roman"/>
                <w:color w:val="000000"/>
              </w:rPr>
            </w:pPr>
            <w:r>
              <w:rPr>
                <w:rFonts w:eastAsia="Times New Roman"/>
                <w:color w:val="000000"/>
              </w:rPr>
              <w:t>Reduced water revenue, losses in agricultural jobs and production</w:t>
            </w:r>
            <w:r>
              <w:rPr>
                <w:rFonts w:eastAsia="Times New Roman"/>
                <w:color w:val="000000"/>
              </w:rPr>
              <w:br/>
              <w:t>and indirect costs such as a drop in tourism.</w:t>
            </w:r>
          </w:p>
        </w:tc>
        <w:tc>
          <w:tcPr>
            <w:tcW w:w="3060" w:type="dxa"/>
            <w:vAlign w:val="center"/>
          </w:tcPr>
          <w:p w14:paraId="681D46F2" w14:textId="77777777" w:rsidR="00FA5B54" w:rsidRDefault="00FA5B54" w:rsidP="00907CEB">
            <w:pPr>
              <w:spacing w:line="276" w:lineRule="auto"/>
              <w:jc w:val="center"/>
              <w:rPr>
                <w:rFonts w:eastAsia="Times New Roman"/>
                <w:color w:val="000000"/>
              </w:rPr>
            </w:pPr>
            <w:r>
              <w:rPr>
                <w:rFonts w:eastAsia="Times New Roman"/>
                <w:color w:val="000000"/>
              </w:rPr>
              <w:t>Drought surcharges; water use restrictions; search for alternative water resources; communication campaigns.</w:t>
            </w:r>
          </w:p>
        </w:tc>
        <w:tc>
          <w:tcPr>
            <w:tcW w:w="1800" w:type="dxa"/>
            <w:vAlign w:val="center"/>
          </w:tcPr>
          <w:p w14:paraId="4637AA53" w14:textId="77777777" w:rsidR="00FA5B54" w:rsidRDefault="00FA5B54" w:rsidP="00907CEB">
            <w:pPr>
              <w:spacing w:line="276" w:lineRule="auto"/>
              <w:jc w:val="center"/>
              <w:rPr>
                <w:rFonts w:eastAsia="Times New Roman"/>
                <w:color w:val="000000"/>
              </w:rPr>
            </w:pPr>
            <w:r>
              <w:rPr>
                <w:rFonts w:eastAsia="Times New Roman"/>
                <w:color w:val="000000"/>
              </w:rPr>
              <w:fldChar w:fldCharType="begin" w:fldLock="1"/>
            </w:r>
            <w:r>
              <w:rPr>
                <w:rFonts w:eastAsia="Times New Roman"/>
                <w:color w:val="000000"/>
              </w:rPr>
              <w:instrText>ADDIN CSL_CITATION {"citationItems":[{"id":"ITEM-1","itemData":{"author":[{"dropping-particle":"","family":"Ziervogel","given":"Gina","non-dropping-particle":"","parse-names":false,"suffix":""}],"container-title":"African Centre for Cities","id":"ITEM-1","issued":{"date-parts":[["2019"]]},"page":"1-29","title":"UNPACKING THE CAPE TOWN DROUGHT:LESSONS LEARNED","type":"article-newspaper"},"uris":["http://www.mendeley.com/documents/?uuid=d3688f18-2de3-426e-8b4b-eb3b08950f0a"]},{"id":"ITEM-2","itemData":{"author":[{"dropping-particle":"","family":"Muller","given":"M","non-dropping-particle":"","parse-names":false,"suffix":""}],"container-title":"Nature","id":"ITEM-2","issue":"May","issued":{"date-parts":[["2018"]]},"page":"174-176","title":"Lesson from Cape Town Droughts","type":"article-journal","volume":"559"},"uris":["http://www.mendeley.com/documents/?uuid=842ae3f0-e584-45bd-9279-dcc287270c0c"]}],"mendeley":{"formattedCitation":"(Muller, 2018; Ziervogel, 2019)","manualFormatting":"Muller (2018); Ziervogel (2019)","plainTextFormattedCitation":"(Muller, 2018; Ziervogel, 2019)","previouslyFormattedCitation":"(Muller, 2018; Ziervogel, 2019)"},"properties":{"noteIndex":0},"schema":"https://github.com/citation-style-language/schema/raw/master/csl-citation.json"}</w:instrText>
            </w:r>
            <w:r>
              <w:rPr>
                <w:rFonts w:eastAsia="Times New Roman"/>
                <w:color w:val="000000"/>
              </w:rPr>
              <w:fldChar w:fldCharType="separate"/>
            </w:r>
            <w:r w:rsidRPr="001326FD">
              <w:rPr>
                <w:rFonts w:eastAsia="Times New Roman"/>
                <w:noProof/>
                <w:color w:val="000000"/>
              </w:rPr>
              <w:t xml:space="preserve">Muller </w:t>
            </w:r>
            <w:r>
              <w:rPr>
                <w:rFonts w:eastAsia="Times New Roman"/>
                <w:noProof/>
                <w:color w:val="000000"/>
              </w:rPr>
              <w:t>(</w:t>
            </w:r>
            <w:r w:rsidRPr="001326FD">
              <w:rPr>
                <w:rFonts w:eastAsia="Times New Roman"/>
                <w:noProof/>
                <w:color w:val="000000"/>
              </w:rPr>
              <w:t>2018</w:t>
            </w:r>
            <w:r>
              <w:rPr>
                <w:rFonts w:eastAsia="Times New Roman"/>
                <w:noProof/>
                <w:color w:val="000000"/>
              </w:rPr>
              <w:t>)</w:t>
            </w:r>
            <w:r w:rsidRPr="001326FD">
              <w:rPr>
                <w:rFonts w:eastAsia="Times New Roman"/>
                <w:noProof/>
                <w:color w:val="000000"/>
              </w:rPr>
              <w:t xml:space="preserve">; Ziervogel </w:t>
            </w:r>
            <w:r>
              <w:rPr>
                <w:rFonts w:eastAsia="Times New Roman"/>
                <w:noProof/>
                <w:color w:val="000000"/>
              </w:rPr>
              <w:t>(</w:t>
            </w:r>
            <w:r w:rsidRPr="001326FD">
              <w:rPr>
                <w:rFonts w:eastAsia="Times New Roman"/>
                <w:noProof/>
                <w:color w:val="000000"/>
              </w:rPr>
              <w:t>2019)</w:t>
            </w:r>
            <w:r>
              <w:rPr>
                <w:rFonts w:eastAsia="Times New Roman"/>
                <w:color w:val="000000"/>
              </w:rPr>
              <w:fldChar w:fldCharType="end"/>
            </w:r>
            <w:r>
              <w:rPr>
                <w:rFonts w:eastAsia="Times New Roman"/>
                <w:color w:val="000000"/>
              </w:rPr>
              <w:t>.</w:t>
            </w:r>
          </w:p>
        </w:tc>
      </w:tr>
      <w:tr w:rsidR="00FA5B54" w14:paraId="63910BE1" w14:textId="77777777" w:rsidTr="00907CEB">
        <w:trPr>
          <w:trHeight w:val="1889"/>
          <w:jc w:val="center"/>
        </w:trPr>
        <w:tc>
          <w:tcPr>
            <w:tcW w:w="1404" w:type="dxa"/>
            <w:vAlign w:val="center"/>
          </w:tcPr>
          <w:p w14:paraId="43D687CD" w14:textId="77777777" w:rsidR="00FA5B54" w:rsidRDefault="00FA5B54" w:rsidP="00907CEB">
            <w:pPr>
              <w:spacing w:line="276" w:lineRule="auto"/>
              <w:jc w:val="center"/>
              <w:rPr>
                <w:rFonts w:eastAsia="Times New Roman"/>
                <w:color w:val="000000"/>
              </w:rPr>
            </w:pPr>
            <w:r>
              <w:rPr>
                <w:rFonts w:eastAsia="Times New Roman"/>
                <w:color w:val="000000"/>
              </w:rPr>
              <w:t>Metropolitan region of Barcelona, Spain</w:t>
            </w:r>
          </w:p>
        </w:tc>
        <w:tc>
          <w:tcPr>
            <w:tcW w:w="891" w:type="dxa"/>
            <w:vAlign w:val="center"/>
          </w:tcPr>
          <w:p w14:paraId="1824911A" w14:textId="77777777" w:rsidR="00FA5B54" w:rsidRDefault="00FA5B54" w:rsidP="00907CEB">
            <w:pPr>
              <w:spacing w:line="276" w:lineRule="auto"/>
              <w:jc w:val="center"/>
              <w:rPr>
                <w:rFonts w:eastAsia="Times New Roman"/>
                <w:color w:val="000000"/>
              </w:rPr>
            </w:pPr>
            <w:r>
              <w:rPr>
                <w:rFonts w:eastAsia="Times New Roman"/>
                <w:color w:val="000000"/>
              </w:rPr>
              <w:t>2007-2008</w:t>
            </w:r>
          </w:p>
        </w:tc>
        <w:tc>
          <w:tcPr>
            <w:tcW w:w="1255" w:type="dxa"/>
            <w:vAlign w:val="center"/>
          </w:tcPr>
          <w:p w14:paraId="4DDF4CD0" w14:textId="77777777" w:rsidR="00FA5B54" w:rsidRDefault="00FA5B54" w:rsidP="00907CEB">
            <w:pPr>
              <w:spacing w:line="276" w:lineRule="auto"/>
              <w:jc w:val="center"/>
              <w:rPr>
                <w:rFonts w:eastAsia="Times New Roman"/>
                <w:color w:val="000000"/>
              </w:rPr>
            </w:pPr>
            <w:r>
              <w:rPr>
                <w:rFonts w:eastAsia="Times New Roman"/>
              </w:rPr>
              <w:t>Hydrological d</w:t>
            </w:r>
            <w:r>
              <w:rPr>
                <w:rFonts w:eastAsia="Times New Roman"/>
                <w:color w:val="000000"/>
              </w:rPr>
              <w:t>rought</w:t>
            </w:r>
          </w:p>
        </w:tc>
        <w:tc>
          <w:tcPr>
            <w:tcW w:w="3015" w:type="dxa"/>
            <w:vAlign w:val="center"/>
          </w:tcPr>
          <w:p w14:paraId="0A92B483" w14:textId="77777777" w:rsidR="00FA5B54" w:rsidRDefault="00FA5B54" w:rsidP="00907CEB">
            <w:pPr>
              <w:spacing w:line="276" w:lineRule="auto"/>
              <w:jc w:val="center"/>
              <w:rPr>
                <w:rFonts w:eastAsia="Times New Roman"/>
                <w:color w:val="000000"/>
              </w:rPr>
            </w:pPr>
            <w:r>
              <w:rPr>
                <w:rFonts w:eastAsia="Times New Roman"/>
                <w:color w:val="000000"/>
              </w:rPr>
              <w:t>Hydrologic drought due to reduced precipitation records</w:t>
            </w:r>
          </w:p>
        </w:tc>
        <w:tc>
          <w:tcPr>
            <w:tcW w:w="2790" w:type="dxa"/>
            <w:vAlign w:val="center"/>
          </w:tcPr>
          <w:p w14:paraId="3923BD1D" w14:textId="77777777" w:rsidR="00FA5B54" w:rsidRDefault="00FA5B54" w:rsidP="00907CEB">
            <w:pPr>
              <w:spacing w:line="276" w:lineRule="auto"/>
              <w:jc w:val="center"/>
              <w:rPr>
                <w:rFonts w:eastAsia="Times New Roman"/>
                <w:color w:val="000000"/>
              </w:rPr>
            </w:pPr>
            <w:r>
              <w:rPr>
                <w:rFonts w:eastAsia="Times New Roman"/>
                <w:color w:val="000000"/>
              </w:rPr>
              <w:t>US$ 511 million in economic costs of emergency measures; Direct and indirect economic losses in other sectors dependent on the water supplied by the water utility.</w:t>
            </w:r>
          </w:p>
        </w:tc>
        <w:tc>
          <w:tcPr>
            <w:tcW w:w="3060" w:type="dxa"/>
            <w:vAlign w:val="center"/>
          </w:tcPr>
          <w:p w14:paraId="2B1ACBDE" w14:textId="77777777" w:rsidR="00FA5B54" w:rsidRDefault="00FA5B54" w:rsidP="00907CEB">
            <w:pPr>
              <w:spacing w:line="276" w:lineRule="auto"/>
              <w:jc w:val="center"/>
              <w:rPr>
                <w:rFonts w:eastAsia="Times New Roman"/>
                <w:color w:val="000000"/>
              </w:rPr>
            </w:pPr>
            <w:r>
              <w:rPr>
                <w:rFonts w:eastAsia="Times New Roman"/>
                <w:color w:val="000000"/>
              </w:rPr>
              <w:t>Water shipping; building pipes to distant rivers; water use restrictions; awareness campaigns; search for alternative water resources.</w:t>
            </w:r>
          </w:p>
        </w:tc>
        <w:tc>
          <w:tcPr>
            <w:tcW w:w="1800" w:type="dxa"/>
            <w:vAlign w:val="center"/>
          </w:tcPr>
          <w:p w14:paraId="3E0BBE51" w14:textId="77777777" w:rsidR="00FA5B54" w:rsidRDefault="00FA5B54" w:rsidP="00907CEB">
            <w:pPr>
              <w:spacing w:line="276" w:lineRule="auto"/>
              <w:jc w:val="center"/>
              <w:rPr>
                <w:rFonts w:eastAsia="Times New Roman"/>
                <w:color w:val="000000"/>
              </w:rPr>
            </w:pPr>
            <w:r>
              <w:rPr>
                <w:rFonts w:eastAsia="Times New Roman"/>
                <w:color w:val="000000"/>
              </w:rPr>
              <w:fldChar w:fldCharType="begin" w:fldLock="1"/>
            </w:r>
            <w:r>
              <w:rPr>
                <w:rFonts w:eastAsia="Times New Roman"/>
                <w:color w:val="000000"/>
              </w:rPr>
              <w:instrText>ADDIN CSL_CITATION {"citationItems":[{"id":"ITEM-1","itemData":{"DOI":"10.2166/wp.2011.121","ISSN":"13667017","abstract":"Water scarcity and drought are social and economic problems in large parts of the world that will intensify due to climate change. The existing literature on the costs of drought is scarce, fragmented and heterogeneous and there is a need for comprehensive cost estimations to help design an effective policy response. This is particularly the case in Europe, which is currently developing its drought strategy. The severe drought that affected Barcelona in 2007/2008 is used here as a case study to illustrate the costs of this type of extreme event. We assess direct losses of the affected economic sectors, indirect costs to the rest of the economy and non-market welfare losses caused by environmental damage and household water restrictions. Additionally, we also look at the cost of the measures implemented to address the drought and discuss the implications in terms of their cost-effectiveness. Our results indicate a total cost of this drought event of 1,605 million Euros (0.48% of the regional GDP) and highlight the need for more accurate cost estimations at the European level. The study also points to the need to promote water saving measures and to increase the structural adaptive capacity of systems subjected to water scarcity. © IWA Publishing 2012.","author":[{"dropping-particle":"","family":"Martin-Ortega","given":"Julia","non-dropping-particle":"","parse-names":false,"suffix":""},{"dropping-particle":"","family":"González-Eguino","given":"Mikel","non-dropping-particle":"","parse-names":false,"suffix":""},{"dropping-particle":"","family":"Markandya","given":"Anil","non-dropping-particle":"","parse-names":false,"suffix":""}],"container-title":"Water Policy","id":"ITEM-1","issue":"3","issued":{"date-parts":[["2012"]]},"page":"539-560","title":"The costs of drought: The 2007/2008 case of Barcelona","type":"article-journal","volume":"14"},"uris":["http://www.mendeley.com/documents/?uuid=5254175a-0b9f-44e4-a231-6091408d44df"]},{"id":"ITEM-2","itemData":{"DOI":"10.1007/s11069-012-0456-2","ISSN":"0921030X","abstract":"Droughts are expected to become more common in Mediterranean urban contexts during the next decades. Water conservation campaigns are a crucial part of drought management actions but doubts remain regarding their effectiveness once the drought period has finished. In this paper and taking the example of the Metropolitan Area of Barcelona, we present the results of a survey on drought perception and behaviour undertaken for 437 households of this area. Conservation messages were compared with household perception and conservation behaviours. Results indicate that conservation campaigns were successful in raising awareness about the drought, but messages failed to target specific uses (indoor/outdoor). Against a backdrop of decreasing consumption per capita in the compact urban areas, future conservation campaigns must be aware of these factors if the conservation burden is not to fall on those already consuming very little water. © 2012 Springer Science+Business Media Dordrecht.","author":[{"dropping-particle":"","family":"March","given":"Hug","non-dropping-particle":"","parse-names":false,"suffix":""},{"dropping-particle":"","family":"Domènech","given":"Laia","non-dropping-particle":"","parse-names":false,"suffix":""},{"dropping-particle":"","family":"Saurí","given":"David","non-dropping-particle":"","parse-names":false,"suffix":""}],"container-title":"Natural Hazards","id":"ITEM-2","issue":"3","issued":{"date-parts":[["2013"]]},"page":"1951-1966","title":"Water conservation campaigns and citizen perceptions: The drought of 2007-2008 in the Metropolitan Area of Barcelona","type":"article-journal","volume":"65"},"uris":["http://www.mendeley.com/documents/?uuid=f92d1ba9-4e5e-49ba-a1e8-f4fd66aca5d2"]}],"mendeley":{"formattedCitation":"(March et al., 2013; Martin-Ortega et al., 2012)","manualFormatting":"March et al. (2013); Martin-Ortega et al. (2012)","plainTextFormattedCitation":"(March et al., 2013; Martin-Ortega et al., 2012)","previouslyFormattedCitation":"(March et al., 2013; Martin-Ortega et al., 2012)"},"properties":{"noteIndex":0},"schema":"https://github.com/citation-style-language/schema/raw/master/csl-citation.json"}</w:instrText>
            </w:r>
            <w:r>
              <w:rPr>
                <w:rFonts w:eastAsia="Times New Roman"/>
                <w:color w:val="000000"/>
              </w:rPr>
              <w:fldChar w:fldCharType="separate"/>
            </w:r>
            <w:r w:rsidRPr="001326FD">
              <w:rPr>
                <w:rFonts w:eastAsia="Times New Roman"/>
                <w:noProof/>
                <w:color w:val="000000"/>
              </w:rPr>
              <w:t xml:space="preserve">March et al. </w:t>
            </w:r>
            <w:r>
              <w:rPr>
                <w:rFonts w:eastAsia="Times New Roman"/>
                <w:noProof/>
                <w:color w:val="000000"/>
              </w:rPr>
              <w:t>(</w:t>
            </w:r>
            <w:r w:rsidRPr="001326FD">
              <w:rPr>
                <w:rFonts w:eastAsia="Times New Roman"/>
                <w:noProof/>
                <w:color w:val="000000"/>
              </w:rPr>
              <w:t>2013</w:t>
            </w:r>
            <w:r>
              <w:rPr>
                <w:rFonts w:eastAsia="Times New Roman"/>
                <w:noProof/>
                <w:color w:val="000000"/>
              </w:rPr>
              <w:t>)</w:t>
            </w:r>
            <w:r w:rsidRPr="001326FD">
              <w:rPr>
                <w:rFonts w:eastAsia="Times New Roman"/>
                <w:noProof/>
                <w:color w:val="000000"/>
              </w:rPr>
              <w:t xml:space="preserve">; Martin-Ortega et al. </w:t>
            </w:r>
            <w:r>
              <w:rPr>
                <w:rFonts w:eastAsia="Times New Roman"/>
                <w:noProof/>
                <w:color w:val="000000"/>
              </w:rPr>
              <w:t>(</w:t>
            </w:r>
            <w:r w:rsidRPr="001326FD">
              <w:rPr>
                <w:rFonts w:eastAsia="Times New Roman"/>
                <w:noProof/>
                <w:color w:val="000000"/>
              </w:rPr>
              <w:t>2012)</w:t>
            </w:r>
            <w:r>
              <w:rPr>
                <w:rFonts w:eastAsia="Times New Roman"/>
                <w:color w:val="000000"/>
              </w:rPr>
              <w:fldChar w:fldCharType="end"/>
            </w:r>
            <w:r>
              <w:rPr>
                <w:rFonts w:eastAsia="Times New Roman"/>
                <w:color w:val="000000"/>
              </w:rPr>
              <w:t>.</w:t>
            </w:r>
          </w:p>
        </w:tc>
      </w:tr>
      <w:tr w:rsidR="00FA5B54" w14:paraId="3DF70D59" w14:textId="77777777" w:rsidTr="00907CEB">
        <w:trPr>
          <w:trHeight w:val="2096"/>
          <w:jc w:val="center"/>
        </w:trPr>
        <w:tc>
          <w:tcPr>
            <w:tcW w:w="1404" w:type="dxa"/>
            <w:vAlign w:val="center"/>
          </w:tcPr>
          <w:p w14:paraId="4E81AA80" w14:textId="77777777" w:rsidR="00FA5B54" w:rsidRDefault="00FA5B54" w:rsidP="00907CEB">
            <w:pPr>
              <w:spacing w:line="276" w:lineRule="auto"/>
              <w:jc w:val="center"/>
              <w:rPr>
                <w:rFonts w:eastAsia="Times New Roman"/>
                <w:color w:val="000000"/>
              </w:rPr>
            </w:pPr>
            <w:r>
              <w:rPr>
                <w:rFonts w:eastAsia="Times New Roman"/>
                <w:color w:val="000000"/>
              </w:rPr>
              <w:t xml:space="preserve">Minnesota, </w:t>
            </w:r>
            <w:proofErr w:type="spellStart"/>
            <w:r>
              <w:rPr>
                <w:rFonts w:eastAsia="Times New Roman"/>
                <w:color w:val="000000"/>
              </w:rPr>
              <w:t>citys</w:t>
            </w:r>
            <w:proofErr w:type="spellEnd"/>
            <w:r>
              <w:rPr>
                <w:rFonts w:eastAsia="Times New Roman"/>
                <w:color w:val="000000"/>
              </w:rPr>
              <w:t xml:space="preserve"> of Grand Forks, East Frand Forks, Fargo and Winnipeg, United States</w:t>
            </w:r>
          </w:p>
        </w:tc>
        <w:tc>
          <w:tcPr>
            <w:tcW w:w="891" w:type="dxa"/>
            <w:vAlign w:val="center"/>
          </w:tcPr>
          <w:p w14:paraId="5F76E2B0" w14:textId="77777777" w:rsidR="00FA5B54" w:rsidRDefault="00FA5B54" w:rsidP="00907CEB">
            <w:pPr>
              <w:spacing w:line="276" w:lineRule="auto"/>
              <w:jc w:val="center"/>
              <w:rPr>
                <w:rFonts w:eastAsia="Times New Roman"/>
                <w:color w:val="000000"/>
              </w:rPr>
            </w:pPr>
            <w:r>
              <w:rPr>
                <w:rFonts w:eastAsia="Times New Roman"/>
                <w:color w:val="000000"/>
              </w:rPr>
              <w:t>1997</w:t>
            </w:r>
          </w:p>
        </w:tc>
        <w:tc>
          <w:tcPr>
            <w:tcW w:w="1255" w:type="dxa"/>
            <w:vAlign w:val="center"/>
          </w:tcPr>
          <w:p w14:paraId="6EE3733E" w14:textId="77777777" w:rsidR="00FA5B54" w:rsidRDefault="00FA5B54" w:rsidP="00907CEB">
            <w:pPr>
              <w:spacing w:line="276" w:lineRule="auto"/>
              <w:jc w:val="center"/>
              <w:rPr>
                <w:rFonts w:eastAsia="Times New Roman"/>
                <w:color w:val="000000"/>
              </w:rPr>
            </w:pPr>
            <w:r>
              <w:rPr>
                <w:rFonts w:eastAsia="Times New Roman"/>
                <w:color w:val="000000"/>
              </w:rPr>
              <w:t>Flood</w:t>
            </w:r>
          </w:p>
        </w:tc>
        <w:tc>
          <w:tcPr>
            <w:tcW w:w="3015" w:type="dxa"/>
            <w:vAlign w:val="center"/>
          </w:tcPr>
          <w:p w14:paraId="26C914A6" w14:textId="77777777" w:rsidR="00FA5B54" w:rsidRDefault="00FA5B54" w:rsidP="00907CEB">
            <w:pPr>
              <w:spacing w:line="276" w:lineRule="auto"/>
              <w:jc w:val="center"/>
              <w:rPr>
                <w:rFonts w:eastAsia="Times New Roman"/>
                <w:color w:val="000000"/>
              </w:rPr>
            </w:pPr>
            <w:r>
              <w:rPr>
                <w:rFonts w:eastAsia="Times New Roman"/>
                <w:color w:val="000000"/>
              </w:rPr>
              <w:t>Fluvial floods that overcame dykes and reached the city</w:t>
            </w:r>
          </w:p>
        </w:tc>
        <w:tc>
          <w:tcPr>
            <w:tcW w:w="2790" w:type="dxa"/>
            <w:vAlign w:val="center"/>
          </w:tcPr>
          <w:p w14:paraId="0B29F95A" w14:textId="77777777" w:rsidR="00FA5B54" w:rsidRDefault="00FA5B54" w:rsidP="00907CEB">
            <w:pPr>
              <w:spacing w:line="276" w:lineRule="auto"/>
              <w:jc w:val="center"/>
              <w:rPr>
                <w:rFonts w:eastAsia="Times New Roman"/>
              </w:rPr>
            </w:pPr>
            <w:r>
              <w:rPr>
                <w:rFonts w:eastAsia="Times New Roman"/>
                <w:color w:val="000000"/>
              </w:rPr>
              <w:t>US$ 3.6 Billion in economic costs; more than 50,000 people had to be evacuated</w:t>
            </w:r>
            <w:r>
              <w:rPr>
                <w:rFonts w:eastAsia="Times New Roman"/>
              </w:rPr>
              <w:t>,</w:t>
            </w:r>
            <w:r>
              <w:rPr>
                <w:rFonts w:eastAsia="Times New Roman"/>
                <w:color w:val="000000"/>
              </w:rPr>
              <w:t xml:space="preserve"> and more than 11,000 houses and businesses were damaged</w:t>
            </w:r>
            <w:r>
              <w:rPr>
                <w:rFonts w:eastAsia="Times New Roman"/>
              </w:rPr>
              <w:t>; Water supply interrupted for five days.</w:t>
            </w:r>
          </w:p>
        </w:tc>
        <w:tc>
          <w:tcPr>
            <w:tcW w:w="3060" w:type="dxa"/>
            <w:vAlign w:val="center"/>
          </w:tcPr>
          <w:p w14:paraId="644FAB63" w14:textId="77777777" w:rsidR="00FA5B54" w:rsidRDefault="00FA5B54" w:rsidP="00907CEB">
            <w:pPr>
              <w:spacing w:line="276" w:lineRule="auto"/>
              <w:jc w:val="center"/>
              <w:rPr>
                <w:rFonts w:eastAsia="Times New Roman"/>
                <w:color w:val="000000"/>
              </w:rPr>
            </w:pPr>
            <w:r>
              <w:rPr>
                <w:rFonts w:eastAsia="Times New Roman"/>
                <w:color w:val="000000"/>
              </w:rPr>
              <w:t>Installation of pumps; protecting the water plant structure to avoid collapsing of walls and infrastructure, opening street valves to reduce the water pressure in the system; Increasing chlorination in the system to avoid contamination.</w:t>
            </w:r>
          </w:p>
        </w:tc>
        <w:tc>
          <w:tcPr>
            <w:tcW w:w="1800" w:type="dxa"/>
            <w:vAlign w:val="center"/>
          </w:tcPr>
          <w:p w14:paraId="5F6EEFEC" w14:textId="77777777" w:rsidR="00FA5B54" w:rsidRDefault="00FA5B54" w:rsidP="00907CEB">
            <w:pPr>
              <w:spacing w:line="276" w:lineRule="auto"/>
              <w:jc w:val="center"/>
              <w:rPr>
                <w:rFonts w:eastAsia="Times New Roman"/>
                <w:color w:val="000000"/>
              </w:rPr>
            </w:pPr>
            <w:r>
              <w:rPr>
                <w:rFonts w:eastAsia="Times New Roman"/>
                <w:color w:val="000000"/>
              </w:rPr>
              <w:fldChar w:fldCharType="begin" w:fldLock="1"/>
            </w:r>
            <w:r>
              <w:rPr>
                <w:rFonts w:eastAsia="Times New Roman"/>
                <w:color w:val="000000"/>
              </w:rPr>
              <w:instrText>ADDIN CSL_CITATION {"citationItems":[{"id":"ITEM-1","itemData":{"DOI":"10.1002/j.1551-8701.1997.tb02079.x","author":[{"dropping-particle":"","family":"Thornley","given":"Stew","non-dropping-particle":"","parse-names":false,"suffix":""}],"container-title":"Opflow","id":"ITEM-1","issue":"11","issued":{"date-parts":[["1997"]]},"page":"1-5","title":"Minnesota Operators Respond to 1997 Floods","type":"article-journal","volume":"23"},"uris":["http://www.mendeley.com/documents/?uuid=d382d656-63eb-436e-b479-15e23382510f"]},{"id":"ITEM-2","itemData":{"author":[{"dropping-particle":"","family":"Bauer","given":"Shannon L","non-dropping-particle":"","parse-names":false,"suffix":""}],"container-title":"US Army Corps of Engineers","id":"ITEM-2","issued":{"date-parts":[["2017"]]},"page":"1-5","title":"Memories linger of disaster at East Grand Forks / Grand Forks","type":"article-newspaper"},"uris":["http://www.mendeley.com/documents/?uuid=b6b1dc63-6840-467f-ae9c-b881a526e47c"]}],"mendeley":{"formattedCitation":"(Bauer, 2017; Thornley, 1997)","manualFormatting":"Bauer (2017); Thornley (1997)","plainTextFormattedCitation":"(Bauer, 2017; Thornley, 1997)","previouslyFormattedCitation":"(Bauer, 2017; Thornley, 1997)"},"properties":{"noteIndex":0},"schema":"https://github.com/citation-style-language/schema/raw/master/csl-citation.json"}</w:instrText>
            </w:r>
            <w:r>
              <w:rPr>
                <w:rFonts w:eastAsia="Times New Roman"/>
                <w:color w:val="000000"/>
              </w:rPr>
              <w:fldChar w:fldCharType="separate"/>
            </w:r>
            <w:r w:rsidRPr="001326FD">
              <w:rPr>
                <w:rFonts w:eastAsia="Times New Roman"/>
                <w:noProof/>
                <w:color w:val="000000"/>
              </w:rPr>
              <w:t>Bauer</w:t>
            </w:r>
            <w:r>
              <w:rPr>
                <w:rFonts w:eastAsia="Times New Roman"/>
                <w:noProof/>
                <w:color w:val="000000"/>
              </w:rPr>
              <w:t xml:space="preserve"> (</w:t>
            </w:r>
            <w:r w:rsidRPr="001326FD">
              <w:rPr>
                <w:rFonts w:eastAsia="Times New Roman"/>
                <w:noProof/>
                <w:color w:val="000000"/>
              </w:rPr>
              <w:t>2017</w:t>
            </w:r>
            <w:r>
              <w:rPr>
                <w:rFonts w:eastAsia="Times New Roman"/>
                <w:noProof/>
                <w:color w:val="000000"/>
              </w:rPr>
              <w:t>)</w:t>
            </w:r>
            <w:r w:rsidRPr="001326FD">
              <w:rPr>
                <w:rFonts w:eastAsia="Times New Roman"/>
                <w:noProof/>
                <w:color w:val="000000"/>
              </w:rPr>
              <w:t>; Thornley</w:t>
            </w:r>
            <w:r>
              <w:rPr>
                <w:rFonts w:eastAsia="Times New Roman"/>
                <w:noProof/>
                <w:color w:val="000000"/>
              </w:rPr>
              <w:t xml:space="preserve"> (</w:t>
            </w:r>
            <w:r w:rsidRPr="001326FD">
              <w:rPr>
                <w:rFonts w:eastAsia="Times New Roman"/>
                <w:noProof/>
                <w:color w:val="000000"/>
              </w:rPr>
              <w:t>1997)</w:t>
            </w:r>
            <w:r>
              <w:rPr>
                <w:rFonts w:eastAsia="Times New Roman"/>
                <w:color w:val="000000"/>
              </w:rPr>
              <w:fldChar w:fldCharType="end"/>
            </w:r>
            <w:r>
              <w:rPr>
                <w:rFonts w:eastAsia="Times New Roman"/>
                <w:color w:val="000000"/>
              </w:rPr>
              <w:t>.</w:t>
            </w:r>
          </w:p>
        </w:tc>
      </w:tr>
      <w:tr w:rsidR="00FA5B54" w14:paraId="45231349" w14:textId="77777777" w:rsidTr="00907CEB">
        <w:trPr>
          <w:trHeight w:val="1158"/>
          <w:jc w:val="center"/>
        </w:trPr>
        <w:tc>
          <w:tcPr>
            <w:tcW w:w="1404" w:type="dxa"/>
            <w:vAlign w:val="center"/>
          </w:tcPr>
          <w:p w14:paraId="49C7D64A" w14:textId="77777777" w:rsidR="00FA5B54" w:rsidRDefault="00FA5B54" w:rsidP="00907CEB">
            <w:pPr>
              <w:spacing w:line="276" w:lineRule="auto"/>
              <w:jc w:val="center"/>
              <w:rPr>
                <w:rFonts w:eastAsia="Times New Roman"/>
                <w:color w:val="000000"/>
              </w:rPr>
            </w:pPr>
            <w:r>
              <w:rPr>
                <w:rFonts w:eastAsia="Times New Roman"/>
                <w:color w:val="000000"/>
              </w:rPr>
              <w:t>Yorkshire Water, United Kingdom</w:t>
            </w:r>
          </w:p>
        </w:tc>
        <w:tc>
          <w:tcPr>
            <w:tcW w:w="891" w:type="dxa"/>
            <w:vAlign w:val="center"/>
          </w:tcPr>
          <w:p w14:paraId="1274AF40" w14:textId="77777777" w:rsidR="00FA5B54" w:rsidRDefault="00FA5B54" w:rsidP="00907CEB">
            <w:pPr>
              <w:spacing w:line="276" w:lineRule="auto"/>
              <w:jc w:val="center"/>
              <w:rPr>
                <w:rFonts w:eastAsia="Times New Roman"/>
                <w:color w:val="000000"/>
              </w:rPr>
            </w:pPr>
            <w:r>
              <w:rPr>
                <w:rFonts w:eastAsia="Times New Roman"/>
                <w:color w:val="000000"/>
              </w:rPr>
              <w:t>2015-2016</w:t>
            </w:r>
          </w:p>
        </w:tc>
        <w:tc>
          <w:tcPr>
            <w:tcW w:w="1255" w:type="dxa"/>
            <w:vAlign w:val="center"/>
          </w:tcPr>
          <w:p w14:paraId="2173DFFA" w14:textId="77777777" w:rsidR="00FA5B54" w:rsidRDefault="00FA5B54" w:rsidP="00907CEB">
            <w:pPr>
              <w:spacing w:line="276" w:lineRule="auto"/>
              <w:jc w:val="center"/>
              <w:rPr>
                <w:rFonts w:eastAsia="Times New Roman"/>
                <w:color w:val="000000"/>
              </w:rPr>
            </w:pPr>
            <w:r>
              <w:rPr>
                <w:rFonts w:eastAsia="Times New Roman"/>
                <w:color w:val="000000"/>
              </w:rPr>
              <w:t>Flood</w:t>
            </w:r>
          </w:p>
        </w:tc>
        <w:tc>
          <w:tcPr>
            <w:tcW w:w="3015" w:type="dxa"/>
            <w:vAlign w:val="center"/>
          </w:tcPr>
          <w:p w14:paraId="7564365C" w14:textId="77777777" w:rsidR="00FA5B54" w:rsidRDefault="00FA5B54" w:rsidP="00907CEB">
            <w:pPr>
              <w:spacing w:line="276" w:lineRule="auto"/>
              <w:jc w:val="center"/>
              <w:rPr>
                <w:rFonts w:eastAsia="Times New Roman"/>
                <w:color w:val="000000"/>
              </w:rPr>
            </w:pPr>
            <w:r>
              <w:rPr>
                <w:rFonts w:eastAsia="Times New Roman"/>
                <w:color w:val="000000"/>
              </w:rPr>
              <w:t>Fluvial flooding caused by a series of storms.</w:t>
            </w:r>
          </w:p>
        </w:tc>
        <w:tc>
          <w:tcPr>
            <w:tcW w:w="2790" w:type="dxa"/>
            <w:vAlign w:val="center"/>
          </w:tcPr>
          <w:p w14:paraId="20865EA3" w14:textId="77777777" w:rsidR="00FA5B54" w:rsidRDefault="00FA5B54" w:rsidP="00907CEB">
            <w:pPr>
              <w:spacing w:line="276" w:lineRule="auto"/>
              <w:jc w:val="center"/>
              <w:rPr>
                <w:rFonts w:eastAsia="Times New Roman"/>
                <w:color w:val="000000"/>
              </w:rPr>
            </w:pPr>
            <w:r>
              <w:rPr>
                <w:rFonts w:eastAsia="Times New Roman"/>
              </w:rPr>
              <w:t>US$22.3</w:t>
            </w:r>
            <w:r>
              <w:rPr>
                <w:rFonts w:eastAsia="Times New Roman"/>
                <w:color w:val="000000"/>
              </w:rPr>
              <w:t xml:space="preserve"> million for water utilities in capital costs, operational costs, </w:t>
            </w:r>
            <w:r>
              <w:rPr>
                <w:rFonts w:eastAsia="Times New Roman"/>
              </w:rPr>
              <w:t xml:space="preserve">and </w:t>
            </w:r>
            <w:r>
              <w:rPr>
                <w:rFonts w:eastAsia="Times New Roman"/>
                <w:color w:val="000000"/>
              </w:rPr>
              <w:t>welfare damages; some business interruptions were reported.</w:t>
            </w:r>
          </w:p>
        </w:tc>
        <w:tc>
          <w:tcPr>
            <w:tcW w:w="3060" w:type="dxa"/>
            <w:vAlign w:val="center"/>
          </w:tcPr>
          <w:p w14:paraId="5DE94664" w14:textId="77777777" w:rsidR="00FA5B54" w:rsidRDefault="00FA5B54" w:rsidP="00907CEB">
            <w:pPr>
              <w:spacing w:line="276" w:lineRule="auto"/>
              <w:jc w:val="center"/>
              <w:rPr>
                <w:rFonts w:eastAsia="Times New Roman"/>
              </w:rPr>
            </w:pPr>
            <w:r>
              <w:rPr>
                <w:rFonts w:eastAsia="Times New Roman"/>
                <w:color w:val="000000"/>
              </w:rPr>
              <w:t>Pumping flood water.</w:t>
            </w:r>
          </w:p>
        </w:tc>
        <w:tc>
          <w:tcPr>
            <w:tcW w:w="1800" w:type="dxa"/>
            <w:vAlign w:val="center"/>
          </w:tcPr>
          <w:p w14:paraId="593E467D" w14:textId="77777777" w:rsidR="00FA5B54" w:rsidRDefault="00FA5B54" w:rsidP="00907CEB">
            <w:pPr>
              <w:spacing w:line="276" w:lineRule="auto"/>
              <w:jc w:val="center"/>
              <w:rPr>
                <w:rFonts w:eastAsia="Times New Roman"/>
              </w:rPr>
            </w:pPr>
            <w:r>
              <w:rPr>
                <w:rFonts w:eastAsia="Times New Roman"/>
              </w:rPr>
              <w:fldChar w:fldCharType="begin" w:fldLock="1"/>
            </w:r>
            <w:r>
              <w:rPr>
                <w:rFonts w:eastAsia="Times New Roman"/>
              </w:rPr>
              <w:instrText>ADDIN CSL_CITATION {"citationItems":[{"id":"ITEM-1","itemData":{"abstract":"We are the Environment Agency. We protect and improve the environment. Acting to reduce the impacts of a changing climate on people and wildlife is at the heart of everything we do. We reduce the risks to people, properties and businesses from flooding and coastal erosion. We protect and improve the quality of water, making sure there is enough for people, businesses, agriculture and the environment. Our work helps to ensure people can enjoy the water environment through angling and navigation. We look after land quality, promote sustainable land management and help protect and enhance wildlife habitats. And we work closely with businesses to help them comply with environmental regulations. We can't do this alone. We work with government, local councils, businesses, civil society groups and communities to make our environment a better place for people and wildlife. Executive summary At a national scale, the winter floods of 2015 to 2016 were the most extreme on record according to the intensity of the rainfall, resulting in widespread flooding during December 2015 and January 2016 – primarily in the north of England. This report describes the methods used to produce a high-level economic estimate of the costs resulting from the winter floods in England following Storms Desmond, Eva and Frank in December 2015. The approaches adopted in this study are based on the methods and extensive research used for 3 previous reports published by the Environment Agency: 'The costs of 2007 floods in England'; 'Assessing the economic costs of floods'; and 'The costs and impacts of the winter 2013 to 2014 floods'.","author":[{"dropping-particle":"","family":"Environment Agency","given":"","non-dropping-particle":"","parse-names":false,"suffix":""}],"container-title":"Environment Agency","id":"ITEM-1","issue":"January","issued":{"date-parts":[["2018"]]},"number-of-pages":"1-50","title":"Estimating the economic costs of the 2015 to 2016 winter floods","type":"report","volume":"January 20"},"uris":["http://www.mendeley.com/documents/?uuid=6beb9f99-d2b1-4844-86d3-2355c48779ab"]}],"mendeley":{"formattedCitation":"(Environment Agency, 2018)","manualFormatting":"Environment Agency (2018)","plainTextFormattedCitation":"(Environment Agency, 2018)","previouslyFormattedCitation":"(Environment Agency, 2018)"},"properties":{"noteIndex":0},"schema":"https://github.com/citation-style-language/schema/raw/master/csl-citation.json"}</w:instrText>
            </w:r>
            <w:r>
              <w:rPr>
                <w:rFonts w:eastAsia="Times New Roman"/>
              </w:rPr>
              <w:fldChar w:fldCharType="separate"/>
            </w:r>
            <w:r w:rsidRPr="001326FD">
              <w:rPr>
                <w:rFonts w:eastAsia="Times New Roman"/>
                <w:noProof/>
              </w:rPr>
              <w:t xml:space="preserve">Environment Agency </w:t>
            </w:r>
            <w:r>
              <w:rPr>
                <w:rFonts w:eastAsia="Times New Roman"/>
                <w:noProof/>
              </w:rPr>
              <w:t>(</w:t>
            </w:r>
            <w:r w:rsidRPr="001326FD">
              <w:rPr>
                <w:rFonts w:eastAsia="Times New Roman"/>
                <w:noProof/>
              </w:rPr>
              <w:t>2018)</w:t>
            </w:r>
            <w:r>
              <w:rPr>
                <w:rFonts w:eastAsia="Times New Roman"/>
              </w:rPr>
              <w:fldChar w:fldCharType="end"/>
            </w:r>
            <w:r>
              <w:rPr>
                <w:rFonts w:eastAsia="Times New Roman"/>
              </w:rPr>
              <w:t>.</w:t>
            </w:r>
          </w:p>
        </w:tc>
      </w:tr>
    </w:tbl>
    <w:p w14:paraId="6DA7A43E" w14:textId="77777777" w:rsidR="00FA5B54" w:rsidRDefault="00FA5B54" w:rsidP="00FA5B54">
      <w:pPr>
        <w:spacing w:line="276" w:lineRule="auto"/>
        <w:ind w:firstLine="360"/>
        <w:jc w:val="both"/>
        <w:rPr>
          <w:rFonts w:eastAsia="Times New Roman"/>
          <w:highlight w:val="yellow"/>
        </w:rPr>
      </w:pPr>
    </w:p>
    <w:p w14:paraId="3032B826" w14:textId="77777777" w:rsidR="006D73F0" w:rsidRDefault="006D73F0" w:rsidP="00AE79D9">
      <w:pPr>
        <w:ind w:firstLine="360"/>
        <w:rPr>
          <w:rFonts w:eastAsia="Times New Roman"/>
          <w:sz w:val="24"/>
          <w:szCs w:val="24"/>
        </w:rPr>
      </w:pPr>
    </w:p>
    <w:p w14:paraId="6C4C2753" w14:textId="77777777" w:rsidR="006D73F0" w:rsidRDefault="006D73F0" w:rsidP="00AE79D9">
      <w:pPr>
        <w:ind w:firstLine="360"/>
        <w:rPr>
          <w:rFonts w:eastAsia="Times New Roman"/>
          <w:sz w:val="24"/>
          <w:szCs w:val="24"/>
        </w:rPr>
      </w:pPr>
    </w:p>
    <w:p w14:paraId="1340242D" w14:textId="3A6C6ADB" w:rsidR="006D73F0" w:rsidRDefault="006D73F0" w:rsidP="00AE79D9">
      <w:pPr>
        <w:ind w:firstLine="360"/>
        <w:rPr>
          <w:rFonts w:eastAsia="Times New Roman"/>
          <w:sz w:val="24"/>
          <w:szCs w:val="24"/>
        </w:rPr>
        <w:sectPr w:rsidR="006D73F0" w:rsidSect="006D73F0">
          <w:pgSz w:w="15840" w:h="12240" w:orient="landscape"/>
          <w:pgMar w:top="1440" w:right="1440" w:bottom="1440" w:left="1440" w:header="432" w:footer="720" w:gutter="0"/>
          <w:lnNumType w:countBy="1" w:restart="continuous"/>
          <w:cols w:space="720"/>
          <w:docGrid w:linePitch="360"/>
        </w:sectPr>
      </w:pPr>
    </w:p>
    <w:p w14:paraId="0ED9E053" w14:textId="77777777" w:rsidR="00AE79D9" w:rsidRPr="00AE79D9" w:rsidRDefault="00AE79D9" w:rsidP="00AE79D9">
      <w:pPr>
        <w:ind w:firstLine="360"/>
        <w:rPr>
          <w:rFonts w:eastAsia="Times New Roman"/>
          <w:sz w:val="24"/>
          <w:szCs w:val="24"/>
        </w:rPr>
      </w:pPr>
      <w:r w:rsidRPr="00AE79D9">
        <w:rPr>
          <w:rFonts w:eastAsia="Times New Roman"/>
          <w:sz w:val="24"/>
          <w:szCs w:val="24"/>
        </w:rPr>
        <w:lastRenderedPageBreak/>
        <w:t xml:space="preserve">Water quality degradation is not always closely associated with weather extremes, as evidenced by the eutrophication events occurring in Rio de Janeiro and Lake </w:t>
      </w:r>
      <w:proofErr w:type="spellStart"/>
      <w:r w:rsidRPr="00AE79D9">
        <w:rPr>
          <w:rFonts w:eastAsia="Times New Roman"/>
          <w:sz w:val="24"/>
          <w:szCs w:val="24"/>
        </w:rPr>
        <w:t>Eirie</w:t>
      </w:r>
      <w:proofErr w:type="spellEnd"/>
      <w:r w:rsidRPr="00AE79D9">
        <w:rPr>
          <w:rFonts w:eastAsia="Times New Roman"/>
          <w:sz w:val="24"/>
          <w:szCs w:val="24"/>
        </w:rPr>
        <w:t xml:space="preserve">, which are not associated with dilution capacity or runoff, as shown in Table 1. Both events, which occurred more than once, caused water and dependent services business interruption, users’ dissatisfaction, and increased treatment costs. The former is caused by a lack of sewage treatment in the basin (Bacha, 2020), whereas the latter is caused primarily by diffuse agricultural pollution </w:t>
      </w:r>
      <w:r w:rsidRPr="00AE79D9">
        <w:rPr>
          <w:rFonts w:eastAsia="Times New Roman"/>
          <w:sz w:val="24"/>
          <w:szCs w:val="24"/>
        </w:rPr>
        <w:fldChar w:fldCharType="begin" w:fldLock="1"/>
      </w:r>
      <w:r w:rsidRPr="00AE79D9">
        <w:rPr>
          <w:rFonts w:eastAsia="Times New Roman"/>
          <w:sz w:val="24"/>
          <w:szCs w:val="24"/>
        </w:rPr>
        <w:instrText>ADDIN CSL_CITATION {"citationItems":[{"id":"ITEM-1","itemData":{"DOI":"10.1016/j.jglr.2014.02.004","ISSN":"03801330","abstract":"Relieving phosphorus loading is a key management tool for controlling Lake Erie eutrophication. During the 1960s and 1970s, increased phosphorus inputs degraded water quality and reduced central basin hypolimnetic oxygen levels which, in turn, eliminated thermal habitat vital to cold-water organisms and contributed to the extirpation of important benthic macroinvertebrate prey species for fishes. In response to load reductions initiated in 1972, Lake Erie responded quickly with reduced water-column phosphorus concentrations, phytoplankton biomass, and bottom-water hypoxia (dissolved oxygen &lt;2mg/l). Since the mid-1990s, cyanobacteria blooms increased and extensive hypoxia and benthic algae returned. We synthesize recent research leading to guidance for addressing this re-eutrophication, with particular emphasis on central basin hypoxia. We document recent trends in key eutrophication-related properties, assess their likely ecological impacts, and develop load response curves to guide revised hypoxia-based loading targets called for in the 2012 Great Lakes Water Quality Agreement. Reducing central basin hypoxic area to levels observed in the early 1990s (ca. 2000km2) requires cutting total phosphorus loads by 46% from the 2003-2011 average or reducing dissolved reactive phosphorus loads by 78% from the 2005-2011 average. Reductions to these levels are also protective of fish habitat. We provide potential approaches for achieving those new loading targets, and suggest that recent load reduction recommendations focused on western basin cyanobacteria blooms may not be sufficient to reduce central basin hypoxia to 2000km2. © 2014 Elsevier B.V.","author":[{"dropping-particle":"","family":"Scavia","given":"Donald","non-dropping-particle":"","parse-names":false,"suffix":""},{"dropping-particle":"","family":"David Allan","given":"J.","non-dropping-particle":"","parse-names":false,"suffix":""},{"dropping-particle":"","family":"Arend","given":"Kristin K.","non-dropping-particle":"","parse-names":false,"suffix":""},{"dropping-particle":"","family":"Bartell","given":"Steven","non-dropping-particle":"","parse-names":false,"suffix":""},{"dropping-particle":"","family":"Beletsky","given":"Dmitry","non-dropping-particle":"","parse-names":false,"suffix":""},{"dropping-particle":"","family":"Bosch","given":"Nate S.","non-dropping-particle":"","parse-names":false,"suffix":""},{"dropping-particle":"","family":"Brandt","given":"Stephen B.","non-dropping-particle":"","parse-names":false,"suffix":""},{"dropping-particle":"","family":"Briland","given":"Ruth D.","non-dropping-particle":"","parse-names":false,"suffix":""},{"dropping-particle":"","family":"Daloǧlu","given":"Irem","non-dropping-particle":"","parse-names":false,"suffix":""},{"dropping-particle":"V.","family":"DePinto","given":"Joseph","non-dropping-particle":"","parse-names":false,"suffix":""},{"dropping-particle":"","family":"Dolan","given":"David M.","non-dropping-particle":"","parse-names":false,"suffix":""},{"dropping-particle":"","family":"Evans","given":"Mary Anne","non-dropping-particle":"","parse-names":false,"suffix":""},{"dropping-particle":"","family":"Farmer","given":"Troy M.","non-dropping-particle":"","parse-names":false,"suffix":""},{"dropping-particle":"","family":"Goto","given":"Daisuke","non-dropping-particle":"","parse-names":false,"suffix":""},{"dropping-particle":"","family":"Han","given":"Haejin","non-dropping-particle":"","parse-names":false,"suffix":""},{"dropping-particle":"","family":"Höök","given":"Tomas O.","non-dropping-particle":"","parse-names":false,"suffix":""},{"dropping-particle":"","family":"Knight","given":"Roger","non-dropping-particle":"","parse-names":false,"suffix":""},{"dropping-particle":"","family":"Ludsin","given":"Stuart A.","non-dropping-particle":"","parse-names":false,"suffix":""},{"dropping-particle":"","family":"Mason","given":"Doran","non-dropping-particle":"","parse-names":false,"suffix":""},{"dropping-particle":"","family":"Michalak","given":"Anna M.","non-dropping-particle":"","parse-names":false,"suffix":""},{"dropping-particle":"","family":"Peter Richards","given":"R.","non-dropping-particle":"","parse-names":false,"suffix":""},{"dropping-particle":"","family":"Roberts","given":"James J.","non-dropping-particle":"","parse-names":false,"suffix":""},{"dropping-particle":"","family":"Rucinski","given":"Daniel K.","non-dropping-particle":"","parse-names":false,"suffix":""},{"dropping-particle":"","family":"Rutherford","given":"Edward","non-dropping-particle":"","parse-names":false,"suffix":""},{"dropping-particle":"","family":"Schwab","given":"David J.","non-dropping-particle":"","parse-names":false,"suffix":""},{"dropping-particle":"","family":"Sesterhenn","given":"Timothy M.","non-dropping-particle":"","parse-names":false,"suffix":""},{"dropping-particle":"","family":"Zhang","given":"Hongyan","non-dropping-particle":"","parse-names":false,"suffix":""},{"dropping-particle":"","family":"Zhou","given":"Yuntao","non-dropping-particle":"","parse-names":false,"suffix":""}],"container-title":"Journal of Great Lakes Research","id":"ITEM-1","issue":"2","issued":{"date-parts":[["2014"]]},"page":"226-246","title":"Assessing and addressing the re-eutrophication of Lake Erie: Central basin hypoxia","type":"article-journal","volume":"40"},"uris":["http://www.mendeley.com/documents/?uuid=913653eb-554a-43aa-ad00-ca5b130702bb"]}],"mendeley":{"formattedCitation":"(Scavia et al., 2014)","plainTextFormattedCitation":"(Scavia et al., 2014)","previouslyFormattedCitation":"(Scavia et al., 2014)"},"properties":{"noteIndex":0},"schema":"https://github.com/citation-style-language/schema/raw/master/csl-citation.json"}</w:instrText>
      </w:r>
      <w:r w:rsidRPr="00AE79D9">
        <w:rPr>
          <w:rFonts w:eastAsia="Times New Roman"/>
          <w:sz w:val="24"/>
          <w:szCs w:val="24"/>
        </w:rPr>
        <w:fldChar w:fldCharType="separate"/>
      </w:r>
      <w:r w:rsidRPr="00AE79D9">
        <w:rPr>
          <w:rFonts w:eastAsia="Times New Roman"/>
          <w:noProof/>
          <w:sz w:val="24"/>
          <w:szCs w:val="24"/>
        </w:rPr>
        <w:t>(Scavia et al., 2014)</w:t>
      </w:r>
      <w:r w:rsidRPr="00AE79D9">
        <w:rPr>
          <w:rFonts w:eastAsia="Times New Roman"/>
          <w:sz w:val="24"/>
          <w:szCs w:val="24"/>
        </w:rPr>
        <w:fldChar w:fldCharType="end"/>
      </w:r>
      <w:r w:rsidRPr="00AE79D9">
        <w:rPr>
          <w:rFonts w:eastAsia="Times New Roman"/>
          <w:sz w:val="24"/>
          <w:szCs w:val="24"/>
        </w:rPr>
        <w:t xml:space="preserve">, posing a greater challenge to water management. However, as </w:t>
      </w:r>
      <w:r w:rsidRPr="00AE79D9">
        <w:rPr>
          <w:rFonts w:eastAsia="Times New Roman"/>
          <w:sz w:val="24"/>
          <w:szCs w:val="24"/>
        </w:rPr>
        <w:fldChar w:fldCharType="begin" w:fldLock="1"/>
      </w:r>
      <w:r w:rsidRPr="00AE79D9">
        <w:rPr>
          <w:rFonts w:eastAsia="Times New Roman"/>
          <w:sz w:val="24"/>
          <w:szCs w:val="24"/>
        </w:rPr>
        <w:instrText>ADDIN CSL_CITATION {"citationItems":[{"id":"ITEM-1","itemData":{"DOI":"10.1111/lre.12044","ISSN":"13205331","abstract":"Eutrophication, or the enrichment of lakes and reservoirs with plant nutrients such as nitrogen and phosphorus, is an ongoing concern facing human societies around the world. Once thought to have been resolved using engineering approaches such as municipal wastewater treatment and storm water management, the problem of nutrient enrichment not only persists, but even continues to increase, being manifested in harmful algal blooms, limitations on access to safe drinking water supplies, and related concerns associated with fresh water in lakes and reservoirs. The continuing concern surrounding eutrophication fulfils the many attributes of a 'wicked' or complex problem facing society. This report reviews seriatim the ten attributes of a wicked problem, and the implications of these attributes for lake and reservoir management are discussed. Recognition of eutrophication as a wicked problem requires site-specific approaches, based on specific knowledge of individual water bodies, as well as an ongoing commitment to lake and reservoir management to respond to new manifestations of the problems of nutrient enrichment as they continue to be revealed over time. © 2013 Wiley Publishing Asia Pty Ltd.","author":[{"dropping-particle":"","family":"Thornton","given":"Jeffrey A.","non-dropping-particle":"","parse-names":false,"suffix":""},{"dropping-particle":"","family":"Harding","given":"William R.","non-dropping-particle":"","parse-names":false,"suffix":""},{"dropping-particle":"","family":"Dent","given":"Mark","non-dropping-particle":"","parse-names":false,"suffix":""},{"dropping-particle":"","family":"Hart","given":"Rob C.","non-dropping-particle":"","parse-names":false,"suffix":""},{"dropping-particle":"","family":"Lin","given":"Hebin","non-dropping-particle":"","parse-names":false,"suffix":""},{"dropping-particle":"","family":"Rast","given":"Claudia L.","non-dropping-particle":"","parse-names":false,"suffix":""},{"dropping-particle":"","family":"Rast","given":"Walter","non-dropping-particle":"","parse-names":false,"suffix":""},{"dropping-particle":"","family":"Ryding","given":"Sven Olof","non-dropping-particle":"","parse-names":false,"suffix":""},{"dropping-particle":"","family":"Slawski","given":"Thomas M.","non-dropping-particle":"","parse-names":false,"suffix":""}],"container-title":"Lakes and Reservoirs: Research and Management","id":"ITEM-1","issue":"4","issued":{"date-parts":[["2013"]]},"page":"298-316","title":"Eutrophication as a 'wicked' problem","type":"article-journal","volume":"18"},"uris":["http://www.mendeley.com/documents/?uuid=d9ad9235-9595-4cfe-b65b-14abc26fc9f0"]}],"mendeley":{"formattedCitation":"(Thornton et al., 2013)","manualFormatting":"Thornton et al. (2013)","plainTextFormattedCitation":"(Thornton et al., 2013)","previouslyFormattedCitation":"(Thornton et al., 2013)"},"properties":{"noteIndex":0},"schema":"https://github.com/citation-style-language/schema/raw/master/csl-citation.json"}</w:instrText>
      </w:r>
      <w:r w:rsidRPr="00AE79D9">
        <w:rPr>
          <w:rFonts w:eastAsia="Times New Roman"/>
          <w:sz w:val="24"/>
          <w:szCs w:val="24"/>
        </w:rPr>
        <w:fldChar w:fldCharType="separate"/>
      </w:r>
      <w:r w:rsidRPr="00AE79D9">
        <w:rPr>
          <w:rFonts w:eastAsia="Times New Roman"/>
          <w:noProof/>
          <w:sz w:val="24"/>
          <w:szCs w:val="24"/>
        </w:rPr>
        <w:t>Thornton et al. (2013)</w:t>
      </w:r>
      <w:r w:rsidRPr="00AE79D9">
        <w:rPr>
          <w:rFonts w:eastAsia="Times New Roman"/>
          <w:sz w:val="24"/>
          <w:szCs w:val="24"/>
        </w:rPr>
        <w:fldChar w:fldCharType="end"/>
      </w:r>
      <w:r w:rsidRPr="00AE79D9">
        <w:rPr>
          <w:rFonts w:eastAsia="Times New Roman"/>
          <w:sz w:val="24"/>
          <w:szCs w:val="24"/>
        </w:rPr>
        <w:t xml:space="preserve"> points out, the problem of nutrient enrichment was thought to have been solved by municipal wastewater treatment and storm water management, yet the eutrophication issue not only persists but is worsening in lakes and reservoirs. The climate change factor </w:t>
      </w:r>
      <w:r w:rsidRPr="00AE79D9">
        <w:rPr>
          <w:rFonts w:eastAsia="Times New Roman"/>
          <w:color w:val="000000"/>
          <w:sz w:val="24"/>
          <w:szCs w:val="24"/>
        </w:rPr>
        <w:t xml:space="preserve">(Wells et al., 2015) </w:t>
      </w:r>
      <w:r w:rsidRPr="00AE79D9">
        <w:rPr>
          <w:rFonts w:eastAsia="Times New Roman"/>
          <w:sz w:val="24"/>
          <w:szCs w:val="24"/>
        </w:rPr>
        <w:t>and the unique characteristics of each ecosystem (Thornton et al., 2013) require acting not only to determine the cause of nutrient enrichment (which can be varied or uncertain), but also to mitigate the problem, such as financially compensating the water resource user.</w:t>
      </w:r>
    </w:p>
    <w:p w14:paraId="577F9B3B" w14:textId="77777777" w:rsidR="00AE79D9" w:rsidRPr="00AE79D9" w:rsidRDefault="00AE79D9" w:rsidP="00AE79D9">
      <w:pPr>
        <w:ind w:firstLine="360"/>
        <w:rPr>
          <w:rFonts w:eastAsia="Times New Roman"/>
          <w:sz w:val="24"/>
          <w:szCs w:val="24"/>
        </w:rPr>
      </w:pPr>
      <w:r w:rsidRPr="00AE79D9">
        <w:rPr>
          <w:rFonts w:eastAsia="Times New Roman"/>
          <w:sz w:val="24"/>
          <w:szCs w:val="24"/>
        </w:rPr>
        <w:t xml:space="preserve">During droughts, without enough water reserves to sell in a way that revenue and costs can be balanced, water utilities are often forced to buy water from other sources, such as </w:t>
      </w:r>
      <w:proofErr w:type="spellStart"/>
      <w:r w:rsidRPr="00AE79D9">
        <w:rPr>
          <w:rFonts w:eastAsia="Times New Roman"/>
          <w:sz w:val="24"/>
          <w:szCs w:val="24"/>
        </w:rPr>
        <w:t>neighbouring</w:t>
      </w:r>
      <w:proofErr w:type="spellEnd"/>
      <w:r w:rsidRPr="00AE79D9">
        <w:rPr>
          <w:rFonts w:eastAsia="Times New Roman"/>
          <w:sz w:val="24"/>
          <w:szCs w:val="24"/>
        </w:rPr>
        <w:t xml:space="preserve"> regions or drilling into aquifers, which are costly alternatives due to the source of the supply and infrastructure needed to transport it </w:t>
      </w:r>
      <w:r w:rsidRPr="00AE79D9">
        <w:rPr>
          <w:rFonts w:eastAsia="Times New Roman"/>
          <w:sz w:val="24"/>
          <w:szCs w:val="24"/>
        </w:rPr>
        <w:fldChar w:fldCharType="begin" w:fldLock="1"/>
      </w:r>
      <w:r w:rsidRPr="00AE79D9">
        <w:rPr>
          <w:rFonts w:eastAsia="Times New Roman"/>
          <w:sz w:val="24"/>
          <w:szCs w:val="24"/>
        </w:rPr>
        <w:instrText>ADDIN CSL_CITATION {"citationItems":[{"id":"ITEM-1","itemData":{"abstract":"This report examines market-based strategies, such as derivatives and insurance, which are available to water managers and can be applied to help them mitigate the revenue risks associated with unpredictable weather.","author":[{"dropping-particle":"","family":"Polasek","given":"John","non-dropping-particle":"","parse-names":false,"suffix":""}],"container-title":"Alliance for Water Efficiency","id":"ITEM-1","issue":"July","issued":{"date-parts":[["2014"]]},"title":"Sustainable Utilities : Financial Instruments to Manage Weather-Related Revenue Risk","type":"article-journal"},"uris":["http://www.mendeley.com/documents/?uuid=ae7d0d6a-898a-48bc-b21f-a229590996ae"]}],"mendeley":{"formattedCitation":"(Polasek, 2014)","plainTextFormattedCitation":"(Polasek, 2014)","previouslyFormattedCitation":"(Polasek, 2014)"},"properties":{"noteIndex":0},"schema":"https://github.com/citation-style-language/schema/raw/master/csl-citation.json"}</w:instrText>
      </w:r>
      <w:r w:rsidRPr="00AE79D9">
        <w:rPr>
          <w:rFonts w:eastAsia="Times New Roman"/>
          <w:sz w:val="24"/>
          <w:szCs w:val="24"/>
        </w:rPr>
        <w:fldChar w:fldCharType="separate"/>
      </w:r>
      <w:r w:rsidRPr="00AE79D9">
        <w:rPr>
          <w:rFonts w:eastAsia="Times New Roman"/>
          <w:noProof/>
          <w:sz w:val="24"/>
          <w:szCs w:val="24"/>
        </w:rPr>
        <w:t>(Polasek, 2014)</w:t>
      </w:r>
      <w:r w:rsidRPr="00AE79D9">
        <w:rPr>
          <w:rFonts w:eastAsia="Times New Roman"/>
          <w:sz w:val="24"/>
          <w:szCs w:val="24"/>
        </w:rPr>
        <w:fldChar w:fldCharType="end"/>
      </w:r>
      <w:r w:rsidRPr="00AE79D9">
        <w:rPr>
          <w:rFonts w:eastAsia="Times New Roman"/>
          <w:sz w:val="24"/>
          <w:szCs w:val="24"/>
        </w:rPr>
        <w:t xml:space="preserve">. In terms of financial measures, water utilities can take three basic actions, hybrid or individually, to hedge against unbalanced expenses and revenues during droughts: drought surcharges, contingency funds, and index insurance contracts (Zeff &amp; </w:t>
      </w:r>
      <w:r w:rsidRPr="00AE79D9">
        <w:rPr>
          <w:rFonts w:eastAsia="Times New Roman"/>
          <w:noProof/>
          <w:sz w:val="24"/>
          <w:szCs w:val="24"/>
        </w:rPr>
        <w:t xml:space="preserve">Characklis, </w:t>
      </w:r>
      <w:r w:rsidRPr="00AE79D9">
        <w:rPr>
          <w:rFonts w:eastAsia="Times New Roman"/>
          <w:sz w:val="24"/>
          <w:szCs w:val="24"/>
        </w:rPr>
        <w:t>2013). Utilities may raise volumetric water prices to compensate for lost revenue and encourage users to conserve. Surcharges, on the other hand, are unpopular with users and thus politically difficult. The water company can self-insure against loss by making regular contributions to a contingency fund. However, given the challenges in drought variability, Zeff &amp;</w:t>
      </w:r>
      <w:r w:rsidRPr="00AE79D9">
        <w:rPr>
          <w:rFonts w:eastAsia="Times New Roman"/>
          <w:noProof/>
          <w:sz w:val="24"/>
          <w:szCs w:val="24"/>
        </w:rPr>
        <w:t xml:space="preserve"> Characklis</w:t>
      </w:r>
      <w:r w:rsidRPr="00AE79D9">
        <w:rPr>
          <w:rFonts w:eastAsia="Times New Roman"/>
          <w:sz w:val="24"/>
          <w:szCs w:val="24"/>
        </w:rPr>
        <w:t xml:space="preserve"> (2013) believe that a high-liquidity fund large enough to hedge against the effects of multiple droughts over several years or an extended multiyear drought would require periodic contributions far in excess of expected revenue losses. Furthermore, local politicians have access to contingency funds that they can use for other purposes (Polasek, 2014).</w:t>
      </w:r>
    </w:p>
    <w:p w14:paraId="5573006C" w14:textId="77777777" w:rsidR="00AE79D9" w:rsidRPr="00AE79D9" w:rsidRDefault="00AE79D9" w:rsidP="00AE79D9">
      <w:pPr>
        <w:ind w:firstLine="360"/>
        <w:rPr>
          <w:rFonts w:eastAsia="Times New Roman"/>
          <w:sz w:val="24"/>
          <w:szCs w:val="24"/>
        </w:rPr>
      </w:pPr>
      <w:r w:rsidRPr="00AE79D9">
        <w:rPr>
          <w:rFonts w:eastAsia="Times New Roman"/>
          <w:sz w:val="24"/>
          <w:szCs w:val="24"/>
        </w:rPr>
        <w:t xml:space="preserve">Index insurance contracts are a way of mitigating financial losses due to weather and hydrologic extremes in agricultural, irrigation, water supply and energy production sectors (Benso et al. 2022). The third-party financial insurance contract is an insurance mechanism for the water utility sector (Polasek, 2014) that is still poorly explored. When it comes to drought hedging, these contracts have outperformed conservation measures like self-insurance and surcharges during more severe droughts (Zeff &amp; </w:t>
      </w:r>
      <w:r w:rsidRPr="00AE79D9">
        <w:rPr>
          <w:rFonts w:eastAsia="Times New Roman"/>
          <w:noProof/>
          <w:sz w:val="24"/>
          <w:szCs w:val="24"/>
        </w:rPr>
        <w:t xml:space="preserve">Characklis, </w:t>
      </w:r>
      <w:r w:rsidRPr="00AE79D9">
        <w:rPr>
          <w:rFonts w:eastAsia="Times New Roman"/>
          <w:sz w:val="24"/>
          <w:szCs w:val="24"/>
        </w:rPr>
        <w:t xml:space="preserve">2013; Baum et al., 2018). Similarly, Guzmán et al (2020) found that efficiency and solvency coefficients showed improved performance during high-intensity and low-frequency drought events. Furthermore, Zeff &amp; </w:t>
      </w:r>
      <w:r w:rsidRPr="00AE79D9">
        <w:rPr>
          <w:rFonts w:eastAsia="Times New Roman"/>
          <w:noProof/>
          <w:sz w:val="24"/>
          <w:szCs w:val="24"/>
        </w:rPr>
        <w:t xml:space="preserve">Characklis </w:t>
      </w:r>
      <w:r w:rsidRPr="00AE79D9">
        <w:rPr>
          <w:rFonts w:eastAsia="Times New Roman"/>
          <w:sz w:val="24"/>
          <w:szCs w:val="24"/>
        </w:rPr>
        <w:t xml:space="preserve">(2013) emphasize that conservation measures can be used in combination with index insurance to effectively hedge against water-related disasters. </w:t>
      </w:r>
    </w:p>
    <w:p w14:paraId="37E40ED8" w14:textId="77777777" w:rsidR="00AE79D9" w:rsidRPr="00AE79D9" w:rsidRDefault="00AE79D9" w:rsidP="00AE79D9">
      <w:pPr>
        <w:ind w:firstLine="360"/>
        <w:rPr>
          <w:rFonts w:eastAsia="Times New Roman"/>
          <w:sz w:val="24"/>
          <w:szCs w:val="24"/>
        </w:rPr>
      </w:pPr>
      <w:r w:rsidRPr="00AE79D9">
        <w:rPr>
          <w:rFonts w:eastAsia="Times New Roman"/>
          <w:sz w:val="24"/>
          <w:szCs w:val="24"/>
        </w:rPr>
        <w:t xml:space="preserve">In exchange for a periodic payment known as a premium, these financial contracts transfer a portion of the financial risk to a third party. This third party is a financial institution that is in charge of taking on risk for one or more utilities. Alternatively, a group of utilities could pool their resources to self-insure against similar risks (Baum et al. 2018). The premium paid for the insured to the third party is calculated by adding administrative costs, third-party returns and the opportunity cost of reserves to the expected losses forecasted during the contract term (Baum et al. 2018). The losses are calculated using a pre-agreed value of an index, which must have a </w:t>
      </w:r>
      <w:r w:rsidRPr="00AE79D9">
        <w:rPr>
          <w:rFonts w:eastAsia="Times New Roman"/>
          <w:sz w:val="24"/>
          <w:szCs w:val="24"/>
        </w:rPr>
        <w:lastRenderedPageBreak/>
        <w:t>close relationship with the actual losses. As previously stated, index insurance is a risk management tool that has recently been studied by water utilities to hedge against drought. However, to the best of our knowledge, the insurance schemes proposed in the literature up to this point are only applicable to this type of risk. For water utilities, financial losses in terms of water quality and flood damage to water infrastructure, neither third-party financial contracts nor other elaborated financial risk transfer mechanisms are proposed or investigated.</w:t>
      </w:r>
    </w:p>
    <w:p w14:paraId="3B819D82" w14:textId="4ED15220" w:rsidR="00A44721" w:rsidRDefault="00A44721" w:rsidP="00A44721">
      <w:pPr>
        <w:pStyle w:val="Heading-Main"/>
      </w:pPr>
      <w:r>
        <w:t>3</w:t>
      </w:r>
      <w:r>
        <w:t xml:space="preserve"> Index insurance applied to water utilities</w:t>
      </w:r>
    </w:p>
    <w:p w14:paraId="64E9A50E" w14:textId="0BA2BCCD" w:rsidR="00334E2C" w:rsidRPr="00A44721" w:rsidRDefault="00A44721" w:rsidP="00A44721">
      <w:pPr>
        <w:pStyle w:val="Note"/>
        <w:ind w:firstLine="360"/>
        <w:rPr>
          <w:color w:val="auto"/>
          <w:sz w:val="24"/>
          <w:szCs w:val="24"/>
        </w:rPr>
      </w:pPr>
      <w:r w:rsidRPr="00A44721">
        <w:rPr>
          <w:color w:val="auto"/>
          <w:sz w:val="24"/>
          <w:szCs w:val="24"/>
        </w:rPr>
        <w:t>In this section, we discussed how index insurance is capable of enhancing user’s resilience. In addition, we discussed the potential applications of index insurance for water infrastructure. We then propose a general index insurance framework for risk mitigation in the water infrastructure sector. Finally, some shortcomings in index insurance design and implementation are identified</w:t>
      </w:r>
      <w:r w:rsidRPr="00A44721">
        <w:rPr>
          <w:color w:val="auto"/>
          <w:sz w:val="24"/>
          <w:szCs w:val="24"/>
        </w:rPr>
        <w:t>.</w:t>
      </w:r>
    </w:p>
    <w:p w14:paraId="3EDCDAF7" w14:textId="0F586CC2" w:rsidR="00CE0AA2" w:rsidRDefault="00CE0AA2" w:rsidP="00CE0AA2">
      <w:pPr>
        <w:pStyle w:val="Heading-Secondary"/>
      </w:pPr>
      <w:r>
        <w:t>3.1</w:t>
      </w:r>
      <w:r>
        <w:t xml:space="preserve"> </w:t>
      </w:r>
      <w:r w:rsidR="00C71159" w:rsidRPr="00C71159">
        <w:t>Index insurance as a mitigation tool</w:t>
      </w:r>
    </w:p>
    <w:p w14:paraId="16FFC791" w14:textId="77777777" w:rsidR="004E504B" w:rsidRPr="004E504B" w:rsidRDefault="004E504B" w:rsidP="004E504B">
      <w:pPr>
        <w:pBdr>
          <w:top w:val="nil"/>
          <w:left w:val="nil"/>
          <w:bottom w:val="nil"/>
          <w:right w:val="nil"/>
          <w:between w:val="nil"/>
        </w:pBdr>
        <w:ind w:firstLine="360"/>
        <w:rPr>
          <w:rFonts w:eastAsia="Times New Roman"/>
          <w:color w:val="000000"/>
          <w:sz w:val="24"/>
          <w:szCs w:val="24"/>
        </w:rPr>
      </w:pPr>
      <w:r w:rsidRPr="004E504B">
        <w:rPr>
          <w:rFonts w:eastAsia="Times New Roman"/>
          <w:color w:val="000000"/>
          <w:sz w:val="24"/>
          <w:szCs w:val="24"/>
        </w:rPr>
        <w:t>Given the uncertainties associated with both changes in climate extremes and socioeconomic choices to address the problem of water shortages and water security, as well as the definition of how these uncertain factors affect water supply, water infrastructure remains a risk</w:t>
      </w:r>
      <w:r w:rsidRPr="004E504B">
        <w:rPr>
          <w:rFonts w:eastAsia="Times New Roman"/>
          <w:sz w:val="24"/>
          <w:szCs w:val="24"/>
        </w:rPr>
        <w:t xml:space="preserve">. </w:t>
      </w:r>
      <w:r w:rsidRPr="004E504B">
        <w:rPr>
          <w:rFonts w:eastAsia="Times New Roman"/>
          <w:color w:val="000000"/>
          <w:sz w:val="24"/>
          <w:szCs w:val="24"/>
        </w:rPr>
        <w:t>This residual risk is sometimes insurmountable with preventive measures, necessitating financial compensation to mitigate the damage. Indexed insurance is intended to be a tool for mitigating the vulnerability associated with the impacts of supply interruption or significant financial losses caused by extreme hydrometeorological events. Such a tool should ultimately aim to ensure water supply and increase population resilience in the face of uncertain scenarios. Therefore, the water consumer must be the final insured of such a benefit, which is directly applied to the intermediary insured, which consists of supply companies.</w:t>
      </w:r>
    </w:p>
    <w:p w14:paraId="6D97CAD5" w14:textId="77777777" w:rsidR="004E504B" w:rsidRPr="004E504B" w:rsidRDefault="004E504B" w:rsidP="004E504B">
      <w:pPr>
        <w:pBdr>
          <w:top w:val="nil"/>
          <w:left w:val="nil"/>
          <w:bottom w:val="nil"/>
          <w:right w:val="nil"/>
          <w:between w:val="nil"/>
        </w:pBdr>
        <w:ind w:firstLine="360"/>
        <w:rPr>
          <w:rFonts w:eastAsia="Times New Roman"/>
          <w:color w:val="000000"/>
          <w:sz w:val="24"/>
          <w:szCs w:val="24"/>
        </w:rPr>
      </w:pPr>
      <w:r w:rsidRPr="004E504B">
        <w:rPr>
          <w:rFonts w:eastAsia="Times New Roman"/>
          <w:color w:val="000000"/>
          <w:sz w:val="24"/>
          <w:szCs w:val="24"/>
        </w:rPr>
        <w:t>Given the supply companies' tight budgets, this mitigation can be translated into economic compensation for the economic losses suffered by the companies during extreme events from payouts (Baum et al., 2018). G</w:t>
      </w:r>
      <w:r w:rsidRPr="004E504B">
        <w:rPr>
          <w:rFonts w:eastAsia="Times New Roman"/>
          <w:sz w:val="24"/>
          <w:szCs w:val="24"/>
        </w:rPr>
        <w:t>u</w:t>
      </w:r>
      <w:r w:rsidRPr="004E504B">
        <w:rPr>
          <w:rFonts w:eastAsia="Times New Roman"/>
          <w:color w:val="000000"/>
          <w:sz w:val="24"/>
          <w:szCs w:val="24"/>
        </w:rPr>
        <w:t>zmán et al. (2020) defend this form of mitigation as a way to protect the companies' business, and thus, the supply service. However, the payout can also be used to compensate the end user of water resources in addition to covering economic deficits or operating expenses of companies.</w:t>
      </w:r>
      <w:r w:rsidRPr="004E504B">
        <w:rPr>
          <w:rFonts w:eastAsia="Times New Roman"/>
          <w:sz w:val="24"/>
          <w:szCs w:val="24"/>
        </w:rPr>
        <w:t xml:space="preserve"> </w:t>
      </w:r>
      <w:r w:rsidRPr="004E504B">
        <w:rPr>
          <w:rFonts w:eastAsia="Times New Roman"/>
          <w:color w:val="000000"/>
          <w:sz w:val="24"/>
          <w:szCs w:val="24"/>
        </w:rPr>
        <w:t>This measure can be implemented in two ways: from the reduction of water tariffs; or by direct compensation to customers where the water company is responsible for interruptions in the water supply, as is the case of England and Wales. This measure constitutes a direct incentive for water companies to seek the reduction of unplanned interruptions in water supply, thereby improving service quality (</w:t>
      </w:r>
      <w:proofErr w:type="spellStart"/>
      <w:r w:rsidRPr="004E504B">
        <w:rPr>
          <w:rFonts w:eastAsia="Times New Roman"/>
          <w:color w:val="000000"/>
          <w:sz w:val="24"/>
          <w:szCs w:val="24"/>
        </w:rPr>
        <w:t>Maziotis</w:t>
      </w:r>
      <w:proofErr w:type="spellEnd"/>
      <w:r w:rsidRPr="004E504B">
        <w:rPr>
          <w:rFonts w:eastAsia="Times New Roman"/>
          <w:color w:val="000000"/>
          <w:sz w:val="24"/>
          <w:szCs w:val="24"/>
        </w:rPr>
        <w:t xml:space="preserve"> et al. 2020).</w:t>
      </w:r>
    </w:p>
    <w:p w14:paraId="734D4051" w14:textId="77777777" w:rsidR="004E504B" w:rsidRPr="004E504B" w:rsidRDefault="004E504B" w:rsidP="004E504B">
      <w:pPr>
        <w:pBdr>
          <w:top w:val="nil"/>
          <w:left w:val="nil"/>
          <w:bottom w:val="nil"/>
          <w:right w:val="nil"/>
          <w:between w:val="nil"/>
        </w:pBdr>
        <w:ind w:firstLine="360"/>
        <w:rPr>
          <w:rFonts w:eastAsia="Times New Roman"/>
          <w:color w:val="000000"/>
          <w:sz w:val="24"/>
          <w:szCs w:val="24"/>
        </w:rPr>
      </w:pPr>
      <w:r w:rsidRPr="004E504B">
        <w:rPr>
          <w:rFonts w:eastAsia="Times New Roman"/>
          <w:color w:val="000000"/>
          <w:sz w:val="24"/>
          <w:szCs w:val="24"/>
        </w:rPr>
        <w:t xml:space="preserve">It is important to emphasize that, as a mitigation measure, the insurance </w:t>
      </w:r>
      <w:r w:rsidRPr="004E504B">
        <w:rPr>
          <w:rFonts w:eastAsia="Times New Roman"/>
          <w:sz w:val="24"/>
          <w:szCs w:val="24"/>
        </w:rPr>
        <w:t>schemes</w:t>
      </w:r>
      <w:r w:rsidRPr="004E504B">
        <w:rPr>
          <w:rFonts w:eastAsia="Times New Roman"/>
          <w:color w:val="000000"/>
          <w:sz w:val="24"/>
          <w:szCs w:val="24"/>
        </w:rPr>
        <w:t xml:space="preserve"> can work along with </w:t>
      </w:r>
      <w:r w:rsidRPr="004E504B">
        <w:rPr>
          <w:rFonts w:eastAsia="Times New Roman"/>
          <w:sz w:val="24"/>
          <w:szCs w:val="24"/>
        </w:rPr>
        <w:t xml:space="preserve">others to prevent the effects of extreme events on the water supply. Such measures comprehend, </w:t>
      </w:r>
      <w:r w:rsidRPr="004E504B">
        <w:rPr>
          <w:rFonts w:eastAsia="Times New Roman"/>
          <w:color w:val="000000"/>
          <w:sz w:val="24"/>
          <w:szCs w:val="24"/>
        </w:rPr>
        <w:t>fo</w:t>
      </w:r>
      <w:r w:rsidRPr="004E504B">
        <w:rPr>
          <w:rFonts w:eastAsia="Times New Roman"/>
          <w:sz w:val="24"/>
          <w:szCs w:val="24"/>
        </w:rPr>
        <w:t xml:space="preserve">r instance, </w:t>
      </w:r>
      <w:r w:rsidRPr="004E504B">
        <w:rPr>
          <w:rFonts w:eastAsia="Times New Roman"/>
          <w:color w:val="000000"/>
          <w:sz w:val="24"/>
          <w:szCs w:val="24"/>
        </w:rPr>
        <w:t>online monitoring of water quality, exploration of alternative sources of supply, resizing of treatment processes, diversification of water supply options, increased redundancy of the plant design, change in long-term operation and development of effective extreme event response plans can be implemented to achieve this (</w:t>
      </w:r>
      <w:proofErr w:type="spellStart"/>
      <w:r w:rsidRPr="004E504B">
        <w:rPr>
          <w:rFonts w:eastAsia="Times New Roman"/>
          <w:color w:val="000000"/>
          <w:sz w:val="24"/>
          <w:szCs w:val="24"/>
        </w:rPr>
        <w:t>Raseman</w:t>
      </w:r>
      <w:proofErr w:type="spellEnd"/>
      <w:r w:rsidRPr="004E504B">
        <w:rPr>
          <w:rFonts w:eastAsia="Times New Roman"/>
          <w:color w:val="000000"/>
          <w:sz w:val="24"/>
          <w:szCs w:val="24"/>
        </w:rPr>
        <w:t xml:space="preserve"> et al. 2017). Additionally, measures aimed at producing water based on ecosystem-based adaptation – which consists of taking advantage of biodiversity and ecosystem services to assist populations in adapting to the adverse effects of climate change – and its valuation based on payments for ecosystem services have been studied as water production solutions </w:t>
      </w:r>
      <w:r w:rsidRPr="004E504B">
        <w:rPr>
          <w:rFonts w:eastAsia="Times New Roman"/>
          <w:color w:val="000000"/>
          <w:sz w:val="24"/>
          <w:szCs w:val="24"/>
        </w:rPr>
        <w:fldChar w:fldCharType="begin" w:fldLock="1"/>
      </w:r>
      <w:r w:rsidRPr="004E504B">
        <w:rPr>
          <w:rFonts w:eastAsia="Times New Roman"/>
          <w:color w:val="000000"/>
          <w:sz w:val="24"/>
          <w:szCs w:val="24"/>
        </w:rPr>
        <w:instrText>ADDIN CSL_CITATION {"citationItems":[{"id":"ITEM-1","itemData":{"DOI":"10.1016/J.CLISER.2017.10.005","ISSN":"2405-8807","abstract":"Ecosystem-based Adaptation (EbA) involves using services on which human well-being depends to help people adapt to the impacts of climate change. Aiming at strengthening ecosystem resilience and reducing ecosystem and people's vulnerability, EbA has been encouraged worldwide as an option for climate change. Payments for Ecosystem Services (PES) are incentives offered to farmers and landowners to provide an ecological service and are currently proposed as a method for EbA and water resources sustainability on a global scale. However, organized information on PES in Brazil is limited. This paper provides a concise review of PES initiatives in the Brazilian Atlantic Forest, where various PES projects on watershed protection (Water-PES) have been set up. We found 16 ongoing Water-PES in the Brazilian Atlantic Forest. The first initiative was launched in 2005 and since then these projects have grown rapidly. In spite of the advances made in many of these initiatives, they seldom have baseline hydrologic data and an implemented strategy for ecohydrological monitoring. Thus, we discuss how PES projects could be more effective by implementing hydrological monitoring based on ecohydrological concepts. Special attention has been given to explaining how the recent Impact-Vulnerability-Adaptation idea could be integrated into Water-PES. As can be seen from the review, these projects contribute as EbA options for climate change, thereby carrying practical implications for environmental policy makers.","author":[{"dropping-particle":"","family":"Taffarello","given":"Denise","non-dropping-particle":"","parse-names":false,"suffix":""},{"dropping-particle":"","family":"Calijuri","given":"Maria do Carmo","non-dropping-particle":"","parse-names":false,"suffix":""},{"dropping-particle":"","family":"Viani","given":"Ricardo A.Gorne","non-dropping-particle":"","parse-names":false,"suffix":""},{"dropping-particle":"","family":"Marengo","given":"José A.","non-dropping-particle":"","parse-names":false,"suffix":""},{"dropping-particle":"","family":"Mendiondo","given":"Eduardo Mario","non-dropping-particle":"","parse-names":false,"suffix":""}],"container-title":"Climate Services","id":"ITEM-1","issued":{"date-parts":[["2017","12","1"]]},"page":"1-16","publisher":"Elsevier","title":"Hydrological services in the Atlantic Forest, Brazil: An ecosystem-based adaptation using ecohydrological monitoring","type":"article-journal","volume":"8"},"uris":["http://www.mendeley.com/documents/?uuid=076bb5e0-161f-33d3-9859-35d71a459c7d"]},{"id":"ITEM-2","itemData":{"DOI":"10.5194/HESS-22-4699-2018","ISSN":"16077938","abstract":"Although hydrologic models provide hypothesis testing of complex dynamics occurring at catchments, freshwater quality modeling is still incipient at many subtropical headwaters. In Brazil, a few modeling studies assess freshwater nutrients, limiting policies on hydrologic ecosystem services. This paper aims to compare freshwater quality scenarios under different land-use and land-cover (LULC) change, one of them related to ecosystem-based adaptation (EbA), in Brazilian headwaters. Using the spatially semi-distributed Soil and Water Assessment Tool (SWAT) model, nitrate, total phosphorous (TP) and sediment were modeled in catchments ranging from 7.2 to 1037km2. These headwaters were eligible areas of the Brazilian payment for ecosystem services (PES) projects in the Cantareira water supply system, which had supplied water to 9 million people in the São Paulo metropolitan region (SPMR). We considered SWAT modeling of three LULC scenarios: (i) recent past scenario (S1), with historical LULC in 1990; (ii) current land-use scenario (S2), with LULC for the period 2010-2015 with field validation; and (iii) future land-use scenario with PES (S2+EbA). This latter scenario proposed forest cover restoration through EbA following the river basin plan by 2035. These three LULC scenarios were tested with a selected record of rainfall and evapotranspiration observed in 2006-2014, with the occurrence of extreme droughts. To assess hydrologic services, we proposed the hydrologic service index (HSI), as a new composite metric comparing water pollution levels (WPL) for reference catchments, related to the grey water footprint (greyWF) and water yield. On the one hand, water quality simulations allowed for the regionalization of greyWF at spatial scales under LULC scenarios. According to the critical threshold, HSI identified areas as less or more sustainable catchments. On the other hand, conservation practices simulated through the S2+EbA scenario envisaged not only additional and viable best management practices (BMP), but also preventive decision-making at the headwaters of water supply systems.","author":[{"dropping-particle":"","family":"Taffarello","given":"Denise","non-dropping-particle":"","parse-names":false,"suffix":""},{"dropping-particle":"","family":"Srinivasan","given":"Raghavan","non-dropping-particle":"","parse-names":false,"suffix":""},{"dropping-particle":"","family":"Samprogna Mohor","given":"Guilherme","non-dropping-particle":"","parse-names":false,"suffix":""},{"dropping-particle":"","family":"Guimarães","given":"João Luis Bittencourt","non-dropping-particle":"","parse-names":false,"suffix":""},{"dropping-particle":"","family":"Carmo Calijuri","given":"Maria","non-dropping-particle":"Do","parse-names":false,"suffix":""},{"dropping-particle":"","family":"Mendiondo","given":"Eduardo Mario","non-dropping-particle":"","parse-names":false,"suffix":""}],"container-title":"Hydrology and Earth System Sciences","id":"ITEM-2","issue":"9","issued":{"date-parts":[["2018","9","7"]]},"page":"4699-4723","publisher":"Copernicus GmbH","title":"Modeling freshwater quality scenarios with ecosystem-based adaptation in the headwaters of the Cantareira system, Brazil","type":"article-journal","volume":"22"},"uris":["http://www.mendeley.com/documents/?uuid=f8700315-0a9b-37c1-a8aa-a8dec08d56f3"]}],"mendeley":{"formattedCitation":"(Taffarello et al., 2017, 2018)","plainTextFormattedCitation":"(Taffarello et al., 2017, 2018)","previouslyFormattedCitation":"(Taffarello et al., 2017, 2018)"},"properties":{"noteIndex":0},"schema":"https://github.com/citation-style-language/schema/raw/master/csl-citation.json"}</w:instrText>
      </w:r>
      <w:r w:rsidRPr="004E504B">
        <w:rPr>
          <w:rFonts w:eastAsia="Times New Roman"/>
          <w:color w:val="000000"/>
          <w:sz w:val="24"/>
          <w:szCs w:val="24"/>
        </w:rPr>
        <w:fldChar w:fldCharType="separate"/>
      </w:r>
      <w:r w:rsidRPr="004E504B">
        <w:rPr>
          <w:rFonts w:eastAsia="Times New Roman"/>
          <w:noProof/>
          <w:color w:val="000000"/>
          <w:sz w:val="24"/>
          <w:szCs w:val="24"/>
        </w:rPr>
        <w:t xml:space="preserve">(Taffarello et al., 2017, </w:t>
      </w:r>
      <w:r w:rsidRPr="004E504B">
        <w:rPr>
          <w:rFonts w:eastAsia="Times New Roman"/>
          <w:noProof/>
          <w:color w:val="000000"/>
          <w:sz w:val="24"/>
          <w:szCs w:val="24"/>
        </w:rPr>
        <w:lastRenderedPageBreak/>
        <w:t>2018)</w:t>
      </w:r>
      <w:r w:rsidRPr="004E504B">
        <w:rPr>
          <w:rFonts w:eastAsia="Times New Roman"/>
          <w:color w:val="000000"/>
          <w:sz w:val="24"/>
          <w:szCs w:val="24"/>
        </w:rPr>
        <w:fldChar w:fldCharType="end"/>
      </w:r>
      <w:r w:rsidRPr="004E504B">
        <w:rPr>
          <w:rFonts w:eastAsia="Times New Roman"/>
          <w:color w:val="000000"/>
          <w:sz w:val="24"/>
          <w:szCs w:val="24"/>
        </w:rPr>
        <w:t>.</w:t>
      </w:r>
      <w:r w:rsidRPr="004E504B">
        <w:rPr>
          <w:rFonts w:eastAsia="Times New Roman"/>
          <w:sz w:val="24"/>
          <w:szCs w:val="24"/>
        </w:rPr>
        <w:t xml:space="preserve"> For instance, Navarro et al. (2022) propose a risk management framework integrating insurance mechanisms with nature-based solutions to reduce the vulnerability of urban </w:t>
      </w:r>
      <w:proofErr w:type="spellStart"/>
      <w:r w:rsidRPr="004E504B">
        <w:rPr>
          <w:rFonts w:eastAsia="Times New Roman"/>
          <w:sz w:val="24"/>
          <w:szCs w:val="24"/>
        </w:rPr>
        <w:t>centres</w:t>
      </w:r>
      <w:proofErr w:type="spellEnd"/>
      <w:r w:rsidRPr="004E504B">
        <w:rPr>
          <w:rFonts w:eastAsia="Times New Roman"/>
          <w:sz w:val="24"/>
          <w:szCs w:val="24"/>
        </w:rPr>
        <w:t>, allowing insurance coverage to be reduced as the population is less exposed. Furthermore, the authors emphasize the importance of using other non-structural measures such as institutional-level measures, sustainability policies, awareness of the risks and potential damages of extreme events, and multidimensional indicators, in addition to insurance Such measures raise awareness, which encourages people to adapt and pay for insurance, increasing the economic resources available for adaptation.</w:t>
      </w:r>
    </w:p>
    <w:p w14:paraId="75A955D7" w14:textId="77777777" w:rsidR="004E504B" w:rsidRPr="004E504B" w:rsidRDefault="004E504B" w:rsidP="004E504B">
      <w:pPr>
        <w:pBdr>
          <w:top w:val="nil"/>
          <w:left w:val="nil"/>
          <w:bottom w:val="nil"/>
          <w:right w:val="nil"/>
          <w:between w:val="nil"/>
        </w:pBdr>
        <w:ind w:firstLine="360"/>
        <w:rPr>
          <w:rFonts w:eastAsia="Times New Roman"/>
          <w:color w:val="000000"/>
          <w:sz w:val="24"/>
          <w:szCs w:val="24"/>
        </w:rPr>
      </w:pPr>
      <w:r w:rsidRPr="004E504B">
        <w:rPr>
          <w:rFonts w:eastAsia="Times New Roman"/>
          <w:color w:val="000000"/>
          <w:sz w:val="24"/>
          <w:szCs w:val="24"/>
        </w:rPr>
        <w:t xml:space="preserve">The proposal of this management instrument is not </w:t>
      </w:r>
      <w:r w:rsidRPr="004E504B">
        <w:rPr>
          <w:rFonts w:eastAsia="Times New Roman"/>
          <w:sz w:val="24"/>
          <w:szCs w:val="24"/>
        </w:rPr>
        <w:t>intended to</w:t>
      </w:r>
      <w:r w:rsidRPr="004E504B">
        <w:rPr>
          <w:rFonts w:eastAsia="Times New Roman"/>
          <w:color w:val="000000"/>
          <w:sz w:val="24"/>
          <w:szCs w:val="24"/>
        </w:rPr>
        <w:t xml:space="preserve"> be a diversion from the lack of measures aimed at the proper disposal of sewage and solid waste or to discourage the modernization of water infrastructure</w:t>
      </w:r>
      <w:r w:rsidRPr="004E504B">
        <w:rPr>
          <w:rFonts w:eastAsia="Times New Roman"/>
          <w:sz w:val="24"/>
          <w:szCs w:val="24"/>
        </w:rPr>
        <w:t>.</w:t>
      </w:r>
      <w:r w:rsidRPr="004E504B">
        <w:rPr>
          <w:rFonts w:eastAsia="Times New Roman"/>
          <w:color w:val="000000"/>
          <w:sz w:val="24"/>
          <w:szCs w:val="24"/>
        </w:rPr>
        <w:t xml:space="preserve"> </w:t>
      </w:r>
      <w:r w:rsidRPr="004E504B">
        <w:rPr>
          <w:rFonts w:eastAsia="Times New Roman"/>
          <w:sz w:val="24"/>
          <w:szCs w:val="24"/>
        </w:rPr>
        <w:t xml:space="preserve">As a result, the risk transfer model based on insurance has the potential to act in accordance with national and international sanitation and water security plans. </w:t>
      </w:r>
    </w:p>
    <w:p w14:paraId="7A4FE4DA" w14:textId="1DCAC3B5" w:rsidR="00766240" w:rsidRDefault="00766240" w:rsidP="00766240">
      <w:pPr>
        <w:pStyle w:val="Heading-Secondary"/>
      </w:pPr>
      <w:r>
        <w:t>3.</w:t>
      </w:r>
      <w:r>
        <w:t>2</w:t>
      </w:r>
      <w:r>
        <w:t xml:space="preserve"> </w:t>
      </w:r>
      <w:r w:rsidRPr="00766240">
        <w:t>Index insurance structure</w:t>
      </w:r>
    </w:p>
    <w:p w14:paraId="3E65B442" w14:textId="77777777" w:rsidR="00766240" w:rsidRPr="00766240" w:rsidRDefault="00766240" w:rsidP="00766240">
      <w:pPr>
        <w:ind w:firstLine="540"/>
        <w:rPr>
          <w:rFonts w:eastAsia="Times New Roman"/>
          <w:sz w:val="24"/>
          <w:szCs w:val="24"/>
        </w:rPr>
      </w:pPr>
      <w:r w:rsidRPr="00766240">
        <w:rPr>
          <w:rFonts w:eastAsia="Times New Roman"/>
          <w:sz w:val="24"/>
          <w:szCs w:val="24"/>
        </w:rPr>
        <w:t xml:space="preserve">An insurance scheme is divided into product development (which includes risk assessment, premium calculation, portfolio analysis, and profitability monitoring); analysis of sales, customers, marketing and price sensitivity; complaints and fraud detection services; finance and controllership (which involves modelling financial risks, reinsurance and solvency) </w:t>
      </w:r>
      <w:r w:rsidRPr="00766240">
        <w:rPr>
          <w:rFonts w:eastAsia="Times New Roman"/>
          <w:sz w:val="24"/>
          <w:szCs w:val="24"/>
        </w:rPr>
        <w:fldChar w:fldCharType="begin" w:fldLock="1"/>
      </w:r>
      <w:r w:rsidRPr="00766240">
        <w:rPr>
          <w:rFonts w:eastAsia="Times New Roman"/>
          <w:sz w:val="24"/>
          <w:szCs w:val="24"/>
        </w:rPr>
        <w:instrText>ADDIN CSL_CITATION {"citationItems":[{"id":"ITEM-1","itemData":{"DOI":"10.1002/asmb.2543","ISSN":"15264025","abstract":"The literature on analytical applications in insurance tends to be either very general or rather technical, which may hold back the adoption of new important tools by industrial practitioners. Our goal is to stress that machine learning (ML) algorithms will play a significant role in the insurance industry in the near future and thus to encourage practitioners to learn and apply these techniques. After discussing the increasing relevance of data for nonlife insurance and briefly reviewing the major impact of digital technology on this business, we restrict our discussion to technical analytical applications and indicate where ML algorithms can add most value. We present two real examples: first a comparison of retention models for household insurance and then a dynamic pricing problem for online motor insurance. Both applications illustrate the advantages but also some of the difficulties of applying ML tools in practice. Finally, we mention some challenges posed by the use of ML in the industry and formulate a few recommendations for successful applications in insurance. This article is neither a tutorial nor an exhaustive review of technical ML applications in nonlife insurance. However, references for additional learning materials are provided.","author":[{"dropping-particle":"","family":"Grize","given":"Yves Laurent","non-dropping-particle":"","parse-names":false,"suffix":""},{"dropping-particle":"","family":"Fischer","given":"Wolfram","non-dropping-particle":"","parse-names":false,"suffix":""},{"dropping-particle":"","family":"Lützelschwab","given":"Christian","non-dropping-particle":"","parse-names":false,"suffix":""}],"container-title":"Applied Stochastic Models in Business and Industry","id":"ITEM-1","issued":{"date-parts":[["2020"]]},"publisher":"John Wiley and Sons Ltd","title":"Machine learning applications in nonlife insurance","type":"article-journal"},"uris":["http://www.mendeley.com/documents/?uuid=04cd8a47-ec8a-369f-b2fa-6cb80a990115"]}],"mendeley":{"formattedCitation":"(Grize et al., 2020)","plainTextFormattedCitation":"(Grize et al., 2020)","previouslyFormattedCitation":"(Grize et al., 2020)"},"properties":{"noteIndex":0},"schema":"https://github.com/citation-style-language/schema/raw/master/csl-citation.json"}</w:instrText>
      </w:r>
      <w:r w:rsidRPr="00766240">
        <w:rPr>
          <w:rFonts w:eastAsia="Times New Roman"/>
          <w:sz w:val="24"/>
          <w:szCs w:val="24"/>
        </w:rPr>
        <w:fldChar w:fldCharType="separate"/>
      </w:r>
      <w:r w:rsidRPr="00766240">
        <w:rPr>
          <w:rFonts w:eastAsia="Times New Roman"/>
          <w:noProof/>
          <w:sz w:val="24"/>
          <w:szCs w:val="24"/>
        </w:rPr>
        <w:t>(Grize et al., 2020)</w:t>
      </w:r>
      <w:r w:rsidRPr="00766240">
        <w:rPr>
          <w:rFonts w:eastAsia="Times New Roman"/>
          <w:sz w:val="24"/>
          <w:szCs w:val="24"/>
        </w:rPr>
        <w:fldChar w:fldCharType="end"/>
      </w:r>
      <w:r w:rsidRPr="00766240">
        <w:rPr>
          <w:rFonts w:eastAsia="Times New Roman"/>
          <w:sz w:val="24"/>
          <w:szCs w:val="24"/>
        </w:rPr>
        <w:t>. Insurance products are classified into two broad categories: conventional insurance, in which premiums are calculated based on a series of actual losses suffered by the insured, and indexed insurance, or indexed climate insurance, in which premiums are frequently calculated based on a probabilistically estimated climate indicator. Indexed insurance has the advantage of reducing administrative costs, adverse selection issues, and moral hazard.</w:t>
      </w:r>
    </w:p>
    <w:p w14:paraId="5EC12EDA" w14:textId="77777777" w:rsidR="00766240" w:rsidRPr="00766240" w:rsidRDefault="00766240" w:rsidP="00766240">
      <w:pPr>
        <w:ind w:firstLine="540"/>
        <w:rPr>
          <w:rFonts w:eastAsia="Times New Roman"/>
          <w:sz w:val="24"/>
          <w:szCs w:val="24"/>
        </w:rPr>
      </w:pPr>
      <w:r w:rsidRPr="00766240">
        <w:rPr>
          <w:rFonts w:eastAsia="Times New Roman"/>
          <w:sz w:val="24"/>
          <w:szCs w:val="24"/>
        </w:rPr>
        <w:t xml:space="preserve">The methodology employed by the index insurance industry to produce probabilistic estimates related to the risk of natural catastrophes is based on a concept known as catastrophe models (or “CAT” models), which connects stochastic models with physically based models. Among the models inspired by the CAT methodology, the Hydrological Risk Transfer Model developed by the Department of Hydraulics and Sanitation of the University of São Paulo, called MTRH-SHS, which is a simulator of insurance funds for studying flood and drought hydrological risks from an economic point of view (Mohor &amp; </w:t>
      </w:r>
      <w:proofErr w:type="spellStart"/>
      <w:r w:rsidRPr="00766240">
        <w:rPr>
          <w:rFonts w:eastAsia="Times New Roman"/>
          <w:sz w:val="24"/>
          <w:szCs w:val="24"/>
        </w:rPr>
        <w:t>Mendiondo</w:t>
      </w:r>
      <w:proofErr w:type="spellEnd"/>
      <w:r w:rsidRPr="00766240">
        <w:rPr>
          <w:rFonts w:eastAsia="Times New Roman"/>
          <w:sz w:val="24"/>
          <w:szCs w:val="24"/>
        </w:rPr>
        <w:t>, 2017).  The model is set up to define the insurance premium, determined by the risk of current or future extreme events and the ability to pay the premium. Thus, the MTRH-SHS has a methodology focused on the product development stage, specifically on risk assessment and premium calculation, as well as the solvency of the funds.</w:t>
      </w:r>
    </w:p>
    <w:p w14:paraId="342F4A19" w14:textId="77777777" w:rsidR="00766240" w:rsidRPr="00766240" w:rsidRDefault="00766240" w:rsidP="00766240">
      <w:pPr>
        <w:ind w:firstLine="540"/>
        <w:rPr>
          <w:rFonts w:eastAsia="Times New Roman"/>
          <w:sz w:val="24"/>
          <w:szCs w:val="24"/>
        </w:rPr>
      </w:pPr>
      <w:r w:rsidRPr="00766240">
        <w:rPr>
          <w:rFonts w:eastAsia="Times New Roman"/>
          <w:sz w:val="24"/>
          <w:szCs w:val="24"/>
        </w:rPr>
        <w:t>The MTRH-SHS structure is divided between the hazards, vulnerability and financial modules (</w:t>
      </w:r>
      <w:proofErr w:type="spellStart"/>
      <w:r w:rsidRPr="00766240">
        <w:rPr>
          <w:rFonts w:eastAsia="Times New Roman"/>
          <w:sz w:val="24"/>
          <w:szCs w:val="24"/>
        </w:rPr>
        <w:fldChar w:fldCharType="begin" w:fldLock="1"/>
      </w:r>
      <w:r w:rsidRPr="00766240">
        <w:rPr>
          <w:rFonts w:eastAsia="Times New Roman"/>
          <w:sz w:val="24"/>
          <w:szCs w:val="24"/>
        </w:rPr>
        <w:instrText>ADDIN CSL_CITATION {"citationItems":[{"id":"ITEM-1","itemData":{"author":[{"dropping-particle":"","family":"Righetto","given":"Julian Margarido","non-dropping-particle":"","parse-names":false,"suffix":""},{"dropping-particle":"","family":"Mendiondo","given":"Eduardo Mario","non-dropping-particle":"","parse-names":false,"suffix":""},{"dropping-particle":"","family":"Righetto","given":"Antonio Marozzi","non-dropping-particle":"","parse-names":false,"suffix":""}],"container-title":"Brasileira de Recursos Hídricos","id":"ITEM-1","issue":"2","issued":{"date-parts":[["2007"]]},"page":"107-113","title":"Modelo de Seguro para Riscos Hidrológicos","type":"article-journal","volume":"12"},"uris":["http://www.mendeley.com/documents/?uuid=d6f89b84-0a26-30af-929d-6f51477e0057"]}],"mendeley":{"formattedCitation":"(Righetto et al., 2007)","manualFormatting":"Righetto et al., 2007","plainTextFormattedCitation":"(Righetto et al., 2007)","previouslyFormattedCitation":"(Righetto et al., 2007)"},"properties":{"noteIndex":0},"schema":"https://github.com/citation-style-language/schema/raw/master/csl-citation.json"}</w:instrText>
      </w:r>
      <w:r w:rsidRPr="00766240">
        <w:rPr>
          <w:rFonts w:eastAsia="Times New Roman"/>
          <w:sz w:val="24"/>
          <w:szCs w:val="24"/>
        </w:rPr>
        <w:fldChar w:fldCharType="separate"/>
      </w:r>
      <w:r w:rsidRPr="00766240">
        <w:rPr>
          <w:rFonts w:eastAsia="Times New Roman"/>
          <w:noProof/>
          <w:sz w:val="24"/>
          <w:szCs w:val="24"/>
        </w:rPr>
        <w:t>Righetto</w:t>
      </w:r>
      <w:proofErr w:type="spellEnd"/>
      <w:r w:rsidRPr="00766240">
        <w:rPr>
          <w:rFonts w:eastAsia="Times New Roman"/>
          <w:noProof/>
          <w:sz w:val="24"/>
          <w:szCs w:val="24"/>
        </w:rPr>
        <w:t xml:space="preserve"> et al., 2007</w:t>
      </w:r>
      <w:r w:rsidRPr="00766240">
        <w:rPr>
          <w:rFonts w:eastAsia="Times New Roman"/>
          <w:sz w:val="24"/>
          <w:szCs w:val="24"/>
        </w:rPr>
        <w:fldChar w:fldCharType="end"/>
      </w:r>
      <w:r w:rsidRPr="00766240">
        <w:rPr>
          <w:rFonts w:eastAsia="Times New Roman"/>
          <w:sz w:val="24"/>
          <w:szCs w:val="24"/>
        </w:rPr>
        <w:t xml:space="preserve">; Mohor &amp; </w:t>
      </w:r>
      <w:proofErr w:type="spellStart"/>
      <w:r w:rsidRPr="00766240">
        <w:rPr>
          <w:rFonts w:eastAsia="Times New Roman"/>
          <w:sz w:val="24"/>
          <w:szCs w:val="24"/>
        </w:rPr>
        <w:t>Mendiondo</w:t>
      </w:r>
      <w:proofErr w:type="spellEnd"/>
      <w:r w:rsidRPr="00766240">
        <w:rPr>
          <w:rFonts w:eastAsia="Times New Roman"/>
          <w:sz w:val="24"/>
          <w:szCs w:val="24"/>
        </w:rPr>
        <w:t xml:space="preserve"> 2017). The hazard module studies the variability of the index and simulates interest events. The vulnerability module calculates the expected damage related to the magnitude of modelled events in the previous module, the so-called damage curve. Lastly, the financial module transforms the associated damage with a produced event, in the vulnerability module, into a loss estimative to be insured </w:t>
      </w:r>
      <w:r w:rsidRPr="00766240">
        <w:rPr>
          <w:rFonts w:eastAsia="Times New Roman"/>
          <w:sz w:val="24"/>
          <w:szCs w:val="24"/>
        </w:rPr>
        <w:fldChar w:fldCharType="begin" w:fldLock="1"/>
      </w:r>
      <w:r w:rsidRPr="00766240">
        <w:rPr>
          <w:rFonts w:eastAsia="Times New Roman"/>
          <w:sz w:val="24"/>
          <w:szCs w:val="24"/>
        </w:rPr>
        <w:instrText>ADDIN CSL_CITATION {"citationItems":[{"id":"ITEM-1","itemData":{"DOI":"10.5194/hess-18-2305-2014","ISSN":"16077938","abstract":"Catastrophe risk models used by the insurance industry are likely subject to significant uncertainty, but due to their proprietary nature and strict licensing conditions they are not available for experimentation. In addition, even if such experiments were conducted, these would not be repeatable by other researchers because commercial confidentiality issues prevent the details of proprietary catastrophe model structures from being described in public domain documents. However, such experimentation is urgently required to improve decision making in both insurance and reinsurance markets. In this paper we therefore construct our own catastrophe risk model for flooding in Dublin, Ireland, in order to assess the impact of typical precipitation data uncertainty on loss predictions. As we consider only a city region rather than a whole territory and have access to detailed data and computing resources typically unavailable to industry modellers, our model is significantly more detailed than most commercial products. The model consists of four components, a stochastic rainfall module, a hydrological and hydraulic flood hazard module, a vulnerability module, and a financial loss module. Using these we undertake a series of simulations to test the impact of driving the stochastic event generator with four different rainfall data sets: ground gauge data, gauge-corrected rainfall radar, meteorological reanalysis data (European Centre for Medium-Range Weather Forecasts Reanalysis-Interim; ERA-Interim) and a satellite rainfall product (The Climate Prediction Center morphing method; CMORPH). Catastrophe models are unusual because they use the upper three components of the modelling chain to generate a large synthetic database of unobserved and severe loss-driving events for which estimated losses are calculated. We find the loss estimates to be more sensitive to uncertainties propagated from the driving precipitation data sets than to other uncertainties in the hazard and vulnerability modules, suggesting that the range of uncertainty within catastrophe model structures may be greater than commonly believed. © Author(s) 2014. CC Attribution 3.0 License.","author":[{"dropping-particle":"","family":"Sampson","given":"C. C.","non-dropping-particle":"","parse-names":false,"suffix":""},{"dropping-particle":"","family":"Fewtrell","given":"T. J.","non-dropping-particle":"","parse-names":false,"suffix":""},{"dropping-particle":"","family":"O'Loughlin","given":"F.","non-dropping-particle":"","parse-names":false,"suffix":""},{"dropping-particle":"","family":"Pappenberger","given":"F.","non-dropping-particle":"","parse-names":false,"suffix":""},{"dropping-particle":"","family":"Bates","given":"P. B.","non-dropping-particle":"","parse-names":false,"suffix":""},{"dropping-particle":"","family":"Freer","given":"J. E.","non-dropping-particle":"","parse-names":false,"suffix":""},{"dropping-particle":"","family":"Cloke","given":"H. L.","non-dropping-particle":"","parse-names":false,"suffix":""}],"container-title":"Hydrology and Earth System Sciences","id":"ITEM-1","issue":"6","issued":{"date-parts":[["2014"]]},"page":"2305-2324","title":"The impact of uncertain precipitation data on insurance loss estimates using a flood catastrophe model","type":"article-journal","volume":"18"},"uris":["http://www.mendeley.com/documents/?uuid=cfdf5d72-d3c2-4abd-a7f4-64d1c7d05e4e"]}],"mendeley":{"formattedCitation":"(Sampson et al., 2014)","plainTextFormattedCitation":"(Sampson et al., 2014)","previouslyFormattedCitation":"(Sampson et al., 2014)"},"properties":{"noteIndex":0},"schema":"https://github.com/citation-style-language/schema/raw/master/csl-citation.json"}</w:instrText>
      </w:r>
      <w:r w:rsidRPr="00766240">
        <w:rPr>
          <w:rFonts w:eastAsia="Times New Roman"/>
          <w:sz w:val="24"/>
          <w:szCs w:val="24"/>
        </w:rPr>
        <w:fldChar w:fldCharType="separate"/>
      </w:r>
      <w:r w:rsidRPr="00766240">
        <w:rPr>
          <w:rFonts w:eastAsia="Times New Roman"/>
          <w:noProof/>
          <w:sz w:val="24"/>
          <w:szCs w:val="24"/>
        </w:rPr>
        <w:t>(Sampson et al., 2014)</w:t>
      </w:r>
      <w:r w:rsidRPr="00766240">
        <w:rPr>
          <w:rFonts w:eastAsia="Times New Roman"/>
          <w:sz w:val="24"/>
          <w:szCs w:val="24"/>
        </w:rPr>
        <w:fldChar w:fldCharType="end"/>
      </w:r>
      <w:r w:rsidRPr="00766240">
        <w:rPr>
          <w:rFonts w:eastAsia="Times New Roman"/>
          <w:sz w:val="24"/>
          <w:szCs w:val="24"/>
        </w:rPr>
        <w:t xml:space="preserve">. </w:t>
      </w:r>
    </w:p>
    <w:p w14:paraId="153A5FF3" w14:textId="77777777" w:rsidR="00766240" w:rsidRPr="00766240" w:rsidRDefault="00766240" w:rsidP="00766240">
      <w:pPr>
        <w:ind w:firstLine="540"/>
        <w:rPr>
          <w:rFonts w:eastAsia="Times New Roman"/>
          <w:sz w:val="24"/>
          <w:szCs w:val="24"/>
        </w:rPr>
      </w:pPr>
      <w:r w:rsidRPr="00766240">
        <w:rPr>
          <w:rFonts w:eastAsia="Times New Roman"/>
          <w:sz w:val="24"/>
          <w:szCs w:val="24"/>
        </w:rPr>
        <w:t xml:space="preserve">The MTRH-SHS was first proposed and applied by </w:t>
      </w:r>
      <w:proofErr w:type="spellStart"/>
      <w:r w:rsidRPr="00766240">
        <w:rPr>
          <w:rFonts w:eastAsia="Times New Roman"/>
          <w:sz w:val="24"/>
          <w:szCs w:val="24"/>
        </w:rPr>
        <w:t>Righetto</w:t>
      </w:r>
      <w:proofErr w:type="spellEnd"/>
      <w:r w:rsidRPr="00766240">
        <w:rPr>
          <w:rFonts w:eastAsia="Times New Roman"/>
          <w:sz w:val="24"/>
          <w:szCs w:val="24"/>
        </w:rPr>
        <w:t xml:space="preserve"> et al. (2007) to cover losses from flooding in an experimental basin. Losses were calculated from a relationship with the return time using extreme event simulation scenarios. According to </w:t>
      </w:r>
      <w:proofErr w:type="spellStart"/>
      <w:r w:rsidRPr="00766240">
        <w:rPr>
          <w:rFonts w:eastAsia="Times New Roman"/>
          <w:sz w:val="24"/>
          <w:szCs w:val="24"/>
        </w:rPr>
        <w:t>Righetto</w:t>
      </w:r>
      <w:proofErr w:type="spellEnd"/>
      <w:r w:rsidRPr="00766240">
        <w:rPr>
          <w:rFonts w:eastAsia="Times New Roman"/>
          <w:sz w:val="24"/>
          <w:szCs w:val="24"/>
        </w:rPr>
        <w:t xml:space="preserve"> et al. (2007) the methodology allows for the integration of insurance models with warning systems in basins. </w:t>
      </w:r>
      <w:r w:rsidRPr="00766240">
        <w:rPr>
          <w:rFonts w:eastAsia="Times New Roman"/>
          <w:sz w:val="24"/>
          <w:szCs w:val="24"/>
        </w:rPr>
        <w:lastRenderedPageBreak/>
        <w:fldChar w:fldCharType="begin" w:fldLock="1"/>
      </w:r>
      <w:r w:rsidRPr="00766240">
        <w:rPr>
          <w:rFonts w:eastAsia="Times New Roman"/>
          <w:sz w:val="24"/>
          <w:szCs w:val="24"/>
        </w:rPr>
        <w:instrText>ADDIN CSL_CITATION {"citationItems":[{"id":"ITEM-1","itemData":{"ISBN":"9781119130536","abstract":"Predicting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approach.","author":[{"dropping-particle":"","family":"Graciosa","given":"Melissa Cristina Pereira","non-dropping-particle":"","parse-names":false,"suffix":""}],"id":"ITEM-1","issued":{"date-parts":[["2010"]]},"publisher":"Uniersity of São Carlos","title":"Modelo de seguro para riscos hidrológicos com base em simulação hidráulico- hidrológica como ferramenta de gestão do risco de inundaçõe","type":"thesis"},"uris":["http://www.mendeley.com/documents/?uuid=96cf7304-da52-4935-9166-1e0a8abd98b6"]}],"mendeley":{"formattedCitation":"(Graciosa, 2010)","manualFormatting":"Graciosa (2010)","plainTextFormattedCitation":"(Graciosa, 2010)","previouslyFormattedCitation":"(Graciosa, 2010)"},"properties":{"noteIndex":0},"schema":"https://github.com/citation-style-language/schema/raw/master/csl-citation.json"}</w:instrText>
      </w:r>
      <w:r w:rsidRPr="00766240">
        <w:rPr>
          <w:rFonts w:eastAsia="Times New Roman"/>
          <w:sz w:val="24"/>
          <w:szCs w:val="24"/>
        </w:rPr>
        <w:fldChar w:fldCharType="separate"/>
      </w:r>
      <w:r w:rsidRPr="00766240">
        <w:rPr>
          <w:rFonts w:eastAsia="Times New Roman"/>
          <w:noProof/>
          <w:sz w:val="24"/>
          <w:szCs w:val="24"/>
        </w:rPr>
        <w:t>Graciosa (2010)</w:t>
      </w:r>
      <w:r w:rsidRPr="00766240">
        <w:rPr>
          <w:rFonts w:eastAsia="Times New Roman"/>
          <w:sz w:val="24"/>
          <w:szCs w:val="24"/>
        </w:rPr>
        <w:fldChar w:fldCharType="end"/>
      </w:r>
      <w:r w:rsidRPr="00766240">
        <w:rPr>
          <w:rFonts w:eastAsia="Times New Roman"/>
          <w:sz w:val="24"/>
          <w:szCs w:val="24"/>
        </w:rPr>
        <w:t xml:space="preserve"> used hydraulic-hydrological modelling to assess the feasibility of implementing flood insurance in an urban hydrological basin. </w:t>
      </w:r>
      <w:r w:rsidRPr="00766240">
        <w:rPr>
          <w:rFonts w:eastAsia="Times New Roman"/>
          <w:sz w:val="24"/>
          <w:szCs w:val="24"/>
        </w:rPr>
        <w:fldChar w:fldCharType="begin" w:fldLock="1"/>
      </w:r>
      <w:r w:rsidRPr="00766240">
        <w:rPr>
          <w:rFonts w:eastAsia="Times New Roman"/>
          <w:sz w:val="24"/>
          <w:szCs w:val="24"/>
        </w:rPr>
        <w:instrText>ADDIN CSL_CITATION {"citationItems":[{"id":"ITEM-1","itemData":{"ISBN":"1984081920091","author":[{"dropping-particle":"","family":"Laurentis","given":"G. L.","non-dropping-particle":"","parse-names":false,"suffix":""}],"container-title":"Escola de Engenharia de São Carlos","id":"ITEM-1","issued":{"date-parts":[["2012"]]},"publisher":"University of São Paulo","title":"MODELO DE TRANSFERÊNCIA DE RISCOS HIDROLÓGICOS COMO ESTRATÉGIA DE ADAPTAÇÃO ÀS MUDANÇAS GLOBAIS SEGUNDO CENÁRIOS DE VULNERABILIDADE DOS RECURSOS HÍDRICOS","type":"thesis"},"uris":["http://www.mendeley.com/documents/?uuid=1d176452-ff70-49cf-8976-5b9e8bc59518"]}],"mendeley":{"formattedCitation":"(Laurentis, 2012)","manualFormatting":"Laurentis (2012)","plainTextFormattedCitation":"(Laurentis, 2012)","previouslyFormattedCitation":"(Laurentis, 2012)"},"properties":{"noteIndex":0},"schema":"https://github.com/citation-style-language/schema/raw/master/csl-citation.json"}</w:instrText>
      </w:r>
      <w:r w:rsidRPr="00766240">
        <w:rPr>
          <w:rFonts w:eastAsia="Times New Roman"/>
          <w:sz w:val="24"/>
          <w:szCs w:val="24"/>
        </w:rPr>
        <w:fldChar w:fldCharType="separate"/>
      </w:r>
      <w:r w:rsidRPr="00766240">
        <w:rPr>
          <w:rFonts w:eastAsia="Times New Roman"/>
          <w:noProof/>
          <w:sz w:val="24"/>
          <w:szCs w:val="24"/>
        </w:rPr>
        <w:t>Laurentis (2012)</w:t>
      </w:r>
      <w:r w:rsidRPr="00766240">
        <w:rPr>
          <w:rFonts w:eastAsia="Times New Roman"/>
          <w:sz w:val="24"/>
          <w:szCs w:val="24"/>
        </w:rPr>
        <w:fldChar w:fldCharType="end"/>
      </w:r>
      <w:r w:rsidRPr="00766240">
        <w:rPr>
          <w:rFonts w:eastAsia="Times New Roman"/>
          <w:sz w:val="24"/>
          <w:szCs w:val="24"/>
        </w:rPr>
        <w:t xml:space="preserve"> coupled regional climate models, hydrological models and the MTRH-SHS as an adaptation strategy for several sectors affected by water scarcity in Brazilian watersheds due to the effects of climate change, land use, and occupation. Mohor &amp; </w:t>
      </w:r>
      <w:proofErr w:type="spellStart"/>
      <w:r w:rsidRPr="00766240">
        <w:rPr>
          <w:rFonts w:eastAsia="Times New Roman"/>
          <w:sz w:val="24"/>
          <w:szCs w:val="24"/>
        </w:rPr>
        <w:t>Mendiondo</w:t>
      </w:r>
      <w:proofErr w:type="spellEnd"/>
      <w:r w:rsidRPr="00766240">
        <w:rPr>
          <w:rFonts w:eastAsia="Times New Roman"/>
          <w:sz w:val="24"/>
          <w:szCs w:val="24"/>
        </w:rPr>
        <w:t xml:space="preserve"> (2017) proposed a conversion of the value of insured premiums to a ratio of GDP, in addition to a simulation of the MTRH-SHS multi-sector insurance fund for droughts, because the adoption of such insurance-based indicators can improve the risk perception, encourage its mitigation and translate the potential water deficit into more tangible value for managers and policymakers. Guzmán et al. (2020) estimated the potential economic impacts of a water supply service interruption due to hydrological drought and proposed a mitigation strategy based on an insurance model aimed at protecting the sector's capital. The authors used climatic projections (represented by climate change scenarios), anthropogenic (represented by changes in water demand), and economic factors (considering the company's tariff strategy) as impacting agents on the value of the optimal policy in their model. Benso et al. (2022) proposed adapting the MTRH-SHS structure into a general framework from a non-stationary perspective. This vision includes the investigation of the hazard's non-stationarity (as explained by the index) in terms of severity and frequency, as well as the threshold, which, in turn, indicates a change in vulnerability, or susceptibility, of the individual or society over time. </w:t>
      </w:r>
    </w:p>
    <w:p w14:paraId="698270E0" w14:textId="381F3483" w:rsidR="00FB5678" w:rsidRDefault="00FB5678" w:rsidP="00FB5678">
      <w:pPr>
        <w:pStyle w:val="Heading-Secondary"/>
      </w:pPr>
      <w:r>
        <w:t>3.</w:t>
      </w:r>
      <w:r>
        <w:t>3</w:t>
      </w:r>
      <w:r>
        <w:t xml:space="preserve"> </w:t>
      </w:r>
      <w:r w:rsidRPr="00FB5678">
        <w:t>Conceptual framework for water supply sector</w:t>
      </w:r>
    </w:p>
    <w:p w14:paraId="7B37E800" w14:textId="56E6A835" w:rsidR="00FB5678" w:rsidRDefault="00FB5678" w:rsidP="00FB5678">
      <w:pPr>
        <w:pBdr>
          <w:top w:val="nil"/>
          <w:left w:val="nil"/>
          <w:bottom w:val="nil"/>
          <w:right w:val="nil"/>
          <w:between w:val="nil"/>
        </w:pBdr>
        <w:ind w:firstLine="360"/>
        <w:rPr>
          <w:rFonts w:eastAsia="Times New Roman"/>
          <w:sz w:val="24"/>
          <w:szCs w:val="24"/>
        </w:rPr>
      </w:pPr>
      <w:r w:rsidRPr="00FB5678">
        <w:rPr>
          <w:rFonts w:eastAsia="Times New Roman"/>
          <w:sz w:val="24"/>
          <w:szCs w:val="24"/>
        </w:rPr>
        <w:t>At this stage of the paper, a general framework for adapting the MTRH-SHS to ensure supply companies in a multi-hazard and multi-driver context is proposed. This framework complements the model proposed by Guzmán et al. (2020), which, despite taking into account economic, climate, and anthropogenic drivers, did not take into account the multi-threat nature of shortage risks, and adapts the generalist framework proposed by Benso et al. (2020) to the supply sector. Figure 1A depicts the various classifications of indexed insurance for the supply sector based on the hazards and cases previously discussed in this work. Figure 1B depicts where, in the water supply chain, insurance can be used to protect water infrastructure.</w:t>
      </w:r>
    </w:p>
    <w:p w14:paraId="69CFCD52" w14:textId="77777777" w:rsidR="0015712F" w:rsidRDefault="0015712F" w:rsidP="00FB5678">
      <w:pPr>
        <w:pBdr>
          <w:top w:val="nil"/>
          <w:left w:val="nil"/>
          <w:bottom w:val="nil"/>
          <w:right w:val="nil"/>
          <w:between w:val="nil"/>
        </w:pBdr>
        <w:ind w:firstLine="360"/>
        <w:rPr>
          <w:rFonts w:eastAsia="Times New Roman"/>
          <w:sz w:val="24"/>
          <w:szCs w:val="24"/>
        </w:rPr>
      </w:pPr>
    </w:p>
    <w:p w14:paraId="4540D35B" w14:textId="2B76822A" w:rsidR="00FB5678" w:rsidRDefault="0015712F" w:rsidP="00FB5678">
      <w:pPr>
        <w:pBdr>
          <w:top w:val="nil"/>
          <w:left w:val="nil"/>
          <w:bottom w:val="nil"/>
          <w:right w:val="nil"/>
          <w:between w:val="nil"/>
        </w:pBdr>
        <w:ind w:firstLine="360"/>
        <w:rPr>
          <w:rFonts w:eastAsia="Times New Roman"/>
          <w:sz w:val="24"/>
          <w:szCs w:val="24"/>
        </w:rPr>
      </w:pPr>
      <w:r>
        <w:rPr>
          <w:rFonts w:eastAsia="Times New Roman"/>
          <w:noProof/>
        </w:rPr>
        <w:lastRenderedPageBreak/>
        <w:drawing>
          <wp:inline distT="0" distB="0" distL="0" distR="0" wp14:anchorId="7C6C42FF" wp14:editId="60532440">
            <wp:extent cx="5612130" cy="5372100"/>
            <wp:effectExtent l="0" t="0" r="762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rotWithShape="1">
                    <a:blip r:embed="rId11">
                      <a:extLst>
                        <a:ext uri="{28A0092B-C50C-407E-A947-70E740481C1C}">
                          <a14:useLocalDpi xmlns:a14="http://schemas.microsoft.com/office/drawing/2010/main" val="0"/>
                        </a:ext>
                      </a:extLst>
                    </a:blip>
                    <a:srcRect b="33730"/>
                    <a:stretch/>
                  </pic:blipFill>
                  <pic:spPr bwMode="auto">
                    <a:xfrm>
                      <a:off x="0" y="0"/>
                      <a:ext cx="5612130" cy="5372100"/>
                    </a:xfrm>
                    <a:prstGeom prst="rect">
                      <a:avLst/>
                    </a:prstGeom>
                    <a:ln>
                      <a:noFill/>
                    </a:ln>
                    <a:extLst>
                      <a:ext uri="{53640926-AAD7-44D8-BBD7-CCE9431645EC}">
                        <a14:shadowObscured xmlns:a14="http://schemas.microsoft.com/office/drawing/2010/main"/>
                      </a:ext>
                    </a:extLst>
                  </pic:spPr>
                </pic:pic>
              </a:graphicData>
            </a:graphic>
          </wp:inline>
        </w:drawing>
      </w:r>
    </w:p>
    <w:p w14:paraId="576A8314" w14:textId="5025D437" w:rsidR="00927F6E" w:rsidRPr="0015712F" w:rsidRDefault="00927F6E" w:rsidP="006D247B">
      <w:pPr>
        <w:pBdr>
          <w:top w:val="nil"/>
          <w:left w:val="nil"/>
          <w:bottom w:val="nil"/>
          <w:right w:val="nil"/>
          <w:between w:val="nil"/>
        </w:pBdr>
        <w:rPr>
          <w:rFonts w:eastAsia="Times New Roman"/>
          <w:sz w:val="24"/>
          <w:szCs w:val="24"/>
        </w:rPr>
      </w:pPr>
      <w:r w:rsidRPr="0015712F">
        <w:rPr>
          <w:rFonts w:eastAsia="Times New Roman"/>
          <w:b/>
          <w:sz w:val="24"/>
          <w:szCs w:val="24"/>
        </w:rPr>
        <w:t>Figure 1</w:t>
      </w:r>
      <w:r w:rsidRPr="0015712F">
        <w:rPr>
          <w:rFonts w:eastAsia="Times New Roman"/>
          <w:sz w:val="24"/>
          <w:szCs w:val="24"/>
        </w:rPr>
        <w:t xml:space="preserve"> – Types of index insurance schemes based on different hazards (A) and where they can act in the water supply sector </w:t>
      </w:r>
      <w:sdt>
        <w:sdtPr>
          <w:rPr>
            <w:sz w:val="24"/>
            <w:szCs w:val="24"/>
          </w:rPr>
          <w:tag w:val="goog_rdk_3"/>
          <w:id w:val="1563677232"/>
        </w:sdtPr>
        <w:sdtContent/>
      </w:sdt>
      <w:r w:rsidRPr="0015712F">
        <w:rPr>
          <w:rFonts w:eastAsia="Times New Roman"/>
          <w:sz w:val="24"/>
          <w:szCs w:val="24"/>
        </w:rPr>
        <w:t>(B).</w:t>
      </w:r>
    </w:p>
    <w:p w14:paraId="564B1AD8" w14:textId="77777777" w:rsidR="0015712F" w:rsidRDefault="0015712F" w:rsidP="006D247B">
      <w:pPr>
        <w:pBdr>
          <w:top w:val="nil"/>
          <w:left w:val="nil"/>
          <w:bottom w:val="nil"/>
          <w:right w:val="nil"/>
          <w:between w:val="nil"/>
        </w:pBdr>
        <w:rPr>
          <w:rFonts w:eastAsia="Times New Roman"/>
        </w:rPr>
      </w:pPr>
    </w:p>
    <w:p w14:paraId="64CC739C" w14:textId="77777777" w:rsidR="006D247B" w:rsidRPr="006D247B" w:rsidRDefault="006D247B" w:rsidP="006D247B">
      <w:pPr>
        <w:pBdr>
          <w:top w:val="nil"/>
          <w:left w:val="nil"/>
          <w:bottom w:val="nil"/>
          <w:right w:val="nil"/>
          <w:between w:val="nil"/>
        </w:pBdr>
        <w:ind w:firstLine="360"/>
        <w:rPr>
          <w:rFonts w:eastAsia="Times New Roman"/>
          <w:color w:val="000000"/>
          <w:sz w:val="24"/>
          <w:szCs w:val="24"/>
        </w:rPr>
      </w:pPr>
      <w:r w:rsidRPr="006D247B">
        <w:rPr>
          <w:rFonts w:eastAsia="Times New Roman"/>
          <w:color w:val="000000"/>
          <w:sz w:val="24"/>
          <w:szCs w:val="24"/>
        </w:rPr>
        <w:t xml:space="preserve">First, using the MTRH-SHS general methodology, the indexed insurance model can be adapted for the six types of hazard combinations listed in Figure 1A.  The demand for one or more types of insurance schemes is determined by the disaster(s) that the supply company intends to </w:t>
      </w:r>
      <w:r w:rsidRPr="006D247B">
        <w:rPr>
          <w:rFonts w:eastAsia="Times New Roman"/>
          <w:sz w:val="24"/>
          <w:szCs w:val="24"/>
        </w:rPr>
        <w:t>ensure</w:t>
      </w:r>
      <w:r w:rsidRPr="006D247B">
        <w:rPr>
          <w:rFonts w:eastAsia="Times New Roman"/>
          <w:color w:val="000000"/>
          <w:sz w:val="24"/>
          <w:szCs w:val="24"/>
        </w:rPr>
        <w:t xml:space="preserve">, given the history of service interruptions or difficulties in the face of extreme hydrological events. </w:t>
      </w:r>
      <w:r w:rsidRPr="006D247B">
        <w:rPr>
          <w:rFonts w:eastAsia="Times New Roman"/>
          <w:sz w:val="24"/>
          <w:szCs w:val="24"/>
        </w:rPr>
        <w:t>Four</w:t>
      </w:r>
      <w:r w:rsidRPr="006D247B">
        <w:rPr>
          <w:rFonts w:eastAsia="Times New Roman"/>
          <w:color w:val="000000"/>
          <w:sz w:val="24"/>
          <w:szCs w:val="24"/>
        </w:rPr>
        <w:t xml:space="preserve"> types of insurance can be outlined based on some global records of interruption or increase in expenses in the face of hydrological and pollution extremes (Table 1), as well as the relationship between quantity and quality of water:</w:t>
      </w:r>
    </w:p>
    <w:p w14:paraId="127C0BEE" w14:textId="77777777" w:rsidR="006D247B" w:rsidRPr="006D247B" w:rsidRDefault="006D247B" w:rsidP="006D247B">
      <w:pPr>
        <w:numPr>
          <w:ilvl w:val="0"/>
          <w:numId w:val="15"/>
        </w:numPr>
        <w:pBdr>
          <w:top w:val="nil"/>
          <w:left w:val="nil"/>
          <w:bottom w:val="nil"/>
          <w:right w:val="nil"/>
          <w:between w:val="nil"/>
        </w:pBdr>
        <w:rPr>
          <w:rFonts w:eastAsia="Times New Roman"/>
          <w:color w:val="000000"/>
          <w:sz w:val="24"/>
          <w:szCs w:val="24"/>
        </w:rPr>
      </w:pPr>
      <w:r w:rsidRPr="006D247B">
        <w:rPr>
          <w:rFonts w:eastAsia="Times New Roman"/>
          <w:color w:val="000000"/>
          <w:sz w:val="24"/>
          <w:szCs w:val="24"/>
        </w:rPr>
        <w:t>Type 1: Insurance for supply companies in which water treatment is frequently compromised (with an excessive increase in inputs or the need for additional treatment) due to the degradation of surface water quality, but there is no explicit relationship with hydrological extremes.</w:t>
      </w:r>
    </w:p>
    <w:p w14:paraId="3BE25E49" w14:textId="77777777" w:rsidR="006D247B" w:rsidRPr="006D247B" w:rsidRDefault="006D247B" w:rsidP="006D247B">
      <w:pPr>
        <w:numPr>
          <w:ilvl w:val="0"/>
          <w:numId w:val="15"/>
        </w:numPr>
        <w:pBdr>
          <w:top w:val="nil"/>
          <w:left w:val="nil"/>
          <w:bottom w:val="nil"/>
          <w:right w:val="nil"/>
          <w:between w:val="nil"/>
        </w:pBdr>
        <w:rPr>
          <w:rFonts w:ascii="Arial" w:eastAsia="Arial" w:hAnsi="Arial" w:cs="Arial"/>
          <w:color w:val="000000"/>
          <w:sz w:val="24"/>
          <w:szCs w:val="24"/>
        </w:rPr>
      </w:pPr>
      <w:r w:rsidRPr="006D247B">
        <w:rPr>
          <w:rFonts w:eastAsia="Times New Roman"/>
          <w:color w:val="000000"/>
          <w:sz w:val="24"/>
          <w:szCs w:val="24"/>
        </w:rPr>
        <w:t xml:space="preserve">Type </w:t>
      </w:r>
      <w:r w:rsidRPr="006D247B">
        <w:rPr>
          <w:rFonts w:eastAsia="Times New Roman"/>
          <w:sz w:val="24"/>
          <w:szCs w:val="24"/>
        </w:rPr>
        <w:t>2</w:t>
      </w:r>
      <w:r w:rsidRPr="006D247B">
        <w:rPr>
          <w:rFonts w:eastAsia="Times New Roman"/>
          <w:color w:val="000000"/>
          <w:sz w:val="24"/>
          <w:szCs w:val="24"/>
        </w:rPr>
        <w:t>: Flood insurance for supply companies whose collection, adduction, and distribution systems are entirely or partially located in a flood zone.</w:t>
      </w:r>
    </w:p>
    <w:p w14:paraId="7647F287" w14:textId="77777777" w:rsidR="006D247B" w:rsidRPr="006D247B" w:rsidRDefault="006D247B" w:rsidP="006D247B">
      <w:pPr>
        <w:numPr>
          <w:ilvl w:val="0"/>
          <w:numId w:val="15"/>
        </w:numPr>
        <w:pBdr>
          <w:top w:val="nil"/>
          <w:left w:val="nil"/>
          <w:bottom w:val="nil"/>
          <w:right w:val="nil"/>
          <w:between w:val="nil"/>
        </w:pBdr>
        <w:rPr>
          <w:rFonts w:ascii="Arial" w:eastAsia="Arial" w:hAnsi="Arial" w:cs="Arial"/>
          <w:color w:val="000000"/>
          <w:sz w:val="24"/>
          <w:szCs w:val="24"/>
        </w:rPr>
      </w:pPr>
      <w:r w:rsidRPr="006D247B">
        <w:rPr>
          <w:rFonts w:eastAsia="Times New Roman"/>
          <w:color w:val="000000"/>
          <w:sz w:val="24"/>
          <w:szCs w:val="24"/>
        </w:rPr>
        <w:lastRenderedPageBreak/>
        <w:t xml:space="preserve">Type </w:t>
      </w:r>
      <w:r w:rsidRPr="006D247B">
        <w:rPr>
          <w:rFonts w:eastAsia="Times New Roman"/>
          <w:sz w:val="24"/>
          <w:szCs w:val="24"/>
        </w:rPr>
        <w:t>3</w:t>
      </w:r>
      <w:r w:rsidRPr="006D247B">
        <w:rPr>
          <w:rFonts w:eastAsia="Times New Roman"/>
          <w:color w:val="000000"/>
          <w:sz w:val="24"/>
          <w:szCs w:val="24"/>
        </w:rPr>
        <w:t>: Insurance for supply companies where abstraction occurs in drought-affected watersheds, as well as the associated quality degradation during droughts (due to reduced dilution capacity).</w:t>
      </w:r>
    </w:p>
    <w:p w14:paraId="41302758" w14:textId="77777777" w:rsidR="006D247B" w:rsidRPr="006D247B" w:rsidRDefault="006D247B" w:rsidP="006D247B">
      <w:pPr>
        <w:numPr>
          <w:ilvl w:val="0"/>
          <w:numId w:val="15"/>
        </w:numPr>
        <w:pBdr>
          <w:top w:val="nil"/>
          <w:left w:val="nil"/>
          <w:bottom w:val="nil"/>
          <w:right w:val="nil"/>
          <w:between w:val="nil"/>
        </w:pBdr>
        <w:rPr>
          <w:rFonts w:eastAsia="Times New Roman"/>
          <w:color w:val="000000"/>
          <w:sz w:val="24"/>
          <w:szCs w:val="24"/>
        </w:rPr>
      </w:pPr>
      <w:r w:rsidRPr="006D247B">
        <w:rPr>
          <w:rFonts w:eastAsia="Times New Roman"/>
          <w:color w:val="000000"/>
          <w:sz w:val="24"/>
          <w:szCs w:val="24"/>
        </w:rPr>
        <w:t>Type</w:t>
      </w:r>
      <w:r w:rsidRPr="006D247B">
        <w:rPr>
          <w:rFonts w:eastAsia="Times New Roman"/>
          <w:sz w:val="24"/>
          <w:szCs w:val="24"/>
        </w:rPr>
        <w:t xml:space="preserve"> 4</w:t>
      </w:r>
      <w:r w:rsidRPr="006D247B">
        <w:rPr>
          <w:rFonts w:eastAsia="Times New Roman"/>
          <w:color w:val="000000"/>
          <w:sz w:val="24"/>
          <w:szCs w:val="24"/>
        </w:rPr>
        <w:t>: Insurance for companies that extract water from a surface source that experiences periodic water scarcity.</w:t>
      </w:r>
    </w:p>
    <w:p w14:paraId="6F623003" w14:textId="77777777" w:rsidR="006D247B" w:rsidRPr="006D247B" w:rsidRDefault="006D247B" w:rsidP="006D247B">
      <w:pPr>
        <w:pBdr>
          <w:top w:val="nil"/>
          <w:left w:val="nil"/>
          <w:bottom w:val="nil"/>
          <w:right w:val="nil"/>
          <w:between w:val="nil"/>
        </w:pBdr>
        <w:ind w:firstLine="360"/>
        <w:rPr>
          <w:rFonts w:eastAsia="Times New Roman"/>
          <w:sz w:val="24"/>
          <w:szCs w:val="24"/>
        </w:rPr>
      </w:pPr>
    </w:p>
    <w:p w14:paraId="24D8C326" w14:textId="2BEB955F" w:rsidR="006D247B" w:rsidRDefault="006D247B" w:rsidP="006D247B">
      <w:pPr>
        <w:pBdr>
          <w:top w:val="nil"/>
          <w:left w:val="nil"/>
          <w:bottom w:val="nil"/>
          <w:right w:val="nil"/>
          <w:between w:val="nil"/>
        </w:pBdr>
        <w:ind w:firstLine="360"/>
        <w:rPr>
          <w:rFonts w:eastAsia="Times New Roman"/>
          <w:sz w:val="24"/>
          <w:szCs w:val="24"/>
        </w:rPr>
      </w:pPr>
      <w:r w:rsidRPr="006D247B">
        <w:rPr>
          <w:rFonts w:eastAsia="Times New Roman"/>
          <w:sz w:val="24"/>
          <w:szCs w:val="24"/>
        </w:rPr>
        <w:t xml:space="preserve">Following the selection of the insurance scheme(s) based on the hazard combination in a given study area, after choosing the insurance scheme(s) according to the hazard combination, given study area, the next step in designing the insurance model is the selection of the index (Figure 2). The index must be composed of one or more variables that represent the </w:t>
      </w:r>
      <w:proofErr w:type="spellStart"/>
      <w:r w:rsidRPr="006D247B">
        <w:rPr>
          <w:rFonts w:eastAsia="Times New Roman"/>
          <w:sz w:val="24"/>
          <w:szCs w:val="24"/>
        </w:rPr>
        <w:t>behaviour</w:t>
      </w:r>
      <w:proofErr w:type="spellEnd"/>
      <w:r w:rsidRPr="006D247B">
        <w:rPr>
          <w:rFonts w:eastAsia="Times New Roman"/>
          <w:sz w:val="24"/>
          <w:szCs w:val="24"/>
        </w:rPr>
        <w:t xml:space="preserve"> of the hazard(s) in question. According to Baum et al. (2018) an effective index must be transparent, publicly available, easy to manipulate and well correlated with the series of losses. According to </w:t>
      </w:r>
      <w:r w:rsidRPr="006D247B">
        <w:rPr>
          <w:rFonts w:eastAsia="Times New Roman"/>
          <w:sz w:val="24"/>
          <w:szCs w:val="24"/>
        </w:rPr>
        <w:fldChar w:fldCharType="begin" w:fldLock="1"/>
      </w:r>
      <w:r w:rsidRPr="006D247B">
        <w:rPr>
          <w:rFonts w:eastAsia="Times New Roman"/>
          <w:sz w:val="24"/>
          <w:szCs w:val="24"/>
        </w:rPr>
        <w:instrText>ADDIN CSL_CITATION {"citationItems":[{"id":"ITEM-1","itemData":{"author":[{"dropping-particle":"","family":"Chen","given":"Zhanhui","non-dropping-particle":"","parse-names":false,"suffix":""},{"dropping-particle":"","family":"Lu","given":"Yang","non-dropping-particle":"","parse-names":false,"suffix":""},{"dropping-particle":"","family":"Zhang","given":"Jinggong","non-dropping-particle":"","parse-names":false,"suffix":""},{"dropping-particle":"","family":"Zhu","given":"Wenjun","non-dropping-particle":"","parse-names":false,"suffix":""}],"container-title":"Nanyang Business School Research Paper","id":"ITEM-1","issue":"20","issued":{"date-parts":[["2019"]]},"page":"1-79","title":"Managing Weather Risk with a Neural Network-Based Index Insurance","type":"article-journal"},"uris":["http://www.mendeley.com/documents/?uuid=c7971294-a431-4eab-9a2f-880a111ee94d"]}],"mendeley":{"formattedCitation":"(Chen et al., 2019)","manualFormatting":"Chen et al. (2019)","plainTextFormattedCitation":"(Chen et al., 2019)","previouslyFormattedCitation":"(Chen et al., 2019)"},"properties":{"noteIndex":0},"schema":"https://github.com/citation-style-language/schema/raw/master/csl-citation.json"}</w:instrText>
      </w:r>
      <w:r w:rsidRPr="006D247B">
        <w:rPr>
          <w:rFonts w:eastAsia="Times New Roman"/>
          <w:sz w:val="24"/>
          <w:szCs w:val="24"/>
        </w:rPr>
        <w:fldChar w:fldCharType="separate"/>
      </w:r>
      <w:r w:rsidRPr="006D247B">
        <w:rPr>
          <w:rFonts w:eastAsia="Times New Roman"/>
          <w:noProof/>
          <w:sz w:val="24"/>
          <w:szCs w:val="24"/>
        </w:rPr>
        <w:t>Chen et al. (2019)</w:t>
      </w:r>
      <w:r w:rsidRPr="006D247B">
        <w:rPr>
          <w:rFonts w:eastAsia="Times New Roman"/>
          <w:sz w:val="24"/>
          <w:szCs w:val="24"/>
        </w:rPr>
        <w:fldChar w:fldCharType="end"/>
      </w:r>
      <w:r w:rsidRPr="006D247B">
        <w:rPr>
          <w:rFonts w:eastAsia="Times New Roman"/>
          <w:sz w:val="24"/>
          <w:szCs w:val="24"/>
        </w:rPr>
        <w:t xml:space="preserve"> the precise selection of the index reduces the base risk (disagreement between the value of the premium and the losses), which increases the acceptability of insurance because the uninsured risk can be reduced. The authors point out that the precise choice of the index decreases the base risk (non-agreement between the value of the premium and the losses), which increases the acceptability of insurance since the uninsured risk can be reduced.</w:t>
      </w:r>
    </w:p>
    <w:p w14:paraId="07CE2CF1" w14:textId="77777777" w:rsidR="009D302B" w:rsidRPr="006D247B" w:rsidRDefault="009D302B" w:rsidP="006D247B">
      <w:pPr>
        <w:pBdr>
          <w:top w:val="nil"/>
          <w:left w:val="nil"/>
          <w:bottom w:val="nil"/>
          <w:right w:val="nil"/>
          <w:between w:val="nil"/>
        </w:pBdr>
        <w:ind w:firstLine="360"/>
        <w:rPr>
          <w:rFonts w:eastAsia="Times New Roman"/>
          <w:sz w:val="24"/>
          <w:szCs w:val="24"/>
        </w:rPr>
      </w:pPr>
    </w:p>
    <w:p w14:paraId="0B3CB06A" w14:textId="3C098696" w:rsidR="00824EC3" w:rsidRPr="00824EC3" w:rsidRDefault="00824EC3" w:rsidP="00ED4CE1">
      <w:pPr>
        <w:pBdr>
          <w:top w:val="nil"/>
          <w:left w:val="nil"/>
          <w:bottom w:val="nil"/>
          <w:right w:val="nil"/>
          <w:between w:val="nil"/>
        </w:pBdr>
        <w:rPr>
          <w:rFonts w:eastAsia="Times New Roman"/>
          <w:bCs/>
          <w:color w:val="000000"/>
        </w:rPr>
      </w:pPr>
      <w:r>
        <w:rPr>
          <w:rFonts w:eastAsia="Times New Roman"/>
          <w:noProof/>
          <w:color w:val="000000"/>
        </w:rPr>
        <w:lastRenderedPageBreak/>
        <w:drawing>
          <wp:inline distT="0" distB="0" distL="0" distR="0" wp14:anchorId="547CED33" wp14:editId="57A4AD05">
            <wp:extent cx="5612130" cy="7799705"/>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5612130" cy="7799705"/>
                    </a:xfrm>
                    <a:prstGeom prst="rect">
                      <a:avLst/>
                    </a:prstGeom>
                    <a:ln/>
                  </pic:spPr>
                </pic:pic>
              </a:graphicData>
            </a:graphic>
          </wp:inline>
        </w:drawing>
      </w:r>
    </w:p>
    <w:p w14:paraId="2033716E" w14:textId="218BCCCE" w:rsidR="009D302B" w:rsidRPr="00824EC3" w:rsidRDefault="009D302B" w:rsidP="00ED4CE1">
      <w:pPr>
        <w:pBdr>
          <w:top w:val="nil"/>
          <w:left w:val="nil"/>
          <w:bottom w:val="nil"/>
          <w:right w:val="nil"/>
          <w:between w:val="nil"/>
        </w:pBdr>
        <w:rPr>
          <w:rFonts w:eastAsia="Times New Roman"/>
          <w:color w:val="000000"/>
          <w:sz w:val="24"/>
          <w:szCs w:val="24"/>
        </w:rPr>
      </w:pPr>
      <w:r w:rsidRPr="00824EC3">
        <w:rPr>
          <w:rFonts w:eastAsia="Times New Roman"/>
          <w:b/>
          <w:color w:val="000000"/>
          <w:sz w:val="24"/>
          <w:szCs w:val="24"/>
        </w:rPr>
        <w:t xml:space="preserve">Figure 2 - </w:t>
      </w:r>
      <w:r w:rsidRPr="00824EC3">
        <w:rPr>
          <w:rFonts w:eastAsia="Times New Roman"/>
          <w:color w:val="000000"/>
          <w:sz w:val="24"/>
          <w:szCs w:val="24"/>
        </w:rPr>
        <w:t>MTRH-SHS general structure to water utilities.</w:t>
      </w:r>
    </w:p>
    <w:p w14:paraId="786CD5DD" w14:textId="77777777" w:rsidR="00ED4CE1" w:rsidRDefault="00ED4CE1" w:rsidP="00ED4CE1">
      <w:pPr>
        <w:pBdr>
          <w:top w:val="nil"/>
          <w:left w:val="nil"/>
          <w:bottom w:val="nil"/>
          <w:right w:val="nil"/>
          <w:between w:val="nil"/>
        </w:pBdr>
        <w:ind w:firstLine="360"/>
        <w:rPr>
          <w:rFonts w:eastAsia="Times New Roman"/>
          <w:color w:val="000000"/>
          <w:sz w:val="24"/>
          <w:szCs w:val="24"/>
        </w:rPr>
      </w:pPr>
    </w:p>
    <w:p w14:paraId="0861E142" w14:textId="3EAFC6DD" w:rsidR="00ED4CE1" w:rsidRPr="00ED4CE1" w:rsidRDefault="00ED4CE1" w:rsidP="00ED4CE1">
      <w:pPr>
        <w:pBdr>
          <w:top w:val="nil"/>
          <w:left w:val="nil"/>
          <w:bottom w:val="nil"/>
          <w:right w:val="nil"/>
          <w:between w:val="nil"/>
        </w:pBdr>
        <w:ind w:firstLine="360"/>
        <w:rPr>
          <w:rFonts w:eastAsia="Times New Roman"/>
          <w:color w:val="000000"/>
          <w:sz w:val="24"/>
          <w:szCs w:val="24"/>
        </w:rPr>
      </w:pPr>
      <w:r w:rsidRPr="00ED4CE1">
        <w:rPr>
          <w:rFonts w:eastAsia="Times New Roman"/>
          <w:color w:val="000000"/>
          <w:sz w:val="24"/>
          <w:szCs w:val="24"/>
        </w:rPr>
        <w:lastRenderedPageBreak/>
        <w:t>Baum et al. (2018) investigated the degree of generalization of the index as another important factor in index selection. The authors point out that, while tailored indices (developed for individual circumstances)</w:t>
      </w:r>
      <w:r w:rsidRPr="00ED4CE1">
        <w:rPr>
          <w:rFonts w:eastAsia="Times New Roman"/>
          <w:sz w:val="24"/>
          <w:szCs w:val="24"/>
        </w:rPr>
        <w:t xml:space="preserve"> </w:t>
      </w:r>
      <w:r w:rsidRPr="00ED4CE1">
        <w:rPr>
          <w:rFonts w:eastAsia="Times New Roman"/>
          <w:color w:val="000000"/>
          <w:sz w:val="24"/>
          <w:szCs w:val="24"/>
        </w:rPr>
        <w:t>generally reduce moral hazard, they hinder the transparency, availability, and ease of contract development, therefore, encouraging the use of more general indices, such as streamflow and precipitation-based indices</w:t>
      </w:r>
      <w:r w:rsidRPr="00ED4CE1">
        <w:rPr>
          <w:rFonts w:eastAsia="Times New Roman"/>
          <w:sz w:val="24"/>
          <w:szCs w:val="24"/>
        </w:rPr>
        <w:t>,</w:t>
      </w:r>
      <w:r w:rsidRPr="00ED4CE1">
        <w:rPr>
          <w:rFonts w:eastAsia="Times New Roman"/>
          <w:color w:val="000000"/>
          <w:sz w:val="24"/>
          <w:szCs w:val="24"/>
        </w:rPr>
        <w:t xml:space="preserve"> to characterize droughts. Among the works that use generalist indices for low flow, Mohor &amp; </w:t>
      </w:r>
      <w:proofErr w:type="spellStart"/>
      <w:r w:rsidRPr="00ED4CE1">
        <w:rPr>
          <w:rFonts w:eastAsia="Times New Roman"/>
          <w:color w:val="000000"/>
          <w:sz w:val="24"/>
          <w:szCs w:val="24"/>
        </w:rPr>
        <w:t>Mendiondo</w:t>
      </w:r>
      <w:proofErr w:type="spellEnd"/>
      <w:r w:rsidRPr="00ED4CE1">
        <w:rPr>
          <w:rFonts w:eastAsia="Times New Roman"/>
          <w:color w:val="000000"/>
          <w:sz w:val="24"/>
          <w:szCs w:val="24"/>
        </w:rPr>
        <w:t xml:space="preserve"> (2017) considered the minimum flow of 7 consecutive days indexed by the return period to represent drought in various sectors. Guzmán et al. (2020) used the duration of droughts and </w:t>
      </w:r>
      <w:r w:rsidRPr="00ED4CE1">
        <w:rPr>
          <w:rFonts w:eastAsia="Times New Roman"/>
          <w:sz w:val="24"/>
          <w:szCs w:val="24"/>
        </w:rPr>
        <w:t>event return</w:t>
      </w:r>
      <w:r w:rsidRPr="00ED4CE1">
        <w:rPr>
          <w:rFonts w:eastAsia="Times New Roman"/>
          <w:color w:val="000000"/>
          <w:sz w:val="24"/>
          <w:szCs w:val="24"/>
        </w:rPr>
        <w:t xml:space="preserve"> period as an indexing variable for insurance for the supply sector. Zeff &amp; </w:t>
      </w:r>
      <w:r w:rsidRPr="00ED4CE1">
        <w:rPr>
          <w:rFonts w:eastAsia="Times New Roman"/>
          <w:noProof/>
          <w:sz w:val="24"/>
          <w:szCs w:val="24"/>
        </w:rPr>
        <w:t>Characklis</w:t>
      </w:r>
      <w:r w:rsidRPr="00ED4CE1">
        <w:rPr>
          <w:rFonts w:eastAsia="Times New Roman"/>
          <w:color w:val="000000"/>
          <w:sz w:val="24"/>
          <w:szCs w:val="24"/>
        </w:rPr>
        <w:t xml:space="preserve"> (2013) used reservoir storage level records for the supply sector as an example of tailored indices for drought. According to Baum et al. (2018), an index based on reservoir level can be easily influenced by company operations, making it vulnerable to inducing moral hazard problems.</w:t>
      </w:r>
    </w:p>
    <w:p w14:paraId="2E0B5919" w14:textId="77777777" w:rsidR="00ED4CE1" w:rsidRPr="00ED4CE1" w:rsidRDefault="00ED4CE1" w:rsidP="00ED4CE1">
      <w:pPr>
        <w:pBdr>
          <w:top w:val="nil"/>
          <w:left w:val="nil"/>
          <w:bottom w:val="nil"/>
          <w:right w:val="nil"/>
          <w:between w:val="nil"/>
        </w:pBdr>
        <w:ind w:firstLine="360"/>
        <w:rPr>
          <w:rFonts w:eastAsia="Times New Roman"/>
          <w:color w:val="000000"/>
          <w:sz w:val="24"/>
          <w:szCs w:val="24"/>
        </w:rPr>
      </w:pPr>
      <w:r w:rsidRPr="00ED4CE1">
        <w:rPr>
          <w:rFonts w:eastAsia="Times New Roman"/>
          <w:color w:val="000000"/>
          <w:sz w:val="24"/>
          <w:szCs w:val="24"/>
        </w:rPr>
        <w:t xml:space="preserve">As far as we are aware, no work has yet proposed an insurance model to compensate for damages resulting from pollution extremes, whether associated or not with hydrological extremes (Types 1, </w:t>
      </w:r>
      <w:r w:rsidRPr="00ED4CE1">
        <w:rPr>
          <w:rFonts w:eastAsia="Times New Roman"/>
          <w:sz w:val="24"/>
          <w:szCs w:val="24"/>
        </w:rPr>
        <w:t>and 3</w:t>
      </w:r>
      <w:r w:rsidRPr="00ED4CE1">
        <w:rPr>
          <w:rFonts w:eastAsia="Times New Roman"/>
          <w:color w:val="000000"/>
          <w:sz w:val="24"/>
          <w:szCs w:val="24"/>
        </w:rPr>
        <w:t>).</w:t>
      </w:r>
      <w:r w:rsidRPr="00ED4CE1">
        <w:rPr>
          <w:rFonts w:eastAsia="Times New Roman"/>
          <w:sz w:val="24"/>
          <w:szCs w:val="24"/>
        </w:rPr>
        <w:t xml:space="preserve"> </w:t>
      </w:r>
      <w:r w:rsidRPr="00ED4CE1">
        <w:rPr>
          <w:rFonts w:eastAsia="Times New Roman"/>
          <w:color w:val="000000"/>
          <w:sz w:val="24"/>
          <w:szCs w:val="24"/>
        </w:rPr>
        <w:t>Thus, given recurring cases in several basins worldwide of increased turbidity or suspended solids due to increased surface runoff (Bates et al., 2008) in periods of high flow, which can cause frequent outages for maintenance, or an increase in the concentration of nutrients in reservoirs during dry periods under the presence of punctual affluent loads, which facilitates the proliferation of algae, or even, the need to capture at low levels or the dead volume consisting of water of lower quality during droughts, which increases treatment costs of water (</w:t>
      </w:r>
      <w:proofErr w:type="spellStart"/>
      <w:r w:rsidRPr="00ED4CE1">
        <w:rPr>
          <w:rFonts w:eastAsia="Times New Roman"/>
          <w:color w:val="000000"/>
          <w:sz w:val="24"/>
          <w:szCs w:val="24"/>
        </w:rPr>
        <w:t>Tafarello</w:t>
      </w:r>
      <w:proofErr w:type="spellEnd"/>
      <w:r w:rsidRPr="00ED4CE1">
        <w:rPr>
          <w:rFonts w:eastAsia="Times New Roman"/>
          <w:color w:val="000000"/>
          <w:sz w:val="24"/>
          <w:szCs w:val="24"/>
        </w:rPr>
        <w:t xml:space="preserve"> et al., 2016). We propose that future works explore the relationship between these indices and increases in company expenses or the frequency of stoppages. In cases of choosing the index to represent flood impacts, indices to characterize damage to urban infrastructure in general </w:t>
      </w:r>
      <w:r w:rsidRPr="00ED4CE1">
        <w:rPr>
          <w:rFonts w:eastAsia="Times New Roman"/>
          <w:color w:val="000000"/>
          <w:sz w:val="24"/>
          <w:szCs w:val="24"/>
        </w:rPr>
        <w:fldChar w:fldCharType="begin" w:fldLock="1"/>
      </w:r>
      <w:r w:rsidRPr="00ED4CE1">
        <w:rPr>
          <w:rFonts w:eastAsia="Times New Roman"/>
          <w:color w:val="000000"/>
          <w:sz w:val="24"/>
          <w:szCs w:val="24"/>
        </w:rPr>
        <w:instrText>ADDIN CSL_CITATION {"citationItems":[{"id":"ITEM-1","itemData":{"DOI":"10.1016/j.gloenvcha.2011.04.005","ISSN":"09593780","abstract":"Recently long-term flood insurance contracts with a duration of 5, 10 or 15 years have been proposed as a solution for covering flood risk and mitigating increasing flood losses. Establishing a long-term relation between the policyholder and the insurer can provide better incentives to reduce risk through undertaking damage mitigation measures. However, the uncertainty about the development of future flood risk in the face of climate and socio-economic change may complicate insurers' rate-setting of long-term contracts. This issue has been examined in this study by estimating the effects of these changes on flood risk and pricing flood insurance premiums of short- and long-term flood insurance contracts in all (53) dike-ring areas in the Netherlands. A broad range of simulations with hydrological and flood damage models are used to estimate the future development of flood risk and premiums. In addition, the long-term development of insurance funds is estimated with a spatial \"Climate Risk Insurance Model (CRIM)\" for a private insurance arrangement and for a 'three-layered' public-private insurance program. The estimation of flood insurance premiums of long-term insurance contracts reveals fundamental problems. One is that there is an incentive for either the consumer or the insurer to prefer short-term rather than long-term contracts in the face of climate-related uncertainty. Therefore, it seems advisable to examine the introduction of one-year flood insurance contracts in the Netherlands, at least until the large uncertainties with climate and socio-economic change on flood risk have been resolved. The estimations performed with the Climate Risk Insurance Model indicate that a private insurance fund could have difficulties with building up enough financial reserves to pay for flood damage, while the layered public-private insurance scheme is more robust. © 2011 Elsevier Ltd.","author":[{"dropping-particle":"","family":"Aerts","given":"Jeroen C.J.H.","non-dropping-particle":"","parse-names":false,"suffix":""},{"dropping-particle":"","family":"Botzen","given":"W. J.Wouter","non-dropping-particle":"","parse-names":false,"suffix":""}],"container-title":"Global Environmental Change","id":"ITEM-1","issue":"3","issued":{"date-parts":[["2011"]]},"page":"1045-1060","publisher":"Elsevier Ltd","title":"Climate change impacts on pricing long-term flood insurance: A comprehensive study for the Netherlands","type":"article-journal","volume":"21"},"uris":["http://www.mendeley.com/documents/?uuid=57b6e320-b0b1-4363-b159-3be780272264"]}],"mendeley":{"formattedCitation":"(Aerts &amp; Botzen, 2011)","plainTextFormattedCitation":"(Aerts &amp; Botzen, 2011)","previouslyFormattedCitation":"(Aerts &amp; Botzen, 2011)"},"properties":{"noteIndex":0},"schema":"https://github.com/citation-style-language/schema/raw/master/csl-citation.json"}</w:instrText>
      </w:r>
      <w:r w:rsidRPr="00ED4CE1">
        <w:rPr>
          <w:rFonts w:eastAsia="Times New Roman"/>
          <w:color w:val="000000"/>
          <w:sz w:val="24"/>
          <w:szCs w:val="24"/>
        </w:rPr>
        <w:fldChar w:fldCharType="separate"/>
      </w:r>
      <w:r w:rsidRPr="00ED4CE1">
        <w:rPr>
          <w:rFonts w:eastAsia="Times New Roman"/>
          <w:noProof/>
          <w:color w:val="000000"/>
          <w:sz w:val="24"/>
          <w:szCs w:val="24"/>
        </w:rPr>
        <w:t>(Aerts &amp; Botzen, 2011)</w:t>
      </w:r>
      <w:r w:rsidRPr="00ED4CE1">
        <w:rPr>
          <w:rFonts w:eastAsia="Times New Roman"/>
          <w:color w:val="000000"/>
          <w:sz w:val="24"/>
          <w:szCs w:val="24"/>
        </w:rPr>
        <w:fldChar w:fldCharType="end"/>
      </w:r>
      <w:r w:rsidRPr="00ED4CE1">
        <w:rPr>
          <w:rFonts w:eastAsia="Times New Roman"/>
          <w:color w:val="000000"/>
          <w:sz w:val="24"/>
          <w:szCs w:val="24"/>
        </w:rPr>
        <w:t xml:space="preserve"> or water </w:t>
      </w:r>
      <w:r w:rsidRPr="00ED4CE1">
        <w:rPr>
          <w:rFonts w:eastAsia="Times New Roman"/>
          <w:sz w:val="24"/>
          <w:szCs w:val="24"/>
        </w:rPr>
        <w:t>level in</w:t>
      </w:r>
      <w:r w:rsidRPr="00ED4CE1">
        <w:rPr>
          <w:rFonts w:eastAsia="Times New Roman"/>
          <w:color w:val="000000"/>
          <w:sz w:val="24"/>
          <w:szCs w:val="24"/>
        </w:rPr>
        <w:t xml:space="preserve"> treatment plants during floods (</w:t>
      </w:r>
      <w:proofErr w:type="spellStart"/>
      <w:r w:rsidRPr="00ED4CE1">
        <w:rPr>
          <w:rFonts w:eastAsia="Times New Roman"/>
          <w:color w:val="000000"/>
          <w:sz w:val="24"/>
          <w:szCs w:val="24"/>
        </w:rPr>
        <w:t>Milograna</w:t>
      </w:r>
      <w:proofErr w:type="spellEnd"/>
      <w:r w:rsidRPr="00ED4CE1">
        <w:rPr>
          <w:rFonts w:eastAsia="Times New Roman"/>
          <w:color w:val="000000"/>
          <w:sz w:val="24"/>
          <w:szCs w:val="24"/>
        </w:rPr>
        <w:t xml:space="preserve"> et al., 2013) have already been reported in the literature.</w:t>
      </w:r>
    </w:p>
    <w:p w14:paraId="0465EFCC" w14:textId="77777777" w:rsidR="00ED4CE1" w:rsidRPr="00ED4CE1" w:rsidRDefault="00ED4CE1" w:rsidP="00ED4CE1">
      <w:pPr>
        <w:pBdr>
          <w:top w:val="nil"/>
          <w:left w:val="nil"/>
          <w:bottom w:val="nil"/>
          <w:right w:val="nil"/>
          <w:between w:val="nil"/>
        </w:pBdr>
        <w:ind w:firstLine="360"/>
        <w:rPr>
          <w:rFonts w:eastAsia="Times New Roman"/>
          <w:sz w:val="24"/>
          <w:szCs w:val="24"/>
        </w:rPr>
      </w:pPr>
      <w:r w:rsidRPr="00ED4CE1">
        <w:rPr>
          <w:rFonts w:eastAsia="Times New Roman"/>
          <w:color w:val="000000"/>
          <w:sz w:val="24"/>
          <w:szCs w:val="24"/>
        </w:rPr>
        <w:t>In the study of the index's variability resulting from the generation of stochastic series, two basic approaches can be reported: one based on the historical series, known as baseline, and another including scenarios considering uncertainty drivers such as socioeconomic scenarios,</w:t>
      </w:r>
      <w:r w:rsidRPr="00ED4CE1">
        <w:rPr>
          <w:rFonts w:eastAsia="Times New Roman"/>
          <w:sz w:val="24"/>
          <w:szCs w:val="24"/>
        </w:rPr>
        <w:t xml:space="preserve"> </w:t>
      </w:r>
      <w:r w:rsidRPr="00ED4CE1">
        <w:rPr>
          <w:rFonts w:eastAsia="Times New Roman"/>
          <w:color w:val="000000"/>
          <w:sz w:val="24"/>
          <w:szCs w:val="24"/>
        </w:rPr>
        <w:t xml:space="preserve">climate change and demand change (multi drivers). </w:t>
      </w:r>
      <w:r w:rsidRPr="00ED4CE1">
        <w:rPr>
          <w:rFonts w:eastAsia="Times New Roman"/>
          <w:sz w:val="24"/>
          <w:szCs w:val="24"/>
        </w:rPr>
        <w:t xml:space="preserve">Long-term global scenarios have played a key role in climate change analysis. Scenarios of global development focus on the uncertainty in future societal conditions to explore mitigation, adaptation and residual climate impacts in a consistent framework (O’Neill et al., 2017). The long-term demographic and economic projections depict a wide uncertainty range consistent with the scenario literature. Trying to surpass the complexity and understand how the trajectories of the climate and human activities components will follow, for the elaboration of the energy, land-use and emissions trajectories scenarios, it is commonly used a combination of different Socio-economic Pathways (SSPs) and the Representative Concentration Pathways (RCPs) </w:t>
      </w:r>
      <w:r w:rsidRPr="00ED4CE1">
        <w:rPr>
          <w:rFonts w:eastAsia="Times New Roman"/>
          <w:sz w:val="24"/>
          <w:szCs w:val="24"/>
        </w:rPr>
        <w:fldChar w:fldCharType="begin" w:fldLock="1"/>
      </w:r>
      <w:r w:rsidRPr="00ED4CE1">
        <w:rPr>
          <w:rFonts w:eastAsia="Times New Roman"/>
          <w:sz w:val="24"/>
          <w:szCs w:val="24"/>
        </w:rPr>
        <w:instrText>ADDIN CSL_CITATION {"citationItems":[{"id":"ITEM-1","itemData":{"DOI":"10.1017/9781009325844.009.","ISBN":"9781009157926","abstract":"The Working Group III (WG III) contribution to the IPCC’s Sixth Assessment Report (AR6) assesses literature on the scientific, technological, environmental, economic and social aspects of mitigation of climate change. [FOOTNOTE 1] Levels of confidence [FOOTNOTE 2] are given in () brackets. Numerical ranges are presented in square [] brackets. References to Chapters, Sections, Figures and Boxes in the underlying report and Technical Summary (TS) are given in {} brackets.","author":[{"dropping-particle":"","family":"IPCC","given":"","non-dropping-particle":"","parse-names":false,"suffix":""}],"container-title":"IPCC","id":"ITEM-1","issued":{"date-parts":[["2022"]]},"number-of-pages":"3056 pp.","publisher-place":"New York","title":"Impacts, Adaptation and Vulnerability. Contribution of Working Group II to the Sixth Assessment Report of the Intergovernmental Panel on Climate Change","type":"report"},"uris":["http://www.mendeley.com/documents/?uuid=40a093ef-a983-45df-8365-6780853191b2"]},{"id":"ITEM-2","itemData":{"DOI":"10.1016/j.gloenvcha.2016.05.009","ISSN":"09593780","abstract":"This paper presents the overview of the Shared Socioeconomic Pathways (SSPs) and their energy, land use, and emissions implications. The SSPs are part of a new scenario framework, established by the climate change research community in order to facilitate the integrated analysis of future climate impacts, vulnerabilities, adaptation, and mitigation. The pathways were developed over the last years as a joint community effort and describe plausible major global developments that together would lead in the future to different challenges for mitigation and adaptation to climate change. The SSPs are based on five narratives describing alternative socio-economic developments, including sustainable development, regional rivalry, inequality, fossil-fueled development, and middle-of-the-road development. The long-term demographic and economic projections of the SSPs depict a wide uncertainty range consistent with the scenario literature. A multi-model approach was used for the elaboration of the energy, land-use and the emissions trajectories of SSP-based scenarios. The baseline scenarios lead to global energy consumption of 400–1200 EJ in 2100, and feature vastly different land-use dynamics, ranging from a possible reduction in cropland area up to a massive expansion by more than 700 million hectares by 2100. The associated annual CO2 emissions of the baseline scenarios range from about 25 GtCO2 to more than 120 GtCO2 per year by 2100. With respect to mitigation, we find that associated costs strongly depend on three factors: (1) the policy assumptions, (2) the socio-economic narrative, and (3) the stringency of the target. The carbon price for reaching the target of 2.6 W/m2 that is consistent with a temperature change limit of 2 °C, differs in our analysis thus by about a factor of three across the SSP marker scenarios. Moreover, many models could not reach this target from the SSPs with high mitigation challenges. While the SSPs were designed to represent different mitigation and adaptation challenges, the resulting narratives and quantifications span a wide range of different futures broadly representative of the current literature. This allows their subsequent use and development in new assessments and research projects. Critical next steps for the community scenario process will, among others, involve regional and sectoral extensions, further elaboration of the adaptation and impacts dimension, as well as employing the SSP scenarios with the new generatio…","author":[{"dropping-particle":"","family":"Riahi","given":"Keywan","non-dropping-particle":"","parse-names":false,"suffix":""},{"dropping-particle":"","family":"Vuuren","given":"Detlef P.","non-dropping-particle":"van","parse-names":false,"suffix":""},{"dropping-particle":"","family":"Kriegler","given":"Elmar","non-dropping-particle":"","parse-names":false,"suffix":""},{"dropping-particle":"","family":"Edmonds","given":"Jae","non-dropping-particle":"","parse-names":false,"suffix":""},{"dropping-particle":"","family":"O'Neill","given":"Brian C.","non-dropping-particle":"","parse-names":false,"suffix":""},{"dropping-particle":"","family":"Fujimori","given":"Shinichiro","non-dropping-particle":"","parse-names":false,"suffix":""},{"dropping-particle":"","family":"Bauer","given":"Nico","non-dropping-particle":"","parse-names":false,"suffix":""},{"dropping-particle":"","family":"Calvin","given":"Katherine","non-dropping-particle":"","parse-names":false,"suffix":""},{"dropping-particle":"","family":"Dellink","given":"Rob","non-dropping-particle":"","parse-names":false,"suffix":""},{"dropping-particle":"","family":"Fricko","given":"Oliver","non-dropping-particle":"","parse-names":false,"suffix":""},{"dropping-particle":"","family":"Lutz","given":"Wolfgang","non-dropping-particle":"","parse-names":false,"suffix":""},{"dropping-particle":"","family":"Popp","given":"Alexander","non-dropping-particle":"","parse-names":false,"suffix":""},{"dropping-particle":"","family":"Cuaresma","given":"Jesus Crespo","non-dropping-particle":"","parse-names":false,"suffix":""},{"dropping-particle":"","family":"KC","given":"Samir","non-dropping-particle":"","parse-names":false,"suffix":""},{"dropping-particle":"","family":"Leimbach","given":"Marian","non-dropping-particle":"","parse-names":false,"suffix":""},{"dropping-particle":"","family":"Jiang","given":"Leiwen","non-dropping-particle":"","parse-names":false,"suffix":""},{"dropping-particle":"","family":"Kram","given":"Tom","non-dropping-particle":"","parse-names":false,"suffix":""},{"dropping-particle":"","family":"Rao","given":"Shilpa","non-dropping-particle":"","parse-names":false,"suffix":""},{"dropping-particle":"","family":"Emmerling","given":"Johannes","non-dropping-particle":"","parse-names":false,"suffix":""},{"dropping-particle":"","family":"Ebi","given":"Kristie","non-dropping-particle":"","parse-names":false,"suffix":""},{"dropping-particle":"","family":"Hasegawa","given":"Tomoko","non-dropping-particle":"","parse-names":false,"suffix":""},{"dropping-particle":"","family":"Havlik","given":"Petr","non-dropping-particle":"","parse-names":false,"suffix":""},{"dropping-particle":"","family":"Humpenöder","given":"Florian","non-dropping-particle":"","parse-names":false,"suffix":""},{"dropping-particle":"","family":"Silva","given":"Lara Aleluia","non-dropping-particle":"Da","parse-names":false,"suffix":""},{"dropping-particle":"","family":"Smith","given":"Steve","non-dropping-particle":"","parse-names":false,"suffix":""},{"dropping-particle":"","family":"Stehfest","given":"Elke","non-dropping-particle":"","parse-names":false,"suffix":""},{"dropping-particle":"","family":"Bosetti","given":"Valentina","non-dropping-particle":"","parse-names":false,"suffix":""},{"dropping-particle":"","family":"Eom","given":"Jiyong","non-dropping-particle":"","parse-names":false,"suffix":""},{"dropping-particle":"","family":"Gernaat","given":"David","non-dropping-particle":"","parse-names":false,"suffix":""},{"dropping-particle":"","family":"Masui","given":"Toshihiko","non-dropping-particle":"","parse-names":false,"suffix":""},{"dropping-particle":"","family":"Rogelj","given":"Joeri","non-dropping-particle":"","parse-names":false,"suffix":""},{"dropping-particle":"","family":"Strefler","given":"Jessica","non-dropping-particle":"","parse-names":false,"suffix":""},{"dropping-particle":"","family":"Drouet","given":"Laurent","non-dropping-particle":"","parse-names":false,"suffix":""},{"dropping-particle":"","family":"Krey","given":"Volker","non-dropping-particle":"","parse-names":false,"suffix":""},{"dropping-particle":"","family":"Luderer","given":"Gunnar","non-dropping-particle":"","parse-names":false,"suffix":""},{"dropping-particle":"","family":"Harmsen","given":"Mathijs","non-dropping-particle":"","parse-names":false,"suffix":""},{"dropping-particle":"","family":"Takahashi","given":"Kiyoshi","non-dropping-particle":"","parse-names":false,"suffix":""},{"dropping-particle":"","family":"Baumstark","given":"Lavinia","non-dropping-particle":"","parse-names":false,"suffix":""},{"dropping-particle":"","family":"Doelman","given":"Jonathan C.","non-dropping-particle":"","parse-names":false,"suffix":""},{"dropping-particle":"","family":"Kainuma","given":"Mikiko","non-dropping-particle":"","parse-names":false,"suffix":""},{"dropping-particle":"","family":"Klimont","given":"Zbigniew","non-dropping-particle":"","parse-names":false,"suffix":""},{"dropping-particle":"","family":"Marangoni","given":"Giacomo","non-dropping-particle":"","parse-names":false,"suffix":""},{"dropping-particle":"","family":"Lotze-Campen","given":"Hermann","non-dropping-particle":"","parse-names":false,"suffix":""},{"dropping-particle":"","family":"Obersteiner","given":"Michael","non-dropping-particle":"","parse-names":false,"suffix":""},{"dropping-particle":"","family":"Tabeau","given":"Andrzej","non-dropping-particle":"","parse-names":false,"suffix":""},{"dropping-particle":"","family":"Tavoni","given":"Massimo","non-dropping-particle":"","parse-names":false,"suffix":""}],"container-title":"Global Environmental Change","id":"ITEM-2","issued":{"date-parts":[["2017"]]},"page":"153-168","title":"The Shared Socioeconomic Pathways and their energy, land use, and greenhouse gas emissions implications: An overview","type":"article-journal","volume":"42"},"uris":["http://www.mendeley.com/documents/?uuid=c083772a-b6d7-4c33-af5f-56ffeee5b109"]},{"id":"ITEM-3","itemData":{"DOI":"10.1016/j.gloenvcha.2015.01.004","ISSN":"09593780","abstract":"Long-term scenarios play an important role in research on global environmental change. The climate change research community is developing new scenarios integrating future changes in climate and society to investigate climate impacts as well as options for mitigation and adaptation. One component of these new scenarios is a set of alternative futures of societal development known as the shared socioeconomic pathways (SSPs). The conceptual framework for the design and use of the SSPs calls for the development of global pathways describing the future evolution of key aspects of society that would together imply a range of challenges for mitigating and adapting to climate change. Here we present one component of these pathways: the SSP narratives, a set of five qualitative descriptions of future changes in demographics, human development, economy and lifestyle, policies and institutions, technology, and environment and natural resources. We describe the methods used to develop the narratives as well as how these pathways are hypothesized to produce particular combinations of challenges to mitigation and adaptation. Development of the narratives drew on expert opinion to (1) identify key determinants of these challenges that were essential to incorporate in the narratives and (2) combine these elements in the narratives in a manner consistent with scholarship on their inter-relationships. The narratives are intended as a description of plausible future conditions at the level of large world regions that can serve as a basis for integrated scenarios of emissions and land use, as well as climate impact, adaptation and vulnerability analyses.","author":[{"dropping-particle":"","family":"O'Neill","given":"Brian C.","non-dropping-particle":"","parse-names":false,"suffix":""},{"dropping-particle":"","family":"Kriegler","given":"Elmar","non-dropping-particle":"","parse-names":false,"suffix":""},{"dropping-particle":"","family":"Ebi","given":"Kristie L.","non-dropping-particle":"","parse-names":false,"suffix":""},{"dropping-particle":"","family":"Kemp-Benedict","given":"Eric","non-dropping-particle":"","parse-names":false,"suffix":""},{"dropping-particle":"","family":"Riahi","given":"Keywan","non-dropping-particle":"","parse-names":false,"suffix":""},{"dropping-particle":"","family":"Rothman","given":"Dale S.","non-dropping-particle":"","parse-names":false,"suffix":""},{"dropping-particle":"","family":"Ruijven","given":"Bas J.","non-dropping-particle":"van","parse-names":false,"suffix":""},{"dropping-particle":"","family":"Vuuren","given":"Detlef P.","non-dropping-particle":"van","parse-names":false,"suffix":""},{"dropping-particle":"","family":"Birkmann","given":"Joern","non-dropping-particle":"","parse-names":false,"suffix":""},{"dropping-particle":"","family":"Kok","given":"Kasper","non-dropping-particle":"","parse-names":false,"suffix":""},{"dropping-particle":"","family":"Levy","given":"Marc","non-dropping-particle":"","parse-names":false,"suffix":""},{"dropping-particle":"","family":"Solecki","given":"William","non-dropping-particle":"","parse-names":false,"suffix":""}],"container-title":"Global Environmental Change","id":"ITEM-3","issued":{"date-parts":[["2017"]]},"page":"169-180","publisher":"Elsevier Ltd","title":"The roads ahead: Narratives for shared socioeconomic pathways describing world futures in the 21st century","type":"article-journal","volume":"42"},"uris":["http://www.mendeley.com/documents/?uuid=9bacf0db-1fbf-4049-a0e6-9a760d0a83d0"]}],"mendeley":{"formattedCitation":"(IPCC, 2022; O’Neill et al., 2017; Riahi et al., 2017)","plainTextFormattedCitation":"(IPCC, 2022; O’Neill et al., 2017; Riahi et al., 2017)","previouslyFormattedCitation":"(IPCC, 2022; O’Neill et al., 2017; Riahi et al., 2017)"},"properties":{"noteIndex":0},"schema":"https://github.com/citation-style-language/schema/raw/master/csl-citation.json"}</w:instrText>
      </w:r>
      <w:r w:rsidRPr="00ED4CE1">
        <w:rPr>
          <w:rFonts w:eastAsia="Times New Roman"/>
          <w:sz w:val="24"/>
          <w:szCs w:val="24"/>
        </w:rPr>
        <w:fldChar w:fldCharType="separate"/>
      </w:r>
      <w:r w:rsidRPr="00ED4CE1">
        <w:rPr>
          <w:rFonts w:eastAsia="Times New Roman"/>
          <w:noProof/>
          <w:sz w:val="24"/>
          <w:szCs w:val="24"/>
        </w:rPr>
        <w:t>(IPCC, 2022; O’Neill et al., 2017; Riahi et al., 2017)</w:t>
      </w:r>
      <w:r w:rsidRPr="00ED4CE1">
        <w:rPr>
          <w:rFonts w:eastAsia="Times New Roman"/>
          <w:sz w:val="24"/>
          <w:szCs w:val="24"/>
        </w:rPr>
        <w:fldChar w:fldCharType="end"/>
      </w:r>
      <w:r w:rsidRPr="00ED4CE1">
        <w:rPr>
          <w:rFonts w:eastAsia="Times New Roman"/>
          <w:sz w:val="24"/>
          <w:szCs w:val="24"/>
        </w:rPr>
        <w:t>. Each SSP integrates population projections and economic growth, as technological and geopolitical trends. Through five different narratives (sustainability, regional rivalry, inequality, fossil-fueled development and middle of the road), they allow demonstrating of how different socioeconomic aspects impact climate change and permit to analyze and create strategies to minimize the negative characteristics generated by suppressions in water availability for the present and especially for the future, exploring projections, implications and solutions (O’Neill et al., 2017) to face the crescent problem of water supply.</w:t>
      </w:r>
    </w:p>
    <w:p w14:paraId="55AD252C" w14:textId="77777777" w:rsidR="00ED4CE1" w:rsidRPr="00ED4CE1" w:rsidRDefault="00ED4CE1" w:rsidP="00ED4CE1">
      <w:pPr>
        <w:pBdr>
          <w:top w:val="nil"/>
          <w:left w:val="nil"/>
          <w:bottom w:val="nil"/>
          <w:right w:val="nil"/>
          <w:between w:val="nil"/>
        </w:pBdr>
        <w:ind w:firstLine="360"/>
        <w:rPr>
          <w:rFonts w:eastAsia="Times New Roman"/>
          <w:color w:val="000000"/>
          <w:sz w:val="24"/>
          <w:szCs w:val="24"/>
        </w:rPr>
      </w:pPr>
      <w:r w:rsidRPr="00ED4CE1">
        <w:rPr>
          <w:rFonts w:eastAsia="Times New Roman"/>
          <w:sz w:val="24"/>
          <w:szCs w:val="24"/>
        </w:rPr>
        <w:t>In this way</w:t>
      </w:r>
      <w:r w:rsidRPr="00ED4CE1">
        <w:rPr>
          <w:rFonts w:eastAsia="Times New Roman"/>
          <w:color w:val="000000"/>
          <w:sz w:val="24"/>
          <w:szCs w:val="24"/>
        </w:rPr>
        <w:t>, such drivers impact water availability in time and space</w:t>
      </w:r>
      <w:r w:rsidRPr="00ED4CE1">
        <w:rPr>
          <w:rFonts w:eastAsia="Times New Roman"/>
          <w:sz w:val="24"/>
          <w:szCs w:val="24"/>
        </w:rPr>
        <w:t>. Therefore</w:t>
      </w:r>
      <w:r w:rsidRPr="00ED4CE1">
        <w:rPr>
          <w:rFonts w:eastAsia="Times New Roman"/>
          <w:color w:val="000000"/>
          <w:sz w:val="24"/>
          <w:szCs w:val="24"/>
        </w:rPr>
        <w:t xml:space="preserve">, it is emphasized that, when estimating policies, the influence of </w:t>
      </w:r>
      <w:proofErr w:type="spellStart"/>
      <w:r w:rsidRPr="00ED4CE1">
        <w:rPr>
          <w:rFonts w:eastAsia="Times New Roman"/>
          <w:sz w:val="24"/>
          <w:szCs w:val="24"/>
        </w:rPr>
        <w:t>multidrivers</w:t>
      </w:r>
      <w:proofErr w:type="spellEnd"/>
      <w:r w:rsidRPr="00ED4CE1">
        <w:rPr>
          <w:rFonts w:eastAsia="Times New Roman"/>
          <w:color w:val="000000"/>
          <w:sz w:val="24"/>
          <w:szCs w:val="24"/>
        </w:rPr>
        <w:t xml:space="preserve"> in the calculation of </w:t>
      </w:r>
      <w:r w:rsidRPr="00ED4CE1">
        <w:rPr>
          <w:rFonts w:eastAsia="Times New Roman"/>
          <w:color w:val="000000"/>
          <w:sz w:val="24"/>
          <w:szCs w:val="24"/>
        </w:rPr>
        <w:lastRenderedPageBreak/>
        <w:t xml:space="preserve">optimal premiums is critical, because contract negotiation without studying the index's stationarity may allow the insurer to transfer an uninsured risk (Zeff &amp; </w:t>
      </w:r>
      <w:r w:rsidRPr="00ED4CE1">
        <w:rPr>
          <w:rFonts w:eastAsia="Times New Roman"/>
          <w:noProof/>
          <w:sz w:val="24"/>
          <w:szCs w:val="24"/>
        </w:rPr>
        <w:t xml:space="preserve">Characklis, </w:t>
      </w:r>
      <w:r w:rsidRPr="00ED4CE1">
        <w:rPr>
          <w:rFonts w:eastAsia="Times New Roman"/>
          <w:color w:val="000000"/>
          <w:sz w:val="24"/>
          <w:szCs w:val="24"/>
        </w:rPr>
        <w:t>2013)</w:t>
      </w:r>
      <w:r w:rsidRPr="00ED4CE1">
        <w:rPr>
          <w:rFonts w:eastAsia="Times New Roman"/>
          <w:sz w:val="24"/>
          <w:szCs w:val="24"/>
        </w:rPr>
        <w:t xml:space="preserve">, and </w:t>
      </w:r>
      <w:r w:rsidRPr="00ED4CE1">
        <w:rPr>
          <w:rFonts w:eastAsia="Times New Roman"/>
          <w:color w:val="000000"/>
          <w:sz w:val="24"/>
          <w:szCs w:val="24"/>
        </w:rPr>
        <w:t>caus</w:t>
      </w:r>
      <w:r w:rsidRPr="00ED4CE1">
        <w:rPr>
          <w:rFonts w:eastAsia="Times New Roman"/>
          <w:sz w:val="24"/>
          <w:szCs w:val="24"/>
        </w:rPr>
        <w:t>e</w:t>
      </w:r>
      <w:r w:rsidRPr="00ED4CE1">
        <w:rPr>
          <w:rFonts w:eastAsia="Times New Roman"/>
          <w:color w:val="000000"/>
          <w:sz w:val="24"/>
          <w:szCs w:val="24"/>
        </w:rPr>
        <w:t xml:space="preserve"> adverse selection problems, which include a lack of information about the disaster's impact </w:t>
      </w:r>
      <w:r w:rsidRPr="00ED4CE1">
        <w:rPr>
          <w:rFonts w:eastAsia="Times New Roman"/>
          <w:color w:val="000000"/>
          <w:sz w:val="24"/>
          <w:szCs w:val="24"/>
        </w:rPr>
        <w:fldChar w:fldCharType="begin" w:fldLock="1"/>
      </w:r>
      <w:r w:rsidRPr="00ED4CE1">
        <w:rPr>
          <w:rFonts w:eastAsia="Times New Roman"/>
          <w:color w:val="000000"/>
          <w:sz w:val="24"/>
          <w:szCs w:val="24"/>
        </w:rPr>
        <w:instrText>ADDIN CSL_CITATION {"citationItems":[{"id":"ITEM-1","itemData":{"DOI":"10.1016/j.insmatheco.2017.08.006","ISSN":"01676687","abstract":"Motivated by the fact that a lack of information about natural disasters may lead agents to be ambiguity averse to catastrophe risks, we introduce a new type of penalty function and propose an adjusted equilibrium model based on the function by allowing agents to act in a robust control framework against model misspecification with respect to rare events. The pricing formulas are then derived for various catastrophe linked securities such as catastrophe futures, options and bonds. We also estimate and test the model using empirical data of catastrophe bonds and compare it with various other models and investigate the robustness performance of alternative pricing formulas.","author":[{"dropping-particle":"","family":"Zhu","given":"Wenge","non-dropping-particle":"","parse-names":false,"suffix":""}],"container-title":"Insurance: Mathematics and Economics","id":"ITEM-1","issued":{"date-parts":[["2017"]]},"page":"14-23","publisher":"Elsevier B.V.","title":"Wanting robustness in insurance: A model of catastrophe risk pricing and its empirical test","type":"article-journal","volume":"77"},"uris":["http://www.mendeley.com/documents/?uuid=e4b65873-0097-4520-b4c9-fa57a412acc7"]}],"mendeley":{"formattedCitation":"(Zhu, 2017)","plainTextFormattedCitation":"(Zhu, 2017)","previouslyFormattedCitation":"(Zhu, 2017)"},"properties":{"noteIndex":0},"schema":"https://github.com/citation-style-language/schema/raw/master/csl-citation.json"}</w:instrText>
      </w:r>
      <w:r w:rsidRPr="00ED4CE1">
        <w:rPr>
          <w:rFonts w:eastAsia="Times New Roman"/>
          <w:color w:val="000000"/>
          <w:sz w:val="24"/>
          <w:szCs w:val="24"/>
        </w:rPr>
        <w:fldChar w:fldCharType="separate"/>
      </w:r>
      <w:r w:rsidRPr="00ED4CE1">
        <w:rPr>
          <w:rFonts w:eastAsia="Times New Roman"/>
          <w:noProof/>
          <w:color w:val="000000"/>
          <w:sz w:val="24"/>
          <w:szCs w:val="24"/>
        </w:rPr>
        <w:t>(Zhu, 2017)</w:t>
      </w:r>
      <w:r w:rsidRPr="00ED4CE1">
        <w:rPr>
          <w:rFonts w:eastAsia="Times New Roman"/>
          <w:color w:val="000000"/>
          <w:sz w:val="24"/>
          <w:szCs w:val="24"/>
        </w:rPr>
        <w:fldChar w:fldCharType="end"/>
      </w:r>
      <w:r w:rsidRPr="00ED4CE1">
        <w:rPr>
          <w:rFonts w:eastAsia="Times New Roman"/>
          <w:color w:val="000000"/>
          <w:sz w:val="24"/>
          <w:szCs w:val="24"/>
        </w:rPr>
        <w:t xml:space="preserve">. Due to a lack of information about the disaster's impact on multi-drivers, insurers may unintentionally assess the risks following a catastrophic event, resulting in reduced insurance availability and affordability </w:t>
      </w:r>
      <w:r w:rsidRPr="00ED4CE1">
        <w:rPr>
          <w:rFonts w:eastAsia="Times New Roman"/>
          <w:color w:val="000000"/>
          <w:sz w:val="24"/>
          <w:szCs w:val="24"/>
        </w:rPr>
        <w:fldChar w:fldCharType="begin" w:fldLock="1"/>
      </w:r>
      <w:r w:rsidRPr="00ED4CE1">
        <w:rPr>
          <w:rFonts w:eastAsia="Times New Roman"/>
          <w:color w:val="000000"/>
          <w:sz w:val="24"/>
          <w:szCs w:val="24"/>
        </w:rPr>
        <w:instrText>ADDIN CSL_CITATION {"citationItems":[{"id":"ITEM-1","itemData":{"DOI":"10.1038/s41558-017-0044-2","ISSN":"17586798","abstract":"Assessing the dynamics of resilience could help insurers and governments reduce the costs of climate-risk insurance schemes and secure future insurability in the face of an increase in extreme hydro-meteorological events related to climate change.","author":[{"dropping-particle":"","family":"Cremades","given":"R.","non-dropping-particle":"","parse-names":false,"suffix":""},{"dropping-particle":"","family":"Surminski","given":"S.","non-dropping-particle":"","parse-names":false,"suffix":""},{"dropping-particle":"","family":"Máñez Costa","given":"M.","non-dropping-particle":"","parse-names":false,"suffix":""},{"dropping-particle":"","family":"Hudson","given":"P.","non-dropping-particle":"","parse-names":false,"suffix":""},{"dropping-particle":"","family":"Shrivastava","given":"P.","non-dropping-particle":"","parse-names":false,"suffix":""},{"dropping-particle":"","family":"Gascoigne","given":"J.","non-dropping-particle":"","parse-names":false,"suffix":""}],"container-title":"Nature Climate Change","id":"ITEM-1","issue":"1","issued":{"date-parts":[["2018"]]},"page":"4-7","title":"Using the adaptive cycle in climate-risk insurance to design resilient futures","type":"article-journal","volume":"8"},"uris":["http://www.mendeley.com/documents/?uuid=c77a720f-bed4-4e88-9bab-e9bad3012aa3"]}],"mendeley":{"formattedCitation":"(Cremades et al., 2018)","plainTextFormattedCitation":"(Cremades et al., 2018)","previouslyFormattedCitation":"(Cremades et al., 2018)"},"properties":{"noteIndex":0},"schema":"https://github.com/citation-style-language/schema/raw/master/csl-citation.json"}</w:instrText>
      </w:r>
      <w:r w:rsidRPr="00ED4CE1">
        <w:rPr>
          <w:rFonts w:eastAsia="Times New Roman"/>
          <w:color w:val="000000"/>
          <w:sz w:val="24"/>
          <w:szCs w:val="24"/>
        </w:rPr>
        <w:fldChar w:fldCharType="separate"/>
      </w:r>
      <w:r w:rsidRPr="00ED4CE1">
        <w:rPr>
          <w:rFonts w:eastAsia="Times New Roman"/>
          <w:noProof/>
          <w:color w:val="000000"/>
          <w:sz w:val="24"/>
          <w:szCs w:val="24"/>
        </w:rPr>
        <w:t>(Cremades et al., 2018)</w:t>
      </w:r>
      <w:r w:rsidRPr="00ED4CE1">
        <w:rPr>
          <w:rFonts w:eastAsia="Times New Roman"/>
          <w:color w:val="000000"/>
          <w:sz w:val="24"/>
          <w:szCs w:val="24"/>
        </w:rPr>
        <w:fldChar w:fldCharType="end"/>
      </w:r>
      <w:r w:rsidRPr="00ED4CE1">
        <w:rPr>
          <w:rFonts w:eastAsia="Times New Roman"/>
          <w:color w:val="000000"/>
          <w:sz w:val="24"/>
          <w:szCs w:val="24"/>
        </w:rPr>
        <w:t>.</w:t>
      </w:r>
    </w:p>
    <w:p w14:paraId="6E77EE6F" w14:textId="77777777" w:rsidR="00ED4CE1" w:rsidRPr="00ED4CE1" w:rsidRDefault="00ED4CE1" w:rsidP="00ED4CE1">
      <w:pPr>
        <w:pBdr>
          <w:top w:val="nil"/>
          <w:left w:val="nil"/>
          <w:bottom w:val="nil"/>
          <w:right w:val="nil"/>
          <w:between w:val="nil"/>
        </w:pBdr>
        <w:ind w:firstLine="360"/>
        <w:rPr>
          <w:rFonts w:eastAsia="Times New Roman"/>
          <w:color w:val="000000"/>
          <w:sz w:val="24"/>
          <w:szCs w:val="24"/>
        </w:rPr>
      </w:pPr>
      <w:r w:rsidRPr="00ED4CE1">
        <w:rPr>
          <w:rFonts w:eastAsia="Times New Roman"/>
          <w:color w:val="000000"/>
          <w:sz w:val="24"/>
          <w:szCs w:val="24"/>
        </w:rPr>
        <w:t xml:space="preserve">The methodologies for quantifying financial losses due to drought for insurance models tested thus far consist of the direct consideration of drought impacts on revenue, given the sector's high susceptibility to volumetric sales, affected by the imposition of conservation measures (Polasek, 2014; Baum et al. 2018; Baum &amp; </w:t>
      </w:r>
      <w:r w:rsidRPr="00ED4CE1">
        <w:rPr>
          <w:noProof/>
          <w:sz w:val="24"/>
          <w:szCs w:val="24"/>
        </w:rPr>
        <w:t>Characklis</w:t>
      </w:r>
      <w:r w:rsidRPr="00ED4CE1">
        <w:rPr>
          <w:rFonts w:eastAsia="Times New Roman"/>
          <w:color w:val="000000"/>
          <w:sz w:val="24"/>
          <w:szCs w:val="24"/>
        </w:rPr>
        <w:t xml:space="preserve">, 2020), or in the direct relationship of tariff adjustment (a conservation measure) with drought intensity (Guzmán et al. 2020). In general, methodologies for quantifying damage from droughts, floods and water quality degradation are currently scarce, particularly in developed countries with poorly monitored urban basins </w:t>
      </w:r>
      <w:r w:rsidRPr="00ED4CE1">
        <w:rPr>
          <w:rFonts w:eastAsia="Times New Roman"/>
          <w:color w:val="000000"/>
          <w:sz w:val="24"/>
          <w:szCs w:val="24"/>
        </w:rPr>
        <w:fldChar w:fldCharType="begin" w:fldLock="1"/>
      </w:r>
      <w:r w:rsidRPr="00ED4CE1">
        <w:rPr>
          <w:rFonts w:eastAsia="Times New Roman"/>
          <w:color w:val="000000"/>
          <w:sz w:val="24"/>
          <w:szCs w:val="24"/>
        </w:rPr>
        <w:instrText>ADDIN CSL_CITATION {"citationItems":[{"id":"ITEM-1","itemData":{"DOI":"10.3390/w14091467","ISSN":"20734441","abstract":"Cities must develop actions that reduce flood risk in the face of extreme rainfall events. In this study, the dynamic resilience of the Gregorio catchment (São Carlos, Brazil) was assessed. The catchment lacks environmental monitoring and suffers from recurrent floods. The resilience curves were made considering the water depth in the drainage system as the performance index, obtained by simulations with SWMM and HEC-RAS. The calibration of the flood extension was performed using citizen science data. The contribution to increasing the dynamic resilience by implementing decentralized low impact development (LID) practices was also evaluated. For this purpose, bioretention cells were added to the SWMM simulations. The resilience curves were then calculated for the current and future climate scenario, with and without LID, for return periods of 5, 10, 50, and 100 years and duration of 30, 60, and 120 min. Intensity–duration–frequency curves (IDFs) updated by the regional climate model MIROC5 for 2050 and 2100 were used. The results showed a significant improvement in the system’s resilience for light storms and the current period due to LID practice interventions. Efficiencies were reduced for moderate and heavy storms with no significant drops in floodwater depth and resilience regardless of the scenario.","author":[{"dropping-particle":"","family":"Fava","given":"Maria Clara","non-dropping-particle":"","parse-names":false,"suffix":""},{"dropping-particle":"","family":"Macedo","given":"Marina Batalini","non-dropping-particle":"de","parse-names":false,"suffix":""},{"dropping-particle":"","family":"Buarque","given":"Ana Carolina Sarmento","non-dropping-particle":"","parse-names":false,"suffix":""},{"dropping-particle":"","family":"Saraiva","given":"Antonio Mauro","non-dropping-particle":"","parse-names":false,"suffix":""},{"dropping-particle":"","family":"Delbem","given":"Alexandre Cláudio Botazzo","non-dropping-particle":"","parse-names":false,"suffix":""},{"dropping-particle":"","family":"Mendiondo","given":"Eduardo Mario","non-dropping-particle":"","parse-names":false,"suffix":""}],"container-title":"Water (Switzerland)","id":"ITEM-1","issue":"9","issued":{"date-parts":[["2022"]]},"title":"Linking Urban Floods to Citizen Science and Low Impact Development in Poorly Gauged Basins under Climate Changes for Dynamic Resilience Evaluation","type":"article-journal","volume":"14"},"uris":["http://www.mendeley.com/documents/?uuid=ef4ad6e4-0d7b-49d9-b695-192f4f406d23"]}],"mendeley":{"formattedCitation":"(Fava et al., 2022)","plainTextFormattedCitation":"(Fava et al., 2022)","previouslyFormattedCitation":"(Fava et al., 2022)"},"properties":{"noteIndex":0},"schema":"https://github.com/citation-style-language/schema/raw/master/csl-citation.json"}</w:instrText>
      </w:r>
      <w:r w:rsidRPr="00ED4CE1">
        <w:rPr>
          <w:rFonts w:eastAsia="Times New Roman"/>
          <w:color w:val="000000"/>
          <w:sz w:val="24"/>
          <w:szCs w:val="24"/>
        </w:rPr>
        <w:fldChar w:fldCharType="separate"/>
      </w:r>
      <w:r w:rsidRPr="00ED4CE1">
        <w:rPr>
          <w:rFonts w:eastAsia="Times New Roman"/>
          <w:noProof/>
          <w:color w:val="000000"/>
          <w:sz w:val="24"/>
          <w:szCs w:val="24"/>
        </w:rPr>
        <w:t>(Fava et al., 2022)</w:t>
      </w:r>
      <w:r w:rsidRPr="00ED4CE1">
        <w:rPr>
          <w:rFonts w:eastAsia="Times New Roman"/>
          <w:color w:val="000000"/>
          <w:sz w:val="24"/>
          <w:szCs w:val="24"/>
        </w:rPr>
        <w:fldChar w:fldCharType="end"/>
      </w:r>
      <w:r w:rsidRPr="00ED4CE1">
        <w:rPr>
          <w:rFonts w:eastAsia="Times New Roman"/>
          <w:color w:val="000000"/>
          <w:sz w:val="24"/>
          <w:szCs w:val="24"/>
        </w:rPr>
        <w:t xml:space="preserve">. In this regard, it is critical to emphasize the importance of coordinating efforts to collect and make available hydrological data, as well as transparency in operating records, consumption of inputs in water treatment and accuracy in reporting failures due to outages in the treatment systems caused by extreme events. With the series of losses, a relationship between the index's </w:t>
      </w:r>
      <w:proofErr w:type="spellStart"/>
      <w:r w:rsidRPr="00ED4CE1">
        <w:rPr>
          <w:rFonts w:eastAsia="Times New Roman"/>
          <w:sz w:val="24"/>
          <w:szCs w:val="24"/>
        </w:rPr>
        <w:t>behaviour</w:t>
      </w:r>
      <w:proofErr w:type="spellEnd"/>
      <w:r w:rsidRPr="00ED4CE1">
        <w:rPr>
          <w:rFonts w:eastAsia="Times New Roman"/>
          <w:color w:val="000000"/>
          <w:sz w:val="24"/>
          <w:szCs w:val="24"/>
        </w:rPr>
        <w:t xml:space="preserve"> and the losses is developed, known as the damage curve.</w:t>
      </w:r>
    </w:p>
    <w:p w14:paraId="319A86B4" w14:textId="77777777" w:rsidR="00ED4CE1" w:rsidRDefault="00ED4CE1" w:rsidP="00ED4CE1">
      <w:pPr>
        <w:pBdr>
          <w:top w:val="nil"/>
          <w:left w:val="nil"/>
          <w:bottom w:val="nil"/>
          <w:right w:val="nil"/>
          <w:between w:val="nil"/>
        </w:pBdr>
        <w:ind w:firstLine="360"/>
        <w:rPr>
          <w:rFonts w:eastAsia="Times New Roman"/>
          <w:color w:val="000000"/>
          <w:sz w:val="24"/>
          <w:szCs w:val="24"/>
        </w:rPr>
      </w:pPr>
      <w:r w:rsidRPr="00ED4CE1">
        <w:rPr>
          <w:rFonts w:eastAsia="Times New Roman"/>
          <w:color w:val="000000"/>
          <w:sz w:val="24"/>
          <w:szCs w:val="24"/>
        </w:rPr>
        <w:t>The financial module is divided into three steps: generating equiprobable series of extreme events</w:t>
      </w:r>
      <w:r w:rsidRPr="00ED4CE1">
        <w:rPr>
          <w:rFonts w:eastAsia="Times New Roman"/>
          <w:sz w:val="24"/>
          <w:szCs w:val="24"/>
        </w:rPr>
        <w:t>,</w:t>
      </w:r>
      <w:r w:rsidRPr="00ED4CE1">
        <w:rPr>
          <w:rFonts w:eastAsia="Times New Roman"/>
          <w:color w:val="000000"/>
          <w:sz w:val="24"/>
          <w:szCs w:val="24"/>
        </w:rPr>
        <w:t xml:space="preserve"> optimizing premium calculation, and performing sensitivity analysis for different insurance coverages. Thus, the payout function is defined and optimized in this module based on the generation of equiprobable scenarios. When defining the degree of coverage, the threshold (value from which insurance is triggered) can exhibit either stationary or non-stationary </w:t>
      </w:r>
      <w:proofErr w:type="spellStart"/>
      <w:r w:rsidRPr="00ED4CE1">
        <w:rPr>
          <w:rFonts w:eastAsia="Times New Roman"/>
          <w:sz w:val="24"/>
          <w:szCs w:val="24"/>
        </w:rPr>
        <w:t>behaviour</w:t>
      </w:r>
      <w:proofErr w:type="spellEnd"/>
      <w:r w:rsidRPr="00ED4CE1">
        <w:rPr>
          <w:rFonts w:eastAsia="Times New Roman"/>
          <w:color w:val="000000"/>
          <w:sz w:val="24"/>
          <w:szCs w:val="24"/>
        </w:rPr>
        <w:t xml:space="preserve"> (Benso et al., 2022). The threshold in stationary </w:t>
      </w:r>
      <w:proofErr w:type="spellStart"/>
      <w:r w:rsidRPr="00ED4CE1">
        <w:rPr>
          <w:rFonts w:eastAsia="Times New Roman"/>
          <w:sz w:val="24"/>
          <w:szCs w:val="24"/>
        </w:rPr>
        <w:t>behaviour</w:t>
      </w:r>
      <w:proofErr w:type="spellEnd"/>
      <w:r w:rsidRPr="00ED4CE1">
        <w:rPr>
          <w:rFonts w:eastAsia="Times New Roman"/>
          <w:color w:val="000000"/>
          <w:sz w:val="24"/>
          <w:szCs w:val="24"/>
        </w:rPr>
        <w:t xml:space="preserve"> is unique for the entire duration of the contract; this is the typical methodology used for existing indexed insurance. Benso et al. (2022) introduced the concept of dynamic threshold in a non-stationary </w:t>
      </w:r>
      <w:r w:rsidRPr="00ED4CE1">
        <w:rPr>
          <w:rFonts w:eastAsia="Times New Roman"/>
          <w:sz w:val="24"/>
          <w:szCs w:val="24"/>
        </w:rPr>
        <w:t>system that</w:t>
      </w:r>
      <w:r w:rsidRPr="00ED4CE1">
        <w:rPr>
          <w:rFonts w:eastAsia="Times New Roman"/>
          <w:color w:val="000000"/>
          <w:sz w:val="24"/>
          <w:szCs w:val="24"/>
        </w:rPr>
        <w:t xml:space="preserve"> is influenced by system resilience. Resilience is defined as “the ability of a system, community or society exposed to hazards to resist, absorb, accommodate, adapt to, transform and recover from the effects of a hazard in a timely and efficient manner, including through the preservation and restoration of its essential basic structures and functions through risk management” </w:t>
      </w:r>
      <w:r w:rsidRPr="00ED4CE1">
        <w:rPr>
          <w:rFonts w:eastAsia="Times New Roman"/>
          <w:color w:val="000000"/>
          <w:sz w:val="24"/>
          <w:szCs w:val="24"/>
        </w:rPr>
        <w:fldChar w:fldCharType="begin" w:fldLock="1"/>
      </w:r>
      <w:r w:rsidRPr="00ED4CE1">
        <w:rPr>
          <w:rFonts w:eastAsia="Times New Roman"/>
          <w:color w:val="000000"/>
          <w:sz w:val="24"/>
          <w:szCs w:val="24"/>
        </w:rPr>
        <w:instrText>ADDIN CSL_CITATION {"citationItems":[{"id":"ITEM-1","itemData":{"ISSN":"13241540","author":[{"dropping-particle":"","family":"UNDRR","given":"","non-dropping-particle":"","parse-names":false,"suffix":""}],"container-title":"Sendai Framework for Disaster Risk Reduction","id":"ITEM-1","issued":{"date-parts":[["2015"]]},"number-of-pages":"1-37","title":"Sendai framework for disaster risk reduction 2015-2030","type":"report"},"uris":["http://www.mendeley.com/documents/?uuid=adad65ea-dc4b-4d18-aee6-927a7523c45b"]}],"mendeley":{"formattedCitation":"(UNDRR, 2015)","plainTextFormattedCitation":"(UNDRR, 2015)","previouslyFormattedCitation":"(UNDRR, 2015)"},"properties":{"noteIndex":0},"schema":"https://github.com/citation-style-language/schema/raw/master/csl-citation.json"}</w:instrText>
      </w:r>
      <w:r w:rsidRPr="00ED4CE1">
        <w:rPr>
          <w:rFonts w:eastAsia="Times New Roman"/>
          <w:color w:val="000000"/>
          <w:sz w:val="24"/>
          <w:szCs w:val="24"/>
        </w:rPr>
        <w:fldChar w:fldCharType="separate"/>
      </w:r>
      <w:r w:rsidRPr="00ED4CE1">
        <w:rPr>
          <w:rFonts w:eastAsia="Times New Roman"/>
          <w:noProof/>
          <w:color w:val="000000"/>
          <w:sz w:val="24"/>
          <w:szCs w:val="24"/>
        </w:rPr>
        <w:t>(UNDRR, 2015)</w:t>
      </w:r>
      <w:r w:rsidRPr="00ED4CE1">
        <w:rPr>
          <w:rFonts w:eastAsia="Times New Roman"/>
          <w:color w:val="000000"/>
          <w:sz w:val="24"/>
          <w:szCs w:val="24"/>
        </w:rPr>
        <w:fldChar w:fldCharType="end"/>
      </w:r>
      <w:r>
        <w:rPr>
          <w:rFonts w:eastAsia="Times New Roman"/>
          <w:color w:val="000000"/>
          <w:sz w:val="24"/>
          <w:szCs w:val="24"/>
        </w:rPr>
        <w:t>.</w:t>
      </w:r>
    </w:p>
    <w:p w14:paraId="0EDA7600" w14:textId="48714669" w:rsidR="00250AD8" w:rsidRDefault="00ED4CE1" w:rsidP="00ED4CE1">
      <w:pPr>
        <w:pBdr>
          <w:top w:val="nil"/>
          <w:left w:val="nil"/>
          <w:bottom w:val="nil"/>
          <w:right w:val="nil"/>
          <w:between w:val="nil"/>
        </w:pBdr>
        <w:ind w:firstLine="360"/>
        <w:rPr>
          <w:rFonts w:eastAsia="Times New Roman"/>
          <w:sz w:val="24"/>
          <w:szCs w:val="24"/>
        </w:rPr>
      </w:pPr>
      <w:r w:rsidRPr="00ED4CE1">
        <w:rPr>
          <w:rFonts w:eastAsia="Times New Roman"/>
          <w:sz w:val="24"/>
          <w:szCs w:val="24"/>
        </w:rPr>
        <w:t xml:space="preserve">Similarly, this prerogative can be adapted to the supply sector from the perspective that resilience is altered due to the consequences of socioeconomic choices such as changes in land use, changes in demand, degree of development and implementation of adaptation measures and mitigation of climate change, etc. All of these factors influence water demand and availability. Thus, the recurrence of an event of a certain duration, magnitude, or frequency can have a greater or lesser impact on water supply over time, depending on the degree of development, implementation, and maintenance of resilience measures. These changes in the water supply affect the vulnerability of the supply companies' businesses while also necessitating the need to adjust the threshold over time. However, defining the threshold's </w:t>
      </w:r>
      <w:proofErr w:type="spellStart"/>
      <w:r w:rsidRPr="00ED4CE1">
        <w:rPr>
          <w:rFonts w:eastAsia="Times New Roman"/>
          <w:sz w:val="24"/>
          <w:szCs w:val="24"/>
        </w:rPr>
        <w:t>behaviour</w:t>
      </w:r>
      <w:proofErr w:type="spellEnd"/>
      <w:r w:rsidRPr="00ED4CE1">
        <w:rPr>
          <w:rFonts w:eastAsia="Times New Roman"/>
          <w:sz w:val="24"/>
          <w:szCs w:val="24"/>
        </w:rPr>
        <w:t xml:space="preserve"> as a function of time can be difficult. We emphasize the importance of additional research into models and uncertainties in determining the threshold function over time</w:t>
      </w:r>
      <w:r>
        <w:rPr>
          <w:rFonts w:eastAsia="Times New Roman"/>
          <w:sz w:val="24"/>
          <w:szCs w:val="24"/>
        </w:rPr>
        <w:t>.</w:t>
      </w:r>
    </w:p>
    <w:p w14:paraId="6FA17C33" w14:textId="3C1395CC" w:rsidR="00CB29E6" w:rsidRDefault="00CB29E6" w:rsidP="00CB29E6">
      <w:pPr>
        <w:pStyle w:val="Heading-Secondary"/>
      </w:pPr>
      <w:r>
        <w:lastRenderedPageBreak/>
        <w:t>3.</w:t>
      </w:r>
      <w:r w:rsidR="00600E4A">
        <w:t>4</w:t>
      </w:r>
      <w:r>
        <w:t xml:space="preserve"> </w:t>
      </w:r>
      <w:r w:rsidRPr="00CB29E6">
        <w:t>Gaps and challenges in index insurance design and implementation for water supply</w:t>
      </w:r>
    </w:p>
    <w:p w14:paraId="1C771894" w14:textId="77777777" w:rsidR="0090228B" w:rsidRPr="0090228B" w:rsidRDefault="0090228B" w:rsidP="0090228B">
      <w:pPr>
        <w:pBdr>
          <w:top w:val="nil"/>
          <w:left w:val="nil"/>
          <w:bottom w:val="nil"/>
          <w:right w:val="nil"/>
          <w:between w:val="nil"/>
        </w:pBdr>
        <w:ind w:firstLine="360"/>
        <w:rPr>
          <w:rFonts w:eastAsia="Times New Roman"/>
          <w:sz w:val="24"/>
          <w:szCs w:val="24"/>
        </w:rPr>
      </w:pPr>
      <w:r w:rsidRPr="0090228B">
        <w:rPr>
          <w:rFonts w:eastAsia="Times New Roman"/>
          <w:color w:val="000000"/>
          <w:sz w:val="24"/>
          <w:szCs w:val="24"/>
        </w:rPr>
        <w:t xml:space="preserve">Many studies in the design of insurance models are still needed for the water supply sector. Future research in the hazard selection stage should better investigate the relationship between droughts, floods, and pollution extremes and their interaction and implications for supply financial losses. Furthermore, </w:t>
      </w:r>
      <w:r w:rsidRPr="0090228B">
        <w:rPr>
          <w:rFonts w:eastAsia="Times New Roman"/>
          <w:sz w:val="24"/>
          <w:szCs w:val="24"/>
        </w:rPr>
        <w:t xml:space="preserve">more studies should </w:t>
      </w:r>
      <w:r w:rsidRPr="0090228B">
        <w:rPr>
          <w:rFonts w:eastAsia="Times New Roman"/>
          <w:color w:val="000000"/>
          <w:sz w:val="24"/>
          <w:szCs w:val="24"/>
        </w:rPr>
        <w:t>investigate the relationship between indices that depict water pollution and increased treatment costs</w:t>
      </w:r>
      <w:r w:rsidRPr="0090228B">
        <w:rPr>
          <w:rFonts w:eastAsia="Times New Roman"/>
          <w:sz w:val="24"/>
          <w:szCs w:val="24"/>
        </w:rPr>
        <w:t>,</w:t>
      </w:r>
      <w:r w:rsidRPr="0090228B">
        <w:rPr>
          <w:rFonts w:eastAsia="Times New Roman"/>
          <w:color w:val="000000"/>
          <w:sz w:val="24"/>
          <w:szCs w:val="24"/>
        </w:rPr>
        <w:t xml:space="preserve"> as in </w:t>
      </w:r>
      <w:r w:rsidRPr="0090228B">
        <w:rPr>
          <w:rFonts w:eastAsia="Times New Roman"/>
          <w:color w:val="000000"/>
          <w:sz w:val="24"/>
          <w:szCs w:val="24"/>
        </w:rPr>
        <w:fldChar w:fldCharType="begin" w:fldLock="1"/>
      </w:r>
      <w:r w:rsidRPr="0090228B">
        <w:rPr>
          <w:rFonts w:eastAsia="Times New Roman"/>
          <w:color w:val="000000"/>
          <w:sz w:val="24"/>
          <w:szCs w:val="24"/>
        </w:rPr>
        <w:instrText>ADDIN CSL_CITATION {"citationItems":[{"id":"ITEM-1","itemData":{"DOI":"10.1016/j.ecoleng.2016.06.063","ISSN":"09258574","abstract":"Anthropogenic disturbances to the environment can compromise valuable ecosystem services, including the provision of potable water. These disturbances decrease water quality, potentially increasing treatment costs for producing drinking water. We investigated the land use influence on raw surface water quality for drinking supply in the most populous state in Brazil (São Paulo). We analyzed a long-term dataset (2000–2014) to assess the raw water quality for drinking purposes in more than 50 river/stream sites located in predominantly industrial/urban, agriculture or forested watersheds. Temporal, seasonal and land cover influences were assessed through Analysis of Covariance (ANCOVA). Infrastructure and operating costs of the Water Treatment Plants (WTPs) were estimated. We found significantly better water quality (p &lt; 0.01, ANCOVA) in forested watersheds (e.g., mean turbidity and true color: 10 NTU and 14 mgPt/L versus 48–56 NTU and 38–49 mgPt/L in industrial/urban and agriculture areas). THMPF and TOC were greater in altered basins (304 μg/L and 5.8 mg/L, respectively), especially in the rainy season. Drinking water outputs varied across WTPs located in industrial/urban (average: 525 L/s), agriculture (392 L/s) and forest (167 L/s) watersheds. Infrastructure and operating costs, shown as cost per unit of capacity, were greater for plants located in forested areas (US$ 98,208 per L/s), as compared to industrial/urban (US$ 78,230 per L/s) and agriculture (US$ 75,332 per L/s) basins. This was probably because treatment costs in these locations were greater in spite of plants starting with higher quality water. We recommend upgrades in the existing WTPs and the construction of new water utilities consider treatment costs related to predicted changes in land use in supply watersheds. Watershed conservation practices, water demand management, remediation and adaptation actions could also lower treatment costs and alter optimal treatment technology choice.","author":[{"dropping-particle":"","family":"Cunha","given":"Davi Gasparini Fernandes","non-dropping-particle":"","parse-names":false,"suffix":""},{"dropping-particle":"","family":"Sabogal-Paz","given":"Lyda Patricia","non-dropping-particle":"","parse-names":false,"suffix":""},{"dropping-particle":"","family":"Dodds","given":"Walter Kennedy","non-dropping-particle":"","parse-names":false,"suffix":""}],"container-title":"Ecological Engineering","id":"ITEM-1","issued":{"date-parts":[["2016"]]},"page":"516-524","publisher":"Elsevier B.V.","title":"Land use influence on raw surface water quality and treatment costs for drinking supply in São Paulo State (Brazil)","type":"article-journal","volume":"94"},"uris":["http://www.mendeley.com/documents/?uuid=c6612578-5e29-4c3e-9567-c66b86228558"]}],"mendeley":{"formattedCitation":"(Cunha et al., 2016)","plainTextFormattedCitation":"(Cunha et al., 2016)","previouslyFormattedCitation":"(Cunha et al., 2016)"},"properties":{"noteIndex":0},"schema":"https://github.com/citation-style-language/schema/raw/master/csl-citation.json"}</w:instrText>
      </w:r>
      <w:r w:rsidRPr="0090228B">
        <w:rPr>
          <w:rFonts w:eastAsia="Times New Roman"/>
          <w:color w:val="000000"/>
          <w:sz w:val="24"/>
          <w:szCs w:val="24"/>
        </w:rPr>
        <w:fldChar w:fldCharType="separate"/>
      </w:r>
      <w:r w:rsidRPr="0090228B">
        <w:rPr>
          <w:rFonts w:eastAsia="Times New Roman"/>
          <w:noProof/>
          <w:color w:val="000000"/>
          <w:sz w:val="24"/>
          <w:szCs w:val="24"/>
        </w:rPr>
        <w:t>(Cunha et al., 2016)</w:t>
      </w:r>
      <w:r w:rsidRPr="0090228B">
        <w:rPr>
          <w:rFonts w:eastAsia="Times New Roman"/>
          <w:color w:val="000000"/>
          <w:sz w:val="24"/>
          <w:szCs w:val="24"/>
        </w:rPr>
        <w:fldChar w:fldCharType="end"/>
      </w:r>
      <w:r w:rsidRPr="0090228B">
        <w:rPr>
          <w:rFonts w:eastAsia="Times New Roman"/>
          <w:color w:val="000000"/>
          <w:sz w:val="24"/>
          <w:szCs w:val="24"/>
        </w:rPr>
        <w:t xml:space="preserve">, as well as </w:t>
      </w:r>
      <w:r w:rsidRPr="0090228B">
        <w:rPr>
          <w:rFonts w:eastAsia="Times New Roman"/>
          <w:sz w:val="24"/>
          <w:szCs w:val="24"/>
        </w:rPr>
        <w:t xml:space="preserve"> increased frequency of outages, which are ways of measuring financial losses within an insurance framework. Damage quantification methodologies should be better studied and sedimented in the characterization of losses, concurrently with the collection and continuous monitoring of damage series. After these aspects have been improved, it is possible to analyze the performance of insurance funds in honoring the policies.</w:t>
      </w:r>
    </w:p>
    <w:p w14:paraId="1FF6B172" w14:textId="77777777" w:rsidR="0090228B" w:rsidRPr="0090228B" w:rsidRDefault="0090228B" w:rsidP="0090228B">
      <w:pPr>
        <w:pBdr>
          <w:top w:val="nil"/>
          <w:left w:val="nil"/>
          <w:bottom w:val="nil"/>
          <w:right w:val="nil"/>
          <w:between w:val="nil"/>
        </w:pBdr>
        <w:ind w:firstLine="360"/>
        <w:rPr>
          <w:rFonts w:eastAsia="Times New Roman"/>
          <w:sz w:val="24"/>
          <w:szCs w:val="24"/>
        </w:rPr>
      </w:pPr>
      <w:r w:rsidRPr="0090228B">
        <w:rPr>
          <w:rFonts w:eastAsia="Times New Roman"/>
          <w:sz w:val="24"/>
          <w:szCs w:val="24"/>
        </w:rPr>
        <w:t xml:space="preserve">While promising, index insurance uptake is still considered to be low </w:t>
      </w:r>
      <w:r w:rsidRPr="0090228B">
        <w:rPr>
          <w:rFonts w:eastAsia="Times New Roman"/>
          <w:sz w:val="24"/>
          <w:szCs w:val="24"/>
        </w:rPr>
        <w:fldChar w:fldCharType="begin" w:fldLock="1"/>
      </w:r>
      <w:r w:rsidRPr="0090228B">
        <w:rPr>
          <w:rFonts w:eastAsia="Times New Roman"/>
          <w:sz w:val="24"/>
          <w:szCs w:val="24"/>
        </w:rPr>
        <w:instrText>ADDIN CSL_CITATION {"citationItems":[{"id":"ITEM-1","itemData":{"DOI":"10.1016/j.ijdrr.2018.01.001","ISSN":"22124209","abstract":"Climate change is increasing the risks of weather-related disasters in many regions around the world. This has an adverse socio-economic impact on households, farmers and small businesses. Some strategies for effectively managing climate related disasters include index based insurance products, which are increasingly offered as alternatives to traditional insurance, particularly in low-income countries. However, the uptake of index insurance remains low, which can be partially attributed to the inherent problem of basis risk. This review assesses the problem of basis risk that occurs when insurance payouts depend on an index that is imperfectly related with actual losses experienced by the insurance policyholder. Special attention is paid to the design of the index, quality and sampling data, the estimation of basis risk and its influence on insurance demand, and index-insurance supply. The paper concludes with several policy recommendations including the need for a systematic approach to quantify the magnitude of basis risk, to inform index design with participatory approaches, to offer index insurance through existing risk sharing networks. Moreover, we recommend to improve policyholders access to information about their risk and measures they can take to limit risk, create an enabling environment for a well-functioning insurance market, and lastly to have an integrated approach that incorporates insurance with other mechanisms that reduce basis risk.","author":[{"dropping-particle":"","family":"Clement","given":"Kristina Yuzva","non-dropping-particle":"","parse-names":false,"suffix":""},{"dropping-particle":"","family":"Wouter Botzen","given":"W. J.","non-dropping-particle":"","parse-names":false,"suffix":""},{"dropping-particle":"","family":"Brouwer","given":"Roy","non-dropping-particle":"","parse-names":false,"suffix":""},{"dropping-particle":"","family":"Aerts","given":"Jeroen C.J.H.","non-dropping-particle":"","parse-names":false,"suffix":""}],"container-title":"International Journal of Disaster Risk Reduction","id":"ITEM-1","issue":"April 2017","issued":{"date-parts":[["2018"]]},"page":"845-853","publisher":"Elsevier Ltd","title":"A global review of the impact of basis risk on the functioning of and demand for index insurance","type":"article-journal","volume":"28"},"uris":["http://www.mendeley.com/documents/?uuid=633d61fe-2546-4644-9b56-bbebb3914713"]}],"mendeley":{"formattedCitation":"(Clement et al., 2018)","plainTextFormattedCitation":"(Clement et al., 2018)","previouslyFormattedCitation":"(Clement et al., 2018)"},"properties":{"noteIndex":0},"schema":"https://github.com/citation-style-language/schema/raw/master/csl-citation.json"}</w:instrText>
      </w:r>
      <w:r w:rsidRPr="0090228B">
        <w:rPr>
          <w:rFonts w:eastAsia="Times New Roman"/>
          <w:sz w:val="24"/>
          <w:szCs w:val="24"/>
        </w:rPr>
        <w:fldChar w:fldCharType="separate"/>
      </w:r>
      <w:r w:rsidRPr="0090228B">
        <w:rPr>
          <w:rFonts w:eastAsia="Times New Roman"/>
          <w:noProof/>
          <w:sz w:val="24"/>
          <w:szCs w:val="24"/>
        </w:rPr>
        <w:t>(Clement et al., 2018)</w:t>
      </w:r>
      <w:r w:rsidRPr="0090228B">
        <w:rPr>
          <w:rFonts w:eastAsia="Times New Roman"/>
          <w:sz w:val="24"/>
          <w:szCs w:val="24"/>
        </w:rPr>
        <w:fldChar w:fldCharType="end"/>
      </w:r>
      <w:r w:rsidRPr="0090228B">
        <w:rPr>
          <w:rFonts w:eastAsia="Times New Roman"/>
          <w:sz w:val="24"/>
          <w:szCs w:val="24"/>
        </w:rPr>
        <w:t xml:space="preserve"> .According to Chen et al. (2019), the low demand is attributed to the high base risk, which constitutes a mismatch between the indices and the losses occurrence. Furthermore, due to the uncertainties of the index choosing and the losses modeling, the unsecured residual risk can be high, mainly for the supply sector, in which risk transfer contracts is a study field in progress, making way for base risk characterization and control studies. Nonetheless, the level of basis risks is more important from the insured's perspective. The insurer is concerned with the predictability of payouts and the size of reserves to ensure solvency. In this way, the study of risk pooling effectiveness is substantial (Baum et al., 2018). Risk pooling comprehends a set of individuals with similar risk, but low autocorrelated, contributing to a unique fund drawn down when part of the individuals experiences a loss. The risk must be independent in a way that only a low number of individuals experience a loss at the same time. So, the premium can be closer to the level of expected payouts, reducing the need for the insurer to keep large reserves and lowering opportunity costs (Baum et al., 2018; Baum &amp; </w:t>
      </w:r>
      <w:r w:rsidRPr="0090228B">
        <w:rPr>
          <w:noProof/>
          <w:sz w:val="24"/>
          <w:szCs w:val="24"/>
        </w:rPr>
        <w:t>Characklis,</w:t>
      </w:r>
      <w:r w:rsidRPr="0090228B">
        <w:rPr>
          <w:rFonts w:eastAsia="Times New Roman"/>
          <w:sz w:val="24"/>
          <w:szCs w:val="24"/>
        </w:rPr>
        <w:t xml:space="preserve"> 2020). To that end, insurers will need to develop and test the potential of index insurance instruments pooled across </w:t>
      </w:r>
      <w:proofErr w:type="spellStart"/>
      <w:r w:rsidRPr="0090228B">
        <w:rPr>
          <w:rFonts w:eastAsia="Times New Roman"/>
          <w:sz w:val="24"/>
          <w:szCs w:val="24"/>
        </w:rPr>
        <w:t>multihazard</w:t>
      </w:r>
      <w:proofErr w:type="spellEnd"/>
      <w:r w:rsidRPr="0090228B">
        <w:rPr>
          <w:rFonts w:eastAsia="Times New Roman"/>
          <w:sz w:val="24"/>
          <w:szCs w:val="24"/>
        </w:rPr>
        <w:t xml:space="preserve"> contexts of drought, flood, and water pollution, as well as </w:t>
      </w:r>
      <w:proofErr w:type="spellStart"/>
      <w:r w:rsidRPr="0090228B">
        <w:rPr>
          <w:rFonts w:eastAsia="Times New Roman"/>
          <w:sz w:val="24"/>
          <w:szCs w:val="24"/>
        </w:rPr>
        <w:t>multidriver</w:t>
      </w:r>
      <w:proofErr w:type="spellEnd"/>
      <w:r w:rsidRPr="0090228B">
        <w:rPr>
          <w:rFonts w:eastAsia="Times New Roman"/>
          <w:sz w:val="24"/>
          <w:szCs w:val="24"/>
        </w:rPr>
        <w:t xml:space="preserve"> contexts of climate change and socioeconomic pathways. Also, risk pooling must aggregate studies of the suitable length of the water utilities in terms of the served user, given that covering expenses to water utilities that supply extensive and close regions could have a high cost.</w:t>
      </w:r>
    </w:p>
    <w:p w14:paraId="560232EC" w14:textId="77777777" w:rsidR="0090228B" w:rsidRPr="0090228B" w:rsidRDefault="0090228B" w:rsidP="0090228B">
      <w:pPr>
        <w:pBdr>
          <w:top w:val="nil"/>
          <w:left w:val="nil"/>
          <w:bottom w:val="nil"/>
          <w:right w:val="nil"/>
          <w:between w:val="nil"/>
        </w:pBdr>
        <w:ind w:firstLine="360"/>
        <w:rPr>
          <w:rFonts w:eastAsia="Times New Roman"/>
          <w:sz w:val="24"/>
          <w:szCs w:val="24"/>
        </w:rPr>
      </w:pPr>
      <w:r w:rsidRPr="0090228B">
        <w:rPr>
          <w:rFonts w:eastAsia="Times New Roman"/>
          <w:sz w:val="24"/>
          <w:szCs w:val="24"/>
        </w:rPr>
        <w:t>Aside from modelling studies on indexed insurance, studies that examine companies' maximum willingness to pay for service reliability and insurance, as well as their perception of the risk of water scarcity due to hydrological and pollution extremes, represent a significant gap. Such studies could provide a clearer picture of the demand for and acceptance of indexed insurance for water resource users, in addition to assisting in the development of insurance models.</w:t>
      </w:r>
    </w:p>
    <w:p w14:paraId="474C5C8F" w14:textId="55281070" w:rsidR="009D02CD" w:rsidRDefault="009D02CD" w:rsidP="009D02CD">
      <w:pPr>
        <w:spacing w:line="276" w:lineRule="auto"/>
        <w:rPr>
          <w:rFonts w:eastAsia="Times New Roman"/>
          <w:b/>
        </w:rPr>
      </w:pPr>
    </w:p>
    <w:p w14:paraId="3B1C1E30" w14:textId="4AE45DC0" w:rsidR="009D02CD" w:rsidRDefault="009D02CD" w:rsidP="009D02CD">
      <w:pPr>
        <w:pStyle w:val="Heading-Main"/>
        <w:spacing w:before="0" w:after="0"/>
      </w:pPr>
      <w:r>
        <w:t>4 Conclusion and final considerations</w:t>
      </w:r>
    </w:p>
    <w:p w14:paraId="7D0B7632" w14:textId="77777777" w:rsidR="009D02CD" w:rsidRDefault="009D02CD" w:rsidP="009D02CD">
      <w:pPr>
        <w:spacing w:line="276" w:lineRule="auto"/>
        <w:rPr>
          <w:rFonts w:eastAsia="Times New Roman"/>
        </w:rPr>
      </w:pPr>
    </w:p>
    <w:p w14:paraId="458E4C01" w14:textId="77777777" w:rsidR="009D02CD" w:rsidRPr="009D02CD" w:rsidRDefault="009D02CD" w:rsidP="009D02CD">
      <w:pPr>
        <w:ind w:firstLine="360"/>
        <w:rPr>
          <w:rFonts w:eastAsia="Times New Roman"/>
          <w:sz w:val="24"/>
          <w:szCs w:val="24"/>
        </w:rPr>
      </w:pPr>
      <w:r w:rsidRPr="009D02CD">
        <w:rPr>
          <w:rFonts w:eastAsia="Times New Roman"/>
          <w:color w:val="000000"/>
          <w:sz w:val="24"/>
          <w:szCs w:val="24"/>
        </w:rPr>
        <w:t>Given the uncertainties associated with both climate extremes and socioeconomic choices to deal with the problem of water shortages and water security, as well as the definition of how these uncertain factors affect water supply, a residual risk remains in the water infrastructure</w:t>
      </w:r>
      <w:r w:rsidRPr="009D02CD">
        <w:rPr>
          <w:rFonts w:eastAsia="Times New Roman"/>
          <w:sz w:val="24"/>
          <w:szCs w:val="24"/>
        </w:rPr>
        <w:t xml:space="preserve">, which is </w:t>
      </w:r>
      <w:r w:rsidRPr="009D02CD">
        <w:rPr>
          <w:rFonts w:eastAsia="Times New Roman"/>
          <w:color w:val="000000"/>
          <w:sz w:val="24"/>
          <w:szCs w:val="24"/>
        </w:rPr>
        <w:t xml:space="preserve">not capable of being eradicated with preventive measures, requiring financial compensation to mitigate the damage. Indexed insurance, a </w:t>
      </w:r>
      <w:r w:rsidRPr="009D02CD">
        <w:rPr>
          <w:rFonts w:eastAsia="Times New Roman"/>
          <w:sz w:val="24"/>
          <w:szCs w:val="24"/>
        </w:rPr>
        <w:t>relatively</w:t>
      </w:r>
      <w:r w:rsidRPr="009D02CD">
        <w:rPr>
          <w:rFonts w:eastAsia="Times New Roman"/>
          <w:color w:val="000000"/>
          <w:sz w:val="24"/>
          <w:szCs w:val="24"/>
        </w:rPr>
        <w:t xml:space="preserve"> recently researched risk transfer methodology for the supply sector, is one of several financial tools that can help supply companies reduce risk and maintain financial stability.</w:t>
      </w:r>
      <w:r w:rsidRPr="009D02CD">
        <w:rPr>
          <w:rFonts w:eastAsia="Times New Roman"/>
          <w:sz w:val="24"/>
          <w:szCs w:val="24"/>
        </w:rPr>
        <w:t xml:space="preserve"> In the face of the supply companies' tight </w:t>
      </w:r>
      <w:r w:rsidRPr="009D02CD">
        <w:rPr>
          <w:rFonts w:eastAsia="Times New Roman"/>
          <w:sz w:val="24"/>
          <w:szCs w:val="24"/>
        </w:rPr>
        <w:lastRenderedPageBreak/>
        <w:t>budgets, this mitigation can be translated into economic compensation for the economic losses suffered by the companies during extreme events as a way to protect the companies' business, and, thus, the supply service. The payout can also be used to compensate the end user of water resources in addition to covering economic deficits or operating expenses of companies. This measure constitutes a direct incentive for water companies to seek the reduction of unplanned interruptions in the water supply.</w:t>
      </w:r>
    </w:p>
    <w:p w14:paraId="7F06ACAF" w14:textId="77777777" w:rsidR="009D02CD" w:rsidRPr="009D02CD" w:rsidRDefault="009D02CD" w:rsidP="009D02CD">
      <w:pPr>
        <w:ind w:firstLine="360"/>
        <w:rPr>
          <w:rFonts w:eastAsia="Times New Roman"/>
          <w:color w:val="000000"/>
          <w:sz w:val="24"/>
          <w:szCs w:val="24"/>
        </w:rPr>
      </w:pPr>
      <w:r w:rsidRPr="009D02CD">
        <w:rPr>
          <w:rFonts w:eastAsia="Times New Roman"/>
          <w:sz w:val="24"/>
          <w:szCs w:val="24"/>
        </w:rPr>
        <w:t xml:space="preserve">However, given the complex vulnerability to different hazards related to the quantity and quality of raw water to which the operation of supply companies is often exposed, in addition to the drivers of uncertainty affecting water availability, improving the application of risk transfer models is still necessary in order to incorporate such multiple risks and uncertainties. </w:t>
      </w:r>
      <w:r w:rsidRPr="009D02CD">
        <w:rPr>
          <w:rFonts w:eastAsia="Times New Roman"/>
          <w:color w:val="000000"/>
          <w:sz w:val="24"/>
          <w:szCs w:val="24"/>
        </w:rPr>
        <w:t>Many gaps and limitations in the design and implementation of water infrastructure insurance remain, including improved characterization of the relationship between droughts, floods, and pollution extremes and their implications in financial losses for supply; better research and development of damage quantification methodologies, primarily related to water quality degradation; and policyholder perception of the risk of shortages and willing</w:t>
      </w:r>
      <w:r w:rsidRPr="009D02CD">
        <w:rPr>
          <w:rFonts w:eastAsia="Times New Roman"/>
          <w:sz w:val="24"/>
          <w:szCs w:val="24"/>
        </w:rPr>
        <w:t>ness to pay for the insurance</w:t>
      </w:r>
      <w:r w:rsidRPr="009D02CD">
        <w:rPr>
          <w:rFonts w:eastAsia="Times New Roman"/>
          <w:color w:val="000000"/>
          <w:sz w:val="24"/>
          <w:szCs w:val="24"/>
        </w:rPr>
        <w:t>.</w:t>
      </w:r>
    </w:p>
    <w:p w14:paraId="3E1BAC1C" w14:textId="77777777" w:rsidR="009D02CD" w:rsidRPr="009D02CD" w:rsidRDefault="009D02CD" w:rsidP="009D02CD">
      <w:pPr>
        <w:ind w:firstLine="360"/>
        <w:rPr>
          <w:rFonts w:eastAsia="Times New Roman"/>
          <w:sz w:val="24"/>
          <w:szCs w:val="24"/>
        </w:rPr>
      </w:pPr>
      <w:r w:rsidRPr="009D02CD">
        <w:rPr>
          <w:rFonts w:eastAsia="Times New Roman"/>
          <w:sz w:val="24"/>
          <w:szCs w:val="24"/>
        </w:rPr>
        <w:t>The proposal of this management instrument is not intended to be a diversion from the lack of measures aimed at the proper disposal of sewage and solid waste or to discourage the modernization of water infrastructure. As a result, the risk transfer model based on the index insurance has the potential to act, along with other mitigation tools, in accordance with national and international sanitation and water security plans.</w:t>
      </w:r>
    </w:p>
    <w:p w14:paraId="696AD025" w14:textId="230DE654" w:rsidR="00A242DD" w:rsidRPr="00A242DD" w:rsidRDefault="009D02CD" w:rsidP="00A242DD">
      <w:pPr>
        <w:spacing w:before="240" w:after="240"/>
        <w:rPr>
          <w:rFonts w:eastAsia="Times New Roman"/>
          <w:b/>
          <w:bCs/>
          <w:sz w:val="24"/>
          <w:szCs w:val="24"/>
        </w:rPr>
      </w:pPr>
      <w:r w:rsidRPr="00A242DD">
        <w:rPr>
          <w:rFonts w:eastAsia="Times New Roman"/>
          <w:b/>
          <w:bCs/>
          <w:sz w:val="24"/>
          <w:szCs w:val="24"/>
        </w:rPr>
        <w:t>Acknowledgments</w:t>
      </w:r>
    </w:p>
    <w:p w14:paraId="7FCD94F6" w14:textId="1DF209B3" w:rsidR="009D02CD" w:rsidRPr="009D02CD" w:rsidRDefault="009D02CD" w:rsidP="009D02CD">
      <w:pPr>
        <w:rPr>
          <w:rFonts w:eastAsia="Times New Roman"/>
          <w:sz w:val="24"/>
          <w:szCs w:val="24"/>
        </w:rPr>
      </w:pPr>
      <w:r w:rsidRPr="009D02CD">
        <w:rPr>
          <w:rFonts w:eastAsia="Times New Roman"/>
          <w:sz w:val="24"/>
          <w:szCs w:val="24"/>
        </w:rPr>
        <w:t>The authors would like to thank the financial support from the Coordination for the Improvement of Higher Education Personnel (CAPES Finance Code 001).</w:t>
      </w:r>
    </w:p>
    <w:p w14:paraId="6E5A5777" w14:textId="22CB48C2" w:rsidR="00A242DD" w:rsidRDefault="009D02CD" w:rsidP="00A242DD">
      <w:pPr>
        <w:spacing w:before="240" w:after="240"/>
        <w:rPr>
          <w:rFonts w:eastAsia="Times New Roman"/>
          <w:b/>
          <w:bCs/>
          <w:sz w:val="24"/>
          <w:szCs w:val="24"/>
        </w:rPr>
      </w:pPr>
      <w:r w:rsidRPr="00A242DD">
        <w:rPr>
          <w:rFonts w:eastAsia="Times New Roman"/>
          <w:b/>
          <w:bCs/>
          <w:sz w:val="24"/>
          <w:szCs w:val="24"/>
        </w:rPr>
        <w:t>Competing Interests</w:t>
      </w:r>
    </w:p>
    <w:p w14:paraId="6F02E10A" w14:textId="58AFE112" w:rsidR="009D02CD" w:rsidRPr="009D02CD" w:rsidRDefault="009D02CD" w:rsidP="009D02CD">
      <w:pPr>
        <w:rPr>
          <w:rFonts w:eastAsia="Times New Roman"/>
          <w:sz w:val="24"/>
          <w:szCs w:val="24"/>
        </w:rPr>
      </w:pPr>
      <w:r w:rsidRPr="009D02CD">
        <w:rPr>
          <w:rFonts w:eastAsia="Times New Roman"/>
          <w:sz w:val="24"/>
          <w:szCs w:val="24"/>
        </w:rPr>
        <w:t>The authors declare no conflict of interest.</w:t>
      </w:r>
    </w:p>
    <w:p w14:paraId="050B63B8" w14:textId="745DEFBD" w:rsidR="00A242DD" w:rsidRPr="00A242DD" w:rsidRDefault="009D02CD" w:rsidP="00916B44">
      <w:pPr>
        <w:spacing w:before="240" w:after="240"/>
        <w:rPr>
          <w:rFonts w:eastAsia="Times New Roman"/>
          <w:b/>
          <w:bCs/>
          <w:color w:val="000000"/>
          <w:sz w:val="24"/>
          <w:szCs w:val="24"/>
        </w:rPr>
      </w:pPr>
      <w:r w:rsidRPr="00A242DD">
        <w:rPr>
          <w:rFonts w:eastAsia="Times New Roman"/>
          <w:b/>
          <w:bCs/>
          <w:color w:val="000000"/>
          <w:sz w:val="24"/>
          <w:szCs w:val="24"/>
        </w:rPr>
        <w:t>Availability statement</w:t>
      </w:r>
    </w:p>
    <w:p w14:paraId="3E3A9475" w14:textId="4BAE9EB5" w:rsidR="009D02CD" w:rsidRPr="009D02CD" w:rsidRDefault="009D02CD" w:rsidP="009D02CD">
      <w:pPr>
        <w:rPr>
          <w:rFonts w:eastAsia="Times New Roman"/>
          <w:color w:val="000000"/>
          <w:sz w:val="24"/>
          <w:szCs w:val="24"/>
        </w:rPr>
      </w:pPr>
      <w:r w:rsidRPr="009D02CD">
        <w:rPr>
          <w:rFonts w:eastAsia="Times New Roman"/>
          <w:color w:val="000000"/>
          <w:sz w:val="24"/>
          <w:szCs w:val="24"/>
        </w:rPr>
        <w:t>The data presented in this study are available in the article itself and references cited.</w:t>
      </w:r>
    </w:p>
    <w:p w14:paraId="1F1769C8" w14:textId="77777777" w:rsidR="00546519" w:rsidRPr="00546519" w:rsidRDefault="00546519" w:rsidP="00916B44">
      <w:pPr>
        <w:spacing w:before="240" w:line="276" w:lineRule="auto"/>
        <w:rPr>
          <w:rFonts w:eastAsia="Times New Roman"/>
          <w:b/>
          <w:sz w:val="24"/>
          <w:szCs w:val="24"/>
        </w:rPr>
      </w:pPr>
      <w:r w:rsidRPr="00546519">
        <w:rPr>
          <w:rFonts w:eastAsia="Times New Roman"/>
          <w:b/>
          <w:sz w:val="24"/>
          <w:szCs w:val="24"/>
        </w:rPr>
        <w:t>References</w:t>
      </w:r>
    </w:p>
    <w:p w14:paraId="6041EF67"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rFonts w:eastAsia="Times New Roman"/>
          <w:sz w:val="24"/>
          <w:szCs w:val="24"/>
        </w:rPr>
        <w:fldChar w:fldCharType="begin" w:fldLock="1"/>
      </w:r>
      <w:r w:rsidRPr="00546519">
        <w:rPr>
          <w:rFonts w:eastAsia="Times New Roman"/>
          <w:sz w:val="24"/>
          <w:szCs w:val="24"/>
        </w:rPr>
        <w:instrText xml:space="preserve">ADDIN Mendeley Bibliography CSL_BIBLIOGRAPHY </w:instrText>
      </w:r>
      <w:r w:rsidRPr="00546519">
        <w:rPr>
          <w:rFonts w:eastAsia="Times New Roman"/>
          <w:sz w:val="24"/>
          <w:szCs w:val="24"/>
        </w:rPr>
        <w:fldChar w:fldCharType="separate"/>
      </w:r>
      <w:r w:rsidRPr="00546519">
        <w:rPr>
          <w:noProof/>
          <w:sz w:val="24"/>
          <w:szCs w:val="24"/>
        </w:rPr>
        <w:t xml:space="preserve">Aerts, J. C. J. H., &amp; Botzen, W. J. W. (2011). Climate change impacts on pricing long-term flood insurance: A comprehensive study for the Netherlands. </w:t>
      </w:r>
      <w:r w:rsidRPr="00546519">
        <w:rPr>
          <w:i/>
          <w:iCs/>
          <w:noProof/>
          <w:sz w:val="24"/>
          <w:szCs w:val="24"/>
        </w:rPr>
        <w:t>Global Environmental Change</w:t>
      </w:r>
      <w:r w:rsidRPr="00546519">
        <w:rPr>
          <w:noProof/>
          <w:sz w:val="24"/>
          <w:szCs w:val="24"/>
        </w:rPr>
        <w:t xml:space="preserve">, </w:t>
      </w:r>
      <w:r w:rsidRPr="00546519">
        <w:rPr>
          <w:i/>
          <w:iCs/>
          <w:noProof/>
          <w:sz w:val="24"/>
          <w:szCs w:val="24"/>
        </w:rPr>
        <w:t>21</w:t>
      </w:r>
      <w:r w:rsidRPr="00546519">
        <w:rPr>
          <w:noProof/>
          <w:sz w:val="24"/>
          <w:szCs w:val="24"/>
        </w:rPr>
        <w:t>(3), 1045–1060. https://doi.org/10.1016/j.gloenvcha.2011.04.005</w:t>
      </w:r>
    </w:p>
    <w:p w14:paraId="5C8A22C6"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rPr>
        <w:t xml:space="preserve">Agrawal, A., &amp; Kim, D. (2022). Municipal Bond Insurance and Public Infrastructure: Evidence from Drinking Water. </w:t>
      </w:r>
      <w:r w:rsidRPr="00546519">
        <w:rPr>
          <w:i/>
          <w:iCs/>
          <w:noProof/>
          <w:sz w:val="24"/>
          <w:szCs w:val="24"/>
          <w:lang w:val="pt-BR"/>
        </w:rPr>
        <w:t>SSRN Electronic Journal</w:t>
      </w:r>
      <w:r w:rsidRPr="00546519">
        <w:rPr>
          <w:noProof/>
          <w:sz w:val="24"/>
          <w:szCs w:val="24"/>
          <w:lang w:val="pt-BR"/>
        </w:rPr>
        <w:t>. https://doi.org/10.2139/ssrn.3813348</w:t>
      </w:r>
    </w:p>
    <w:p w14:paraId="3A64F666"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ANA. (2022). O Índice de Segurança Hídrica ( ISH ). </w:t>
      </w:r>
      <w:r w:rsidRPr="00546519">
        <w:rPr>
          <w:i/>
          <w:iCs/>
          <w:noProof/>
          <w:sz w:val="24"/>
          <w:szCs w:val="24"/>
          <w:lang w:val="pt-BR"/>
        </w:rPr>
        <w:t>ANA-Agência Nacional de Águas</w:t>
      </w:r>
      <w:r w:rsidRPr="00546519">
        <w:rPr>
          <w:noProof/>
          <w:sz w:val="24"/>
          <w:szCs w:val="24"/>
          <w:lang w:val="pt-BR"/>
        </w:rPr>
        <w:t xml:space="preserve">. </w:t>
      </w:r>
      <w:r w:rsidRPr="00546519">
        <w:rPr>
          <w:noProof/>
          <w:sz w:val="24"/>
          <w:szCs w:val="24"/>
        </w:rPr>
        <w:t>Retrieved from https://pnsh.ana.gov.br/seguranca</w:t>
      </w:r>
    </w:p>
    <w:p w14:paraId="4E4D732E"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Anand, J., Gosain, A. K., &amp; Khosa, R. (2018). Prediction of land use changes based on Land Change Modeler and attribution of changes in the water balance of Ganga basin to land use </w:t>
      </w:r>
      <w:r w:rsidRPr="00546519">
        <w:rPr>
          <w:noProof/>
          <w:sz w:val="24"/>
          <w:szCs w:val="24"/>
        </w:rPr>
        <w:lastRenderedPageBreak/>
        <w:t xml:space="preserve">change using the SWAT model. </w:t>
      </w:r>
      <w:r w:rsidRPr="00546519">
        <w:rPr>
          <w:i/>
          <w:iCs/>
          <w:noProof/>
          <w:sz w:val="24"/>
          <w:szCs w:val="24"/>
        </w:rPr>
        <w:t>Science of the Total Environment</w:t>
      </w:r>
      <w:r w:rsidRPr="00546519">
        <w:rPr>
          <w:noProof/>
          <w:sz w:val="24"/>
          <w:szCs w:val="24"/>
        </w:rPr>
        <w:t xml:space="preserve">, </w:t>
      </w:r>
      <w:r w:rsidRPr="00546519">
        <w:rPr>
          <w:i/>
          <w:iCs/>
          <w:noProof/>
          <w:sz w:val="24"/>
          <w:szCs w:val="24"/>
        </w:rPr>
        <w:t>644</w:t>
      </w:r>
      <w:r w:rsidRPr="00546519">
        <w:rPr>
          <w:noProof/>
          <w:sz w:val="24"/>
          <w:szCs w:val="24"/>
        </w:rPr>
        <w:t>, 503–519. https://doi.org/10.1016/j.scitotenv.2018.07.017</w:t>
      </w:r>
    </w:p>
    <w:p w14:paraId="0C489A89"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lang w:val="pt-BR"/>
        </w:rPr>
        <w:t xml:space="preserve">Bacha, L., Ventura, R., Barrios, M., Seabra, J., Tschoeke, D., Garcia, G., et al. </w:t>
      </w:r>
      <w:r w:rsidRPr="00546519">
        <w:rPr>
          <w:noProof/>
          <w:sz w:val="24"/>
          <w:szCs w:val="24"/>
        </w:rPr>
        <w:t xml:space="preserve">(2021). Risk of Collapse in Water Quality in the Guandu River (Rio de Janeiro, Brazil). </w:t>
      </w:r>
      <w:r w:rsidRPr="00546519">
        <w:rPr>
          <w:i/>
          <w:iCs/>
          <w:noProof/>
          <w:sz w:val="24"/>
          <w:szCs w:val="24"/>
          <w:lang w:val="pt-BR"/>
        </w:rPr>
        <w:t>Microbial Ecology</w:t>
      </w:r>
      <w:r w:rsidRPr="00546519">
        <w:rPr>
          <w:noProof/>
          <w:sz w:val="24"/>
          <w:szCs w:val="24"/>
          <w:lang w:val="pt-BR"/>
        </w:rPr>
        <w:t>, (0123456789). https://doi.org/10.1007/s00248-021-01839-z</w:t>
      </w:r>
    </w:p>
    <w:p w14:paraId="585D1FAF"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Di Baldassarre, G., Sivapalan, M., Rusca, M., Cudennec, C., Garcia, M., Kreibich, H., et al. </w:t>
      </w:r>
      <w:r w:rsidRPr="00546519">
        <w:rPr>
          <w:noProof/>
          <w:sz w:val="24"/>
          <w:szCs w:val="24"/>
        </w:rPr>
        <w:t xml:space="preserve">(2019). Sociohydrology: Scientific Challenges in Addressing the Sustainable Development Goals. </w:t>
      </w:r>
      <w:r w:rsidRPr="00546519">
        <w:rPr>
          <w:i/>
          <w:iCs/>
          <w:noProof/>
          <w:sz w:val="24"/>
          <w:szCs w:val="24"/>
        </w:rPr>
        <w:t>Water Resources Research</w:t>
      </w:r>
      <w:r w:rsidRPr="00546519">
        <w:rPr>
          <w:noProof/>
          <w:sz w:val="24"/>
          <w:szCs w:val="24"/>
        </w:rPr>
        <w:t xml:space="preserve">, </w:t>
      </w:r>
      <w:r w:rsidRPr="00546519">
        <w:rPr>
          <w:i/>
          <w:iCs/>
          <w:noProof/>
          <w:sz w:val="24"/>
          <w:szCs w:val="24"/>
        </w:rPr>
        <w:t>55</w:t>
      </w:r>
      <w:r w:rsidRPr="00546519">
        <w:rPr>
          <w:noProof/>
          <w:sz w:val="24"/>
          <w:szCs w:val="24"/>
        </w:rPr>
        <w:t>(8), 6327–6355. https://doi.org/10.1029/2018WR023901</w:t>
      </w:r>
    </w:p>
    <w:p w14:paraId="079552F8"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Bates, B. C., Kundzewicz, Z. W., Wu, S., &amp; Palutikof, J. P. (2008). </w:t>
      </w:r>
      <w:r w:rsidRPr="00546519">
        <w:rPr>
          <w:i/>
          <w:iCs/>
          <w:noProof/>
          <w:sz w:val="24"/>
          <w:szCs w:val="24"/>
        </w:rPr>
        <w:t>Climate Change and Water. Technical Paper ofthe Inter- governmental Panel on Climate Change</w:t>
      </w:r>
      <w:r w:rsidRPr="00546519">
        <w:rPr>
          <w:noProof/>
          <w:sz w:val="24"/>
          <w:szCs w:val="24"/>
        </w:rPr>
        <w:t xml:space="preserve">. </w:t>
      </w:r>
      <w:r w:rsidRPr="00546519">
        <w:rPr>
          <w:i/>
          <w:iCs/>
          <w:noProof/>
          <w:sz w:val="24"/>
          <w:szCs w:val="24"/>
        </w:rPr>
        <w:t>IPCC Secretariat</w:t>
      </w:r>
      <w:r w:rsidRPr="00546519">
        <w:rPr>
          <w:noProof/>
          <w:sz w:val="24"/>
          <w:szCs w:val="24"/>
        </w:rPr>
        <w:t>. Geneva. https://doi.org/10.1029/90EO00112</w:t>
      </w:r>
    </w:p>
    <w:p w14:paraId="069CB822"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Bauer, S. L. (2017). Memories linger of disaster at East Grand Forks / Grand Forks. </w:t>
      </w:r>
      <w:r w:rsidRPr="00546519">
        <w:rPr>
          <w:i/>
          <w:iCs/>
          <w:noProof/>
          <w:sz w:val="24"/>
          <w:szCs w:val="24"/>
        </w:rPr>
        <w:t>US Army Corps of Engineers</w:t>
      </w:r>
      <w:r w:rsidRPr="00546519">
        <w:rPr>
          <w:noProof/>
          <w:sz w:val="24"/>
          <w:szCs w:val="24"/>
        </w:rPr>
        <w:t>, pp. 1–5.</w:t>
      </w:r>
    </w:p>
    <w:p w14:paraId="4550A121"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Baum, R., &amp; Characklis, G. W. (2020). Mitigating Drought-Related Financial Risks for Water Utilities via Integration of Risk Pooling and Reinsurance. </w:t>
      </w:r>
      <w:r w:rsidRPr="00546519">
        <w:rPr>
          <w:i/>
          <w:iCs/>
          <w:noProof/>
          <w:sz w:val="24"/>
          <w:szCs w:val="24"/>
        </w:rPr>
        <w:t>Journal of Water Resources Planning and Management</w:t>
      </w:r>
      <w:r w:rsidRPr="00546519">
        <w:rPr>
          <w:noProof/>
          <w:sz w:val="24"/>
          <w:szCs w:val="24"/>
        </w:rPr>
        <w:t xml:space="preserve">, </w:t>
      </w:r>
      <w:r w:rsidRPr="00546519">
        <w:rPr>
          <w:i/>
          <w:iCs/>
          <w:noProof/>
          <w:sz w:val="24"/>
          <w:szCs w:val="24"/>
        </w:rPr>
        <w:t>146</w:t>
      </w:r>
      <w:r w:rsidRPr="00546519">
        <w:rPr>
          <w:noProof/>
          <w:sz w:val="24"/>
          <w:szCs w:val="24"/>
        </w:rPr>
        <w:t>(6), 1–13. https://doi.org/10.1061/(asce)wr.1943-5452.0001202</w:t>
      </w:r>
    </w:p>
    <w:p w14:paraId="41425258"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lang w:val="pt-BR"/>
        </w:rPr>
        <w:t xml:space="preserve">Baum, R., Characklis, G. W., &amp; Serre, M. L. (2018). </w:t>
      </w:r>
      <w:r w:rsidRPr="00546519">
        <w:rPr>
          <w:noProof/>
          <w:sz w:val="24"/>
          <w:szCs w:val="24"/>
        </w:rPr>
        <w:t xml:space="preserve">Effects of Geographic Diversification on Risk Pooling to Mitigate Drought-Related Financial Losses for Water Utilities. </w:t>
      </w:r>
      <w:r w:rsidRPr="00546519">
        <w:rPr>
          <w:i/>
          <w:iCs/>
          <w:noProof/>
          <w:sz w:val="24"/>
          <w:szCs w:val="24"/>
          <w:lang w:val="pt-BR"/>
        </w:rPr>
        <w:t>Water Resources Research</w:t>
      </w:r>
      <w:r w:rsidRPr="00546519">
        <w:rPr>
          <w:noProof/>
          <w:sz w:val="24"/>
          <w:szCs w:val="24"/>
          <w:lang w:val="pt-BR"/>
        </w:rPr>
        <w:t>. https://doi.org/10.1002/ 2017WR021468 Received</w:t>
      </w:r>
    </w:p>
    <w:p w14:paraId="285DCE44"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Benso, M. R., Gesualdo, G. C., Silva, G. J., Rápalo, L. M. C., Navarro, F. A. R., Silva, R. F., &amp; Mendiondo, E. M. (2022). </w:t>
      </w:r>
      <w:r w:rsidRPr="00546519">
        <w:rPr>
          <w:noProof/>
          <w:sz w:val="24"/>
          <w:szCs w:val="24"/>
        </w:rPr>
        <w:t xml:space="preserve">Review article: Design and Evaluation of Weather Index Insurance for Multi-Hazard Resilience and Food Insecurity. </w:t>
      </w:r>
      <w:r w:rsidRPr="00546519">
        <w:rPr>
          <w:i/>
          <w:iCs/>
          <w:noProof/>
          <w:sz w:val="24"/>
          <w:szCs w:val="24"/>
        </w:rPr>
        <w:t>EGUsphere</w:t>
      </w:r>
      <w:r w:rsidRPr="00546519">
        <w:rPr>
          <w:noProof/>
          <w:sz w:val="24"/>
          <w:szCs w:val="24"/>
        </w:rPr>
        <w:t>, 1–24. https://doi.org/10.5194/egusphere-2022-498</w:t>
      </w:r>
    </w:p>
    <w:p w14:paraId="31BEC771"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Blöschl, G., Bierkens, M. F. P., Chambel, A., Cudennec, C., Destouni, G., Fiori, A., et al. (2019). Twenty-three unsolved problems in hydrology (UPH)–a community perspective. </w:t>
      </w:r>
      <w:r w:rsidRPr="00546519">
        <w:rPr>
          <w:i/>
          <w:iCs/>
          <w:noProof/>
          <w:sz w:val="24"/>
          <w:szCs w:val="24"/>
        </w:rPr>
        <w:t>Hydrological Sciences Journal</w:t>
      </w:r>
      <w:r w:rsidRPr="00546519">
        <w:rPr>
          <w:noProof/>
          <w:sz w:val="24"/>
          <w:szCs w:val="24"/>
        </w:rPr>
        <w:t xml:space="preserve">, </w:t>
      </w:r>
      <w:r w:rsidRPr="00546519">
        <w:rPr>
          <w:i/>
          <w:iCs/>
          <w:noProof/>
          <w:sz w:val="24"/>
          <w:szCs w:val="24"/>
        </w:rPr>
        <w:t>64</w:t>
      </w:r>
      <w:r w:rsidRPr="00546519">
        <w:rPr>
          <w:noProof/>
          <w:sz w:val="24"/>
          <w:szCs w:val="24"/>
        </w:rPr>
        <w:t>(10), 1141–1158. https://doi.org/10.1080/02626667.2019.1620507/SUPPL_FILE/THSJ_A_1620507_SM4852.DOCX</w:t>
      </w:r>
    </w:p>
    <w:p w14:paraId="7EF6117D"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Brown, T. C., Mahat, V., &amp; Ramirez, J. A. (2019). Adaptation to Future Water Shortages in the United States Caused by Population Growth and Climate Change. </w:t>
      </w:r>
      <w:r w:rsidRPr="00546519">
        <w:rPr>
          <w:i/>
          <w:iCs/>
          <w:noProof/>
          <w:sz w:val="24"/>
          <w:szCs w:val="24"/>
        </w:rPr>
        <w:t>Earth’s Future</w:t>
      </w:r>
      <w:r w:rsidRPr="00546519">
        <w:rPr>
          <w:noProof/>
          <w:sz w:val="24"/>
          <w:szCs w:val="24"/>
        </w:rPr>
        <w:t xml:space="preserve">, </w:t>
      </w:r>
      <w:r w:rsidRPr="00546519">
        <w:rPr>
          <w:i/>
          <w:iCs/>
          <w:noProof/>
          <w:sz w:val="24"/>
          <w:szCs w:val="24"/>
        </w:rPr>
        <w:t>7</w:t>
      </w:r>
      <w:r w:rsidRPr="00546519">
        <w:rPr>
          <w:noProof/>
          <w:sz w:val="24"/>
          <w:szCs w:val="24"/>
        </w:rPr>
        <w:t>(3), 219–234. https://doi.org/10.1029/2018EF001091</w:t>
      </w:r>
    </w:p>
    <w:p w14:paraId="4109E7A3"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Burek, P., Satoh, Y., Fischer, G., Kahil, M. T., Scherzer, A., Tramberend, S., et al. (2016). </w:t>
      </w:r>
      <w:r w:rsidRPr="00546519">
        <w:rPr>
          <w:i/>
          <w:iCs/>
          <w:noProof/>
          <w:sz w:val="24"/>
          <w:szCs w:val="24"/>
        </w:rPr>
        <w:t>Water Futures and Solution</w:t>
      </w:r>
      <w:r w:rsidRPr="00546519">
        <w:rPr>
          <w:noProof/>
          <w:sz w:val="24"/>
          <w:szCs w:val="24"/>
        </w:rPr>
        <w:t xml:space="preserve">. </w:t>
      </w:r>
      <w:r w:rsidRPr="00546519">
        <w:rPr>
          <w:i/>
          <w:iCs/>
          <w:noProof/>
          <w:sz w:val="24"/>
          <w:szCs w:val="24"/>
        </w:rPr>
        <w:t>International Institute for Applied Systems Analysi</w:t>
      </w:r>
      <w:r w:rsidRPr="00546519">
        <w:rPr>
          <w:noProof/>
          <w:sz w:val="24"/>
          <w:szCs w:val="24"/>
        </w:rPr>
        <w:t>. Retrieved from http://pure.iiasa.ac.at/id/eprint/13008/1/WP-16-006.pdf</w:t>
      </w:r>
    </w:p>
    <w:p w14:paraId="3408428A"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Cazcarro, I., Duarte, R., &amp; Sánchez-Chóliz, J. (2013). </w:t>
      </w:r>
      <w:r w:rsidRPr="00546519">
        <w:rPr>
          <w:noProof/>
          <w:sz w:val="24"/>
          <w:szCs w:val="24"/>
        </w:rPr>
        <w:t xml:space="preserve">Economic growth and the evolution of </w:t>
      </w:r>
      <w:r w:rsidRPr="00546519">
        <w:rPr>
          <w:noProof/>
          <w:sz w:val="24"/>
          <w:szCs w:val="24"/>
        </w:rPr>
        <w:lastRenderedPageBreak/>
        <w:t xml:space="preserve">water consumption in Spain: A structural decomposition analysis. </w:t>
      </w:r>
      <w:r w:rsidRPr="00546519">
        <w:rPr>
          <w:i/>
          <w:iCs/>
          <w:noProof/>
          <w:sz w:val="24"/>
          <w:szCs w:val="24"/>
        </w:rPr>
        <w:t>Ecological Economics</w:t>
      </w:r>
      <w:r w:rsidRPr="00546519">
        <w:rPr>
          <w:noProof/>
          <w:sz w:val="24"/>
          <w:szCs w:val="24"/>
        </w:rPr>
        <w:t xml:space="preserve">, </w:t>
      </w:r>
      <w:r w:rsidRPr="00546519">
        <w:rPr>
          <w:i/>
          <w:iCs/>
          <w:noProof/>
          <w:sz w:val="24"/>
          <w:szCs w:val="24"/>
        </w:rPr>
        <w:t>96</w:t>
      </w:r>
      <w:r w:rsidRPr="00546519">
        <w:rPr>
          <w:noProof/>
          <w:sz w:val="24"/>
          <w:szCs w:val="24"/>
        </w:rPr>
        <w:t>(June), 51–61. https://doi.org/10.1016/j.ecolecon.2013.09.010</w:t>
      </w:r>
    </w:p>
    <w:p w14:paraId="3BED784F"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Chen, Z., Lu, Y., Zhang, J., &amp; Zhu, W. (2019). Managing Weather Risk with a Neural Network-Based Index Insurance. </w:t>
      </w:r>
      <w:r w:rsidRPr="00546519">
        <w:rPr>
          <w:i/>
          <w:iCs/>
          <w:noProof/>
          <w:sz w:val="24"/>
          <w:szCs w:val="24"/>
        </w:rPr>
        <w:t>Nanyang Business School Research Paper</w:t>
      </w:r>
      <w:r w:rsidRPr="00546519">
        <w:rPr>
          <w:noProof/>
          <w:sz w:val="24"/>
          <w:szCs w:val="24"/>
        </w:rPr>
        <w:t>, (20), 1–79.</w:t>
      </w:r>
    </w:p>
    <w:p w14:paraId="202D2FD0"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Clement, K. Y., Wouter Botzen, W. J., Brouwer, R., &amp; Aerts, J. C. J. H. (2018). A global review of the impact of basis risk on the functioning of and demand for index insurance. </w:t>
      </w:r>
      <w:r w:rsidRPr="00546519">
        <w:rPr>
          <w:i/>
          <w:iCs/>
          <w:noProof/>
          <w:sz w:val="24"/>
          <w:szCs w:val="24"/>
        </w:rPr>
        <w:t>International Journal of Disaster Risk Reduction</w:t>
      </w:r>
      <w:r w:rsidRPr="00546519">
        <w:rPr>
          <w:noProof/>
          <w:sz w:val="24"/>
          <w:szCs w:val="24"/>
        </w:rPr>
        <w:t xml:space="preserve">, </w:t>
      </w:r>
      <w:r w:rsidRPr="00546519">
        <w:rPr>
          <w:i/>
          <w:iCs/>
          <w:noProof/>
          <w:sz w:val="24"/>
          <w:szCs w:val="24"/>
        </w:rPr>
        <w:t>28</w:t>
      </w:r>
      <w:r w:rsidRPr="00546519">
        <w:rPr>
          <w:noProof/>
          <w:sz w:val="24"/>
          <w:szCs w:val="24"/>
        </w:rPr>
        <w:t>(April 2017), 845–853. https://doi.org/10.1016/j.ijdrr.2018.01.001</w:t>
      </w:r>
    </w:p>
    <w:p w14:paraId="0090127D"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lang w:val="pt-BR"/>
        </w:rPr>
        <w:t xml:space="preserve">Cremades, R., Surminski, S., Máñez Costa, M., Hudson, P., Shrivastava, P., &amp; Gascoigne, J. (2018). </w:t>
      </w:r>
      <w:r w:rsidRPr="00546519">
        <w:rPr>
          <w:noProof/>
          <w:sz w:val="24"/>
          <w:szCs w:val="24"/>
        </w:rPr>
        <w:t xml:space="preserve">Using the adaptive cycle in climate-risk insurance to design resilient futures. </w:t>
      </w:r>
      <w:r w:rsidRPr="00546519">
        <w:rPr>
          <w:i/>
          <w:iCs/>
          <w:noProof/>
          <w:sz w:val="24"/>
          <w:szCs w:val="24"/>
          <w:lang w:val="pt-BR"/>
        </w:rPr>
        <w:t>Nature Climate Change</w:t>
      </w:r>
      <w:r w:rsidRPr="00546519">
        <w:rPr>
          <w:noProof/>
          <w:sz w:val="24"/>
          <w:szCs w:val="24"/>
          <w:lang w:val="pt-BR"/>
        </w:rPr>
        <w:t xml:space="preserve">, </w:t>
      </w:r>
      <w:r w:rsidRPr="00546519">
        <w:rPr>
          <w:i/>
          <w:iCs/>
          <w:noProof/>
          <w:sz w:val="24"/>
          <w:szCs w:val="24"/>
          <w:lang w:val="pt-BR"/>
        </w:rPr>
        <w:t>8</w:t>
      </w:r>
      <w:r w:rsidRPr="00546519">
        <w:rPr>
          <w:noProof/>
          <w:sz w:val="24"/>
          <w:szCs w:val="24"/>
          <w:lang w:val="pt-BR"/>
        </w:rPr>
        <w:t>(1), 4–7. https://doi.org/10.1038/s41558-017-0044-2</w:t>
      </w:r>
    </w:p>
    <w:p w14:paraId="3221E34F"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Cunha, D. G. F., Sabogal-Paz, L. P., &amp; Dodds, W. K. (2016). </w:t>
      </w:r>
      <w:r w:rsidRPr="00546519">
        <w:rPr>
          <w:noProof/>
          <w:sz w:val="24"/>
          <w:szCs w:val="24"/>
        </w:rPr>
        <w:t xml:space="preserve">Land use influence on raw surface water quality and treatment costs for drinking supply in São Paulo State (Brazil). </w:t>
      </w:r>
      <w:r w:rsidRPr="00546519">
        <w:rPr>
          <w:i/>
          <w:iCs/>
          <w:noProof/>
          <w:sz w:val="24"/>
          <w:szCs w:val="24"/>
        </w:rPr>
        <w:t>Ecological Engineering</w:t>
      </w:r>
      <w:r w:rsidRPr="00546519">
        <w:rPr>
          <w:noProof/>
          <w:sz w:val="24"/>
          <w:szCs w:val="24"/>
        </w:rPr>
        <w:t xml:space="preserve">, </w:t>
      </w:r>
      <w:r w:rsidRPr="00546519">
        <w:rPr>
          <w:i/>
          <w:iCs/>
          <w:noProof/>
          <w:sz w:val="24"/>
          <w:szCs w:val="24"/>
        </w:rPr>
        <w:t>94</w:t>
      </w:r>
      <w:r w:rsidRPr="00546519">
        <w:rPr>
          <w:noProof/>
          <w:sz w:val="24"/>
          <w:szCs w:val="24"/>
        </w:rPr>
        <w:t>, 516–524. https://doi.org/10.1016/j.ecoleng.2016.06.063</w:t>
      </w:r>
    </w:p>
    <w:p w14:paraId="591A1362"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Dai, J., Wu, S., Han, G., Weinberg, J., Xie, X., Wu, X., et al. (2018). Water-energy nexus: A review of methods and tools for macro-assessment. </w:t>
      </w:r>
      <w:r w:rsidRPr="00546519">
        <w:rPr>
          <w:i/>
          <w:iCs/>
          <w:noProof/>
          <w:sz w:val="24"/>
          <w:szCs w:val="24"/>
        </w:rPr>
        <w:t>Applied Energy</w:t>
      </w:r>
      <w:r w:rsidRPr="00546519">
        <w:rPr>
          <w:noProof/>
          <w:sz w:val="24"/>
          <w:szCs w:val="24"/>
        </w:rPr>
        <w:t xml:space="preserve">, </w:t>
      </w:r>
      <w:r w:rsidRPr="00546519">
        <w:rPr>
          <w:i/>
          <w:iCs/>
          <w:noProof/>
          <w:sz w:val="24"/>
          <w:szCs w:val="24"/>
        </w:rPr>
        <w:t>210</w:t>
      </w:r>
      <w:r w:rsidRPr="00546519">
        <w:rPr>
          <w:noProof/>
          <w:sz w:val="24"/>
          <w:szCs w:val="24"/>
        </w:rPr>
        <w:t>(August 2017), 393–408. https://doi.org/10.1016/j.apenergy.2017.08.243</w:t>
      </w:r>
    </w:p>
    <w:p w14:paraId="58667918"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Dungjen, T., &amp; Patch, D. (2022). TOLEDO-AREA WATER ADVISORY EXPECTED TO CONTINUE THROUGH SUNDAY AS LEADERS AWAIT TESTS ; WATER STATIONS TO REMAIN OPEN MICROCYSTIN FOUND IN SAMPLES ; BOILING NOT RECOMMENDED. </w:t>
      </w:r>
      <w:r w:rsidRPr="00546519">
        <w:rPr>
          <w:i/>
          <w:iCs/>
          <w:noProof/>
          <w:sz w:val="24"/>
          <w:szCs w:val="24"/>
        </w:rPr>
        <w:t>Blade</w:t>
      </w:r>
      <w:r w:rsidRPr="00546519">
        <w:rPr>
          <w:noProof/>
          <w:sz w:val="24"/>
          <w:szCs w:val="24"/>
        </w:rPr>
        <w:t>, pp. 1–5.</w:t>
      </w:r>
    </w:p>
    <w:p w14:paraId="6E4071D2"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Environment Agency. (2018). </w:t>
      </w:r>
      <w:r w:rsidRPr="00546519">
        <w:rPr>
          <w:i/>
          <w:iCs/>
          <w:noProof/>
          <w:sz w:val="24"/>
          <w:szCs w:val="24"/>
        </w:rPr>
        <w:t>Estimating the economic costs of the 2015 to 2016 winter floods</w:t>
      </w:r>
      <w:r w:rsidRPr="00546519">
        <w:rPr>
          <w:noProof/>
          <w:sz w:val="24"/>
          <w:szCs w:val="24"/>
        </w:rPr>
        <w:t xml:space="preserve">. </w:t>
      </w:r>
      <w:r w:rsidRPr="00546519">
        <w:rPr>
          <w:i/>
          <w:iCs/>
          <w:noProof/>
          <w:sz w:val="24"/>
          <w:szCs w:val="24"/>
        </w:rPr>
        <w:t>Environment Agency</w:t>
      </w:r>
      <w:r w:rsidRPr="00546519">
        <w:rPr>
          <w:noProof/>
          <w:sz w:val="24"/>
          <w:szCs w:val="24"/>
        </w:rPr>
        <w:t xml:space="preserve"> (Vol. January 20). Retrieved from www.gov.uk/environment-agency</w:t>
      </w:r>
    </w:p>
    <w:p w14:paraId="395B78E7"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Fava, M. C., de Macedo, M. B., Buarque, A. C. S., Saraiva, A. M., Delbem, A. C. B., &amp; Mendiondo, E. M. (2022). </w:t>
      </w:r>
      <w:r w:rsidRPr="00546519">
        <w:rPr>
          <w:noProof/>
          <w:sz w:val="24"/>
          <w:szCs w:val="24"/>
        </w:rPr>
        <w:t xml:space="preserve">Linking Urban Floods to Citizen Science and Low Impact Development in Poorly Gauged Basins under Climate Changes for Dynamic Resilience Evaluation. </w:t>
      </w:r>
      <w:r w:rsidRPr="00546519">
        <w:rPr>
          <w:i/>
          <w:iCs/>
          <w:noProof/>
          <w:sz w:val="24"/>
          <w:szCs w:val="24"/>
        </w:rPr>
        <w:t>Water (Switzerland)</w:t>
      </w:r>
      <w:r w:rsidRPr="00546519">
        <w:rPr>
          <w:noProof/>
          <w:sz w:val="24"/>
          <w:szCs w:val="24"/>
        </w:rPr>
        <w:t xml:space="preserve">, </w:t>
      </w:r>
      <w:r w:rsidRPr="00546519">
        <w:rPr>
          <w:i/>
          <w:iCs/>
          <w:noProof/>
          <w:sz w:val="24"/>
          <w:szCs w:val="24"/>
        </w:rPr>
        <w:t>14</w:t>
      </w:r>
      <w:r w:rsidRPr="00546519">
        <w:rPr>
          <w:noProof/>
          <w:sz w:val="24"/>
          <w:szCs w:val="24"/>
        </w:rPr>
        <w:t>(9). https://doi.org/10.3390/w14091467</w:t>
      </w:r>
    </w:p>
    <w:p w14:paraId="053A1A40"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Graciosa, M. C. P. (2010). </w:t>
      </w:r>
      <w:r w:rsidRPr="00546519">
        <w:rPr>
          <w:i/>
          <w:iCs/>
          <w:noProof/>
          <w:sz w:val="24"/>
          <w:szCs w:val="24"/>
          <w:lang w:val="pt-BR"/>
        </w:rPr>
        <w:t>Modelo de seguro para riscos hidrológicos com base em simulação hidráulico- hidrológica como ferramenta de gestão do risco de inundaçõe</w:t>
      </w:r>
      <w:r w:rsidRPr="00546519">
        <w:rPr>
          <w:noProof/>
          <w:sz w:val="24"/>
          <w:szCs w:val="24"/>
          <w:lang w:val="pt-BR"/>
        </w:rPr>
        <w:t xml:space="preserve">. </w:t>
      </w:r>
      <w:r w:rsidRPr="00546519">
        <w:rPr>
          <w:noProof/>
          <w:sz w:val="24"/>
          <w:szCs w:val="24"/>
        </w:rPr>
        <w:t>Uniersity of São Carlos.</w:t>
      </w:r>
    </w:p>
    <w:p w14:paraId="210DC50C"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Grize, Y. L., Fischer, W., &amp; Lützelschwab, C. (2020). Machine learning applications in nonlife insurance. </w:t>
      </w:r>
      <w:r w:rsidRPr="00546519">
        <w:rPr>
          <w:i/>
          <w:iCs/>
          <w:noProof/>
          <w:sz w:val="24"/>
          <w:szCs w:val="24"/>
        </w:rPr>
        <w:t>Applied Stochastic Models in Business and Industry</w:t>
      </w:r>
      <w:r w:rsidRPr="00546519">
        <w:rPr>
          <w:noProof/>
          <w:sz w:val="24"/>
          <w:szCs w:val="24"/>
        </w:rPr>
        <w:t>. https://doi.org/10.1002/asmb.2543</w:t>
      </w:r>
    </w:p>
    <w:p w14:paraId="284D0EE4"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Guzmán, D. A., Mohor, G. S., &amp; Mendiondo, E. M. (2020). </w:t>
      </w:r>
      <w:r w:rsidRPr="00546519">
        <w:rPr>
          <w:noProof/>
          <w:sz w:val="24"/>
          <w:szCs w:val="24"/>
        </w:rPr>
        <w:t xml:space="preserve">Multi-year index-based insurance for adapting water utility companies to hydrological drought: Case study of a water supply system of the sao paulo metropolitan region, brazil. </w:t>
      </w:r>
      <w:r w:rsidRPr="00546519">
        <w:rPr>
          <w:i/>
          <w:iCs/>
          <w:noProof/>
          <w:sz w:val="24"/>
          <w:szCs w:val="24"/>
        </w:rPr>
        <w:t>Water (Switzerland)</w:t>
      </w:r>
      <w:r w:rsidRPr="00546519">
        <w:rPr>
          <w:noProof/>
          <w:sz w:val="24"/>
          <w:szCs w:val="24"/>
        </w:rPr>
        <w:t xml:space="preserve">, </w:t>
      </w:r>
      <w:r w:rsidRPr="00546519">
        <w:rPr>
          <w:i/>
          <w:iCs/>
          <w:noProof/>
          <w:sz w:val="24"/>
          <w:szCs w:val="24"/>
        </w:rPr>
        <w:t>12</w:t>
      </w:r>
      <w:r w:rsidRPr="00546519">
        <w:rPr>
          <w:noProof/>
          <w:sz w:val="24"/>
          <w:szCs w:val="24"/>
        </w:rPr>
        <w:t>(11), 1–22. https://doi.org/10.3390/w12112954</w:t>
      </w:r>
    </w:p>
    <w:p w14:paraId="2F40F6C7"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lastRenderedPageBreak/>
        <w:t xml:space="preserve">Hughes, J., Tiger, M., Eskaf, S., Berahzer, S. I., Royster, S., Boyle, C., et al. (2014). </w:t>
      </w:r>
      <w:r w:rsidRPr="00546519">
        <w:rPr>
          <w:i/>
          <w:iCs/>
          <w:noProof/>
          <w:sz w:val="24"/>
          <w:szCs w:val="24"/>
        </w:rPr>
        <w:t>Defining a Resilient Business Model for Water Utilities</w:t>
      </w:r>
      <w:r w:rsidRPr="00546519">
        <w:rPr>
          <w:noProof/>
          <w:sz w:val="24"/>
          <w:szCs w:val="24"/>
        </w:rPr>
        <w:t>. Retrieved from http://www.efc.sog.unc.edu/reslib/item/defining-resilient-business-model-water-utilities-executive-summary%5Cnhttp://www.waterrf.org/ExecutiveSummaryLibrary/4366_ProjectSummary.pdf%5Cnhttp://www.waterrf.org/resources/Lists/PublicProjectPapers/Attachments/</w:t>
      </w:r>
    </w:p>
    <w:p w14:paraId="6A4801BD"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IPCC. (2022). </w:t>
      </w:r>
      <w:r w:rsidRPr="00546519">
        <w:rPr>
          <w:i/>
          <w:iCs/>
          <w:noProof/>
          <w:sz w:val="24"/>
          <w:szCs w:val="24"/>
        </w:rPr>
        <w:t>Impacts, Adaptation and Vulnerability. Contribution of Working Group II to the Sixth Assessment Report of the Intergovernmental Panel on Climate Change</w:t>
      </w:r>
      <w:r w:rsidRPr="00546519">
        <w:rPr>
          <w:noProof/>
          <w:sz w:val="24"/>
          <w:szCs w:val="24"/>
        </w:rPr>
        <w:t xml:space="preserve">. </w:t>
      </w:r>
      <w:r w:rsidRPr="00546519">
        <w:rPr>
          <w:i/>
          <w:iCs/>
          <w:noProof/>
          <w:sz w:val="24"/>
          <w:szCs w:val="24"/>
        </w:rPr>
        <w:t>IPCC</w:t>
      </w:r>
      <w:r w:rsidRPr="00546519">
        <w:rPr>
          <w:noProof/>
          <w:sz w:val="24"/>
          <w:szCs w:val="24"/>
        </w:rPr>
        <w:t>. New York. https://doi.org/10.1017/9781009325844.009.</w:t>
      </w:r>
    </w:p>
    <w:p w14:paraId="67779A81"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Kelsall, C., Quaas, M. F., &amp; QUEROU, N. (2022). Risk Aversion in Renewable Resource Harvesting. </w:t>
      </w:r>
      <w:r w:rsidRPr="00546519">
        <w:rPr>
          <w:i/>
          <w:iCs/>
          <w:noProof/>
          <w:sz w:val="24"/>
          <w:szCs w:val="24"/>
        </w:rPr>
        <w:t>SSRN Electronic Journal</w:t>
      </w:r>
      <w:r w:rsidRPr="00546519">
        <w:rPr>
          <w:noProof/>
          <w:sz w:val="24"/>
          <w:szCs w:val="24"/>
        </w:rPr>
        <w:t>, (iDiv). https://doi.org/10.2139/ssrn.4143255</w:t>
      </w:r>
    </w:p>
    <w:p w14:paraId="726F47D0"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Konapala, G., Mishra, A. K., Wada, Y., &amp; Mann, M. E. (2020). Climate change will affect global water availability through compounding changes in seasonal precipitation and evaporation. </w:t>
      </w:r>
      <w:r w:rsidRPr="00546519">
        <w:rPr>
          <w:i/>
          <w:iCs/>
          <w:noProof/>
          <w:sz w:val="24"/>
          <w:szCs w:val="24"/>
        </w:rPr>
        <w:t>Nature Communications 2020 11:1</w:t>
      </w:r>
      <w:r w:rsidRPr="00546519">
        <w:rPr>
          <w:noProof/>
          <w:sz w:val="24"/>
          <w:szCs w:val="24"/>
        </w:rPr>
        <w:t xml:space="preserve">, </w:t>
      </w:r>
      <w:r w:rsidRPr="00546519">
        <w:rPr>
          <w:i/>
          <w:iCs/>
          <w:noProof/>
          <w:sz w:val="24"/>
          <w:szCs w:val="24"/>
        </w:rPr>
        <w:t>11</w:t>
      </w:r>
      <w:r w:rsidRPr="00546519">
        <w:rPr>
          <w:noProof/>
          <w:sz w:val="24"/>
          <w:szCs w:val="24"/>
        </w:rPr>
        <w:t>(1), 1–10. https://doi.org/10.1038/s41467-020-16757-w</w:t>
      </w:r>
    </w:p>
    <w:p w14:paraId="3222E78E"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rPr>
        <w:t xml:space="preserve">Kreibich, H., Van Loon, A. F., Schröter, K., Ward, P. J., Mazzoleni, M., Sairam, N., et al. (2022). The challenge of unprecedented floods and droughts in risk management. </w:t>
      </w:r>
      <w:r w:rsidRPr="00546519">
        <w:rPr>
          <w:i/>
          <w:iCs/>
          <w:noProof/>
          <w:sz w:val="24"/>
          <w:szCs w:val="24"/>
          <w:lang w:val="pt-BR"/>
        </w:rPr>
        <w:t>Nature</w:t>
      </w:r>
      <w:r w:rsidRPr="00546519">
        <w:rPr>
          <w:noProof/>
          <w:sz w:val="24"/>
          <w:szCs w:val="24"/>
          <w:lang w:val="pt-BR"/>
        </w:rPr>
        <w:t xml:space="preserve">, </w:t>
      </w:r>
      <w:r w:rsidRPr="00546519">
        <w:rPr>
          <w:i/>
          <w:iCs/>
          <w:noProof/>
          <w:sz w:val="24"/>
          <w:szCs w:val="24"/>
          <w:lang w:val="pt-BR"/>
        </w:rPr>
        <w:t>608</w:t>
      </w:r>
      <w:r w:rsidRPr="00546519">
        <w:rPr>
          <w:noProof/>
          <w:sz w:val="24"/>
          <w:szCs w:val="24"/>
          <w:lang w:val="pt-BR"/>
        </w:rPr>
        <w:t>(7921). https://doi.org/10.1038/s41586-022-04917-5</w:t>
      </w:r>
    </w:p>
    <w:p w14:paraId="001A0922"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lang w:val="pt-BR"/>
        </w:rPr>
        <w:t xml:space="preserve">Laurentis, G. L. (2012). </w:t>
      </w:r>
      <w:r w:rsidRPr="00546519">
        <w:rPr>
          <w:i/>
          <w:iCs/>
          <w:noProof/>
          <w:sz w:val="24"/>
          <w:szCs w:val="24"/>
          <w:lang w:val="pt-BR"/>
        </w:rPr>
        <w:t>MODELO DE TRANSFERÊNCIA DE RISCOS HIDROLÓGICOS COMO ESTRATÉGIA DE ADAPTAÇÃO ÀS MUDANÇAS GLOBAIS SEGUNDO CENÁRIOS DE VULNERABILIDADE DOS RECURSOS HÍDRICOS</w:t>
      </w:r>
      <w:r w:rsidRPr="00546519">
        <w:rPr>
          <w:noProof/>
          <w:sz w:val="24"/>
          <w:szCs w:val="24"/>
          <w:lang w:val="pt-BR"/>
        </w:rPr>
        <w:t xml:space="preserve">. </w:t>
      </w:r>
      <w:r w:rsidRPr="00546519">
        <w:rPr>
          <w:i/>
          <w:iCs/>
          <w:noProof/>
          <w:sz w:val="24"/>
          <w:szCs w:val="24"/>
          <w:lang w:val="pt-BR"/>
        </w:rPr>
        <w:t>Escola de Engenharia de São Carlos</w:t>
      </w:r>
      <w:r w:rsidRPr="00546519">
        <w:rPr>
          <w:noProof/>
          <w:sz w:val="24"/>
          <w:szCs w:val="24"/>
          <w:lang w:val="pt-BR"/>
        </w:rPr>
        <w:t>. University of São Paulo.</w:t>
      </w:r>
    </w:p>
    <w:p w14:paraId="01DD08F7"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Lee, M., Keller, A. A., Chiang, P. C., Den, W., Wang, H., Hou, C. H., et al. (2017). Water-energy nexus for urban water systems: A comparative review on energy intensity and environmental impacts in relation to global water risks. </w:t>
      </w:r>
      <w:r w:rsidRPr="00546519">
        <w:rPr>
          <w:i/>
          <w:iCs/>
          <w:noProof/>
          <w:sz w:val="24"/>
          <w:szCs w:val="24"/>
        </w:rPr>
        <w:t>Applied Energy</w:t>
      </w:r>
      <w:r w:rsidRPr="00546519">
        <w:rPr>
          <w:noProof/>
          <w:sz w:val="24"/>
          <w:szCs w:val="24"/>
        </w:rPr>
        <w:t xml:space="preserve">, </w:t>
      </w:r>
      <w:r w:rsidRPr="00546519">
        <w:rPr>
          <w:i/>
          <w:iCs/>
          <w:noProof/>
          <w:sz w:val="24"/>
          <w:szCs w:val="24"/>
        </w:rPr>
        <w:t>205</w:t>
      </w:r>
      <w:r w:rsidRPr="00546519">
        <w:rPr>
          <w:noProof/>
          <w:sz w:val="24"/>
          <w:szCs w:val="24"/>
        </w:rPr>
        <w:t>(March), 589–601. https://doi.org/10.1016/j.apenergy.2017.08.002</w:t>
      </w:r>
    </w:p>
    <w:p w14:paraId="17AD9445"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rPr>
        <w:t xml:space="preserve">March, H., Domènech, L., &amp; Saurí, D. (2013). Water conservation campaigns and citizen perceptions: The drought of 2007-2008 in the Metropolitan Area of Barcelona. </w:t>
      </w:r>
      <w:r w:rsidRPr="00546519">
        <w:rPr>
          <w:i/>
          <w:iCs/>
          <w:noProof/>
          <w:sz w:val="24"/>
          <w:szCs w:val="24"/>
          <w:lang w:val="pt-BR"/>
        </w:rPr>
        <w:t>Natural Hazards</w:t>
      </w:r>
      <w:r w:rsidRPr="00546519">
        <w:rPr>
          <w:noProof/>
          <w:sz w:val="24"/>
          <w:szCs w:val="24"/>
          <w:lang w:val="pt-BR"/>
        </w:rPr>
        <w:t xml:space="preserve">, </w:t>
      </w:r>
      <w:r w:rsidRPr="00546519">
        <w:rPr>
          <w:i/>
          <w:iCs/>
          <w:noProof/>
          <w:sz w:val="24"/>
          <w:szCs w:val="24"/>
          <w:lang w:val="pt-BR"/>
        </w:rPr>
        <w:t>65</w:t>
      </w:r>
      <w:r w:rsidRPr="00546519">
        <w:rPr>
          <w:noProof/>
          <w:sz w:val="24"/>
          <w:szCs w:val="24"/>
          <w:lang w:val="pt-BR"/>
        </w:rPr>
        <w:t>(3), 1951–1966. https://doi.org/10.1007/s11069-012-0456-2</w:t>
      </w:r>
    </w:p>
    <w:p w14:paraId="791DE72E"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lang w:val="pt-BR"/>
        </w:rPr>
        <w:t xml:space="preserve">Marengo, J. A., Nobre, C. A., Seluchi, M. E., Cuartas, A., Alves, L. M., Mendiondo, E. M., et al. (2015). A seca e a crise hídrica de 2014-2015 em São Paulo. </w:t>
      </w:r>
      <w:r w:rsidRPr="00546519">
        <w:rPr>
          <w:i/>
          <w:iCs/>
          <w:noProof/>
          <w:sz w:val="24"/>
          <w:szCs w:val="24"/>
          <w:lang w:val="pt-BR"/>
        </w:rPr>
        <w:t>Revista USP</w:t>
      </w:r>
      <w:r w:rsidRPr="00546519">
        <w:rPr>
          <w:noProof/>
          <w:sz w:val="24"/>
          <w:szCs w:val="24"/>
          <w:lang w:val="pt-BR"/>
        </w:rPr>
        <w:t>, (106), 31–44. https://doi.org/10.11606/issn.2316-9036.v0i106p31-44</w:t>
      </w:r>
    </w:p>
    <w:p w14:paraId="0B3ABEA5"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Martin-Ortega, J., González-Eguino, M., &amp; Markandya, A. (2012). </w:t>
      </w:r>
      <w:r w:rsidRPr="00546519">
        <w:rPr>
          <w:noProof/>
          <w:sz w:val="24"/>
          <w:szCs w:val="24"/>
        </w:rPr>
        <w:t xml:space="preserve">The costs of drought: The 2007/2008 case of Barcelona. </w:t>
      </w:r>
      <w:r w:rsidRPr="00546519">
        <w:rPr>
          <w:i/>
          <w:iCs/>
          <w:noProof/>
          <w:sz w:val="24"/>
          <w:szCs w:val="24"/>
        </w:rPr>
        <w:t>Water Policy</w:t>
      </w:r>
      <w:r w:rsidRPr="00546519">
        <w:rPr>
          <w:noProof/>
          <w:sz w:val="24"/>
          <w:szCs w:val="24"/>
        </w:rPr>
        <w:t xml:space="preserve">, </w:t>
      </w:r>
      <w:r w:rsidRPr="00546519">
        <w:rPr>
          <w:i/>
          <w:iCs/>
          <w:noProof/>
          <w:sz w:val="24"/>
          <w:szCs w:val="24"/>
        </w:rPr>
        <w:t>14</w:t>
      </w:r>
      <w:r w:rsidRPr="00546519">
        <w:rPr>
          <w:noProof/>
          <w:sz w:val="24"/>
          <w:szCs w:val="24"/>
        </w:rPr>
        <w:t>(3), 539–560. https://doi.org/10.2166/wp.2011.121</w:t>
      </w:r>
    </w:p>
    <w:p w14:paraId="67B08399"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Maziotis, A., Villegas, A., &amp; Molinos-Senante, M. (2020). The cost of reducing unplanned water supply interruptions: A parametric shadow price approach. </w:t>
      </w:r>
      <w:r w:rsidRPr="00546519">
        <w:rPr>
          <w:i/>
          <w:iCs/>
          <w:noProof/>
          <w:sz w:val="24"/>
          <w:szCs w:val="24"/>
        </w:rPr>
        <w:t>Science of the Total Environment</w:t>
      </w:r>
      <w:r w:rsidRPr="00546519">
        <w:rPr>
          <w:noProof/>
          <w:sz w:val="24"/>
          <w:szCs w:val="24"/>
        </w:rPr>
        <w:t xml:space="preserve">, </w:t>
      </w:r>
      <w:r w:rsidRPr="00546519">
        <w:rPr>
          <w:i/>
          <w:iCs/>
          <w:noProof/>
          <w:sz w:val="24"/>
          <w:szCs w:val="24"/>
        </w:rPr>
        <w:t>719</w:t>
      </w:r>
      <w:r w:rsidRPr="00546519">
        <w:rPr>
          <w:noProof/>
          <w:sz w:val="24"/>
          <w:szCs w:val="24"/>
        </w:rPr>
        <w:t>, 137487. https://doi.org/10.1016/j.scitotenv.2020.137487</w:t>
      </w:r>
    </w:p>
    <w:p w14:paraId="79B5859B"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lang w:val="pt-BR"/>
        </w:rPr>
        <w:lastRenderedPageBreak/>
        <w:t xml:space="preserve">Milograna, J., Baptista, M., &amp; Campana, N. (2013). Sistemática para avaliação dos danos diretos decorrentes de inundações à infraestrutura urbana. </w:t>
      </w:r>
      <w:r w:rsidRPr="00546519">
        <w:rPr>
          <w:i/>
          <w:iCs/>
          <w:noProof/>
          <w:sz w:val="24"/>
          <w:szCs w:val="24"/>
          <w:lang w:val="pt-BR"/>
        </w:rPr>
        <w:t>Revista de Gestão de Água Da América Latina</w:t>
      </w:r>
      <w:r w:rsidRPr="00546519">
        <w:rPr>
          <w:noProof/>
          <w:sz w:val="24"/>
          <w:szCs w:val="24"/>
          <w:lang w:val="pt-BR"/>
        </w:rPr>
        <w:t xml:space="preserve">, </w:t>
      </w:r>
      <w:r w:rsidRPr="00546519">
        <w:rPr>
          <w:i/>
          <w:iCs/>
          <w:noProof/>
          <w:sz w:val="24"/>
          <w:szCs w:val="24"/>
          <w:lang w:val="pt-BR"/>
        </w:rPr>
        <w:t>10</w:t>
      </w:r>
      <w:r w:rsidRPr="00546519">
        <w:rPr>
          <w:noProof/>
          <w:sz w:val="24"/>
          <w:szCs w:val="24"/>
          <w:lang w:val="pt-BR"/>
        </w:rPr>
        <w:t>(2), 37–50. https://doi.org/10.21168/rega.v10n2.p37-50</w:t>
      </w:r>
    </w:p>
    <w:p w14:paraId="43D38345"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Miranda, M. J., &amp; Farrin, K. (2012). </w:t>
      </w:r>
      <w:r w:rsidRPr="00546519">
        <w:rPr>
          <w:noProof/>
          <w:sz w:val="24"/>
          <w:szCs w:val="24"/>
        </w:rPr>
        <w:t xml:space="preserve">Index insurance for developing countries. </w:t>
      </w:r>
      <w:r w:rsidRPr="00546519">
        <w:rPr>
          <w:i/>
          <w:iCs/>
          <w:noProof/>
          <w:sz w:val="24"/>
          <w:szCs w:val="24"/>
        </w:rPr>
        <w:t>Applied Economic Perspectives and Policy</w:t>
      </w:r>
      <w:r w:rsidRPr="00546519">
        <w:rPr>
          <w:noProof/>
          <w:sz w:val="24"/>
          <w:szCs w:val="24"/>
        </w:rPr>
        <w:t xml:space="preserve">, </w:t>
      </w:r>
      <w:r w:rsidRPr="00546519">
        <w:rPr>
          <w:i/>
          <w:iCs/>
          <w:noProof/>
          <w:sz w:val="24"/>
          <w:szCs w:val="24"/>
        </w:rPr>
        <w:t>34</w:t>
      </w:r>
      <w:r w:rsidRPr="00546519">
        <w:rPr>
          <w:noProof/>
          <w:sz w:val="24"/>
          <w:szCs w:val="24"/>
        </w:rPr>
        <w:t>(3), 391–427. https://doi.org/10.1093/aepp/pps031</w:t>
      </w:r>
    </w:p>
    <w:p w14:paraId="245FC091"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Mohor, G. S., &amp; Mendiondo, E. M. (2017). Economic indicators of hydrologic drought insurance under water demand and climate change scenarios in a Brazilian context. </w:t>
      </w:r>
      <w:r w:rsidRPr="00546519">
        <w:rPr>
          <w:i/>
          <w:iCs/>
          <w:noProof/>
          <w:sz w:val="24"/>
          <w:szCs w:val="24"/>
        </w:rPr>
        <w:t>Ecological Economics</w:t>
      </w:r>
      <w:r w:rsidRPr="00546519">
        <w:rPr>
          <w:noProof/>
          <w:sz w:val="24"/>
          <w:szCs w:val="24"/>
        </w:rPr>
        <w:t xml:space="preserve">, </w:t>
      </w:r>
      <w:r w:rsidRPr="00546519">
        <w:rPr>
          <w:i/>
          <w:iCs/>
          <w:noProof/>
          <w:sz w:val="24"/>
          <w:szCs w:val="24"/>
        </w:rPr>
        <w:t>140</w:t>
      </w:r>
      <w:r w:rsidRPr="00546519">
        <w:rPr>
          <w:noProof/>
          <w:sz w:val="24"/>
          <w:szCs w:val="24"/>
        </w:rPr>
        <w:t>, 66–78. https://doi.org/10.1016/j.ecolecon.2017.04.014</w:t>
      </w:r>
    </w:p>
    <w:p w14:paraId="086B2DA1"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Mortazavi-Naeini, M., Bussi, G., Elliott, J. A., Hall, J. W., &amp; Whitehead, P. G. (2019). Assessment of Risks to Public Water Supply From Low Flows and Harmful Water Quality in a Changing Climate. </w:t>
      </w:r>
      <w:r w:rsidRPr="00546519">
        <w:rPr>
          <w:i/>
          <w:iCs/>
          <w:noProof/>
          <w:sz w:val="24"/>
          <w:szCs w:val="24"/>
        </w:rPr>
        <w:t>Water Resources Research</w:t>
      </w:r>
      <w:r w:rsidRPr="00546519">
        <w:rPr>
          <w:noProof/>
          <w:sz w:val="24"/>
          <w:szCs w:val="24"/>
        </w:rPr>
        <w:t xml:space="preserve">, </w:t>
      </w:r>
      <w:r w:rsidRPr="00546519">
        <w:rPr>
          <w:i/>
          <w:iCs/>
          <w:noProof/>
          <w:sz w:val="24"/>
          <w:szCs w:val="24"/>
        </w:rPr>
        <w:t>55</w:t>
      </w:r>
      <w:r w:rsidRPr="00546519">
        <w:rPr>
          <w:noProof/>
          <w:sz w:val="24"/>
          <w:szCs w:val="24"/>
        </w:rPr>
        <w:t>(12), 10386–10404. https://doi.org/10.1029/2018WR022865</w:t>
      </w:r>
    </w:p>
    <w:p w14:paraId="12C240C0"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Mosley, L. M. (2015). Drought impacts on the water quality of freshwater systems; review and integration. </w:t>
      </w:r>
      <w:r w:rsidRPr="00546519">
        <w:rPr>
          <w:i/>
          <w:iCs/>
          <w:noProof/>
          <w:sz w:val="24"/>
          <w:szCs w:val="24"/>
        </w:rPr>
        <w:t>Earth-Science Reviews</w:t>
      </w:r>
      <w:r w:rsidRPr="00546519">
        <w:rPr>
          <w:noProof/>
          <w:sz w:val="24"/>
          <w:szCs w:val="24"/>
        </w:rPr>
        <w:t xml:space="preserve">, </w:t>
      </w:r>
      <w:r w:rsidRPr="00546519">
        <w:rPr>
          <w:i/>
          <w:iCs/>
          <w:noProof/>
          <w:sz w:val="24"/>
          <w:szCs w:val="24"/>
        </w:rPr>
        <w:t>140</w:t>
      </w:r>
      <w:r w:rsidRPr="00546519">
        <w:rPr>
          <w:noProof/>
          <w:sz w:val="24"/>
          <w:szCs w:val="24"/>
        </w:rPr>
        <w:t>, 203–214. https://doi.org/10.1016/j.earscirev.2014.11.010</w:t>
      </w:r>
    </w:p>
    <w:p w14:paraId="413AAF43" w14:textId="77777777" w:rsidR="00546519" w:rsidRPr="00546519"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rPr>
        <w:t xml:space="preserve">Muller, M. (2018). Lesson from Cape Town Droughts. </w:t>
      </w:r>
      <w:r w:rsidRPr="00546519">
        <w:rPr>
          <w:i/>
          <w:iCs/>
          <w:noProof/>
          <w:sz w:val="24"/>
          <w:szCs w:val="24"/>
          <w:lang w:val="pt-BR"/>
        </w:rPr>
        <w:t>Nature</w:t>
      </w:r>
      <w:r w:rsidRPr="00546519">
        <w:rPr>
          <w:noProof/>
          <w:sz w:val="24"/>
          <w:szCs w:val="24"/>
          <w:lang w:val="pt-BR"/>
        </w:rPr>
        <w:t xml:space="preserve">, </w:t>
      </w:r>
      <w:r w:rsidRPr="00546519">
        <w:rPr>
          <w:i/>
          <w:iCs/>
          <w:noProof/>
          <w:sz w:val="24"/>
          <w:szCs w:val="24"/>
          <w:lang w:val="pt-BR"/>
        </w:rPr>
        <w:t>559</w:t>
      </w:r>
      <w:r w:rsidRPr="00546519">
        <w:rPr>
          <w:noProof/>
          <w:sz w:val="24"/>
          <w:szCs w:val="24"/>
          <w:lang w:val="pt-BR"/>
        </w:rPr>
        <w:t>(May), 174–176.</w:t>
      </w:r>
    </w:p>
    <w:p w14:paraId="036268F2"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lang w:val="pt-BR"/>
        </w:rPr>
        <w:t xml:space="preserve">Navarro, F. A. R., Gesualdo, G. C., Ferreira, R. G., Rápalo, L. M. C., Benso, M. R., de Macedo, M. B., &amp; Mendiondo, E. M. (2021). </w:t>
      </w:r>
      <w:r w:rsidRPr="00546519">
        <w:rPr>
          <w:noProof/>
          <w:sz w:val="24"/>
          <w:szCs w:val="24"/>
        </w:rPr>
        <w:t xml:space="preserve">A novel multistage risk management applied to water-related disaster using diversity of measures: A theoretical approach. </w:t>
      </w:r>
      <w:r w:rsidRPr="00546519">
        <w:rPr>
          <w:i/>
          <w:iCs/>
          <w:noProof/>
          <w:sz w:val="24"/>
          <w:szCs w:val="24"/>
        </w:rPr>
        <w:t>Ecohydrology and Hydrobiology</w:t>
      </w:r>
      <w:r w:rsidRPr="00546519">
        <w:rPr>
          <w:noProof/>
          <w:sz w:val="24"/>
          <w:szCs w:val="24"/>
        </w:rPr>
        <w:t xml:space="preserve">, </w:t>
      </w:r>
      <w:r w:rsidRPr="00546519">
        <w:rPr>
          <w:i/>
          <w:iCs/>
          <w:noProof/>
          <w:sz w:val="24"/>
          <w:szCs w:val="24"/>
        </w:rPr>
        <w:t>21</w:t>
      </w:r>
      <w:r w:rsidRPr="00546519">
        <w:rPr>
          <w:noProof/>
          <w:sz w:val="24"/>
          <w:szCs w:val="24"/>
        </w:rPr>
        <w:t>(3), 443–453. https://doi.org/10.1016/J.ECOHYD.2021.07.004</w:t>
      </w:r>
    </w:p>
    <w:p w14:paraId="7160C9F4"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Nijhawan, A., &amp; Howard, G. (2022). Associations between climate variables and water quality in low- and middle-income countries: A scoping review. </w:t>
      </w:r>
      <w:r w:rsidRPr="00546519">
        <w:rPr>
          <w:i/>
          <w:iCs/>
          <w:noProof/>
          <w:sz w:val="24"/>
          <w:szCs w:val="24"/>
        </w:rPr>
        <w:t>Water Research</w:t>
      </w:r>
      <w:r w:rsidRPr="00546519">
        <w:rPr>
          <w:noProof/>
          <w:sz w:val="24"/>
          <w:szCs w:val="24"/>
        </w:rPr>
        <w:t xml:space="preserve">, </w:t>
      </w:r>
      <w:r w:rsidRPr="00546519">
        <w:rPr>
          <w:i/>
          <w:iCs/>
          <w:noProof/>
          <w:sz w:val="24"/>
          <w:szCs w:val="24"/>
        </w:rPr>
        <w:t>210</w:t>
      </w:r>
      <w:r w:rsidRPr="00546519">
        <w:rPr>
          <w:noProof/>
          <w:sz w:val="24"/>
          <w:szCs w:val="24"/>
        </w:rPr>
        <w:t>, 117996. https://doi.org/10.1016/J.WATRES.2021.117996</w:t>
      </w:r>
    </w:p>
    <w:p w14:paraId="29307EC4"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Nobre, C. A., Marengo, J. A., Seluchi, M. E., Cuartas, L. A., &amp; Alves, L. M. (2016). Some Characteristics and Impacts of the Drought and Water Crisis in Southeastern Brazil during 2014 and 2015. </w:t>
      </w:r>
      <w:r w:rsidRPr="00546519">
        <w:rPr>
          <w:i/>
          <w:iCs/>
          <w:noProof/>
          <w:sz w:val="24"/>
          <w:szCs w:val="24"/>
        </w:rPr>
        <w:t>Journal of Water Resource and Protection</w:t>
      </w:r>
      <w:r w:rsidRPr="00546519">
        <w:rPr>
          <w:noProof/>
          <w:sz w:val="24"/>
          <w:szCs w:val="24"/>
        </w:rPr>
        <w:t xml:space="preserve">, </w:t>
      </w:r>
      <w:r w:rsidRPr="00546519">
        <w:rPr>
          <w:i/>
          <w:iCs/>
          <w:noProof/>
          <w:sz w:val="24"/>
          <w:szCs w:val="24"/>
        </w:rPr>
        <w:t>08</w:t>
      </w:r>
      <w:r w:rsidRPr="00546519">
        <w:rPr>
          <w:noProof/>
          <w:sz w:val="24"/>
          <w:szCs w:val="24"/>
        </w:rPr>
        <w:t>(02), 252–262. https://doi.org/10.4236/jwarp.2016.82022</w:t>
      </w:r>
    </w:p>
    <w:p w14:paraId="447BF90C"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O’Neill, B. C., Kriegler, E., Ebi, K. L., Kemp-Benedict, E., Riahi, K., Rothman, D. S., et al. (2017). The roads ahead: Narratives for shared socioeconomic pathways describing world futures in the 21st century. </w:t>
      </w:r>
      <w:r w:rsidRPr="00546519">
        <w:rPr>
          <w:i/>
          <w:iCs/>
          <w:noProof/>
          <w:sz w:val="24"/>
          <w:szCs w:val="24"/>
        </w:rPr>
        <w:t>Global Environmental Change</w:t>
      </w:r>
      <w:r w:rsidRPr="00546519">
        <w:rPr>
          <w:noProof/>
          <w:sz w:val="24"/>
          <w:szCs w:val="24"/>
        </w:rPr>
        <w:t xml:space="preserve">, </w:t>
      </w:r>
      <w:r w:rsidRPr="00546519">
        <w:rPr>
          <w:i/>
          <w:iCs/>
          <w:noProof/>
          <w:sz w:val="24"/>
          <w:szCs w:val="24"/>
        </w:rPr>
        <w:t>42</w:t>
      </w:r>
      <w:r w:rsidRPr="00546519">
        <w:rPr>
          <w:noProof/>
          <w:sz w:val="24"/>
          <w:szCs w:val="24"/>
        </w:rPr>
        <w:t>, 169–180. https://doi.org/10.1016/j.gloenvcha.2015.01.004</w:t>
      </w:r>
    </w:p>
    <w:p w14:paraId="630E2503"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OECD. (2021). </w:t>
      </w:r>
      <w:r w:rsidRPr="00546519">
        <w:rPr>
          <w:i/>
          <w:iCs/>
          <w:noProof/>
          <w:sz w:val="24"/>
          <w:szCs w:val="24"/>
        </w:rPr>
        <w:t>GLOBAL INSURANCE MARKET TRENDS</w:t>
      </w:r>
      <w:r w:rsidRPr="00546519">
        <w:rPr>
          <w:noProof/>
          <w:sz w:val="24"/>
          <w:szCs w:val="24"/>
        </w:rPr>
        <w:t>.</w:t>
      </w:r>
    </w:p>
    <w:p w14:paraId="30AED442"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Pascale, S., Lucarini, V., Feng, X., Porporato, A., &amp; Hasson, S. ul. (2015). Analysis of rainfall seasonality from observations and climate models. </w:t>
      </w:r>
      <w:r w:rsidRPr="00546519">
        <w:rPr>
          <w:i/>
          <w:iCs/>
          <w:noProof/>
          <w:sz w:val="24"/>
          <w:szCs w:val="24"/>
        </w:rPr>
        <w:t>Climate Dynamics</w:t>
      </w:r>
      <w:r w:rsidRPr="00546519">
        <w:rPr>
          <w:noProof/>
          <w:sz w:val="24"/>
          <w:szCs w:val="24"/>
        </w:rPr>
        <w:t xml:space="preserve">, </w:t>
      </w:r>
      <w:r w:rsidRPr="00546519">
        <w:rPr>
          <w:i/>
          <w:iCs/>
          <w:noProof/>
          <w:sz w:val="24"/>
          <w:szCs w:val="24"/>
        </w:rPr>
        <w:t>44</w:t>
      </w:r>
      <w:r w:rsidRPr="00546519">
        <w:rPr>
          <w:noProof/>
          <w:sz w:val="24"/>
          <w:szCs w:val="24"/>
        </w:rPr>
        <w:t>(11–12), 3281–3301. https://doi.org/10.1007/S00382-014-2278-2/FIGURES/15</w:t>
      </w:r>
    </w:p>
    <w:p w14:paraId="3E11BE98"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Polasek, J. (2014). Sustainable Utilities : Financial Instruments to Manage Weather-Related </w:t>
      </w:r>
      <w:r w:rsidRPr="00546519">
        <w:rPr>
          <w:noProof/>
          <w:sz w:val="24"/>
          <w:szCs w:val="24"/>
        </w:rPr>
        <w:lastRenderedPageBreak/>
        <w:t xml:space="preserve">Revenue Risk. </w:t>
      </w:r>
      <w:r w:rsidRPr="00546519">
        <w:rPr>
          <w:i/>
          <w:iCs/>
          <w:noProof/>
          <w:sz w:val="24"/>
          <w:szCs w:val="24"/>
        </w:rPr>
        <w:t>Alliance for Water Efficiency</w:t>
      </w:r>
      <w:r w:rsidRPr="00546519">
        <w:rPr>
          <w:noProof/>
          <w:sz w:val="24"/>
          <w:szCs w:val="24"/>
        </w:rPr>
        <w:t>, (July). Retrieved from http://www.financingsustainablewater.org/resource-search/sustainable-utilities-financial-instruments-manage-weather-related-risk%5Cnhttp://www.allianceforwaterefficiency.org/WorkArea/DownloadAsset.aspx?id=8950</w:t>
      </w:r>
    </w:p>
    <w:p w14:paraId="49C9A629"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Raseman, W. J., Kasprzyk, J. R., Rosario-Ortiz, F. L., Stewart, J. R., &amp; Livneh, B. (2017). Emerging investigators series: A critical review of decision support systems for water treatment: Making the case for incorporating climate change and climate extremes. </w:t>
      </w:r>
      <w:r w:rsidRPr="00546519">
        <w:rPr>
          <w:i/>
          <w:iCs/>
          <w:noProof/>
          <w:sz w:val="24"/>
          <w:szCs w:val="24"/>
        </w:rPr>
        <w:t>Environmental Science: Water Research and Technology</w:t>
      </w:r>
      <w:r w:rsidRPr="00546519">
        <w:rPr>
          <w:noProof/>
          <w:sz w:val="24"/>
          <w:szCs w:val="24"/>
        </w:rPr>
        <w:t xml:space="preserve">, </w:t>
      </w:r>
      <w:r w:rsidRPr="00546519">
        <w:rPr>
          <w:i/>
          <w:iCs/>
          <w:noProof/>
          <w:sz w:val="24"/>
          <w:szCs w:val="24"/>
        </w:rPr>
        <w:t>3</w:t>
      </w:r>
      <w:r w:rsidRPr="00546519">
        <w:rPr>
          <w:noProof/>
          <w:sz w:val="24"/>
          <w:szCs w:val="24"/>
        </w:rPr>
        <w:t>(1), 18–36. https://doi.org/10.1039/c6ew00121a</w:t>
      </w:r>
    </w:p>
    <w:p w14:paraId="57F83DAC" w14:textId="77777777" w:rsidR="00546519" w:rsidRPr="00A242DD"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rPr>
        <w:t xml:space="preserve">Riahi, K., van Vuuren, D. P., Kriegler, E., Edmonds, J., O’Neill, B. C., Fujimori, S., et al. (2017). The Shared Socioeconomic Pathways and their energy, land use, and greenhouse gas emissions implications: An overview. </w:t>
      </w:r>
      <w:r w:rsidRPr="00A242DD">
        <w:rPr>
          <w:i/>
          <w:iCs/>
          <w:noProof/>
          <w:sz w:val="24"/>
          <w:szCs w:val="24"/>
          <w:lang w:val="pt-BR"/>
        </w:rPr>
        <w:t>Global Environmental Change</w:t>
      </w:r>
      <w:r w:rsidRPr="00A242DD">
        <w:rPr>
          <w:noProof/>
          <w:sz w:val="24"/>
          <w:szCs w:val="24"/>
          <w:lang w:val="pt-BR"/>
        </w:rPr>
        <w:t xml:space="preserve">, </w:t>
      </w:r>
      <w:r w:rsidRPr="00A242DD">
        <w:rPr>
          <w:i/>
          <w:iCs/>
          <w:noProof/>
          <w:sz w:val="24"/>
          <w:szCs w:val="24"/>
          <w:lang w:val="pt-BR"/>
        </w:rPr>
        <w:t>42</w:t>
      </w:r>
      <w:r w:rsidRPr="00A242DD">
        <w:rPr>
          <w:noProof/>
          <w:sz w:val="24"/>
          <w:szCs w:val="24"/>
          <w:lang w:val="pt-BR"/>
        </w:rPr>
        <w:t>, 153–168. https://doi.org/10.1016/j.gloenvcha.2016.05.009</w:t>
      </w:r>
    </w:p>
    <w:p w14:paraId="6962D3F6" w14:textId="77777777" w:rsidR="00546519" w:rsidRPr="00A242DD" w:rsidRDefault="00546519" w:rsidP="00546519">
      <w:pPr>
        <w:widowControl w:val="0"/>
        <w:autoSpaceDE w:val="0"/>
        <w:autoSpaceDN w:val="0"/>
        <w:adjustRightInd w:val="0"/>
        <w:spacing w:before="240" w:after="240"/>
        <w:ind w:left="480" w:hanging="480"/>
        <w:rPr>
          <w:noProof/>
          <w:sz w:val="24"/>
          <w:szCs w:val="24"/>
          <w:lang w:val="pt-BR"/>
        </w:rPr>
      </w:pPr>
      <w:r w:rsidRPr="00A242DD">
        <w:rPr>
          <w:noProof/>
          <w:sz w:val="24"/>
          <w:szCs w:val="24"/>
          <w:lang w:val="pt-BR"/>
        </w:rPr>
        <w:t xml:space="preserve">Righetto, J. M., Mendiondo, E. M., &amp; Righetto, A. M. (2007). Modelo de Seguro para Riscos Hidrológicos. </w:t>
      </w:r>
      <w:r w:rsidRPr="00A242DD">
        <w:rPr>
          <w:i/>
          <w:iCs/>
          <w:noProof/>
          <w:sz w:val="24"/>
          <w:szCs w:val="24"/>
          <w:lang w:val="pt-BR"/>
        </w:rPr>
        <w:t>Brasileira de Recursos Hídricos</w:t>
      </w:r>
      <w:r w:rsidRPr="00A242DD">
        <w:rPr>
          <w:noProof/>
          <w:sz w:val="24"/>
          <w:szCs w:val="24"/>
          <w:lang w:val="pt-BR"/>
        </w:rPr>
        <w:t xml:space="preserve">, </w:t>
      </w:r>
      <w:r w:rsidRPr="00A242DD">
        <w:rPr>
          <w:i/>
          <w:iCs/>
          <w:noProof/>
          <w:sz w:val="24"/>
          <w:szCs w:val="24"/>
          <w:lang w:val="pt-BR"/>
        </w:rPr>
        <w:t>12</w:t>
      </w:r>
      <w:r w:rsidRPr="00A242DD">
        <w:rPr>
          <w:noProof/>
          <w:sz w:val="24"/>
          <w:szCs w:val="24"/>
          <w:lang w:val="pt-BR"/>
        </w:rPr>
        <w:t>(2), 107–113.</w:t>
      </w:r>
    </w:p>
    <w:p w14:paraId="0F6A7477" w14:textId="77777777" w:rsidR="00546519" w:rsidRPr="00A242DD" w:rsidRDefault="00546519" w:rsidP="00546519">
      <w:pPr>
        <w:widowControl w:val="0"/>
        <w:autoSpaceDE w:val="0"/>
        <w:autoSpaceDN w:val="0"/>
        <w:adjustRightInd w:val="0"/>
        <w:spacing w:before="240" w:after="240"/>
        <w:ind w:left="480" w:hanging="480"/>
        <w:rPr>
          <w:noProof/>
          <w:sz w:val="24"/>
          <w:szCs w:val="24"/>
          <w:lang w:val="pt-BR"/>
        </w:rPr>
      </w:pPr>
      <w:r w:rsidRPr="00A242DD">
        <w:rPr>
          <w:noProof/>
          <w:sz w:val="24"/>
          <w:szCs w:val="24"/>
          <w:lang w:val="pt-BR"/>
        </w:rPr>
        <w:t xml:space="preserve">Rodrigues, L. (2021). Crise da água no Rio : Cedae suspende e retoma operação no Guandu. </w:t>
      </w:r>
      <w:r w:rsidRPr="00A242DD">
        <w:rPr>
          <w:i/>
          <w:iCs/>
          <w:noProof/>
          <w:sz w:val="24"/>
          <w:szCs w:val="24"/>
          <w:lang w:val="pt-BR"/>
        </w:rPr>
        <w:t>Agência Brasil</w:t>
      </w:r>
      <w:r w:rsidRPr="00A242DD">
        <w:rPr>
          <w:noProof/>
          <w:sz w:val="24"/>
          <w:szCs w:val="24"/>
          <w:lang w:val="pt-BR"/>
        </w:rPr>
        <w:t>, pp. 1–5. Retrieved from https://agenciabrasil.ebc.com.br/geral/noticia/2021-02/crise-da-agua-no-rio-cedae-suspende-e-retoma-operacao-no-guandu</w:t>
      </w:r>
    </w:p>
    <w:p w14:paraId="0202A285"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Sampson, C. C., Fewtrell, T. J., O’Loughlin, F., Pappenberger, F., Bates, P. B., Freer, J. E., &amp; Cloke, H. L. (2014). The impact of uncertain precipitation data on insurance loss estimates using a flood catastrophe model. </w:t>
      </w:r>
      <w:r w:rsidRPr="00546519">
        <w:rPr>
          <w:i/>
          <w:iCs/>
          <w:noProof/>
          <w:sz w:val="24"/>
          <w:szCs w:val="24"/>
        </w:rPr>
        <w:t>Hydrology and Earth System Sciences</w:t>
      </w:r>
      <w:r w:rsidRPr="00546519">
        <w:rPr>
          <w:noProof/>
          <w:sz w:val="24"/>
          <w:szCs w:val="24"/>
        </w:rPr>
        <w:t xml:space="preserve">, </w:t>
      </w:r>
      <w:r w:rsidRPr="00546519">
        <w:rPr>
          <w:i/>
          <w:iCs/>
          <w:noProof/>
          <w:sz w:val="24"/>
          <w:szCs w:val="24"/>
        </w:rPr>
        <w:t>18</w:t>
      </w:r>
      <w:r w:rsidRPr="00546519">
        <w:rPr>
          <w:noProof/>
          <w:sz w:val="24"/>
          <w:szCs w:val="24"/>
        </w:rPr>
        <w:t>(6), 2305–2324. https://doi.org/10.5194/hess-18-2305-2014</w:t>
      </w:r>
    </w:p>
    <w:p w14:paraId="3A217F04"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Satoh, Y., Yoshimura, K., Pokhrel, Y., Kim, H., Shiogama, H., Yokohata, T., et al. (2022). The timing of unprecedented hydrological drought under climate change. </w:t>
      </w:r>
      <w:r w:rsidRPr="00546519">
        <w:rPr>
          <w:i/>
          <w:iCs/>
          <w:noProof/>
          <w:sz w:val="24"/>
          <w:szCs w:val="24"/>
        </w:rPr>
        <w:t>Nature Communications</w:t>
      </w:r>
      <w:r w:rsidRPr="00546519">
        <w:rPr>
          <w:noProof/>
          <w:sz w:val="24"/>
          <w:szCs w:val="24"/>
        </w:rPr>
        <w:t xml:space="preserve">, </w:t>
      </w:r>
      <w:r w:rsidRPr="00546519">
        <w:rPr>
          <w:i/>
          <w:iCs/>
          <w:noProof/>
          <w:sz w:val="24"/>
          <w:szCs w:val="24"/>
        </w:rPr>
        <w:t>13</w:t>
      </w:r>
      <w:r w:rsidRPr="00546519">
        <w:rPr>
          <w:noProof/>
          <w:sz w:val="24"/>
          <w:szCs w:val="24"/>
        </w:rPr>
        <w:t>(1), 3287. https://doi.org/10.1038/s41467-022-30729-2</w:t>
      </w:r>
    </w:p>
    <w:p w14:paraId="321286DC"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Scavia, D., David Allan, J., Arend, K. K., Bartell, S., Beletsky, D., Bosch, N. S., et al. (2014). Assessing and addressing the re-eutrophication of Lake Erie: Central basin hypoxia. </w:t>
      </w:r>
      <w:r w:rsidRPr="00546519">
        <w:rPr>
          <w:i/>
          <w:iCs/>
          <w:noProof/>
          <w:sz w:val="24"/>
          <w:szCs w:val="24"/>
        </w:rPr>
        <w:t>Journal of Great Lakes Research</w:t>
      </w:r>
      <w:r w:rsidRPr="00546519">
        <w:rPr>
          <w:noProof/>
          <w:sz w:val="24"/>
          <w:szCs w:val="24"/>
        </w:rPr>
        <w:t xml:space="preserve">, </w:t>
      </w:r>
      <w:r w:rsidRPr="00546519">
        <w:rPr>
          <w:i/>
          <w:iCs/>
          <w:noProof/>
          <w:sz w:val="24"/>
          <w:szCs w:val="24"/>
        </w:rPr>
        <w:t>40</w:t>
      </w:r>
      <w:r w:rsidRPr="00546519">
        <w:rPr>
          <w:noProof/>
          <w:sz w:val="24"/>
          <w:szCs w:val="24"/>
        </w:rPr>
        <w:t>(2), 226–246. https://doi.org/10.1016/j.jglr.2014.02.004</w:t>
      </w:r>
    </w:p>
    <w:p w14:paraId="0BCC7E91"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Scudder, T. T. (2012). </w:t>
      </w:r>
      <w:r w:rsidRPr="00546519">
        <w:rPr>
          <w:i/>
          <w:iCs/>
          <w:noProof/>
          <w:sz w:val="24"/>
          <w:szCs w:val="24"/>
        </w:rPr>
        <w:t>The Future of Large Dams</w:t>
      </w:r>
      <w:r w:rsidRPr="00546519">
        <w:rPr>
          <w:noProof/>
          <w:sz w:val="24"/>
          <w:szCs w:val="24"/>
        </w:rPr>
        <w:t xml:space="preserve">. </w:t>
      </w:r>
      <w:r w:rsidRPr="00546519">
        <w:rPr>
          <w:i/>
          <w:iCs/>
          <w:noProof/>
          <w:sz w:val="24"/>
          <w:szCs w:val="24"/>
        </w:rPr>
        <w:t>The Future of Large Dams</w:t>
      </w:r>
      <w:r w:rsidRPr="00546519">
        <w:rPr>
          <w:noProof/>
          <w:sz w:val="24"/>
          <w:szCs w:val="24"/>
        </w:rPr>
        <w:t>. https://doi.org/10.4324/9781849773904</w:t>
      </w:r>
    </w:p>
    <w:p w14:paraId="3F202F95"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Shu, Q., Scott, M., Todman, L., &amp; McGrane, S. J. (2021). Development of a prototype composite index for resilience and security of water-energy-food (WEF) systems in industrialised nations. </w:t>
      </w:r>
      <w:r w:rsidRPr="00546519">
        <w:rPr>
          <w:i/>
          <w:iCs/>
          <w:noProof/>
          <w:sz w:val="24"/>
          <w:szCs w:val="24"/>
        </w:rPr>
        <w:t>Environmental and Sustainability Indicators</w:t>
      </w:r>
      <w:r w:rsidRPr="00546519">
        <w:rPr>
          <w:noProof/>
          <w:sz w:val="24"/>
          <w:szCs w:val="24"/>
        </w:rPr>
        <w:t xml:space="preserve">, </w:t>
      </w:r>
      <w:r w:rsidRPr="00546519">
        <w:rPr>
          <w:i/>
          <w:iCs/>
          <w:noProof/>
          <w:sz w:val="24"/>
          <w:szCs w:val="24"/>
        </w:rPr>
        <w:t>11</w:t>
      </w:r>
      <w:r w:rsidRPr="00546519">
        <w:rPr>
          <w:noProof/>
          <w:sz w:val="24"/>
          <w:szCs w:val="24"/>
        </w:rPr>
        <w:t>(May), 100124. https://doi.org/10.1016/j.indic.2021.100124</w:t>
      </w:r>
    </w:p>
    <w:p w14:paraId="50CE35BA"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Sivapalan, M., Savenije, H. H. G., &amp; Blöschl, G. (2012). Socio-hydrology: A new science of people and water. </w:t>
      </w:r>
      <w:r w:rsidRPr="00546519">
        <w:rPr>
          <w:i/>
          <w:iCs/>
          <w:noProof/>
          <w:sz w:val="24"/>
          <w:szCs w:val="24"/>
        </w:rPr>
        <w:t>Hydrological Processes</w:t>
      </w:r>
      <w:r w:rsidRPr="00546519">
        <w:rPr>
          <w:noProof/>
          <w:sz w:val="24"/>
          <w:szCs w:val="24"/>
        </w:rPr>
        <w:t xml:space="preserve">, </w:t>
      </w:r>
      <w:r w:rsidRPr="00546519">
        <w:rPr>
          <w:i/>
          <w:iCs/>
          <w:noProof/>
          <w:sz w:val="24"/>
          <w:szCs w:val="24"/>
        </w:rPr>
        <w:t>26</w:t>
      </w:r>
      <w:r w:rsidRPr="00546519">
        <w:rPr>
          <w:noProof/>
          <w:sz w:val="24"/>
          <w:szCs w:val="24"/>
        </w:rPr>
        <w:t>(8), 1270–1276. https://doi.org/10.1002/HYP.8426</w:t>
      </w:r>
    </w:p>
    <w:p w14:paraId="11F00F2B"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lastRenderedPageBreak/>
        <w:t xml:space="preserve">Soligno, I., Malik, A., &amp; Lenzen, M. (2019). Socioeconomic Drivers of Global Blue Water Use. </w:t>
      </w:r>
      <w:r w:rsidRPr="00546519">
        <w:rPr>
          <w:i/>
          <w:iCs/>
          <w:noProof/>
          <w:sz w:val="24"/>
          <w:szCs w:val="24"/>
        </w:rPr>
        <w:t>Water Resources Research</w:t>
      </w:r>
      <w:r w:rsidRPr="00546519">
        <w:rPr>
          <w:noProof/>
          <w:sz w:val="24"/>
          <w:szCs w:val="24"/>
        </w:rPr>
        <w:t xml:space="preserve">, </w:t>
      </w:r>
      <w:r w:rsidRPr="00546519">
        <w:rPr>
          <w:i/>
          <w:iCs/>
          <w:noProof/>
          <w:sz w:val="24"/>
          <w:szCs w:val="24"/>
        </w:rPr>
        <w:t>55</w:t>
      </w:r>
      <w:r w:rsidRPr="00546519">
        <w:rPr>
          <w:noProof/>
          <w:sz w:val="24"/>
          <w:szCs w:val="24"/>
        </w:rPr>
        <w:t>(7), 5650–5664. https://doi.org/10.1029/2018WR024216</w:t>
      </w:r>
    </w:p>
    <w:p w14:paraId="41829BFE" w14:textId="77777777" w:rsidR="00546519" w:rsidRPr="00A242DD"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rPr>
        <w:t xml:space="preserve">Sonobe, H. G., Lamparelli, M. C., &amp; Cunha, D. G. F. (2019). Spatial and temporal assessment of sanitary aspects of public water supply reservoirs in SP, Brazil, with emphasis on cyanobacteria and cyanotoxins. </w:t>
      </w:r>
      <w:r w:rsidRPr="00A242DD">
        <w:rPr>
          <w:i/>
          <w:iCs/>
          <w:noProof/>
          <w:sz w:val="24"/>
          <w:szCs w:val="24"/>
          <w:lang w:val="pt-BR"/>
        </w:rPr>
        <w:t>Engenharia Sanitaria e Ambiental</w:t>
      </w:r>
      <w:r w:rsidRPr="00A242DD">
        <w:rPr>
          <w:noProof/>
          <w:sz w:val="24"/>
          <w:szCs w:val="24"/>
          <w:lang w:val="pt-BR"/>
        </w:rPr>
        <w:t xml:space="preserve">, </w:t>
      </w:r>
      <w:r w:rsidRPr="00A242DD">
        <w:rPr>
          <w:i/>
          <w:iCs/>
          <w:noProof/>
          <w:sz w:val="24"/>
          <w:szCs w:val="24"/>
          <w:lang w:val="pt-BR"/>
        </w:rPr>
        <w:t>24</w:t>
      </w:r>
      <w:r w:rsidRPr="00A242DD">
        <w:rPr>
          <w:noProof/>
          <w:sz w:val="24"/>
          <w:szCs w:val="24"/>
          <w:lang w:val="pt-BR"/>
        </w:rPr>
        <w:t>(5), 909–918. https://doi.org/10.1590/s1413-41522019193351</w:t>
      </w:r>
    </w:p>
    <w:p w14:paraId="4AA74207"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A242DD">
        <w:rPr>
          <w:noProof/>
          <w:sz w:val="24"/>
          <w:szCs w:val="24"/>
          <w:lang w:val="pt-BR"/>
        </w:rPr>
        <w:t xml:space="preserve">Souza, F. A. A., Samprogna Mohor, G., Guzmán Arias, D. A., Buarque, A. C. S., Taffarello, D., &amp; Mendiondo, E. M. (2022). </w:t>
      </w:r>
      <w:r w:rsidRPr="00546519">
        <w:rPr>
          <w:noProof/>
          <w:sz w:val="24"/>
          <w:szCs w:val="24"/>
        </w:rPr>
        <w:t xml:space="preserve">Droughts in São Paulo: challenges and lessons for a water-adaptive society. </w:t>
      </w:r>
      <w:r w:rsidRPr="00546519">
        <w:rPr>
          <w:i/>
          <w:iCs/>
          <w:noProof/>
          <w:sz w:val="24"/>
          <w:szCs w:val="24"/>
        </w:rPr>
        <w:t>Urban Water Journal</w:t>
      </w:r>
      <w:r w:rsidRPr="00546519">
        <w:rPr>
          <w:noProof/>
          <w:sz w:val="24"/>
          <w:szCs w:val="24"/>
        </w:rPr>
        <w:t xml:space="preserve">, </w:t>
      </w:r>
      <w:r w:rsidRPr="00546519">
        <w:rPr>
          <w:i/>
          <w:iCs/>
          <w:noProof/>
          <w:sz w:val="24"/>
          <w:szCs w:val="24"/>
        </w:rPr>
        <w:t>00</w:t>
      </w:r>
      <w:r w:rsidRPr="00546519">
        <w:rPr>
          <w:noProof/>
          <w:sz w:val="24"/>
          <w:szCs w:val="24"/>
        </w:rPr>
        <w:t>(00), 1–13. https://doi.org/10.1080/1573062X.2022.2047735</w:t>
      </w:r>
    </w:p>
    <w:p w14:paraId="0D9CEFD2"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Von Sperling, M. (2014). </w:t>
      </w:r>
      <w:r w:rsidRPr="00A242DD">
        <w:rPr>
          <w:i/>
          <w:iCs/>
          <w:noProof/>
          <w:sz w:val="24"/>
          <w:szCs w:val="24"/>
          <w:lang w:val="pt-BR"/>
        </w:rPr>
        <w:t>Introdução à qualidade das águas e ao tratamento de esgotos</w:t>
      </w:r>
      <w:r w:rsidRPr="00A242DD">
        <w:rPr>
          <w:noProof/>
          <w:sz w:val="24"/>
          <w:szCs w:val="24"/>
          <w:lang w:val="pt-BR"/>
        </w:rPr>
        <w:t xml:space="preserve">. </w:t>
      </w:r>
      <w:r w:rsidRPr="00546519">
        <w:rPr>
          <w:noProof/>
          <w:sz w:val="24"/>
          <w:szCs w:val="24"/>
        </w:rPr>
        <w:t>Belo Horizonte, Brazil: UFMG.</w:t>
      </w:r>
    </w:p>
    <w:p w14:paraId="58A906A2" w14:textId="77777777" w:rsidR="00546519" w:rsidRPr="00A242DD" w:rsidRDefault="00546519" w:rsidP="00546519">
      <w:pPr>
        <w:widowControl w:val="0"/>
        <w:autoSpaceDE w:val="0"/>
        <w:autoSpaceDN w:val="0"/>
        <w:adjustRightInd w:val="0"/>
        <w:spacing w:before="240" w:after="240"/>
        <w:ind w:left="480" w:hanging="480"/>
        <w:rPr>
          <w:noProof/>
          <w:sz w:val="24"/>
          <w:szCs w:val="24"/>
          <w:lang w:val="pt-BR"/>
        </w:rPr>
      </w:pPr>
      <w:r w:rsidRPr="00546519">
        <w:rPr>
          <w:noProof/>
          <w:sz w:val="24"/>
          <w:szCs w:val="24"/>
        </w:rPr>
        <w:t xml:space="preserve">Tabari, H. (2020). Climate change impact on flood and extreme precipitation increases with water availability. </w:t>
      </w:r>
      <w:r w:rsidRPr="00A242DD">
        <w:rPr>
          <w:i/>
          <w:iCs/>
          <w:noProof/>
          <w:sz w:val="24"/>
          <w:szCs w:val="24"/>
          <w:lang w:val="pt-BR"/>
        </w:rPr>
        <w:t>Scientific Reports 2020 10:1</w:t>
      </w:r>
      <w:r w:rsidRPr="00A242DD">
        <w:rPr>
          <w:noProof/>
          <w:sz w:val="24"/>
          <w:szCs w:val="24"/>
          <w:lang w:val="pt-BR"/>
        </w:rPr>
        <w:t xml:space="preserve">, </w:t>
      </w:r>
      <w:r w:rsidRPr="00A242DD">
        <w:rPr>
          <w:i/>
          <w:iCs/>
          <w:noProof/>
          <w:sz w:val="24"/>
          <w:szCs w:val="24"/>
          <w:lang w:val="pt-BR"/>
        </w:rPr>
        <w:t>10</w:t>
      </w:r>
      <w:r w:rsidRPr="00A242DD">
        <w:rPr>
          <w:noProof/>
          <w:sz w:val="24"/>
          <w:szCs w:val="24"/>
          <w:lang w:val="pt-BR"/>
        </w:rPr>
        <w:t>(1), 1–10. https://doi.org/10.1038/s41598-020-70816-2</w:t>
      </w:r>
    </w:p>
    <w:p w14:paraId="6770494B" w14:textId="77777777" w:rsidR="00546519" w:rsidRPr="00A242DD" w:rsidRDefault="00546519" w:rsidP="00546519">
      <w:pPr>
        <w:widowControl w:val="0"/>
        <w:autoSpaceDE w:val="0"/>
        <w:autoSpaceDN w:val="0"/>
        <w:adjustRightInd w:val="0"/>
        <w:spacing w:before="240" w:after="240"/>
        <w:ind w:left="480" w:hanging="480"/>
        <w:rPr>
          <w:noProof/>
          <w:sz w:val="24"/>
          <w:szCs w:val="24"/>
          <w:lang w:val="pt-BR"/>
        </w:rPr>
      </w:pPr>
      <w:r w:rsidRPr="00A242DD">
        <w:rPr>
          <w:noProof/>
          <w:sz w:val="24"/>
          <w:szCs w:val="24"/>
          <w:lang w:val="pt-BR"/>
        </w:rPr>
        <w:t xml:space="preserve">Taffarello, D., Samprogna Mohor, G., do Carmo Calijuri, M., &amp; Mendiondo, E. M. (2016). </w:t>
      </w:r>
      <w:r w:rsidRPr="00546519">
        <w:rPr>
          <w:noProof/>
          <w:sz w:val="24"/>
          <w:szCs w:val="24"/>
        </w:rPr>
        <w:t xml:space="preserve">Field investigations of the 2013–14 drought through quali-quantitative freshwater monitoring at the headwaters of the Cantareira System, Brazil. </w:t>
      </w:r>
      <w:r w:rsidRPr="00A242DD">
        <w:rPr>
          <w:i/>
          <w:iCs/>
          <w:noProof/>
          <w:sz w:val="24"/>
          <w:szCs w:val="24"/>
          <w:lang w:val="pt-BR"/>
        </w:rPr>
        <w:t>Water International</w:t>
      </w:r>
      <w:r w:rsidRPr="00A242DD">
        <w:rPr>
          <w:noProof/>
          <w:sz w:val="24"/>
          <w:szCs w:val="24"/>
          <w:lang w:val="pt-BR"/>
        </w:rPr>
        <w:t xml:space="preserve">, </w:t>
      </w:r>
      <w:r w:rsidRPr="00A242DD">
        <w:rPr>
          <w:i/>
          <w:iCs/>
          <w:noProof/>
          <w:sz w:val="24"/>
          <w:szCs w:val="24"/>
          <w:lang w:val="pt-BR"/>
        </w:rPr>
        <w:t>41</w:t>
      </w:r>
      <w:r w:rsidRPr="00A242DD">
        <w:rPr>
          <w:noProof/>
          <w:sz w:val="24"/>
          <w:szCs w:val="24"/>
          <w:lang w:val="pt-BR"/>
        </w:rPr>
        <w:t>(5), 776–800. https://doi.org/10.1080/02508060.2016.1188352</w:t>
      </w:r>
    </w:p>
    <w:p w14:paraId="59B8B748" w14:textId="77777777" w:rsidR="00546519" w:rsidRPr="00A242DD" w:rsidRDefault="00546519" w:rsidP="00546519">
      <w:pPr>
        <w:widowControl w:val="0"/>
        <w:autoSpaceDE w:val="0"/>
        <w:autoSpaceDN w:val="0"/>
        <w:adjustRightInd w:val="0"/>
        <w:spacing w:before="240" w:after="240"/>
        <w:ind w:left="480" w:hanging="480"/>
        <w:rPr>
          <w:noProof/>
          <w:sz w:val="24"/>
          <w:szCs w:val="24"/>
          <w:lang w:val="pt-BR"/>
        </w:rPr>
      </w:pPr>
      <w:r w:rsidRPr="00A242DD">
        <w:rPr>
          <w:noProof/>
          <w:sz w:val="24"/>
          <w:szCs w:val="24"/>
          <w:lang w:val="pt-BR"/>
        </w:rPr>
        <w:t xml:space="preserve">Taffarello, D., Calijuri, M. do C., Viani, R. A. G., Marengo, J. A., &amp; Mendiondo, E. M. (2017). </w:t>
      </w:r>
      <w:r w:rsidRPr="00546519">
        <w:rPr>
          <w:noProof/>
          <w:sz w:val="24"/>
          <w:szCs w:val="24"/>
        </w:rPr>
        <w:t xml:space="preserve">Hydrological services in the Atlantic Forest, Brazil: An ecosystem-based adaptation using ecohydrological monitoring. </w:t>
      </w:r>
      <w:r w:rsidRPr="00A242DD">
        <w:rPr>
          <w:i/>
          <w:iCs/>
          <w:noProof/>
          <w:sz w:val="24"/>
          <w:szCs w:val="24"/>
          <w:lang w:val="pt-BR"/>
        </w:rPr>
        <w:t>Climate Services</w:t>
      </w:r>
      <w:r w:rsidRPr="00A242DD">
        <w:rPr>
          <w:noProof/>
          <w:sz w:val="24"/>
          <w:szCs w:val="24"/>
          <w:lang w:val="pt-BR"/>
        </w:rPr>
        <w:t xml:space="preserve">, </w:t>
      </w:r>
      <w:r w:rsidRPr="00A242DD">
        <w:rPr>
          <w:i/>
          <w:iCs/>
          <w:noProof/>
          <w:sz w:val="24"/>
          <w:szCs w:val="24"/>
          <w:lang w:val="pt-BR"/>
        </w:rPr>
        <w:t>8</w:t>
      </w:r>
      <w:r w:rsidRPr="00A242DD">
        <w:rPr>
          <w:noProof/>
          <w:sz w:val="24"/>
          <w:szCs w:val="24"/>
          <w:lang w:val="pt-BR"/>
        </w:rPr>
        <w:t>, 1–16. https://doi.org/10.1016/J.CLISER.2017.10.005</w:t>
      </w:r>
    </w:p>
    <w:p w14:paraId="1E5C3AB9"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A242DD">
        <w:rPr>
          <w:noProof/>
          <w:sz w:val="24"/>
          <w:szCs w:val="24"/>
          <w:lang w:val="pt-BR"/>
        </w:rPr>
        <w:t xml:space="preserve">Taffarello, D., Srinivasan, R., Samprogna Mohor, G., Guimarães, J. L. B., Do Carmo Calijuri, M., &amp; Mendiondo, E. M. (2018). </w:t>
      </w:r>
      <w:r w:rsidRPr="00546519">
        <w:rPr>
          <w:noProof/>
          <w:sz w:val="24"/>
          <w:szCs w:val="24"/>
        </w:rPr>
        <w:t xml:space="preserve">Modeling freshwater quality scenarios with ecosystem-based adaptation in the headwaters of the Cantareira system, Brazil. </w:t>
      </w:r>
      <w:r w:rsidRPr="00546519">
        <w:rPr>
          <w:i/>
          <w:iCs/>
          <w:noProof/>
          <w:sz w:val="24"/>
          <w:szCs w:val="24"/>
        </w:rPr>
        <w:t>Hydrology and Earth System Sciences</w:t>
      </w:r>
      <w:r w:rsidRPr="00546519">
        <w:rPr>
          <w:noProof/>
          <w:sz w:val="24"/>
          <w:szCs w:val="24"/>
        </w:rPr>
        <w:t xml:space="preserve">, </w:t>
      </w:r>
      <w:r w:rsidRPr="00546519">
        <w:rPr>
          <w:i/>
          <w:iCs/>
          <w:noProof/>
          <w:sz w:val="24"/>
          <w:szCs w:val="24"/>
        </w:rPr>
        <w:t>22</w:t>
      </w:r>
      <w:r w:rsidRPr="00546519">
        <w:rPr>
          <w:noProof/>
          <w:sz w:val="24"/>
          <w:szCs w:val="24"/>
        </w:rPr>
        <w:t>(9), 4699–4723. https://doi.org/10.5194/HESS-22-4699-2018</w:t>
      </w:r>
    </w:p>
    <w:p w14:paraId="53457E75"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Thorne, O., &amp; Fenner, R. A. (2011). The impact of climate change on reservoir water quality and water treatment plant operations: A UK case study. </w:t>
      </w:r>
      <w:r w:rsidRPr="00546519">
        <w:rPr>
          <w:i/>
          <w:iCs/>
          <w:noProof/>
          <w:sz w:val="24"/>
          <w:szCs w:val="24"/>
        </w:rPr>
        <w:t>Water and Environment Journal</w:t>
      </w:r>
      <w:r w:rsidRPr="00546519">
        <w:rPr>
          <w:noProof/>
          <w:sz w:val="24"/>
          <w:szCs w:val="24"/>
        </w:rPr>
        <w:t xml:space="preserve">, </w:t>
      </w:r>
      <w:r w:rsidRPr="00546519">
        <w:rPr>
          <w:i/>
          <w:iCs/>
          <w:noProof/>
          <w:sz w:val="24"/>
          <w:szCs w:val="24"/>
        </w:rPr>
        <w:t>25</w:t>
      </w:r>
      <w:r w:rsidRPr="00546519">
        <w:rPr>
          <w:noProof/>
          <w:sz w:val="24"/>
          <w:szCs w:val="24"/>
        </w:rPr>
        <w:t>(1), 74–87. https://doi.org/10.1111/j.1747-6593.2009.00194.x</w:t>
      </w:r>
    </w:p>
    <w:p w14:paraId="2C1131A3"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Thornley, S. (1997). Minnesota Operators Respond to 1997 Floods. </w:t>
      </w:r>
      <w:r w:rsidRPr="00546519">
        <w:rPr>
          <w:i/>
          <w:iCs/>
          <w:noProof/>
          <w:sz w:val="24"/>
          <w:szCs w:val="24"/>
        </w:rPr>
        <w:t>Opflow</w:t>
      </w:r>
      <w:r w:rsidRPr="00546519">
        <w:rPr>
          <w:noProof/>
          <w:sz w:val="24"/>
          <w:szCs w:val="24"/>
        </w:rPr>
        <w:t xml:space="preserve">, </w:t>
      </w:r>
      <w:r w:rsidRPr="00546519">
        <w:rPr>
          <w:i/>
          <w:iCs/>
          <w:noProof/>
          <w:sz w:val="24"/>
          <w:szCs w:val="24"/>
        </w:rPr>
        <w:t>23</w:t>
      </w:r>
      <w:r w:rsidRPr="00546519">
        <w:rPr>
          <w:noProof/>
          <w:sz w:val="24"/>
          <w:szCs w:val="24"/>
        </w:rPr>
        <w:t>(11), 1–5. https://doi.org/10.1002/j.1551-8701.1997.tb02079.x</w:t>
      </w:r>
    </w:p>
    <w:p w14:paraId="2AA9F99B"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Thornton, J. A., Harding, W. R., Dent, M., Hart, R. C., Lin, H., Rast, C. L., et al. (2013). Eutrophication as a “wicked” problem. </w:t>
      </w:r>
      <w:r w:rsidRPr="00546519">
        <w:rPr>
          <w:i/>
          <w:iCs/>
          <w:noProof/>
          <w:sz w:val="24"/>
          <w:szCs w:val="24"/>
        </w:rPr>
        <w:t>Lakes and Reservoirs: Research and Management</w:t>
      </w:r>
      <w:r w:rsidRPr="00546519">
        <w:rPr>
          <w:noProof/>
          <w:sz w:val="24"/>
          <w:szCs w:val="24"/>
        </w:rPr>
        <w:t xml:space="preserve">, </w:t>
      </w:r>
      <w:r w:rsidRPr="00546519">
        <w:rPr>
          <w:i/>
          <w:iCs/>
          <w:noProof/>
          <w:sz w:val="24"/>
          <w:szCs w:val="24"/>
        </w:rPr>
        <w:t>18</w:t>
      </w:r>
      <w:r w:rsidRPr="00546519">
        <w:rPr>
          <w:noProof/>
          <w:sz w:val="24"/>
          <w:szCs w:val="24"/>
        </w:rPr>
        <w:t>(4), 298–316. https://doi.org/10.1111/lre.12044</w:t>
      </w:r>
    </w:p>
    <w:p w14:paraId="55D97C69"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UN-Water. (2021). </w:t>
      </w:r>
      <w:r w:rsidRPr="00546519">
        <w:rPr>
          <w:i/>
          <w:iCs/>
          <w:noProof/>
          <w:sz w:val="24"/>
          <w:szCs w:val="24"/>
        </w:rPr>
        <w:t>The United Nations World Water Development Report 2021 Valuing water</w:t>
      </w:r>
      <w:r w:rsidRPr="00546519">
        <w:rPr>
          <w:noProof/>
          <w:sz w:val="24"/>
          <w:szCs w:val="24"/>
        </w:rPr>
        <w:t xml:space="preserve">. </w:t>
      </w:r>
      <w:r w:rsidRPr="00546519">
        <w:rPr>
          <w:i/>
          <w:iCs/>
          <w:noProof/>
          <w:sz w:val="24"/>
          <w:szCs w:val="24"/>
        </w:rPr>
        <w:t>UN-Water</w:t>
      </w:r>
      <w:r w:rsidRPr="00546519">
        <w:rPr>
          <w:noProof/>
          <w:sz w:val="24"/>
          <w:szCs w:val="24"/>
        </w:rPr>
        <w:t>. https://doi.org/10.4324/9780429453571-2</w:t>
      </w:r>
    </w:p>
    <w:p w14:paraId="13869E77"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lastRenderedPageBreak/>
        <w:t xml:space="preserve">UNDRR. (2015). </w:t>
      </w:r>
      <w:r w:rsidRPr="00546519">
        <w:rPr>
          <w:i/>
          <w:iCs/>
          <w:noProof/>
          <w:sz w:val="24"/>
          <w:szCs w:val="24"/>
        </w:rPr>
        <w:t>Sendai framework for disaster risk reduction 2015-2030</w:t>
      </w:r>
      <w:r w:rsidRPr="00546519">
        <w:rPr>
          <w:noProof/>
          <w:sz w:val="24"/>
          <w:szCs w:val="24"/>
        </w:rPr>
        <w:t xml:space="preserve">. </w:t>
      </w:r>
      <w:r w:rsidRPr="00546519">
        <w:rPr>
          <w:i/>
          <w:iCs/>
          <w:noProof/>
          <w:sz w:val="24"/>
          <w:szCs w:val="24"/>
        </w:rPr>
        <w:t>Sendai Framework for Disaster Risk Reduction</w:t>
      </w:r>
      <w:r w:rsidRPr="00546519">
        <w:rPr>
          <w:noProof/>
          <w:sz w:val="24"/>
          <w:szCs w:val="24"/>
        </w:rPr>
        <w:t>.</w:t>
      </w:r>
    </w:p>
    <w:p w14:paraId="2E79F84C"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UNEP. (2021). </w:t>
      </w:r>
      <w:r w:rsidRPr="00546519">
        <w:rPr>
          <w:i/>
          <w:iCs/>
          <w:noProof/>
          <w:sz w:val="24"/>
          <w:szCs w:val="24"/>
        </w:rPr>
        <w:t>United Nations Environment Programme: Adaptation Gap report 2020</w:t>
      </w:r>
      <w:r w:rsidRPr="00546519">
        <w:rPr>
          <w:noProof/>
          <w:sz w:val="24"/>
          <w:szCs w:val="24"/>
        </w:rPr>
        <w:t>. Nairobi, Kenya.</w:t>
      </w:r>
    </w:p>
    <w:p w14:paraId="183756E0"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Vörösmarty, C. J., Stewart-Koster, B., Green, P. A., Boone, E. L., Flörke, M., Fischer, G., et al. (2021). A green-gray path to global water security and sustainable infrastructure. </w:t>
      </w:r>
      <w:r w:rsidRPr="00546519">
        <w:rPr>
          <w:i/>
          <w:iCs/>
          <w:noProof/>
          <w:sz w:val="24"/>
          <w:szCs w:val="24"/>
        </w:rPr>
        <w:t>Global Environmental Change</w:t>
      </w:r>
      <w:r w:rsidRPr="00546519">
        <w:rPr>
          <w:noProof/>
          <w:sz w:val="24"/>
          <w:szCs w:val="24"/>
        </w:rPr>
        <w:t xml:space="preserve">, </w:t>
      </w:r>
      <w:r w:rsidRPr="00546519">
        <w:rPr>
          <w:i/>
          <w:iCs/>
          <w:noProof/>
          <w:sz w:val="24"/>
          <w:szCs w:val="24"/>
        </w:rPr>
        <w:t>70</w:t>
      </w:r>
      <w:r w:rsidRPr="00546519">
        <w:rPr>
          <w:noProof/>
          <w:sz w:val="24"/>
          <w:szCs w:val="24"/>
        </w:rPr>
        <w:t>(May). https://doi.org/10.1016/j.gloenvcha.2021.102344</w:t>
      </w:r>
    </w:p>
    <w:p w14:paraId="1E0C8BFF"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Wang, H., Small, M. J., &amp; Dzombak, D. A. (2014). Factors governing change in water withdrawals for U.S. industrial sectors from 1997 to 2002. </w:t>
      </w:r>
      <w:r w:rsidRPr="00546519">
        <w:rPr>
          <w:i/>
          <w:iCs/>
          <w:noProof/>
          <w:sz w:val="24"/>
          <w:szCs w:val="24"/>
        </w:rPr>
        <w:t>Environmental Science and Technology</w:t>
      </w:r>
      <w:r w:rsidRPr="00546519">
        <w:rPr>
          <w:noProof/>
          <w:sz w:val="24"/>
          <w:szCs w:val="24"/>
        </w:rPr>
        <w:t xml:space="preserve">, </w:t>
      </w:r>
      <w:r w:rsidRPr="00546519">
        <w:rPr>
          <w:i/>
          <w:iCs/>
          <w:noProof/>
          <w:sz w:val="24"/>
          <w:szCs w:val="24"/>
        </w:rPr>
        <w:t>48</w:t>
      </w:r>
      <w:r w:rsidRPr="00546519">
        <w:rPr>
          <w:noProof/>
          <w:sz w:val="24"/>
          <w:szCs w:val="24"/>
        </w:rPr>
        <w:t>(6), 3420–3429. https://doi.org/10.1021/es404830x</w:t>
      </w:r>
    </w:p>
    <w:p w14:paraId="62636716"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Wang, J., Song, C., Reager, J. T., Yao, F., Famiglietti, J. S., Sheng, Y., et al. (2018). Recent global decline in endorheic basin water storages. </w:t>
      </w:r>
      <w:r w:rsidRPr="00546519">
        <w:rPr>
          <w:i/>
          <w:iCs/>
          <w:noProof/>
          <w:sz w:val="24"/>
          <w:szCs w:val="24"/>
        </w:rPr>
        <w:t>Nature Geoscience 2018 11:12</w:t>
      </w:r>
      <w:r w:rsidRPr="00546519">
        <w:rPr>
          <w:noProof/>
          <w:sz w:val="24"/>
          <w:szCs w:val="24"/>
        </w:rPr>
        <w:t xml:space="preserve">, </w:t>
      </w:r>
      <w:r w:rsidRPr="00546519">
        <w:rPr>
          <w:i/>
          <w:iCs/>
          <w:noProof/>
          <w:sz w:val="24"/>
          <w:szCs w:val="24"/>
        </w:rPr>
        <w:t>11</w:t>
      </w:r>
      <w:r w:rsidRPr="00546519">
        <w:rPr>
          <w:noProof/>
          <w:sz w:val="24"/>
          <w:szCs w:val="24"/>
        </w:rPr>
        <w:t>(12), 926–932. https://doi.org/10.1038/s41561-018-0265-7</w:t>
      </w:r>
    </w:p>
    <w:p w14:paraId="1A76B2B4"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Ward, P. J., de Ruiter, M. C., Mård, J., Schröter, K., Van Loon, A., Veldkamp, T., et al. (2020). The need to integrate flood and drought disaster risk reduction strategies. </w:t>
      </w:r>
      <w:r w:rsidRPr="00546519">
        <w:rPr>
          <w:i/>
          <w:iCs/>
          <w:noProof/>
          <w:sz w:val="24"/>
          <w:szCs w:val="24"/>
        </w:rPr>
        <w:t>Water Security</w:t>
      </w:r>
      <w:r w:rsidRPr="00546519">
        <w:rPr>
          <w:noProof/>
          <w:sz w:val="24"/>
          <w:szCs w:val="24"/>
        </w:rPr>
        <w:t xml:space="preserve">, </w:t>
      </w:r>
      <w:r w:rsidRPr="00546519">
        <w:rPr>
          <w:i/>
          <w:iCs/>
          <w:noProof/>
          <w:sz w:val="24"/>
          <w:szCs w:val="24"/>
        </w:rPr>
        <w:t>11</w:t>
      </w:r>
      <w:r w:rsidRPr="00546519">
        <w:rPr>
          <w:noProof/>
          <w:sz w:val="24"/>
          <w:szCs w:val="24"/>
        </w:rPr>
        <w:t>, 100070. https://doi.org/10.1016/J.WASEC.2020.100070</w:t>
      </w:r>
    </w:p>
    <w:p w14:paraId="56B25298"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Watson, S. B., Miller, C., Arhonditsis, G., Boyer, G. L., Carmichael, W., Charlton, M. N., et al. (2016). The re-eutrophication of Lake Erie: Harmful algal blooms and hypoxia. </w:t>
      </w:r>
      <w:r w:rsidRPr="00546519">
        <w:rPr>
          <w:i/>
          <w:iCs/>
          <w:noProof/>
          <w:sz w:val="24"/>
          <w:szCs w:val="24"/>
        </w:rPr>
        <w:t>Harmful Algae</w:t>
      </w:r>
      <w:r w:rsidRPr="00546519">
        <w:rPr>
          <w:noProof/>
          <w:sz w:val="24"/>
          <w:szCs w:val="24"/>
        </w:rPr>
        <w:t xml:space="preserve">, </w:t>
      </w:r>
      <w:r w:rsidRPr="00546519">
        <w:rPr>
          <w:i/>
          <w:iCs/>
          <w:noProof/>
          <w:sz w:val="24"/>
          <w:szCs w:val="24"/>
        </w:rPr>
        <w:t>56</w:t>
      </w:r>
      <w:r w:rsidRPr="00546519">
        <w:rPr>
          <w:noProof/>
          <w:sz w:val="24"/>
          <w:szCs w:val="24"/>
        </w:rPr>
        <w:t>, 44–66. https://doi.org/10.1016/j.hal.2016.04.010</w:t>
      </w:r>
    </w:p>
    <w:p w14:paraId="12177BB2"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Wells, M. L., Trainer, V. L., Smayda, T. J., Karlson, B. S. O., Trick, C. G., Kudela, R. M., et al. (2015). Harmful algal blooms and climate change: Learning from the past and present to forecast the future. </w:t>
      </w:r>
      <w:r w:rsidRPr="00546519">
        <w:rPr>
          <w:i/>
          <w:iCs/>
          <w:noProof/>
          <w:sz w:val="24"/>
          <w:szCs w:val="24"/>
        </w:rPr>
        <w:t>Harmful Algae</w:t>
      </w:r>
      <w:r w:rsidRPr="00546519">
        <w:rPr>
          <w:noProof/>
          <w:sz w:val="24"/>
          <w:szCs w:val="24"/>
        </w:rPr>
        <w:t xml:space="preserve">, </w:t>
      </w:r>
      <w:r w:rsidRPr="00546519">
        <w:rPr>
          <w:i/>
          <w:iCs/>
          <w:noProof/>
          <w:sz w:val="24"/>
          <w:szCs w:val="24"/>
        </w:rPr>
        <w:t>49</w:t>
      </w:r>
      <w:r w:rsidRPr="00546519">
        <w:rPr>
          <w:noProof/>
          <w:sz w:val="24"/>
          <w:szCs w:val="24"/>
        </w:rPr>
        <w:t>, 68–93. https://doi.org/10.1016/j.hal.2015.07.009</w:t>
      </w:r>
    </w:p>
    <w:p w14:paraId="29F1136A"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WWAP. (2018). </w:t>
      </w:r>
      <w:r w:rsidRPr="00546519">
        <w:rPr>
          <w:i/>
          <w:iCs/>
          <w:noProof/>
          <w:sz w:val="24"/>
          <w:szCs w:val="24"/>
        </w:rPr>
        <w:t>The United Nations world water development report 2018: Nature-Based Solutions for Water</w:t>
      </w:r>
      <w:r w:rsidRPr="00546519">
        <w:rPr>
          <w:noProof/>
          <w:sz w:val="24"/>
          <w:szCs w:val="24"/>
        </w:rPr>
        <w:t xml:space="preserve">. </w:t>
      </w:r>
      <w:r w:rsidRPr="00546519">
        <w:rPr>
          <w:i/>
          <w:iCs/>
          <w:noProof/>
          <w:sz w:val="24"/>
          <w:szCs w:val="24"/>
        </w:rPr>
        <w:t>Unesco</w:t>
      </w:r>
      <w:r w:rsidRPr="00546519">
        <w:rPr>
          <w:noProof/>
          <w:sz w:val="24"/>
          <w:szCs w:val="24"/>
        </w:rPr>
        <w:t>. Retrieved from www.unwater.org/publications/%0Aworld-water-development-report-2018/</w:t>
      </w:r>
    </w:p>
    <w:p w14:paraId="20828261"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Xiang, X., Li, Q., Khan, S., &amp; Khalaf, O. I. (2021). Urban water resource management for sustainable environment planning using artificial intelligence techniques. </w:t>
      </w:r>
      <w:r w:rsidRPr="00546519">
        <w:rPr>
          <w:i/>
          <w:iCs/>
          <w:noProof/>
          <w:sz w:val="24"/>
          <w:szCs w:val="24"/>
        </w:rPr>
        <w:t>Environmental Impact Assessment Review</w:t>
      </w:r>
      <w:r w:rsidRPr="00546519">
        <w:rPr>
          <w:noProof/>
          <w:sz w:val="24"/>
          <w:szCs w:val="24"/>
        </w:rPr>
        <w:t xml:space="preserve">, </w:t>
      </w:r>
      <w:r w:rsidRPr="00546519">
        <w:rPr>
          <w:i/>
          <w:iCs/>
          <w:noProof/>
          <w:sz w:val="24"/>
          <w:szCs w:val="24"/>
        </w:rPr>
        <w:t>86</w:t>
      </w:r>
      <w:r w:rsidRPr="00546519">
        <w:rPr>
          <w:noProof/>
          <w:sz w:val="24"/>
          <w:szCs w:val="24"/>
        </w:rPr>
        <w:t>(September 2020), 106515. https://doi.org/10.1016/j.eiar.2020.106515</w:t>
      </w:r>
    </w:p>
    <w:p w14:paraId="49D097E8"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Yun, X., Tang, Q., Li, J., Lu, H., Zhang, L., &amp; Chen, D. (2021). Can reservoir regulation mitigate future climate change induced hydrological extremes in the Lancang-Mekong River Basin? </w:t>
      </w:r>
      <w:r w:rsidRPr="00546519">
        <w:rPr>
          <w:i/>
          <w:iCs/>
          <w:noProof/>
          <w:sz w:val="24"/>
          <w:szCs w:val="24"/>
        </w:rPr>
        <w:t>Science of The Total Environment</w:t>
      </w:r>
      <w:r w:rsidRPr="00546519">
        <w:rPr>
          <w:noProof/>
          <w:sz w:val="24"/>
          <w:szCs w:val="24"/>
        </w:rPr>
        <w:t xml:space="preserve">, </w:t>
      </w:r>
      <w:r w:rsidRPr="00546519">
        <w:rPr>
          <w:i/>
          <w:iCs/>
          <w:noProof/>
          <w:sz w:val="24"/>
          <w:szCs w:val="24"/>
        </w:rPr>
        <w:t>785</w:t>
      </w:r>
      <w:r w:rsidRPr="00546519">
        <w:rPr>
          <w:noProof/>
          <w:sz w:val="24"/>
          <w:szCs w:val="24"/>
        </w:rPr>
        <w:t>, 147322. https://doi.org/10.1016/J.SCITOTENV.2021.147322</w:t>
      </w:r>
    </w:p>
    <w:p w14:paraId="626082DC"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Zeff, H. B., &amp; Characklis, G. W. (2013). Managing water utility financial risks through third-party index insurance contracts. </w:t>
      </w:r>
      <w:r w:rsidRPr="00546519">
        <w:rPr>
          <w:i/>
          <w:iCs/>
          <w:noProof/>
          <w:sz w:val="24"/>
          <w:szCs w:val="24"/>
        </w:rPr>
        <w:t>Water Resources Research</w:t>
      </w:r>
      <w:r w:rsidRPr="00546519">
        <w:rPr>
          <w:noProof/>
          <w:sz w:val="24"/>
          <w:szCs w:val="24"/>
        </w:rPr>
        <w:t xml:space="preserve">, </w:t>
      </w:r>
      <w:r w:rsidRPr="00546519">
        <w:rPr>
          <w:i/>
          <w:iCs/>
          <w:noProof/>
          <w:sz w:val="24"/>
          <w:szCs w:val="24"/>
        </w:rPr>
        <w:t>49</w:t>
      </w:r>
      <w:r w:rsidRPr="00546519">
        <w:rPr>
          <w:noProof/>
          <w:sz w:val="24"/>
          <w:szCs w:val="24"/>
        </w:rPr>
        <w:t>(8), 4939–4951. https://doi.org/10.1002/wrcr.20364</w:t>
      </w:r>
    </w:p>
    <w:p w14:paraId="2B891B1F"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lastRenderedPageBreak/>
        <w:t xml:space="preserve">Zhu, W. (2017). Wanting robustness in insurance: A model of catastrophe risk pricing and its empirical test. </w:t>
      </w:r>
      <w:r w:rsidRPr="00546519">
        <w:rPr>
          <w:i/>
          <w:iCs/>
          <w:noProof/>
          <w:sz w:val="24"/>
          <w:szCs w:val="24"/>
        </w:rPr>
        <w:t>Insurance: Mathematics and Economics</w:t>
      </w:r>
      <w:r w:rsidRPr="00546519">
        <w:rPr>
          <w:noProof/>
          <w:sz w:val="24"/>
          <w:szCs w:val="24"/>
        </w:rPr>
        <w:t xml:space="preserve">, </w:t>
      </w:r>
      <w:r w:rsidRPr="00546519">
        <w:rPr>
          <w:i/>
          <w:iCs/>
          <w:noProof/>
          <w:sz w:val="24"/>
          <w:szCs w:val="24"/>
        </w:rPr>
        <w:t>77</w:t>
      </w:r>
      <w:r w:rsidRPr="00546519">
        <w:rPr>
          <w:noProof/>
          <w:sz w:val="24"/>
          <w:szCs w:val="24"/>
        </w:rPr>
        <w:t>, 14–23. https://doi.org/10.1016/j.insmatheco.2017.08.006</w:t>
      </w:r>
    </w:p>
    <w:p w14:paraId="45E24F00" w14:textId="77777777" w:rsidR="00546519" w:rsidRPr="00546519" w:rsidRDefault="00546519" w:rsidP="00546519">
      <w:pPr>
        <w:widowControl w:val="0"/>
        <w:autoSpaceDE w:val="0"/>
        <w:autoSpaceDN w:val="0"/>
        <w:adjustRightInd w:val="0"/>
        <w:spacing w:before="240" w:after="240"/>
        <w:ind w:left="480" w:hanging="480"/>
        <w:rPr>
          <w:noProof/>
          <w:sz w:val="24"/>
          <w:szCs w:val="24"/>
        </w:rPr>
      </w:pPr>
      <w:r w:rsidRPr="00546519">
        <w:rPr>
          <w:noProof/>
          <w:sz w:val="24"/>
          <w:szCs w:val="24"/>
        </w:rPr>
        <w:t xml:space="preserve">Ziervogel, G. (2019). UNPACKING THE CAPE TOWN DROUGHT:LESSONS LEARNED. </w:t>
      </w:r>
      <w:r w:rsidRPr="00546519">
        <w:rPr>
          <w:i/>
          <w:iCs/>
          <w:noProof/>
          <w:sz w:val="24"/>
          <w:szCs w:val="24"/>
        </w:rPr>
        <w:t>African Centre for Cities</w:t>
      </w:r>
      <w:r w:rsidRPr="00546519">
        <w:rPr>
          <w:noProof/>
          <w:sz w:val="24"/>
          <w:szCs w:val="24"/>
        </w:rPr>
        <w:t>, pp. 1–29.</w:t>
      </w:r>
    </w:p>
    <w:p w14:paraId="08C1EA35" w14:textId="45A0DEB1" w:rsidR="008A6077" w:rsidRPr="007443BB" w:rsidRDefault="00546519" w:rsidP="0011447B">
      <w:pPr>
        <w:spacing w:before="240" w:after="240" w:line="276" w:lineRule="auto"/>
        <w:jc w:val="both"/>
      </w:pPr>
      <w:r w:rsidRPr="00546519">
        <w:rPr>
          <w:rFonts w:eastAsia="Times New Roman"/>
          <w:sz w:val="24"/>
          <w:szCs w:val="24"/>
        </w:rPr>
        <w:fldChar w:fldCharType="end"/>
      </w:r>
      <w:r w:rsidR="00B120F3">
        <w:t xml:space="preserve"> </w:t>
      </w:r>
    </w:p>
    <w:p w14:paraId="2B7C9A8E" w14:textId="77777777" w:rsidR="00BF0028" w:rsidRDefault="00BF0028"/>
    <w:sectPr w:rsidR="00BF0028" w:rsidSect="006D73F0">
      <w:pgSz w:w="12240" w:h="15840"/>
      <w:pgMar w:top="1440" w:right="1440" w:bottom="1440" w:left="1440" w:header="432"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67EE" w14:textId="77777777" w:rsidR="00AC67D7" w:rsidRDefault="00AC67D7" w:rsidP="000379AB">
      <w:r>
        <w:separator/>
      </w:r>
    </w:p>
  </w:endnote>
  <w:endnote w:type="continuationSeparator" w:id="0">
    <w:p w14:paraId="296E7846" w14:textId="77777777" w:rsidR="00AC67D7" w:rsidRDefault="00AC67D7"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D28E" w14:textId="2FE9AD18" w:rsidR="00DD6745" w:rsidRDefault="00DD6745" w:rsidP="00B719C8">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E020" w14:textId="77777777" w:rsidR="00AC67D7" w:rsidRDefault="00AC67D7" w:rsidP="000379AB">
      <w:r>
        <w:separator/>
      </w:r>
    </w:p>
  </w:footnote>
  <w:footnote w:type="continuationSeparator" w:id="0">
    <w:p w14:paraId="38A5B11C" w14:textId="77777777" w:rsidR="00AC67D7" w:rsidRDefault="00AC67D7" w:rsidP="0003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FE63" w14:textId="02342181" w:rsidR="00DD6745" w:rsidRDefault="00DD6745" w:rsidP="007778ED">
    <w:pPr>
      <w:pStyle w:val="Cabealho"/>
      <w:jc w:val="center"/>
    </w:pPr>
    <w:r>
      <w:t xml:space="preserve">manuscript submitted to </w:t>
    </w:r>
    <w:r w:rsidR="00E2223B">
      <w:rPr>
        <w:i/>
      </w:rPr>
      <w:t>Water Resources Research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5CCC" w14:textId="2816AD77" w:rsidR="00DD6745" w:rsidRDefault="00DD6745" w:rsidP="00E31404">
    <w:pPr>
      <w:pStyle w:val="Cabealho"/>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72D"/>
    <w:multiLevelType w:val="hybridMultilevel"/>
    <w:tmpl w:val="880A865A"/>
    <w:lvl w:ilvl="0" w:tplc="04090001">
      <w:start w:val="1"/>
      <w:numFmt w:val="bullet"/>
      <w:lvlText w:val=""/>
      <w:lvlJc w:val="left"/>
      <w:pPr>
        <w:ind w:left="1080" w:hanging="360"/>
      </w:pPr>
      <w:rPr>
        <w:rFonts w:ascii="Symbol" w:hAnsi="Symbol" w:hint="default"/>
        <w:color w:val="262626"/>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254CE"/>
    <w:multiLevelType w:val="hybridMultilevel"/>
    <w:tmpl w:val="5D04D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047978"/>
    <w:multiLevelType w:val="hybridMultilevel"/>
    <w:tmpl w:val="7E889D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3" w15:restartNumberingAfterBreak="0">
    <w:nsid w:val="75806EFD"/>
    <w:multiLevelType w:val="multilevel"/>
    <w:tmpl w:val="45567678"/>
    <w:lvl w:ilvl="0">
      <w:start w:val="1"/>
      <w:numFmt w:val="bullet"/>
      <w:lvlText w:val="●"/>
      <w:lvlJc w:val="left"/>
      <w:pPr>
        <w:ind w:left="1080" w:hanging="360"/>
      </w:pPr>
      <w:rPr>
        <w:rFonts w:ascii="Noto Sans" w:eastAsia="Noto Sans" w:hAnsi="Noto Sans" w:cs="Noto San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14" w15:restartNumberingAfterBreak="0">
    <w:nsid w:val="7B47206B"/>
    <w:multiLevelType w:val="hybridMultilevel"/>
    <w:tmpl w:val="058C0FC8"/>
    <w:lvl w:ilvl="0" w:tplc="EB9E9560">
      <w:numFmt w:val="bullet"/>
      <w:lvlText w:val="·"/>
      <w:lvlJc w:val="left"/>
      <w:pPr>
        <w:ind w:left="1080" w:hanging="360"/>
      </w:pPr>
      <w:rPr>
        <w:rFonts w:ascii="Times New Roman" w:eastAsia="Times New Roman" w:hAnsi="Times New Roman" w:cs="Times New Roman" w:hint="default"/>
        <w:color w:val="262626"/>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10026040">
    <w:abstractNumId w:val="2"/>
  </w:num>
  <w:num w:numId="2" w16cid:durableId="1853957256">
    <w:abstractNumId w:val="1"/>
  </w:num>
  <w:num w:numId="3" w16cid:durableId="2115856520">
    <w:abstractNumId w:val="12"/>
  </w:num>
  <w:num w:numId="4" w16cid:durableId="1374772286">
    <w:abstractNumId w:val="6"/>
  </w:num>
  <w:num w:numId="5" w16cid:durableId="1403676670">
    <w:abstractNumId w:val="7"/>
  </w:num>
  <w:num w:numId="6" w16cid:durableId="925386464">
    <w:abstractNumId w:val="9"/>
  </w:num>
  <w:num w:numId="7" w16cid:durableId="2027976860">
    <w:abstractNumId w:val="10"/>
  </w:num>
  <w:num w:numId="8" w16cid:durableId="156307721">
    <w:abstractNumId w:val="11"/>
  </w:num>
  <w:num w:numId="9" w16cid:durableId="1936358735">
    <w:abstractNumId w:val="3"/>
  </w:num>
  <w:num w:numId="10" w16cid:durableId="1782451441">
    <w:abstractNumId w:val="8"/>
  </w:num>
  <w:num w:numId="11" w16cid:durableId="1198659584">
    <w:abstractNumId w:val="5"/>
  </w:num>
  <w:num w:numId="12" w16cid:durableId="891769087">
    <w:abstractNumId w:val="14"/>
  </w:num>
  <w:num w:numId="13" w16cid:durableId="1270965833">
    <w:abstractNumId w:val="0"/>
  </w:num>
  <w:num w:numId="14" w16cid:durableId="1660113943">
    <w:abstractNumId w:val="4"/>
  </w:num>
  <w:num w:numId="15" w16cid:durableId="14182071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77"/>
    <w:rsid w:val="00031829"/>
    <w:rsid w:val="000379AB"/>
    <w:rsid w:val="000675AF"/>
    <w:rsid w:val="0007414F"/>
    <w:rsid w:val="00090F3F"/>
    <w:rsid w:val="000C276E"/>
    <w:rsid w:val="000C5076"/>
    <w:rsid w:val="0011447B"/>
    <w:rsid w:val="0015712F"/>
    <w:rsid w:val="001809DF"/>
    <w:rsid w:val="00186EC0"/>
    <w:rsid w:val="001C2B0D"/>
    <w:rsid w:val="001E33EF"/>
    <w:rsid w:val="00205265"/>
    <w:rsid w:val="002112B8"/>
    <w:rsid w:val="00240493"/>
    <w:rsid w:val="00250AD8"/>
    <w:rsid w:val="002B6F74"/>
    <w:rsid w:val="002C3263"/>
    <w:rsid w:val="002E7898"/>
    <w:rsid w:val="002F2289"/>
    <w:rsid w:val="002F3B11"/>
    <w:rsid w:val="003137C3"/>
    <w:rsid w:val="00321596"/>
    <w:rsid w:val="00322DF9"/>
    <w:rsid w:val="00334E2C"/>
    <w:rsid w:val="00366917"/>
    <w:rsid w:val="0037466A"/>
    <w:rsid w:val="003A1010"/>
    <w:rsid w:val="003E660A"/>
    <w:rsid w:val="003F199B"/>
    <w:rsid w:val="00400425"/>
    <w:rsid w:val="004009A6"/>
    <w:rsid w:val="00440A22"/>
    <w:rsid w:val="0045687F"/>
    <w:rsid w:val="0046739F"/>
    <w:rsid w:val="004E504B"/>
    <w:rsid w:val="00514B45"/>
    <w:rsid w:val="005167EA"/>
    <w:rsid w:val="00532ACF"/>
    <w:rsid w:val="005358D5"/>
    <w:rsid w:val="00545B6C"/>
    <w:rsid w:val="00546519"/>
    <w:rsid w:val="00562C9F"/>
    <w:rsid w:val="00562D64"/>
    <w:rsid w:val="0057441D"/>
    <w:rsid w:val="00575C0B"/>
    <w:rsid w:val="00590719"/>
    <w:rsid w:val="005E1969"/>
    <w:rsid w:val="005F6E07"/>
    <w:rsid w:val="00600E4A"/>
    <w:rsid w:val="006842EE"/>
    <w:rsid w:val="006A051A"/>
    <w:rsid w:val="006C4619"/>
    <w:rsid w:val="006D19B4"/>
    <w:rsid w:val="006D247B"/>
    <w:rsid w:val="006D73F0"/>
    <w:rsid w:val="006F662E"/>
    <w:rsid w:val="00720C58"/>
    <w:rsid w:val="00766240"/>
    <w:rsid w:val="007778ED"/>
    <w:rsid w:val="00796FB8"/>
    <w:rsid w:val="007B4B93"/>
    <w:rsid w:val="00813315"/>
    <w:rsid w:val="00824EC3"/>
    <w:rsid w:val="00855B07"/>
    <w:rsid w:val="008A6077"/>
    <w:rsid w:val="008D3087"/>
    <w:rsid w:val="008E58E5"/>
    <w:rsid w:val="0090228B"/>
    <w:rsid w:val="00916B44"/>
    <w:rsid w:val="00927F6E"/>
    <w:rsid w:val="0097213C"/>
    <w:rsid w:val="00975D9D"/>
    <w:rsid w:val="00995CAA"/>
    <w:rsid w:val="009B68DA"/>
    <w:rsid w:val="009C63D9"/>
    <w:rsid w:val="009D02CD"/>
    <w:rsid w:val="009D302B"/>
    <w:rsid w:val="009F7DE7"/>
    <w:rsid w:val="00A1073D"/>
    <w:rsid w:val="00A242DD"/>
    <w:rsid w:val="00A44721"/>
    <w:rsid w:val="00AA11F3"/>
    <w:rsid w:val="00AB46CF"/>
    <w:rsid w:val="00AC67D7"/>
    <w:rsid w:val="00AE79D9"/>
    <w:rsid w:val="00AF33DA"/>
    <w:rsid w:val="00B120F3"/>
    <w:rsid w:val="00B35810"/>
    <w:rsid w:val="00B719C8"/>
    <w:rsid w:val="00B81C79"/>
    <w:rsid w:val="00B82556"/>
    <w:rsid w:val="00B828C4"/>
    <w:rsid w:val="00BC4EAE"/>
    <w:rsid w:val="00BD47BB"/>
    <w:rsid w:val="00BF0028"/>
    <w:rsid w:val="00C20BAD"/>
    <w:rsid w:val="00C3475A"/>
    <w:rsid w:val="00C71159"/>
    <w:rsid w:val="00C81368"/>
    <w:rsid w:val="00C81692"/>
    <w:rsid w:val="00C81B67"/>
    <w:rsid w:val="00C94AA5"/>
    <w:rsid w:val="00CB29E6"/>
    <w:rsid w:val="00CB7BED"/>
    <w:rsid w:val="00CC4CBE"/>
    <w:rsid w:val="00CE0AA2"/>
    <w:rsid w:val="00CF3DEE"/>
    <w:rsid w:val="00D50A01"/>
    <w:rsid w:val="00D810E5"/>
    <w:rsid w:val="00D94839"/>
    <w:rsid w:val="00D9528F"/>
    <w:rsid w:val="00DD6745"/>
    <w:rsid w:val="00DE3F91"/>
    <w:rsid w:val="00E2223B"/>
    <w:rsid w:val="00E31404"/>
    <w:rsid w:val="00E31513"/>
    <w:rsid w:val="00E471F8"/>
    <w:rsid w:val="00E664DF"/>
    <w:rsid w:val="00E67B96"/>
    <w:rsid w:val="00E81A9B"/>
    <w:rsid w:val="00ED4CE1"/>
    <w:rsid w:val="00EE086E"/>
    <w:rsid w:val="00EE433D"/>
    <w:rsid w:val="00EF04CF"/>
    <w:rsid w:val="00F21080"/>
    <w:rsid w:val="00F45E57"/>
    <w:rsid w:val="00F56FAE"/>
    <w:rsid w:val="00F71CD1"/>
    <w:rsid w:val="00FA5B54"/>
    <w:rsid w:val="00FB5678"/>
    <w:rsid w:val="00FC3EAC"/>
    <w:rsid w:val="00FC49C6"/>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09C9FC"/>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8A6077"/>
    <w:rPr>
      <w:rFonts w:ascii="Times New Roman" w:eastAsia="Calibri" w:hAnsi="Times New Roman" w:cs="Times New Roman"/>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Cabealho">
    <w:name w:val="header"/>
    <w:basedOn w:val="Normal"/>
    <w:link w:val="Cabealho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CabealhoChar">
    <w:name w:val="Cabeçalho Char"/>
    <w:basedOn w:val="Fontepargpadro"/>
    <w:link w:val="Cabealho"/>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tuloChar">
    <w:name w:val="Título Char"/>
    <w:basedOn w:val="Fontepargpadro"/>
    <w:link w:val="Ttulo"/>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Rodap">
    <w:name w:val="footer"/>
    <w:basedOn w:val="Normal"/>
    <w:link w:val="RodapChar"/>
    <w:uiPriority w:val="99"/>
    <w:unhideWhenUsed/>
    <w:rsid w:val="000379AB"/>
    <w:pPr>
      <w:tabs>
        <w:tab w:val="center" w:pos="4680"/>
        <w:tab w:val="right" w:pos="9360"/>
      </w:tabs>
    </w:pPr>
  </w:style>
  <w:style w:type="character" w:customStyle="1" w:styleId="RodapChar">
    <w:name w:val="Rodapé Char"/>
    <w:basedOn w:val="Fontepargpadro"/>
    <w:link w:val="Rodap"/>
    <w:uiPriority w:val="99"/>
    <w:rsid w:val="000379AB"/>
    <w:rPr>
      <w:rFonts w:ascii="Times New Roman" w:eastAsia="Calibri" w:hAnsi="Times New Roman" w:cs="Times New Roman"/>
      <w:sz w:val="20"/>
      <w:szCs w:val="20"/>
    </w:rPr>
  </w:style>
  <w:style w:type="paragraph" w:styleId="PargrafodaLista">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styleId="MenoPendente">
    <w:name w:val="Unresolved Mention"/>
    <w:basedOn w:val="Fontepargpadro"/>
    <w:uiPriority w:val="99"/>
    <w:rsid w:val="00B81C79"/>
    <w:rPr>
      <w:color w:val="808080"/>
      <w:shd w:val="clear" w:color="auto" w:fill="E6E6E6"/>
    </w:rPr>
  </w:style>
  <w:style w:type="paragraph" w:styleId="Textodebalo">
    <w:name w:val="Balloon Text"/>
    <w:basedOn w:val="Normal"/>
    <w:link w:val="TextodebaloChar"/>
    <w:uiPriority w:val="99"/>
    <w:semiHidden/>
    <w:unhideWhenUsed/>
    <w:rsid w:val="007B4B93"/>
    <w:rPr>
      <w:rFonts w:ascii="Segoe UI" w:hAnsi="Segoe UI" w:cs="Segoe UI"/>
      <w:sz w:val="18"/>
      <w:szCs w:val="18"/>
    </w:rPr>
  </w:style>
  <w:style w:type="character" w:customStyle="1" w:styleId="TextodebaloChar">
    <w:name w:val="Texto de balão Char"/>
    <w:basedOn w:val="Fontepargpadro"/>
    <w:link w:val="Textodebalo"/>
    <w:uiPriority w:val="99"/>
    <w:semiHidden/>
    <w:rsid w:val="007B4B93"/>
    <w:rPr>
      <w:rFonts w:ascii="Segoe UI" w:eastAsia="Calibri" w:hAnsi="Segoe UI" w:cs="Segoe UI"/>
      <w:sz w:val="18"/>
      <w:szCs w:val="18"/>
    </w:rPr>
  </w:style>
  <w:style w:type="character" w:styleId="nfase">
    <w:name w:val="Emphasis"/>
    <w:basedOn w:val="Fontepargpadro"/>
    <w:uiPriority w:val="20"/>
    <w:qFormat/>
    <w:rsid w:val="007B4B93"/>
    <w:rPr>
      <w:i/>
      <w:iCs/>
    </w:rPr>
  </w:style>
  <w:style w:type="character" w:styleId="HiperlinkVisitado">
    <w:name w:val="FollowedHyperlink"/>
    <w:basedOn w:val="Fontepargpadro"/>
    <w:uiPriority w:val="99"/>
    <w:semiHidden/>
    <w:unhideWhenUsed/>
    <w:rsid w:val="00F45E57"/>
    <w:rPr>
      <w:color w:val="954F72" w:themeColor="followedHyperlink"/>
      <w:u w:val="single"/>
    </w:rPr>
  </w:style>
  <w:style w:type="character" w:styleId="Nmerodelinha">
    <w:name w:val="line number"/>
    <w:basedOn w:val="Fontepargpadro"/>
    <w:uiPriority w:val="99"/>
    <w:semiHidden/>
    <w:unhideWhenUsed/>
    <w:rsid w:val="00BD47BB"/>
  </w:style>
  <w:style w:type="table" w:customStyle="1" w:styleId="TableNormal">
    <w:name w:val="Table Normal"/>
    <w:rsid w:val="00ED4CE1"/>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993794968">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96415768">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g"/><Relationship Id="rId5" Type="http://schemas.openxmlformats.org/officeDocument/2006/relationships/footnotes" Target="footnotes.xml"/><Relationship Id="rId10" Type="http://schemas.openxmlformats.org/officeDocument/2006/relationships/hyperlink" Target="mailto:greicelene.dasilva@gmail.com"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28</Pages>
  <Words>52493</Words>
  <Characters>299214</Characters>
  <Application>Microsoft Office Word</Application>
  <DocSecurity>0</DocSecurity>
  <Lines>2493</Lines>
  <Paragraphs>702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Greicelene Silva</cp:lastModifiedBy>
  <cp:revision>49</cp:revision>
  <dcterms:created xsi:type="dcterms:W3CDTF">2022-12-30T17:17:00Z</dcterms:created>
  <dcterms:modified xsi:type="dcterms:W3CDTF">2022-12-30T20:01:00Z</dcterms:modified>
</cp:coreProperties>
</file>