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100EF" w14:textId="6A7DB800" w:rsidR="006A7B56" w:rsidRDefault="006A7B56">
      <w:pPr>
        <w:rPr>
          <w:lang w:val="en-US"/>
        </w:rPr>
      </w:pPr>
    </w:p>
    <w:p w14:paraId="3AE13894" w14:textId="606E209B" w:rsidR="006A7B56" w:rsidRDefault="006A7B56" w:rsidP="006A7B56">
      <w:pPr>
        <w:jc w:val="both"/>
        <w:rPr>
          <w:rFonts w:cs="Times New Roman"/>
          <w:b/>
          <w:sz w:val="28"/>
        </w:rPr>
      </w:pPr>
      <w:r>
        <w:rPr>
          <w:lang w:val="en-US"/>
        </w:rPr>
        <w:t xml:space="preserve">Table-1 </w:t>
      </w:r>
      <w:r w:rsidR="00E73BD0">
        <w:rPr>
          <w:rFonts w:cs="Times New Roman"/>
          <w:b/>
          <w:sz w:val="28"/>
        </w:rPr>
        <w:t>P</w:t>
      </w:r>
      <w:r w:rsidR="00E73BD0" w:rsidRPr="00A73EE6">
        <w:rPr>
          <w:rFonts w:cs="Times New Roman"/>
          <w:b/>
          <w:sz w:val="28"/>
        </w:rPr>
        <w:t xml:space="preserve">harmacoeconomic </w:t>
      </w:r>
      <w:r w:rsidR="00E73BD0">
        <w:rPr>
          <w:rFonts w:cs="Times New Roman"/>
          <w:b/>
          <w:sz w:val="28"/>
        </w:rPr>
        <w:t>A</w:t>
      </w:r>
      <w:r w:rsidR="00E73BD0" w:rsidRPr="00A73EE6">
        <w:rPr>
          <w:rFonts w:cs="Times New Roman"/>
          <w:b/>
          <w:sz w:val="28"/>
        </w:rPr>
        <w:t>nalys</w:t>
      </w:r>
      <w:r w:rsidR="00E73BD0">
        <w:rPr>
          <w:rFonts w:cs="Times New Roman"/>
          <w:b/>
          <w:sz w:val="28"/>
        </w:rPr>
        <w:t>e</w:t>
      </w:r>
      <w:r w:rsidR="00E73BD0" w:rsidRPr="00A73EE6">
        <w:rPr>
          <w:rFonts w:cs="Times New Roman"/>
          <w:b/>
          <w:sz w:val="28"/>
        </w:rPr>
        <w:t xml:space="preserve">s in </w:t>
      </w:r>
      <w:r w:rsidR="00E73BD0">
        <w:rPr>
          <w:rFonts w:cs="Times New Roman"/>
          <w:b/>
          <w:sz w:val="28"/>
        </w:rPr>
        <w:t>T</w:t>
      </w:r>
      <w:r w:rsidR="00E73BD0" w:rsidRPr="00A73EE6">
        <w:rPr>
          <w:rFonts w:cs="Times New Roman"/>
          <w:b/>
          <w:sz w:val="28"/>
        </w:rPr>
        <w:t>herapeuti</w:t>
      </w:r>
      <w:r w:rsidR="00E73BD0">
        <w:rPr>
          <w:rFonts w:cs="Times New Roman"/>
          <w:b/>
          <w:sz w:val="28"/>
        </w:rPr>
        <w:t>c D</w:t>
      </w:r>
      <w:r w:rsidR="00E73BD0" w:rsidRPr="00A73EE6">
        <w:rPr>
          <w:rFonts w:cs="Times New Roman"/>
          <w:b/>
          <w:sz w:val="28"/>
        </w:rPr>
        <w:t xml:space="preserve">rug </w:t>
      </w:r>
      <w:r w:rsidR="00E73BD0">
        <w:rPr>
          <w:rFonts w:cs="Times New Roman"/>
          <w:b/>
          <w:sz w:val="28"/>
        </w:rPr>
        <w:t>M</w:t>
      </w:r>
      <w:r w:rsidR="00E73BD0" w:rsidRPr="00A73EE6">
        <w:rPr>
          <w:rFonts w:cs="Times New Roman"/>
          <w:b/>
          <w:sz w:val="28"/>
        </w:rPr>
        <w:t>onitoring</w:t>
      </w:r>
    </w:p>
    <w:p w14:paraId="35A1896E" w14:textId="77777777" w:rsidR="00E73BD0" w:rsidRPr="00A73EE6" w:rsidRDefault="00E73BD0" w:rsidP="006A7B56">
      <w:pPr>
        <w:jc w:val="both"/>
        <w:rPr>
          <w:rFonts w:cs="Times New Roman"/>
          <w:b/>
          <w:sz w:val="28"/>
        </w:rPr>
      </w:pPr>
    </w:p>
    <w:tbl>
      <w:tblPr>
        <w:tblStyle w:val="TableGrid"/>
        <w:tblW w:w="9350" w:type="dxa"/>
        <w:jc w:val="center"/>
        <w:tblLayout w:type="fixed"/>
        <w:tblLook w:val="04A0" w:firstRow="1" w:lastRow="0" w:firstColumn="1" w:lastColumn="0" w:noHBand="0" w:noVBand="1"/>
      </w:tblPr>
      <w:tblGrid>
        <w:gridCol w:w="2785"/>
        <w:gridCol w:w="4230"/>
        <w:gridCol w:w="2335"/>
      </w:tblGrid>
      <w:tr w:rsidR="006A7B56" w:rsidRPr="00A73EE6" w14:paraId="149766B1" w14:textId="77777777" w:rsidTr="003F42B2">
        <w:trPr>
          <w:jc w:val="center"/>
        </w:trPr>
        <w:tc>
          <w:tcPr>
            <w:tcW w:w="2785" w:type="dxa"/>
          </w:tcPr>
          <w:p w14:paraId="73A57B9B" w14:textId="77777777" w:rsidR="006A7B56" w:rsidRPr="00A73EE6" w:rsidRDefault="006A7B56" w:rsidP="003F42B2">
            <w:pPr>
              <w:rPr>
                <w:rFonts w:ascii="Times New Roman" w:hAnsi="Times New Roman" w:cs="Times New Roman"/>
                <w:b/>
              </w:rPr>
            </w:pPr>
            <w:r w:rsidRPr="00A73EE6">
              <w:rPr>
                <w:rFonts w:ascii="Times New Roman" w:hAnsi="Times New Roman" w:cs="Times New Roman"/>
                <w:b/>
              </w:rPr>
              <w:t>Study description</w:t>
            </w:r>
          </w:p>
        </w:tc>
        <w:tc>
          <w:tcPr>
            <w:tcW w:w="4230" w:type="dxa"/>
          </w:tcPr>
          <w:p w14:paraId="2E83DF2C" w14:textId="77777777" w:rsidR="006A7B56" w:rsidRPr="00A73EE6" w:rsidRDefault="006A7B56" w:rsidP="003F42B2">
            <w:pPr>
              <w:rPr>
                <w:rFonts w:ascii="Times New Roman" w:hAnsi="Times New Roman" w:cs="Times New Roman"/>
                <w:b/>
              </w:rPr>
            </w:pPr>
            <w:r w:rsidRPr="00A73EE6">
              <w:rPr>
                <w:rFonts w:ascii="Times New Roman" w:hAnsi="Times New Roman" w:cs="Times New Roman"/>
                <w:b/>
              </w:rPr>
              <w:t>Cost effectiveness comparators</w:t>
            </w:r>
          </w:p>
        </w:tc>
        <w:tc>
          <w:tcPr>
            <w:tcW w:w="2335" w:type="dxa"/>
          </w:tcPr>
          <w:p w14:paraId="14156A30" w14:textId="77777777" w:rsidR="006A7B56" w:rsidRPr="00A73EE6" w:rsidRDefault="006A7B56" w:rsidP="003F42B2">
            <w:pPr>
              <w:rPr>
                <w:rFonts w:ascii="Times New Roman" w:hAnsi="Times New Roman" w:cs="Times New Roman"/>
                <w:b/>
              </w:rPr>
            </w:pPr>
            <w:r w:rsidRPr="00A73EE6">
              <w:rPr>
                <w:rFonts w:ascii="Times New Roman" w:hAnsi="Times New Roman" w:cs="Times New Roman"/>
                <w:b/>
              </w:rPr>
              <w:t>Result of PE</w:t>
            </w:r>
          </w:p>
        </w:tc>
      </w:tr>
      <w:tr w:rsidR="006A7B56" w:rsidRPr="00A73EE6" w14:paraId="6B211F81" w14:textId="77777777" w:rsidTr="003F42B2">
        <w:trPr>
          <w:trHeight w:val="1762"/>
          <w:jc w:val="center"/>
        </w:trPr>
        <w:tc>
          <w:tcPr>
            <w:tcW w:w="2785" w:type="dxa"/>
          </w:tcPr>
          <w:p w14:paraId="0F4B5112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CEA of model-based</w:t>
            </w:r>
            <w:r w:rsidRPr="00A73EE6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A73EE6">
              <w:rPr>
                <w:rFonts w:ascii="Times New Roman" w:hAnsi="Times New Roman" w:cs="Times New Roman"/>
              </w:rPr>
              <w:t xml:space="preserve">clinical pharmacokinetic dosing of </w:t>
            </w:r>
            <w:proofErr w:type="gramStart"/>
            <w:r w:rsidRPr="00A73EE6">
              <w:rPr>
                <w:rFonts w:ascii="Times New Roman" w:hAnsi="Times New Roman" w:cs="Times New Roman"/>
              </w:rPr>
              <w:t>aminoglycosides</w:t>
            </w:r>
            <w:r w:rsidRPr="009C3B34">
              <w:rPr>
                <w:rFonts w:ascii="Times New Roman" w:hAnsi="Times New Roman" w:cs="Times New Roman"/>
                <w:vertAlign w:val="superscript"/>
              </w:rPr>
              <w:t>[</w:t>
            </w:r>
            <w:proofErr w:type="gramEnd"/>
            <w:r w:rsidRPr="009C3B34">
              <w:rPr>
                <w:rStyle w:val="EndnoteReference"/>
                <w:rFonts w:ascii="Times New Roman" w:hAnsi="Times New Roman" w:cs="Times New Roman"/>
              </w:rPr>
              <w:endnoteReference w:id="1"/>
            </w:r>
            <w:r w:rsidRPr="009C3B34">
              <w:rPr>
                <w:rFonts w:ascii="Times New Roman" w:hAnsi="Times New Roman" w:cs="Times New Roman"/>
                <w:vertAlign w:val="superscript"/>
              </w:rPr>
              <w:t>]</w:t>
            </w:r>
          </w:p>
        </w:tc>
        <w:tc>
          <w:tcPr>
            <w:tcW w:w="4230" w:type="dxa"/>
          </w:tcPr>
          <w:p w14:paraId="5771DEED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 xml:space="preserve">ATM group versus Non-guided TDM </w:t>
            </w:r>
          </w:p>
          <w:p w14:paraId="46821D90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</w:p>
          <w:p w14:paraId="08B4F3A2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Steps involved in ATM:</w:t>
            </w:r>
          </w:p>
          <w:p w14:paraId="20F34AEC" w14:textId="77777777" w:rsidR="006A7B56" w:rsidRPr="00A73EE6" w:rsidRDefault="006A7B56" w:rsidP="006A7B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Pharmacokinetic dose optimization</w:t>
            </w:r>
          </w:p>
          <w:p w14:paraId="308DF4A3" w14:textId="77777777" w:rsidR="006A7B56" w:rsidRPr="00A73EE6" w:rsidRDefault="006A7B56" w:rsidP="006A7B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Bayesian adaptive control</w:t>
            </w:r>
          </w:p>
          <w:p w14:paraId="50EECDD5" w14:textId="77777777" w:rsidR="006A7B56" w:rsidRPr="00A73EE6" w:rsidRDefault="006A7B56" w:rsidP="006A7B5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Frequent patient evaluation</w:t>
            </w:r>
          </w:p>
        </w:tc>
        <w:tc>
          <w:tcPr>
            <w:tcW w:w="2335" w:type="dxa"/>
          </w:tcPr>
          <w:p w14:paraId="745B3C31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Combining efficacy with savings ATM offered significant advantage.</w:t>
            </w:r>
          </w:p>
        </w:tc>
      </w:tr>
      <w:tr w:rsidR="006A7B56" w:rsidRPr="00A73EE6" w14:paraId="4701EC89" w14:textId="77777777" w:rsidTr="003F42B2">
        <w:trPr>
          <w:trHeight w:val="1762"/>
          <w:jc w:val="center"/>
        </w:trPr>
        <w:tc>
          <w:tcPr>
            <w:tcW w:w="2785" w:type="dxa"/>
          </w:tcPr>
          <w:p w14:paraId="70C293DE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 xml:space="preserve">CEA of serum vancomycin concentration in patients with hematologic </w:t>
            </w:r>
            <w:proofErr w:type="gramStart"/>
            <w:r w:rsidRPr="00A73EE6">
              <w:rPr>
                <w:rFonts w:ascii="Times New Roman" w:hAnsi="Times New Roman" w:cs="Times New Roman"/>
              </w:rPr>
              <w:t>malignancies</w:t>
            </w:r>
            <w:r w:rsidRPr="009C3B34">
              <w:rPr>
                <w:rFonts w:ascii="Times New Roman" w:hAnsi="Times New Roman" w:cs="Times New Roman"/>
                <w:vertAlign w:val="superscript"/>
              </w:rPr>
              <w:t>[</w:t>
            </w:r>
            <w:proofErr w:type="gramEnd"/>
            <w:r w:rsidRPr="009C3B34">
              <w:rPr>
                <w:rStyle w:val="EndnoteReference"/>
                <w:rFonts w:ascii="Times New Roman" w:hAnsi="Times New Roman" w:cs="Times New Roman"/>
              </w:rPr>
              <w:endnoteReference w:id="2"/>
            </w:r>
            <w:r w:rsidRPr="009C3B34">
              <w:rPr>
                <w:rFonts w:ascii="Times New Roman" w:hAnsi="Times New Roman" w:cs="Times New Roman"/>
                <w:vertAlign w:val="superscript"/>
              </w:rPr>
              <w:t>]</w:t>
            </w:r>
          </w:p>
        </w:tc>
        <w:tc>
          <w:tcPr>
            <w:tcW w:w="4230" w:type="dxa"/>
          </w:tcPr>
          <w:p w14:paraId="73AF9D29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 xml:space="preserve">TDM group versus Control </w:t>
            </w:r>
          </w:p>
          <w:p w14:paraId="332D354B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</w:p>
          <w:p w14:paraId="68623A69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Steps involved in TDM group:</w:t>
            </w:r>
          </w:p>
          <w:p w14:paraId="1B67C8E1" w14:textId="77777777" w:rsidR="006A7B56" w:rsidRPr="00A73EE6" w:rsidRDefault="006A7B56" w:rsidP="006A7B5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Clinical Pharmacist follow up to interpret vancomycin levels</w:t>
            </w:r>
          </w:p>
          <w:p w14:paraId="77922771" w14:textId="77777777" w:rsidR="006A7B56" w:rsidRPr="00A73EE6" w:rsidRDefault="006A7B56" w:rsidP="006A7B5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Dose individualization</w:t>
            </w:r>
          </w:p>
        </w:tc>
        <w:tc>
          <w:tcPr>
            <w:tcW w:w="2335" w:type="dxa"/>
          </w:tcPr>
          <w:p w14:paraId="3D0013BC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An incremental cost of $435 per case of nephrotoxicity prevented was found.</w:t>
            </w:r>
          </w:p>
        </w:tc>
      </w:tr>
      <w:tr w:rsidR="006A7B56" w:rsidRPr="00A73EE6" w14:paraId="28294252" w14:textId="77777777" w:rsidTr="003F42B2">
        <w:trPr>
          <w:trHeight w:val="1762"/>
          <w:jc w:val="center"/>
        </w:trPr>
        <w:tc>
          <w:tcPr>
            <w:tcW w:w="2785" w:type="dxa"/>
          </w:tcPr>
          <w:p w14:paraId="2FDC2A6C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 xml:space="preserve">CE of DBS versus conventional sampling for TDM in </w:t>
            </w:r>
            <w:proofErr w:type="gramStart"/>
            <w:r w:rsidRPr="00A73EE6">
              <w:rPr>
                <w:rFonts w:ascii="Times New Roman" w:hAnsi="Times New Roman" w:cs="Times New Roman"/>
              </w:rPr>
              <w:t>children</w:t>
            </w:r>
            <w:r w:rsidRPr="009C3B34">
              <w:rPr>
                <w:rFonts w:ascii="Times New Roman" w:hAnsi="Times New Roman" w:cs="Times New Roman"/>
                <w:vertAlign w:val="superscript"/>
              </w:rPr>
              <w:t>[</w:t>
            </w:r>
            <w:proofErr w:type="gramEnd"/>
            <w:r w:rsidRPr="009C3B34">
              <w:rPr>
                <w:rStyle w:val="EndnoteReference"/>
                <w:rFonts w:ascii="Times New Roman" w:hAnsi="Times New Roman" w:cs="Times New Roman"/>
              </w:rPr>
              <w:endnoteReference w:id="3"/>
            </w:r>
            <w:r w:rsidRPr="009C3B34">
              <w:rPr>
                <w:rFonts w:ascii="Times New Roman" w:hAnsi="Times New Roman" w:cs="Times New Roman"/>
                <w:vertAlign w:val="superscript"/>
              </w:rPr>
              <w:t>]</w:t>
            </w:r>
          </w:p>
        </w:tc>
        <w:tc>
          <w:tcPr>
            <w:tcW w:w="4230" w:type="dxa"/>
          </w:tcPr>
          <w:p w14:paraId="2C54453B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 xml:space="preserve">DBS versus conventional TDM sampling in </w:t>
            </w:r>
            <w:proofErr w:type="spellStart"/>
            <w:r w:rsidRPr="00A73EE6">
              <w:rPr>
                <w:rFonts w:ascii="Times New Roman" w:hAnsi="Times New Roman" w:cs="Times New Roman"/>
              </w:rPr>
              <w:t>hemato</w:t>
            </w:r>
            <w:proofErr w:type="spellEnd"/>
            <w:r w:rsidRPr="00A73EE6">
              <w:rPr>
                <w:rFonts w:ascii="Times New Roman" w:hAnsi="Times New Roman" w:cs="Times New Roman"/>
              </w:rPr>
              <w:t>-oncology and nephrology patients</w:t>
            </w:r>
          </w:p>
        </w:tc>
        <w:tc>
          <w:tcPr>
            <w:tcW w:w="2335" w:type="dxa"/>
          </w:tcPr>
          <w:p w14:paraId="37F0B3AA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 xml:space="preserve">A cost reduction of 43% in the </w:t>
            </w:r>
            <w:proofErr w:type="spellStart"/>
            <w:r w:rsidRPr="00A73EE6">
              <w:rPr>
                <w:rFonts w:ascii="Times New Roman" w:hAnsi="Times New Roman" w:cs="Times New Roman"/>
              </w:rPr>
              <w:t>hemato</w:t>
            </w:r>
            <w:proofErr w:type="spellEnd"/>
            <w:r w:rsidRPr="00A73EE6">
              <w:rPr>
                <w:rFonts w:ascii="Times New Roman" w:hAnsi="Times New Roman" w:cs="Times New Roman"/>
              </w:rPr>
              <w:t>-oncology group and 61% in the nephrology group with DBS was observed.</w:t>
            </w:r>
          </w:p>
        </w:tc>
      </w:tr>
      <w:tr w:rsidR="006A7B56" w:rsidRPr="00A73EE6" w14:paraId="357ACBAC" w14:textId="77777777" w:rsidTr="003F42B2">
        <w:trPr>
          <w:trHeight w:val="1762"/>
          <w:jc w:val="center"/>
        </w:trPr>
        <w:tc>
          <w:tcPr>
            <w:tcW w:w="2785" w:type="dxa"/>
          </w:tcPr>
          <w:p w14:paraId="51E21B28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 xml:space="preserve">PE analysis of TDM in adult patients with GTCS in a large public </w:t>
            </w:r>
            <w:proofErr w:type="gramStart"/>
            <w:r w:rsidRPr="00A73EE6">
              <w:rPr>
                <w:rFonts w:ascii="Times New Roman" w:hAnsi="Times New Roman" w:cs="Times New Roman"/>
              </w:rPr>
              <w:t>hospital</w:t>
            </w:r>
            <w:r w:rsidRPr="009C3B34">
              <w:rPr>
                <w:rFonts w:ascii="Times New Roman" w:hAnsi="Times New Roman" w:cs="Times New Roman"/>
                <w:vertAlign w:val="superscript"/>
              </w:rPr>
              <w:t>[</w:t>
            </w:r>
            <w:proofErr w:type="gramEnd"/>
            <w:r w:rsidRPr="009C3B34">
              <w:rPr>
                <w:rFonts w:ascii="Times New Roman" w:hAnsi="Times New Roman" w:cs="Times New Roman"/>
                <w:vertAlign w:val="superscript"/>
              </w:rPr>
              <w:t>13]</w:t>
            </w:r>
          </w:p>
        </w:tc>
        <w:tc>
          <w:tcPr>
            <w:tcW w:w="4230" w:type="dxa"/>
          </w:tcPr>
          <w:p w14:paraId="6A389F6D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 xml:space="preserve">TDM group versus Control </w:t>
            </w:r>
          </w:p>
          <w:p w14:paraId="194906E5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</w:p>
          <w:p w14:paraId="219A410E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Only direct cost was measured:</w:t>
            </w:r>
          </w:p>
          <w:p w14:paraId="35BE82F7" w14:textId="77777777" w:rsidR="006A7B56" w:rsidRPr="00A73EE6" w:rsidRDefault="006A7B56" w:rsidP="006A7B5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Cost to hospital for TDM service provided</w:t>
            </w:r>
          </w:p>
          <w:p w14:paraId="68B2FF24" w14:textId="77777777" w:rsidR="006A7B56" w:rsidRPr="00A73EE6" w:rsidRDefault="006A7B56" w:rsidP="006A7B5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Cost to hospital per seizure saved</w:t>
            </w:r>
          </w:p>
          <w:p w14:paraId="35F2F7DF" w14:textId="77777777" w:rsidR="006A7B56" w:rsidRPr="00A73EE6" w:rsidRDefault="006A7B56" w:rsidP="006A7B5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A73EE6">
              <w:rPr>
                <w:rFonts w:ascii="Times New Roman" w:hAnsi="Times New Roman" w:cs="Times New Roman"/>
              </w:rPr>
              <w:t>Cost to patient per seizure saved</w:t>
            </w:r>
          </w:p>
          <w:p w14:paraId="451C0027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5" w:type="dxa"/>
          </w:tcPr>
          <w:p w14:paraId="5E3E9F59" w14:textId="77777777" w:rsidR="006A7B56" w:rsidRPr="00A73EE6" w:rsidRDefault="006A7B56" w:rsidP="003F42B2">
            <w:pPr>
              <w:rPr>
                <w:rFonts w:ascii="Times New Roman" w:hAnsi="Times New Roman" w:cs="Times New Roman"/>
                <w:lang w:val="en-IN"/>
              </w:rPr>
            </w:pPr>
            <w:r w:rsidRPr="00A73EE6">
              <w:rPr>
                <w:rFonts w:ascii="Times New Roman" w:hAnsi="Times New Roman" w:cs="Times New Roman"/>
              </w:rPr>
              <w:t xml:space="preserve">The cost of TDM to hospital per seizure prevented was </w:t>
            </w:r>
            <w:r w:rsidRPr="00A73EE6">
              <w:rPr>
                <w:rFonts w:ascii="Cambria Math" w:hAnsi="Cambria Math" w:cs="Cambria Math"/>
                <w:lang w:val="en-IN"/>
              </w:rPr>
              <w:t>₹</w:t>
            </w:r>
            <w:r w:rsidRPr="00A73EE6">
              <w:rPr>
                <w:rFonts w:ascii="Times New Roman" w:hAnsi="Times New Roman" w:cs="Times New Roman"/>
              </w:rPr>
              <w:t xml:space="preserve">22.35 while cost to the patient was </w:t>
            </w:r>
            <w:r w:rsidRPr="00A73EE6">
              <w:rPr>
                <w:rFonts w:ascii="Cambria Math" w:hAnsi="Cambria Math" w:cs="Cambria Math"/>
                <w:lang w:val="en-IN"/>
              </w:rPr>
              <w:t>₹</w:t>
            </w:r>
            <w:r w:rsidRPr="00A73EE6">
              <w:rPr>
                <w:rFonts w:ascii="Times New Roman" w:hAnsi="Times New Roman" w:cs="Times New Roman"/>
              </w:rPr>
              <w:t xml:space="preserve">4.50. </w:t>
            </w:r>
          </w:p>
          <w:p w14:paraId="2374089A" w14:textId="77777777" w:rsidR="006A7B56" w:rsidRPr="00A73EE6" w:rsidRDefault="006A7B56" w:rsidP="003F42B2">
            <w:pPr>
              <w:rPr>
                <w:rFonts w:ascii="Times New Roman" w:hAnsi="Times New Roman" w:cs="Times New Roman"/>
              </w:rPr>
            </w:pPr>
          </w:p>
        </w:tc>
      </w:tr>
    </w:tbl>
    <w:p w14:paraId="292068B6" w14:textId="77777777" w:rsidR="006A7B56" w:rsidRPr="00A73EE6" w:rsidRDefault="006A7B56" w:rsidP="006A7B56">
      <w:pPr>
        <w:tabs>
          <w:tab w:val="left" w:pos="1280"/>
        </w:tabs>
        <w:rPr>
          <w:rFonts w:cs="Times New Roman"/>
          <w:sz w:val="21"/>
        </w:rPr>
      </w:pPr>
      <w:r w:rsidRPr="00A73EE6">
        <w:rPr>
          <w:rFonts w:cs="Times New Roman"/>
          <w:sz w:val="21"/>
        </w:rPr>
        <w:t>PE = Pharmacoeconomic, CEA = Cost effective analysis, ATM = Active therapeutic drug monitoring, TDM = Therapeutic drug monitoring, DBS = Dried blood sampling, GTCS = Generalized tonic clonic seizures.</w:t>
      </w:r>
    </w:p>
    <w:p w14:paraId="7408B668" w14:textId="6D446C31" w:rsidR="006A7B56" w:rsidRPr="006A7B56" w:rsidRDefault="006A7B56">
      <w:pPr>
        <w:rPr>
          <w:lang w:val="en-US"/>
        </w:rPr>
      </w:pPr>
    </w:p>
    <w:sectPr w:rsidR="006A7B56" w:rsidRPr="006A7B56" w:rsidSect="0032687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74D24" w14:textId="77777777" w:rsidR="00484ABE" w:rsidRDefault="00484ABE" w:rsidP="006A7B56">
      <w:r>
        <w:separator/>
      </w:r>
    </w:p>
  </w:endnote>
  <w:endnote w:type="continuationSeparator" w:id="0">
    <w:p w14:paraId="7EC32517" w14:textId="77777777" w:rsidR="00484ABE" w:rsidRDefault="00484ABE" w:rsidP="006A7B56">
      <w:r>
        <w:continuationSeparator/>
      </w:r>
    </w:p>
  </w:endnote>
  <w:endnote w:id="1">
    <w:p w14:paraId="42E44327" w14:textId="77777777" w:rsidR="006A7B56" w:rsidRPr="00001D0D" w:rsidRDefault="006A7B56" w:rsidP="006A7B56">
      <w:pPr>
        <w:pStyle w:val="EndnoteText"/>
        <w:rPr>
          <w:rFonts w:ascii="Times New Roman" w:hAnsi="Times New Roman" w:cs="Times New Roman"/>
          <w:bCs/>
          <w:color w:val="000000" w:themeColor="text1"/>
        </w:rPr>
      </w:pPr>
      <w:r w:rsidRPr="00001D0D">
        <w:rPr>
          <w:rStyle w:val="EndnoteReference"/>
          <w:rFonts w:ascii="Times New Roman" w:hAnsi="Times New Roman" w:cs="Times New Roman"/>
          <w:color w:val="000000" w:themeColor="text1"/>
        </w:rPr>
        <w:endnoteRef/>
      </w:r>
      <w:r w:rsidRPr="00001D0D">
        <w:rPr>
          <w:rFonts w:ascii="Times New Roman" w:hAnsi="Times New Roman" w:cs="Times New Roman"/>
          <w:color w:val="000000" w:themeColor="text1"/>
        </w:rPr>
        <w:t xml:space="preserve"> Van Lent-Evers, Nicolette A. E. M.; </w:t>
      </w:r>
      <w:proofErr w:type="spellStart"/>
      <w:r w:rsidRPr="00001D0D">
        <w:rPr>
          <w:rFonts w:ascii="Times New Roman" w:hAnsi="Times New Roman" w:cs="Times New Roman"/>
          <w:color w:val="000000" w:themeColor="text1"/>
        </w:rPr>
        <w:t>Mathôt</w:t>
      </w:r>
      <w:proofErr w:type="spellEnd"/>
      <w:r w:rsidRPr="00001D0D">
        <w:rPr>
          <w:rFonts w:ascii="Times New Roman" w:hAnsi="Times New Roman" w:cs="Times New Roman"/>
          <w:color w:val="000000" w:themeColor="text1"/>
        </w:rPr>
        <w:t xml:space="preserve">, Ron A. A.; </w:t>
      </w:r>
      <w:proofErr w:type="spellStart"/>
      <w:r w:rsidRPr="00001D0D">
        <w:rPr>
          <w:rFonts w:ascii="Times New Roman" w:hAnsi="Times New Roman" w:cs="Times New Roman"/>
          <w:color w:val="000000" w:themeColor="text1"/>
        </w:rPr>
        <w:t>Geus</w:t>
      </w:r>
      <w:proofErr w:type="spellEnd"/>
      <w:r w:rsidRPr="00001D0D">
        <w:rPr>
          <w:rFonts w:ascii="Times New Roman" w:hAnsi="Times New Roman" w:cs="Times New Roman"/>
          <w:color w:val="000000" w:themeColor="text1"/>
        </w:rPr>
        <w:t xml:space="preserve">, William P.; van </w:t>
      </w:r>
      <w:proofErr w:type="spellStart"/>
      <w:r w:rsidRPr="00001D0D">
        <w:rPr>
          <w:rFonts w:ascii="Times New Roman" w:hAnsi="Times New Roman" w:cs="Times New Roman"/>
          <w:color w:val="000000" w:themeColor="text1"/>
        </w:rPr>
        <w:t>Hout</w:t>
      </w:r>
      <w:proofErr w:type="spellEnd"/>
      <w:r w:rsidRPr="00001D0D">
        <w:rPr>
          <w:rFonts w:ascii="Times New Roman" w:hAnsi="Times New Roman" w:cs="Times New Roman"/>
          <w:color w:val="000000" w:themeColor="text1"/>
        </w:rPr>
        <w:t xml:space="preserve">, Ben A.; </w:t>
      </w:r>
      <w:proofErr w:type="spellStart"/>
      <w:r w:rsidRPr="00001D0D">
        <w:rPr>
          <w:rFonts w:ascii="Times New Roman" w:hAnsi="Times New Roman" w:cs="Times New Roman"/>
          <w:color w:val="000000" w:themeColor="text1"/>
        </w:rPr>
        <w:t>Vinks</w:t>
      </w:r>
      <w:proofErr w:type="spellEnd"/>
      <w:r w:rsidRPr="00001D0D">
        <w:rPr>
          <w:rFonts w:ascii="Times New Roman" w:hAnsi="Times New Roman" w:cs="Times New Roman"/>
          <w:color w:val="000000" w:themeColor="text1"/>
        </w:rPr>
        <w:t>, Alexander A. T. M.M ,</w:t>
      </w:r>
      <w:r w:rsidRPr="00001D0D">
        <w:rPr>
          <w:rFonts w:ascii="Times New Roman" w:hAnsi="Times New Roman" w:cs="Times New Roman"/>
          <w:bCs/>
          <w:color w:val="000000" w:themeColor="text1"/>
        </w:rPr>
        <w:t>Impact of Goal-Oriented and Model-Based Clinical Pharmacokinetic Dosing of Aminoglycosides on Clinical Outcome: A Cost-Effectiveness </w:t>
      </w:r>
      <w:proofErr w:type="spellStart"/>
      <w:r w:rsidRPr="00001D0D">
        <w:rPr>
          <w:rFonts w:ascii="Times New Roman" w:hAnsi="Times New Roman" w:cs="Times New Roman"/>
          <w:bCs/>
          <w:color w:val="000000" w:themeColor="text1"/>
        </w:rPr>
        <w:t>Analysis.</w:t>
      </w:r>
      <w:r w:rsidRPr="00001D0D">
        <w:rPr>
          <w:rFonts w:ascii="Times New Roman" w:hAnsi="Times New Roman" w:cs="Times New Roman"/>
          <w:color w:val="000000" w:themeColor="text1"/>
        </w:rPr>
        <w:t>Therapeutic</w:t>
      </w:r>
      <w:proofErr w:type="spellEnd"/>
      <w:r w:rsidRPr="00001D0D">
        <w:rPr>
          <w:rFonts w:ascii="Times New Roman" w:hAnsi="Times New Roman" w:cs="Times New Roman"/>
          <w:color w:val="000000" w:themeColor="text1"/>
        </w:rPr>
        <w:t xml:space="preserve"> Drug Monitoring: </w:t>
      </w:r>
      <w:r w:rsidRPr="00001D0D">
        <w:rPr>
          <w:rStyle w:val="Hyperlink"/>
          <w:rFonts w:ascii="Times New Roman" w:hAnsi="Times New Roman" w:cs="Times New Roman"/>
          <w:color w:val="000000" w:themeColor="text1"/>
          <w:u w:val="none"/>
        </w:rPr>
        <w:t>February 1999 - Volume 21 - Issue 1 - p 63-73</w:t>
      </w:r>
    </w:p>
    <w:p w14:paraId="49F0F573" w14:textId="77777777" w:rsidR="006A7B56" w:rsidRPr="00001D0D" w:rsidRDefault="006A7B56" w:rsidP="006A7B56">
      <w:pPr>
        <w:pStyle w:val="EndnoteText"/>
        <w:rPr>
          <w:rFonts w:ascii="Times New Roman" w:hAnsi="Times New Roman" w:cs="Times New Roman"/>
          <w:color w:val="000000" w:themeColor="text1"/>
          <w:lang w:val="en-US"/>
        </w:rPr>
      </w:pPr>
    </w:p>
  </w:endnote>
  <w:endnote w:id="2">
    <w:p w14:paraId="3C052527" w14:textId="77777777" w:rsidR="006A7B56" w:rsidRPr="00001D0D" w:rsidRDefault="006A7B56" w:rsidP="006A7B56">
      <w:pPr>
        <w:rPr>
          <w:rFonts w:cs="Times New Roman"/>
          <w:bCs/>
          <w:color w:val="000000" w:themeColor="text1"/>
        </w:rPr>
      </w:pPr>
      <w:r w:rsidRPr="00001D0D">
        <w:rPr>
          <w:rStyle w:val="EndnoteReference"/>
          <w:rFonts w:cs="Times New Roman"/>
          <w:color w:val="000000" w:themeColor="text1"/>
        </w:rPr>
        <w:endnoteRef/>
      </w:r>
      <w:r w:rsidRPr="00001D0D">
        <w:rPr>
          <w:rFonts w:cs="Times New Roman"/>
          <w:color w:val="000000" w:themeColor="text1"/>
        </w:rPr>
        <w:t xml:space="preserve"> </w:t>
      </w:r>
      <w:r w:rsidRPr="00001D0D">
        <w:rPr>
          <w:rStyle w:val="Hyperlink"/>
          <w:rFonts w:cs="Times New Roman"/>
          <w:color w:val="000000" w:themeColor="text1"/>
          <w:u w:val="none"/>
        </w:rPr>
        <w:t xml:space="preserve">Fernández de </w:t>
      </w:r>
      <w:proofErr w:type="spellStart"/>
      <w:r w:rsidRPr="00001D0D">
        <w:rPr>
          <w:rStyle w:val="Hyperlink"/>
          <w:rFonts w:cs="Times New Roman"/>
          <w:color w:val="000000" w:themeColor="text1"/>
          <w:u w:val="none"/>
        </w:rPr>
        <w:t>Gatta</w:t>
      </w:r>
      <w:proofErr w:type="spellEnd"/>
      <w:r w:rsidRPr="00001D0D">
        <w:rPr>
          <w:rStyle w:val="Hyperlink"/>
          <w:rFonts w:cs="Times New Roman"/>
          <w:color w:val="000000" w:themeColor="text1"/>
          <w:u w:val="none"/>
        </w:rPr>
        <w:t xml:space="preserve"> MD</w:t>
      </w:r>
      <w:r w:rsidRPr="00001D0D">
        <w:rPr>
          <w:rFonts w:cs="Times New Roman"/>
          <w:color w:val="000000" w:themeColor="text1"/>
        </w:rPr>
        <w:t>, </w:t>
      </w:r>
      <w:r w:rsidRPr="00001D0D">
        <w:rPr>
          <w:rStyle w:val="Hyperlink"/>
          <w:rFonts w:cs="Times New Roman"/>
          <w:color w:val="000000" w:themeColor="text1"/>
          <w:u w:val="none"/>
        </w:rPr>
        <w:t>Calvo MV</w:t>
      </w:r>
      <w:r w:rsidRPr="00001D0D">
        <w:rPr>
          <w:rFonts w:cs="Times New Roman"/>
          <w:color w:val="000000" w:themeColor="text1"/>
        </w:rPr>
        <w:t>, </w:t>
      </w:r>
      <w:r w:rsidRPr="00001D0D">
        <w:rPr>
          <w:rStyle w:val="Hyperlink"/>
          <w:rFonts w:cs="Times New Roman"/>
          <w:color w:val="000000" w:themeColor="text1"/>
          <w:u w:val="none"/>
        </w:rPr>
        <w:t>Hernández JM</w:t>
      </w:r>
      <w:r w:rsidRPr="00001D0D">
        <w:rPr>
          <w:rFonts w:cs="Times New Roman"/>
          <w:color w:val="000000" w:themeColor="text1"/>
        </w:rPr>
        <w:t>, </w:t>
      </w:r>
      <w:r w:rsidRPr="00001D0D">
        <w:rPr>
          <w:rStyle w:val="Hyperlink"/>
          <w:rFonts w:cs="Times New Roman"/>
          <w:color w:val="000000" w:themeColor="text1"/>
          <w:u w:val="none"/>
        </w:rPr>
        <w:t>Caballero D</w:t>
      </w:r>
      <w:r w:rsidRPr="00001D0D">
        <w:rPr>
          <w:rFonts w:cs="Times New Roman"/>
          <w:color w:val="000000" w:themeColor="text1"/>
        </w:rPr>
        <w:t>, </w:t>
      </w:r>
      <w:r w:rsidRPr="00001D0D">
        <w:rPr>
          <w:rStyle w:val="Hyperlink"/>
          <w:rFonts w:cs="Times New Roman"/>
          <w:color w:val="000000" w:themeColor="text1"/>
          <w:u w:val="none"/>
        </w:rPr>
        <w:t>San Miguel JF</w:t>
      </w:r>
      <w:r w:rsidRPr="00001D0D">
        <w:rPr>
          <w:rFonts w:cs="Times New Roman"/>
          <w:color w:val="000000" w:themeColor="text1"/>
        </w:rPr>
        <w:t>, </w:t>
      </w:r>
      <w:r w:rsidRPr="00001D0D">
        <w:rPr>
          <w:rStyle w:val="Hyperlink"/>
          <w:rFonts w:cs="Times New Roman"/>
          <w:color w:val="000000" w:themeColor="text1"/>
          <w:u w:val="none"/>
        </w:rPr>
        <w:t>Domínguez-Gil A</w:t>
      </w:r>
      <w:r w:rsidRPr="00001D0D">
        <w:rPr>
          <w:rFonts w:cs="Times New Roman"/>
          <w:color w:val="000000" w:themeColor="text1"/>
        </w:rPr>
        <w:t xml:space="preserve">., </w:t>
      </w:r>
      <w:r w:rsidRPr="00001D0D">
        <w:rPr>
          <w:rFonts w:cs="Times New Roman"/>
          <w:bCs/>
          <w:color w:val="000000" w:themeColor="text1"/>
        </w:rPr>
        <w:t>Cost-effectiveness analysis of serum vancomycin concentration monitoring in patients with hematologic malignancies.</w:t>
      </w:r>
    </w:p>
    <w:p w14:paraId="2C6F23FC" w14:textId="77777777" w:rsidR="006A7B56" w:rsidRPr="00001D0D" w:rsidRDefault="006A7B56" w:rsidP="006A7B56">
      <w:pPr>
        <w:rPr>
          <w:rFonts w:cs="Times New Roman"/>
          <w:color w:val="000000" w:themeColor="text1"/>
        </w:rPr>
      </w:pPr>
      <w:r w:rsidRPr="00001D0D">
        <w:rPr>
          <w:rStyle w:val="Hyperlink"/>
          <w:rFonts w:cs="Times New Roman"/>
          <w:color w:val="000000" w:themeColor="text1"/>
          <w:u w:val="none"/>
        </w:rPr>
        <w:t xml:space="preserve">Clin </w:t>
      </w:r>
      <w:proofErr w:type="spellStart"/>
      <w:r w:rsidRPr="00001D0D">
        <w:rPr>
          <w:rStyle w:val="Hyperlink"/>
          <w:rFonts w:cs="Times New Roman"/>
          <w:color w:val="000000" w:themeColor="text1"/>
          <w:u w:val="none"/>
        </w:rPr>
        <w:t>Pharmacol</w:t>
      </w:r>
      <w:proofErr w:type="spellEnd"/>
      <w:r w:rsidRPr="00001D0D">
        <w:rPr>
          <w:rStyle w:val="Hyperlink"/>
          <w:rFonts w:cs="Times New Roman"/>
          <w:color w:val="000000" w:themeColor="text1"/>
          <w:u w:val="none"/>
        </w:rPr>
        <w:t xml:space="preserve"> </w:t>
      </w:r>
      <w:proofErr w:type="spellStart"/>
      <w:r w:rsidRPr="00001D0D">
        <w:rPr>
          <w:rStyle w:val="Hyperlink"/>
          <w:rFonts w:cs="Times New Roman"/>
          <w:color w:val="000000" w:themeColor="text1"/>
          <w:u w:val="none"/>
        </w:rPr>
        <w:t>Ther</w:t>
      </w:r>
      <w:proofErr w:type="spellEnd"/>
      <w:r w:rsidRPr="00001D0D">
        <w:rPr>
          <w:rStyle w:val="Hyperlink"/>
          <w:rFonts w:cs="Times New Roman"/>
          <w:color w:val="000000" w:themeColor="text1"/>
          <w:u w:val="none"/>
        </w:rPr>
        <w:t>.</w:t>
      </w:r>
      <w:r w:rsidRPr="00001D0D">
        <w:rPr>
          <w:rFonts w:cs="Times New Roman"/>
          <w:color w:val="000000" w:themeColor="text1"/>
        </w:rPr>
        <w:t> 1996 Sep;60(3):332-40.</w:t>
      </w:r>
    </w:p>
    <w:p w14:paraId="3EC433B8" w14:textId="77777777" w:rsidR="006A7B56" w:rsidRPr="00001D0D" w:rsidRDefault="006A7B56" w:rsidP="006A7B56">
      <w:pPr>
        <w:rPr>
          <w:rFonts w:cs="Times New Roman"/>
          <w:color w:val="000000" w:themeColor="text1"/>
        </w:rPr>
      </w:pPr>
    </w:p>
  </w:endnote>
  <w:endnote w:id="3">
    <w:p w14:paraId="0800E407" w14:textId="77777777" w:rsidR="006A7B56" w:rsidRPr="00001D0D" w:rsidRDefault="006A7B56" w:rsidP="006A7B56">
      <w:pPr>
        <w:pStyle w:val="EndnoteText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01D0D">
        <w:rPr>
          <w:rStyle w:val="EndnoteReference"/>
          <w:rFonts w:ascii="Times New Roman" w:hAnsi="Times New Roman" w:cs="Times New Roman"/>
          <w:color w:val="000000" w:themeColor="text1"/>
        </w:rPr>
        <w:endnoteRef/>
      </w:r>
      <w:r w:rsidRPr="00001D0D">
        <w:rPr>
          <w:rFonts w:ascii="Times New Roman" w:hAnsi="Times New Roman" w:cs="Times New Roman"/>
          <w:color w:val="000000" w:themeColor="text1"/>
        </w:rPr>
        <w:t xml:space="preserve"> </w:t>
      </w:r>
      <w:r w:rsidRPr="00001D0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Martial LC, </w:t>
      </w:r>
      <w:proofErr w:type="spellStart"/>
      <w:r w:rsidRPr="00001D0D">
        <w:rPr>
          <w:rFonts w:ascii="Times New Roman" w:hAnsi="Times New Roman" w:cs="Times New Roman"/>
          <w:color w:val="000000" w:themeColor="text1"/>
          <w:shd w:val="clear" w:color="auto" w:fill="FFFFFF"/>
        </w:rPr>
        <w:t>Aarnoutse</w:t>
      </w:r>
      <w:proofErr w:type="spellEnd"/>
      <w:r w:rsidRPr="00001D0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RE, Schreuder MF, </w:t>
      </w:r>
      <w:proofErr w:type="spellStart"/>
      <w:r w:rsidRPr="00001D0D">
        <w:rPr>
          <w:rFonts w:ascii="Times New Roman" w:hAnsi="Times New Roman" w:cs="Times New Roman"/>
          <w:color w:val="000000" w:themeColor="text1"/>
          <w:shd w:val="clear" w:color="auto" w:fill="FFFFFF"/>
        </w:rPr>
        <w:t>Henriet</w:t>
      </w:r>
      <w:proofErr w:type="spellEnd"/>
      <w:r w:rsidRPr="00001D0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SS, </w:t>
      </w:r>
      <w:proofErr w:type="spellStart"/>
      <w:r w:rsidRPr="00001D0D">
        <w:rPr>
          <w:rFonts w:ascii="Times New Roman" w:hAnsi="Times New Roman" w:cs="Times New Roman"/>
          <w:color w:val="000000" w:themeColor="text1"/>
          <w:shd w:val="clear" w:color="auto" w:fill="FFFFFF"/>
        </w:rPr>
        <w:t>Brüggemann</w:t>
      </w:r>
      <w:proofErr w:type="spellEnd"/>
      <w:r w:rsidRPr="00001D0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RJM, </w:t>
      </w:r>
      <w:proofErr w:type="spellStart"/>
      <w:r w:rsidRPr="00001D0D">
        <w:rPr>
          <w:rFonts w:ascii="Times New Roman" w:hAnsi="Times New Roman" w:cs="Times New Roman"/>
          <w:color w:val="000000" w:themeColor="text1"/>
          <w:shd w:val="clear" w:color="auto" w:fill="FFFFFF"/>
        </w:rPr>
        <w:t>Joore</w:t>
      </w:r>
      <w:proofErr w:type="spellEnd"/>
      <w:r w:rsidRPr="00001D0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MA (2016) Cost Evaluation of Dried Blood Spot Home Sampling as Compared to Conventional Sampling for Therapeutic Drug Monitoring in Children. </w:t>
      </w:r>
      <w:proofErr w:type="spellStart"/>
      <w:r w:rsidRPr="00001D0D">
        <w:rPr>
          <w:rFonts w:ascii="Times New Roman" w:hAnsi="Times New Roman" w:cs="Times New Roman"/>
          <w:color w:val="000000" w:themeColor="text1"/>
          <w:shd w:val="clear" w:color="auto" w:fill="FFFFFF"/>
        </w:rPr>
        <w:t>PLoS</w:t>
      </w:r>
      <w:proofErr w:type="spellEnd"/>
      <w:r w:rsidRPr="00001D0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ONE 11(12): e0167433. </w:t>
      </w:r>
      <w:r w:rsidRPr="00001D0D">
        <w:rPr>
          <w:rStyle w:val="Hyperlink"/>
          <w:rFonts w:ascii="Times New Roman" w:hAnsi="Times New Roman" w:cs="Times New Roman"/>
          <w:color w:val="000000" w:themeColor="text1"/>
          <w:u w:val="none"/>
          <w:shd w:val="clear" w:color="auto" w:fill="FFFFFF"/>
        </w:rPr>
        <w:t>https://doi.org/10.1371/journal.pone.0167433</w:t>
      </w:r>
    </w:p>
    <w:p w14:paraId="25388D47" w14:textId="77777777" w:rsidR="006A7B56" w:rsidRPr="00001D0D" w:rsidRDefault="006A7B56" w:rsidP="006A7B56">
      <w:pPr>
        <w:pStyle w:val="EndnoteText"/>
        <w:rPr>
          <w:rFonts w:ascii="Times New Roman" w:hAnsi="Times New Roman" w:cs="Times New Roman"/>
          <w:color w:val="000000" w:themeColor="text1"/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84451" w14:textId="77777777" w:rsidR="00484ABE" w:rsidRDefault="00484ABE" w:rsidP="006A7B56">
      <w:r>
        <w:separator/>
      </w:r>
    </w:p>
  </w:footnote>
  <w:footnote w:type="continuationSeparator" w:id="0">
    <w:p w14:paraId="7C75527A" w14:textId="77777777" w:rsidR="00484ABE" w:rsidRDefault="00484ABE" w:rsidP="006A7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62283"/>
    <w:multiLevelType w:val="hybridMultilevel"/>
    <w:tmpl w:val="88300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10505"/>
    <w:multiLevelType w:val="hybridMultilevel"/>
    <w:tmpl w:val="DCF2A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7B0C57"/>
    <w:multiLevelType w:val="hybridMultilevel"/>
    <w:tmpl w:val="15000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B56"/>
    <w:rsid w:val="000277E0"/>
    <w:rsid w:val="000B2502"/>
    <w:rsid w:val="000D3F0B"/>
    <w:rsid w:val="00147839"/>
    <w:rsid w:val="00176836"/>
    <w:rsid w:val="001A360A"/>
    <w:rsid w:val="00226AC7"/>
    <w:rsid w:val="00280216"/>
    <w:rsid w:val="002E4E4C"/>
    <w:rsid w:val="00313B25"/>
    <w:rsid w:val="00326870"/>
    <w:rsid w:val="00361E3E"/>
    <w:rsid w:val="00446FE2"/>
    <w:rsid w:val="00473AED"/>
    <w:rsid w:val="00484ABE"/>
    <w:rsid w:val="00535FCE"/>
    <w:rsid w:val="005B245A"/>
    <w:rsid w:val="005F4399"/>
    <w:rsid w:val="006A7B56"/>
    <w:rsid w:val="008236F2"/>
    <w:rsid w:val="008927A8"/>
    <w:rsid w:val="008C5476"/>
    <w:rsid w:val="008C6A90"/>
    <w:rsid w:val="00936296"/>
    <w:rsid w:val="00987AE0"/>
    <w:rsid w:val="009D423B"/>
    <w:rsid w:val="00A530D3"/>
    <w:rsid w:val="00A82368"/>
    <w:rsid w:val="00C23AE3"/>
    <w:rsid w:val="00D308D4"/>
    <w:rsid w:val="00D870C5"/>
    <w:rsid w:val="00DA7147"/>
    <w:rsid w:val="00DD0BC9"/>
    <w:rsid w:val="00DE307F"/>
    <w:rsid w:val="00E10D1C"/>
    <w:rsid w:val="00E73BD0"/>
    <w:rsid w:val="00EA39DE"/>
    <w:rsid w:val="00F84FBA"/>
    <w:rsid w:val="00FA5079"/>
    <w:rsid w:val="00FA5535"/>
    <w:rsid w:val="00FE0577"/>
    <w:rsid w:val="00FF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BF41C1"/>
  <w15:chartTrackingRefBased/>
  <w15:docId w15:val="{800FD485-CB18-8D47-B1F6-6B3ADB1B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 (Body CS)"/>
        <w:sz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6A7B56"/>
    <w:rPr>
      <w:rFonts w:asciiTheme="minorHAnsi" w:eastAsiaTheme="minorEastAsia" w:hAnsiTheme="minorHAnsi" w:cstheme="minorBidi"/>
      <w:szCs w:val="24"/>
      <w:lang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A7B56"/>
    <w:rPr>
      <w:rFonts w:asciiTheme="minorHAnsi" w:eastAsiaTheme="minorEastAsia" w:hAnsiTheme="minorHAnsi" w:cstheme="minorBidi"/>
      <w:szCs w:val="24"/>
      <w:lang w:eastAsia="ja-JP"/>
    </w:rPr>
  </w:style>
  <w:style w:type="character" w:styleId="EndnoteReference">
    <w:name w:val="endnote reference"/>
    <w:basedOn w:val="DefaultParagraphFont"/>
    <w:uiPriority w:val="99"/>
    <w:unhideWhenUsed/>
    <w:rsid w:val="006A7B5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A7B5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7B56"/>
    <w:pPr>
      <w:ind w:left="720"/>
      <w:contextualSpacing/>
    </w:pPr>
    <w:rPr>
      <w:rFonts w:asciiTheme="minorHAnsi" w:hAnsiTheme="minorHAnsi" w:cstheme="minorBidi"/>
      <w:szCs w:val="24"/>
      <w:lang w:val="en-GB" w:eastAsia="ja-JP"/>
    </w:rPr>
  </w:style>
  <w:style w:type="table" w:styleId="TableGrid">
    <w:name w:val="Table Grid"/>
    <w:basedOn w:val="TableNormal"/>
    <w:uiPriority w:val="59"/>
    <w:rsid w:val="006A7B56"/>
    <w:rPr>
      <w:rFonts w:asciiTheme="minorHAnsi" w:hAnsiTheme="minorHAnsi" w:cstheme="minorBidi"/>
      <w:szCs w:val="24"/>
      <w:lang w:val="en-GB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Smita Pattanaik</dc:creator>
  <cp:keywords/>
  <dc:description/>
  <cp:lastModifiedBy>Dr. Smita Pattanaik</cp:lastModifiedBy>
  <cp:revision>3</cp:revision>
  <dcterms:created xsi:type="dcterms:W3CDTF">2021-04-27T13:21:00Z</dcterms:created>
  <dcterms:modified xsi:type="dcterms:W3CDTF">2021-05-18T12:14:00Z</dcterms:modified>
</cp:coreProperties>
</file>