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89C9E" w14:textId="16F9AB44" w:rsidR="00EA6F24" w:rsidRDefault="003D4D33">
      <w:pPr>
        <w:pBdr>
          <w:top w:val="nil"/>
          <w:left w:val="nil"/>
          <w:bottom w:val="nil"/>
          <w:right w:val="nil"/>
          <w:between w:val="nil"/>
        </w:pBdr>
        <w:shd w:val="clear" w:color="auto" w:fill="FFFFFF"/>
        <w:spacing w:before="720" w:after="360" w:line="324" w:lineRule="auto"/>
        <w:jc w:val="center"/>
        <w:rPr>
          <w:rFonts w:ascii="Times New Roman" w:eastAsia="Times New Roman" w:hAnsi="Times New Roman" w:cs="Times New Roman"/>
          <w:b/>
          <w:sz w:val="28"/>
          <w:szCs w:val="28"/>
        </w:rPr>
      </w:pPr>
      <w:bookmarkStart w:id="0" w:name="_heading=h.rrxfm8fw1uah" w:colFirst="0" w:colLast="0"/>
      <w:bookmarkEnd w:id="0"/>
      <w:r>
        <w:rPr>
          <w:rFonts w:ascii="Times New Roman" w:eastAsia="Times New Roman" w:hAnsi="Times New Roman" w:cs="Times New Roman"/>
          <w:b/>
          <w:sz w:val="28"/>
          <w:szCs w:val="28"/>
        </w:rPr>
        <w:t xml:space="preserve">Physiologically-based pharmacokinetics modelling of </w:t>
      </w:r>
      <w:proofErr w:type="spellStart"/>
      <w:r>
        <w:rPr>
          <w:rFonts w:ascii="Times New Roman" w:eastAsia="Times New Roman" w:hAnsi="Times New Roman" w:cs="Times New Roman"/>
          <w:b/>
          <w:sz w:val="28"/>
          <w:szCs w:val="28"/>
        </w:rPr>
        <w:t>Semaglutide</w:t>
      </w:r>
      <w:proofErr w:type="spellEnd"/>
      <w:r>
        <w:rPr>
          <w:rFonts w:ascii="Times New Roman" w:eastAsia="Times New Roman" w:hAnsi="Times New Roman" w:cs="Times New Roman"/>
          <w:b/>
          <w:sz w:val="28"/>
          <w:szCs w:val="28"/>
        </w:rPr>
        <w:t xml:space="preserve"> in children and adolescents with healthy and obese body weights</w:t>
      </w:r>
    </w:p>
    <w:p w14:paraId="032C1085" w14:textId="188EF06E" w:rsidR="007170B3" w:rsidRPr="007170B3" w:rsidRDefault="00D23387" w:rsidP="00D23387">
      <w:pPr>
        <w:shd w:val="clear" w:color="auto" w:fill="FFFFFF"/>
        <w:spacing w:before="100" w:beforeAutospacing="1" w:after="100" w:afterAutospacing="1" w:line="240" w:lineRule="auto"/>
        <w:ind w:left="720"/>
        <w:rPr>
          <w:rFonts w:ascii="Open Sans" w:eastAsia="Times New Roman" w:hAnsi="Open Sans" w:cs="Open Sans"/>
          <w:color w:val="1C1D1E"/>
          <w:sz w:val="21"/>
          <w:szCs w:val="21"/>
          <w:lang w:val="pt-BR"/>
        </w:rPr>
      </w:pPr>
      <w:r>
        <w:rPr>
          <w:rFonts w:ascii="Times New Roman" w:eastAsia="Times New Roman" w:hAnsi="Times New Roman" w:cs="Times New Roman"/>
          <w:b/>
          <w:bCs/>
          <w:color w:val="1C1D1E"/>
          <w:sz w:val="24"/>
          <w:szCs w:val="24"/>
          <w:lang w:val="pt-BR"/>
        </w:rPr>
        <w:t xml:space="preserve">                </w:t>
      </w:r>
      <w:r w:rsidRPr="00D23387">
        <w:rPr>
          <w:rStyle w:val="Forte"/>
          <w:rFonts w:ascii="Times New Roman" w:hAnsi="Times New Roman" w:cs="Times New Roman"/>
          <w:color w:val="0E101A"/>
          <w:sz w:val="26"/>
          <w:szCs w:val="26"/>
        </w:rPr>
        <w:t xml:space="preserve">Pharmacokinetics of </w:t>
      </w:r>
      <w:proofErr w:type="spellStart"/>
      <w:r w:rsidRPr="00D23387">
        <w:rPr>
          <w:rStyle w:val="Forte"/>
          <w:rFonts w:ascii="Times New Roman" w:hAnsi="Times New Roman" w:cs="Times New Roman"/>
          <w:color w:val="0E101A"/>
          <w:sz w:val="26"/>
          <w:szCs w:val="26"/>
        </w:rPr>
        <w:t>Semaglutide</w:t>
      </w:r>
      <w:proofErr w:type="spellEnd"/>
      <w:r w:rsidRPr="00D23387">
        <w:rPr>
          <w:rStyle w:val="Forte"/>
          <w:rFonts w:ascii="Times New Roman" w:hAnsi="Times New Roman" w:cs="Times New Roman"/>
          <w:color w:val="0E101A"/>
          <w:sz w:val="26"/>
          <w:szCs w:val="26"/>
        </w:rPr>
        <w:t xml:space="preserve"> in children</w:t>
      </w:r>
      <w:r>
        <w:rPr>
          <w:rStyle w:val="Forte"/>
          <w:color w:val="0E101A"/>
        </w:rPr>
        <w:t> </w:t>
      </w:r>
    </w:p>
    <w:p w14:paraId="262D327D" w14:textId="77777777" w:rsidR="00EA6F24" w:rsidRDefault="003D4D3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Thayná Rocco Machado</w:t>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Thiago Honorio</w:t>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Thaisa</w:t>
      </w:r>
      <w:proofErr w:type="spellEnd"/>
      <w:r>
        <w:rPr>
          <w:rFonts w:ascii="Times New Roman" w:eastAsia="Times New Roman" w:hAnsi="Times New Roman" w:cs="Times New Roman"/>
          <w:b/>
          <w:sz w:val="24"/>
          <w:szCs w:val="24"/>
        </w:rPr>
        <w:t xml:space="preserve"> F. Souza Domingos</w:t>
      </w:r>
      <w:r>
        <w:rPr>
          <w:rFonts w:ascii="Times New Roman" w:eastAsia="Times New Roman" w:hAnsi="Times New Roman" w:cs="Times New Roman"/>
          <w:b/>
          <w:sz w:val="24"/>
          <w:szCs w:val="24"/>
          <w:vertAlign w:val="superscript"/>
        </w:rPr>
        <w:t>2</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Dailane</w:t>
      </w:r>
      <w:proofErr w:type="spellEnd"/>
      <w:r>
        <w:rPr>
          <w:rFonts w:ascii="Times New Roman" w:eastAsia="Times New Roman" w:hAnsi="Times New Roman" w:cs="Times New Roman"/>
          <w:b/>
          <w:sz w:val="24"/>
          <w:szCs w:val="24"/>
        </w:rPr>
        <w:t xml:space="preserve"> da Silva Candido de Paula</w:t>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Lucio Mendes Cabral</w:t>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Carlos R. Rodrigues</w:t>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Bárbara A. Abrahim-Vieira</w:t>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 xml:space="preserve">*, Alessandra </w:t>
      </w:r>
      <w:proofErr w:type="spellStart"/>
      <w:r>
        <w:rPr>
          <w:rFonts w:ascii="Times New Roman" w:eastAsia="Times New Roman" w:hAnsi="Times New Roman" w:cs="Times New Roman"/>
          <w:b/>
          <w:sz w:val="24"/>
          <w:szCs w:val="24"/>
        </w:rPr>
        <w:t>Mendonça</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Teles</w:t>
      </w:r>
      <w:proofErr w:type="spellEnd"/>
      <w:r>
        <w:rPr>
          <w:rFonts w:ascii="Times New Roman" w:eastAsia="Times New Roman" w:hAnsi="Times New Roman" w:cs="Times New Roman"/>
          <w:b/>
          <w:sz w:val="24"/>
          <w:szCs w:val="24"/>
        </w:rPr>
        <w:t xml:space="preserve"> de Souza</w:t>
      </w:r>
      <w:r>
        <w:rPr>
          <w:rFonts w:ascii="Times New Roman" w:eastAsia="Times New Roman" w:hAnsi="Times New Roman" w:cs="Times New Roman"/>
          <w:b/>
          <w:sz w:val="24"/>
          <w:szCs w:val="24"/>
          <w:vertAlign w:val="superscript"/>
        </w:rPr>
        <w:t>1</w:t>
      </w:r>
      <w:r>
        <w:rPr>
          <w:rFonts w:ascii="Times New Roman" w:eastAsia="Times New Roman" w:hAnsi="Times New Roman" w:cs="Times New Roman"/>
          <w:b/>
          <w:sz w:val="24"/>
          <w:szCs w:val="24"/>
        </w:rPr>
        <w:t>*</w:t>
      </w:r>
    </w:p>
    <w:p w14:paraId="2EF6BE20" w14:textId="77777777" w:rsidR="00EA6F24" w:rsidRDefault="00EA6F24">
      <w:pPr>
        <w:spacing w:after="0" w:line="360" w:lineRule="auto"/>
        <w:jc w:val="center"/>
        <w:rPr>
          <w:rFonts w:ascii="Times New Roman" w:eastAsia="Times New Roman" w:hAnsi="Times New Roman" w:cs="Times New Roman"/>
          <w:sz w:val="24"/>
          <w:szCs w:val="24"/>
        </w:rPr>
      </w:pPr>
    </w:p>
    <w:p w14:paraId="4AE8ADDD" w14:textId="77777777" w:rsidR="00EA6F24" w:rsidRDefault="003D4D33">
      <w:pPr>
        <w:spacing w:after="0" w:line="360" w:lineRule="auto"/>
        <w:jc w:val="center"/>
        <w:rPr>
          <w:rFonts w:ascii="Times New Roman" w:eastAsia="Times New Roman" w:hAnsi="Times New Roman" w:cs="Times New Roman"/>
        </w:rPr>
      </w:pPr>
      <w:r>
        <w:rPr>
          <w:rFonts w:ascii="Times New Roman" w:eastAsia="Times New Roman" w:hAnsi="Times New Roman" w:cs="Times New Roman"/>
          <w:b/>
          <w:vertAlign w:val="superscript"/>
        </w:rPr>
        <w:t xml:space="preserve">1 </w:t>
      </w:r>
      <w:r>
        <w:rPr>
          <w:rFonts w:ascii="Times New Roman" w:eastAsia="Times New Roman" w:hAnsi="Times New Roman" w:cs="Times New Roman"/>
        </w:rPr>
        <w:t>Laboratory of Molecular Modeling &amp; QSAR (</w:t>
      </w:r>
      <w:proofErr w:type="spellStart"/>
      <w:r>
        <w:rPr>
          <w:rFonts w:ascii="Times New Roman" w:eastAsia="Times New Roman" w:hAnsi="Times New Roman" w:cs="Times New Roman"/>
        </w:rPr>
        <w:t>ModMolQSAR</w:t>
      </w:r>
      <w:proofErr w:type="spellEnd"/>
      <w:r>
        <w:rPr>
          <w:rFonts w:ascii="Times New Roman" w:eastAsia="Times New Roman" w:hAnsi="Times New Roman" w:cs="Times New Roman"/>
        </w:rPr>
        <w:t xml:space="preserve">), Faculty of Pharmacy, </w:t>
      </w:r>
      <w:proofErr w:type="spellStart"/>
      <w:r>
        <w:rPr>
          <w:rFonts w:ascii="Times New Roman" w:eastAsia="Times New Roman" w:hAnsi="Times New Roman" w:cs="Times New Roman"/>
        </w:rPr>
        <w:t>Universidade</w:t>
      </w:r>
      <w:proofErr w:type="spellEnd"/>
      <w:r>
        <w:rPr>
          <w:rFonts w:ascii="Times New Roman" w:eastAsia="Times New Roman" w:hAnsi="Times New Roman" w:cs="Times New Roman"/>
        </w:rPr>
        <w:t xml:space="preserve"> Federal do Rio de Janeiro, Rio de Janeiro, Brazil</w:t>
      </w:r>
    </w:p>
    <w:p w14:paraId="5B62C1C3" w14:textId="77777777" w:rsidR="00EA6F24" w:rsidRDefault="003D4D33">
      <w:pPr>
        <w:spacing w:after="0" w:line="360" w:lineRule="auto"/>
        <w:jc w:val="center"/>
        <w:rPr>
          <w:rFonts w:ascii="Times New Roman" w:eastAsia="Times New Roman" w:hAnsi="Times New Roman" w:cs="Times New Roman"/>
        </w:rPr>
      </w:pPr>
      <w:r>
        <w:rPr>
          <w:rFonts w:ascii="Times New Roman" w:eastAsia="Times New Roman" w:hAnsi="Times New Roman" w:cs="Times New Roman"/>
          <w:b/>
          <w:vertAlign w:val="superscript"/>
        </w:rPr>
        <w:t xml:space="preserve">2 </w:t>
      </w:r>
      <w:r>
        <w:rPr>
          <w:rFonts w:ascii="Times New Roman" w:eastAsia="Times New Roman" w:hAnsi="Times New Roman" w:cs="Times New Roman"/>
        </w:rPr>
        <w:t>BIODATA Computing Services &amp; Consulting, Rio de Janeiro, Brazil</w:t>
      </w:r>
    </w:p>
    <w:p w14:paraId="76B044CE" w14:textId="77777777" w:rsidR="00EA6F24" w:rsidRDefault="00EA6F24">
      <w:pPr>
        <w:spacing w:after="0" w:line="360" w:lineRule="auto"/>
        <w:jc w:val="both"/>
        <w:rPr>
          <w:rFonts w:ascii="Times New Roman" w:eastAsia="Times New Roman" w:hAnsi="Times New Roman" w:cs="Times New Roman"/>
          <w:sz w:val="24"/>
          <w:szCs w:val="24"/>
          <w:vertAlign w:val="superscript"/>
        </w:rPr>
      </w:pPr>
    </w:p>
    <w:p w14:paraId="634C9369" w14:textId="77777777" w:rsidR="00EA6F24" w:rsidRDefault="003D4D33">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w:t>
      </w:r>
      <w:r>
        <w:rPr>
          <w:rFonts w:ascii="Times New Roman" w:eastAsia="Times New Roman" w:hAnsi="Times New Roman" w:cs="Times New Roman"/>
          <w:sz w:val="24"/>
          <w:szCs w:val="24"/>
        </w:rPr>
        <w:t>Corresponding authors:</w:t>
      </w:r>
    </w:p>
    <w:p w14:paraId="0BC017A9" w14:textId="77777777" w:rsidR="00EA6F24" w:rsidRDefault="003D4D33">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 Alessandra </w:t>
      </w:r>
      <w:proofErr w:type="spellStart"/>
      <w:r>
        <w:rPr>
          <w:rFonts w:ascii="Times New Roman" w:eastAsia="Times New Roman" w:hAnsi="Times New Roman" w:cs="Times New Roman"/>
          <w:sz w:val="24"/>
          <w:szCs w:val="24"/>
        </w:rPr>
        <w:t>Mendonça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Teles</w:t>
      </w:r>
      <w:proofErr w:type="spellEnd"/>
      <w:r>
        <w:rPr>
          <w:rFonts w:ascii="Times New Roman" w:eastAsia="Times New Roman" w:hAnsi="Times New Roman" w:cs="Times New Roman"/>
          <w:sz w:val="24"/>
          <w:szCs w:val="24"/>
        </w:rPr>
        <w:t xml:space="preserve"> de Souza &amp; </w:t>
      </w:r>
    </w:p>
    <w:p w14:paraId="6358732D" w14:textId="77777777" w:rsidR="00EA6F24" w:rsidRDefault="003D4D33">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 Barbara A. </w:t>
      </w:r>
      <w:proofErr w:type="spellStart"/>
      <w:r>
        <w:rPr>
          <w:rFonts w:ascii="Times New Roman" w:eastAsia="Times New Roman" w:hAnsi="Times New Roman" w:cs="Times New Roman"/>
          <w:sz w:val="24"/>
          <w:szCs w:val="24"/>
        </w:rPr>
        <w:t>Abrahim</w:t>
      </w:r>
      <w:proofErr w:type="spellEnd"/>
      <w:r>
        <w:rPr>
          <w:rFonts w:ascii="Times New Roman" w:eastAsia="Times New Roman" w:hAnsi="Times New Roman" w:cs="Times New Roman"/>
          <w:sz w:val="24"/>
          <w:szCs w:val="24"/>
        </w:rPr>
        <w:t>-Vieira</w:t>
      </w:r>
    </w:p>
    <w:p w14:paraId="53477BCF" w14:textId="7461A107" w:rsidR="00EA6F24" w:rsidRDefault="003D4D33">
      <w:p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ModMolQSAR</w:t>
      </w:r>
      <w:proofErr w:type="spellEnd"/>
      <w:r>
        <w:rPr>
          <w:rFonts w:ascii="Times New Roman" w:eastAsia="Times New Roman" w:hAnsi="Times New Roman" w:cs="Times New Roman"/>
          <w:sz w:val="24"/>
          <w:szCs w:val="24"/>
        </w:rPr>
        <w:t xml:space="preserve">, Av. Carlos Chagas Filho, 373 </w:t>
      </w:r>
      <w:proofErr w:type="spellStart"/>
      <w:r>
        <w:rPr>
          <w:rFonts w:ascii="Times New Roman" w:eastAsia="Times New Roman" w:hAnsi="Times New Roman" w:cs="Times New Roman"/>
          <w:sz w:val="24"/>
          <w:szCs w:val="24"/>
        </w:rPr>
        <w:t>bloco</w:t>
      </w:r>
      <w:proofErr w:type="spellEnd"/>
      <w:r>
        <w:rPr>
          <w:rFonts w:ascii="Times New Roman" w:eastAsia="Times New Roman" w:hAnsi="Times New Roman" w:cs="Times New Roman"/>
          <w:sz w:val="24"/>
          <w:szCs w:val="24"/>
        </w:rPr>
        <w:t xml:space="preserve"> L </w:t>
      </w:r>
      <w:proofErr w:type="spellStart"/>
      <w:r>
        <w:rPr>
          <w:rFonts w:ascii="Times New Roman" w:eastAsia="Times New Roman" w:hAnsi="Times New Roman" w:cs="Times New Roman"/>
          <w:sz w:val="24"/>
          <w:szCs w:val="24"/>
        </w:rPr>
        <w:t>subsolo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Cidade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Universitária</w:t>
      </w:r>
      <w:proofErr w:type="spellEnd"/>
      <w:r>
        <w:rPr>
          <w:rFonts w:ascii="Times New Roman" w:eastAsia="Times New Roman" w:hAnsi="Times New Roman" w:cs="Times New Roman"/>
          <w:sz w:val="24"/>
          <w:szCs w:val="24"/>
        </w:rPr>
        <w:t xml:space="preserve">, Rio de Janeiro, </w:t>
      </w:r>
      <w:proofErr w:type="spellStart"/>
      <w:r>
        <w:rPr>
          <w:rFonts w:ascii="Times New Roman" w:eastAsia="Times New Roman" w:hAnsi="Times New Roman" w:cs="Times New Roman"/>
          <w:sz w:val="24"/>
          <w:szCs w:val="24"/>
        </w:rPr>
        <w:t>Brasil</w:t>
      </w:r>
      <w:proofErr w:type="spellEnd"/>
      <w:r>
        <w:rPr>
          <w:rFonts w:ascii="Times New Roman" w:eastAsia="Times New Roman" w:hAnsi="Times New Roman" w:cs="Times New Roman"/>
          <w:sz w:val="24"/>
          <w:szCs w:val="24"/>
        </w:rPr>
        <w:t xml:space="preserve">. e-mail: amtsouza@pharma.ufrj.br &amp; </w:t>
      </w:r>
      <w:hyperlink r:id="rId8" w:history="1">
        <w:r w:rsidR="00422DE6" w:rsidRPr="001335F2">
          <w:rPr>
            <w:rStyle w:val="Hyperlink"/>
            <w:rFonts w:ascii="Times New Roman" w:eastAsia="Times New Roman" w:hAnsi="Times New Roman" w:cs="Times New Roman"/>
            <w:sz w:val="24"/>
            <w:szCs w:val="24"/>
          </w:rPr>
          <w:t>barbaraabrahim@pharma.ufrj.br</w:t>
        </w:r>
      </w:hyperlink>
    </w:p>
    <w:p w14:paraId="305EF260" w14:textId="77777777" w:rsidR="00A643FF" w:rsidRDefault="00A643FF">
      <w:pPr>
        <w:spacing w:after="0" w:line="360" w:lineRule="auto"/>
        <w:jc w:val="both"/>
        <w:rPr>
          <w:rFonts w:ascii="Times New Roman" w:eastAsia="Times New Roman" w:hAnsi="Times New Roman" w:cs="Times New Roman"/>
          <w:sz w:val="24"/>
          <w:szCs w:val="24"/>
        </w:rPr>
      </w:pPr>
    </w:p>
    <w:p w14:paraId="2C1502A8" w14:textId="429AFC29" w:rsidR="00422DE6" w:rsidRDefault="00A643FF">
      <w:pPr>
        <w:spacing w:after="0" w:line="360" w:lineRule="auto"/>
        <w:jc w:val="both"/>
        <w:rPr>
          <w:rFonts w:ascii="Times New Roman" w:eastAsia="Times New Roman" w:hAnsi="Times New Roman" w:cs="Times New Roman"/>
          <w:b/>
          <w:bCs/>
          <w:sz w:val="24"/>
          <w:szCs w:val="24"/>
        </w:rPr>
      </w:pPr>
      <w:r w:rsidRPr="00A643FF">
        <w:rPr>
          <w:rFonts w:ascii="Times New Roman" w:eastAsia="Times New Roman" w:hAnsi="Times New Roman" w:cs="Times New Roman"/>
          <w:b/>
          <w:bCs/>
          <w:sz w:val="24"/>
          <w:szCs w:val="24"/>
        </w:rPr>
        <w:t>D</w:t>
      </w:r>
      <w:r w:rsidRPr="00A643FF">
        <w:rPr>
          <w:rFonts w:ascii="Times New Roman" w:eastAsia="Times New Roman" w:hAnsi="Times New Roman" w:cs="Times New Roman"/>
          <w:b/>
          <w:bCs/>
          <w:sz w:val="24"/>
          <w:szCs w:val="24"/>
        </w:rPr>
        <w:t>ata availability statement</w:t>
      </w:r>
    </w:p>
    <w:p w14:paraId="4EC8778D" w14:textId="568AB797" w:rsidR="00A643FF" w:rsidRPr="00A643FF" w:rsidRDefault="00A643FF">
      <w:pPr>
        <w:spacing w:after="0" w:line="360" w:lineRule="auto"/>
        <w:jc w:val="both"/>
        <w:rPr>
          <w:rFonts w:ascii="Times New Roman" w:eastAsia="Times New Roman" w:hAnsi="Times New Roman" w:cs="Times New Roman"/>
          <w:sz w:val="24"/>
          <w:szCs w:val="24"/>
        </w:rPr>
      </w:pPr>
      <w:r w:rsidRPr="00A643FF">
        <w:rPr>
          <w:rFonts w:ascii="Times New Roman" w:eastAsia="Times New Roman" w:hAnsi="Times New Roman" w:cs="Times New Roman"/>
          <w:sz w:val="24"/>
          <w:szCs w:val="24"/>
        </w:rPr>
        <w:t>Data sharing is not applicable for this publication; no new clinical data were generated in this modeling study.</w:t>
      </w:r>
    </w:p>
    <w:p w14:paraId="3F444300" w14:textId="77777777" w:rsidR="00A643FF" w:rsidRDefault="00A643FF" w:rsidP="00422DE6">
      <w:pPr>
        <w:spacing w:after="0" w:line="360" w:lineRule="auto"/>
        <w:jc w:val="both"/>
        <w:rPr>
          <w:rFonts w:ascii="Times New Roman" w:eastAsia="Times New Roman" w:hAnsi="Times New Roman" w:cs="Times New Roman"/>
          <w:sz w:val="24"/>
          <w:szCs w:val="24"/>
        </w:rPr>
      </w:pPr>
      <w:bookmarkStart w:id="1" w:name="_Hlk121850992"/>
    </w:p>
    <w:p w14:paraId="2620667F" w14:textId="760880DB" w:rsidR="007170B3" w:rsidRDefault="007170B3" w:rsidP="00422DE6">
      <w:pPr>
        <w:spacing w:after="0" w:line="360" w:lineRule="auto"/>
        <w:jc w:val="both"/>
        <w:rPr>
          <w:rFonts w:ascii="Times New Roman" w:eastAsia="Times New Roman" w:hAnsi="Times New Roman" w:cs="Times New Roman"/>
          <w:sz w:val="24"/>
          <w:szCs w:val="24"/>
        </w:rPr>
      </w:pPr>
      <w:r w:rsidRPr="00422DE6">
        <w:rPr>
          <w:rFonts w:ascii="Times New Roman" w:eastAsia="Times New Roman" w:hAnsi="Times New Roman" w:cs="Times New Roman"/>
          <w:sz w:val="24"/>
          <w:szCs w:val="24"/>
        </w:rPr>
        <w:t>Keywords</w:t>
      </w:r>
      <w:r w:rsidR="00422DE6" w:rsidRPr="00422DE6">
        <w:rPr>
          <w:rFonts w:ascii="Times New Roman" w:eastAsia="Times New Roman" w:hAnsi="Times New Roman" w:cs="Times New Roman"/>
          <w:sz w:val="24"/>
          <w:szCs w:val="24"/>
        </w:rPr>
        <w:t>:</w:t>
      </w:r>
      <w:r w:rsidR="00422DE6" w:rsidRPr="00422DE6">
        <w:t xml:space="preserve"> </w:t>
      </w:r>
      <w:r w:rsidR="00422DE6" w:rsidRPr="00422DE6">
        <w:rPr>
          <w:rFonts w:ascii="Times New Roman" w:eastAsia="Times New Roman" w:hAnsi="Times New Roman" w:cs="Times New Roman"/>
          <w:sz w:val="24"/>
          <w:szCs w:val="24"/>
        </w:rPr>
        <w:t xml:space="preserve">PBPK, Pharmacokinetics, Children, Diabetes </w:t>
      </w:r>
    </w:p>
    <w:p w14:paraId="2AA06E47" w14:textId="67B371FB" w:rsidR="00723BBE" w:rsidRDefault="00723BBE" w:rsidP="00422DE6">
      <w:pPr>
        <w:spacing w:after="0" w:line="360" w:lineRule="auto"/>
        <w:jc w:val="both"/>
        <w:rPr>
          <w:rFonts w:ascii="Times New Roman" w:eastAsia="Times New Roman" w:hAnsi="Times New Roman" w:cs="Times New Roman"/>
          <w:sz w:val="24"/>
          <w:szCs w:val="24"/>
        </w:rPr>
      </w:pPr>
    </w:p>
    <w:p w14:paraId="6A28A25E" w14:textId="53FF6627" w:rsidR="00723BBE" w:rsidRDefault="00723BBE" w:rsidP="00422DE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3862 words, 6 tables, 7 figures</w:t>
      </w:r>
    </w:p>
    <w:bookmarkEnd w:id="1"/>
    <w:p w14:paraId="23E5ABED" w14:textId="3D0175BE" w:rsidR="00F7434F" w:rsidRDefault="00F7434F" w:rsidP="007170B3">
      <w:pPr>
        <w:shd w:val="clear" w:color="auto" w:fill="FFFFFF"/>
        <w:spacing w:before="100" w:beforeAutospacing="1" w:after="100" w:afterAutospacing="1" w:line="240" w:lineRule="auto"/>
        <w:rPr>
          <w:rFonts w:ascii="Open Sans" w:eastAsia="Times New Roman" w:hAnsi="Open Sans" w:cs="Open Sans"/>
          <w:color w:val="1C1D1E"/>
          <w:sz w:val="21"/>
          <w:szCs w:val="21"/>
          <w:lang w:val="pt-BR"/>
        </w:rPr>
      </w:pPr>
    </w:p>
    <w:p w14:paraId="128A3211" w14:textId="5AAF7D0F" w:rsidR="00F7434F" w:rsidRDefault="00F7434F" w:rsidP="007170B3">
      <w:pPr>
        <w:shd w:val="clear" w:color="auto" w:fill="FFFFFF"/>
        <w:spacing w:before="100" w:beforeAutospacing="1" w:after="100" w:afterAutospacing="1" w:line="240" w:lineRule="auto"/>
        <w:rPr>
          <w:rFonts w:ascii="Open Sans" w:eastAsia="Times New Roman" w:hAnsi="Open Sans" w:cs="Open Sans"/>
          <w:color w:val="1C1D1E"/>
          <w:sz w:val="21"/>
          <w:szCs w:val="21"/>
          <w:lang w:val="pt-BR"/>
        </w:rPr>
      </w:pPr>
    </w:p>
    <w:p w14:paraId="5A4CF280" w14:textId="62829667" w:rsidR="00F7434F" w:rsidRDefault="00F7434F" w:rsidP="007170B3">
      <w:pPr>
        <w:shd w:val="clear" w:color="auto" w:fill="FFFFFF"/>
        <w:spacing w:before="100" w:beforeAutospacing="1" w:after="100" w:afterAutospacing="1" w:line="240" w:lineRule="auto"/>
        <w:rPr>
          <w:rFonts w:ascii="Open Sans" w:eastAsia="Times New Roman" w:hAnsi="Open Sans" w:cs="Open Sans"/>
          <w:color w:val="1C1D1E"/>
          <w:sz w:val="21"/>
          <w:szCs w:val="21"/>
          <w:lang w:val="pt-BR"/>
        </w:rPr>
      </w:pPr>
    </w:p>
    <w:p w14:paraId="5530A15A" w14:textId="77777777" w:rsidR="00F7434F" w:rsidRDefault="00F7434F" w:rsidP="00F7434F">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is already known about this subject</w:t>
      </w:r>
    </w:p>
    <w:p w14:paraId="45AAD33C" w14:textId="77777777" w:rsidR="00F7434F" w:rsidRDefault="00F7434F" w:rsidP="00F7434F">
      <w:pPr>
        <w:spacing w:after="0" w:line="276" w:lineRule="auto"/>
        <w:rPr>
          <w:rFonts w:ascii="Times New Roman" w:eastAsia="Times New Roman" w:hAnsi="Times New Roman" w:cs="Times New Roman"/>
          <w:b/>
          <w:sz w:val="24"/>
          <w:szCs w:val="24"/>
        </w:rPr>
      </w:pPr>
    </w:p>
    <w:p w14:paraId="457680F5" w14:textId="77777777" w:rsidR="00F7434F" w:rsidRDefault="00F7434F" w:rsidP="00F7434F">
      <w:pPr>
        <w:numPr>
          <w:ilvl w:val="0"/>
          <w:numId w:val="1"/>
        </w:num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Liraglutide is the glucagon-like peptide-1 receptor agonist (GLP-1RA) approved for type 2 diabetes pediatric therapy, although with difficult treatment adhesion.</w:t>
      </w:r>
    </w:p>
    <w:p w14:paraId="6E3E20E0" w14:textId="77777777" w:rsidR="00F7434F" w:rsidRDefault="00F7434F" w:rsidP="00F7434F">
      <w:pPr>
        <w:numPr>
          <w:ilvl w:val="0"/>
          <w:numId w:val="1"/>
        </w:numPr>
        <w:spacing w:line="360" w:lineRule="auto"/>
        <w:jc w:val="both"/>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Semaglutide</w:t>
      </w:r>
      <w:proofErr w:type="spellEnd"/>
      <w:r>
        <w:rPr>
          <w:rFonts w:ascii="Times New Roman" w:eastAsia="Times New Roman" w:hAnsi="Times New Roman" w:cs="Times New Roman"/>
          <w:sz w:val="24"/>
          <w:szCs w:val="24"/>
          <w:highlight w:val="white"/>
        </w:rPr>
        <w:t xml:space="preserve"> is approved for adults with type 2 diabetes, with superior treatment adhesion and efficacy compared to liraglutide.</w:t>
      </w:r>
    </w:p>
    <w:p w14:paraId="60802477" w14:textId="77777777" w:rsidR="00F7434F" w:rsidRDefault="00F7434F" w:rsidP="00F7434F">
      <w:pPr>
        <w:numPr>
          <w:ilvl w:val="0"/>
          <w:numId w:val="1"/>
        </w:numPr>
        <w:spacing w:line="360" w:lineRule="auto"/>
        <w:jc w:val="both"/>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Semaglutide</w:t>
      </w:r>
      <w:proofErr w:type="spellEnd"/>
      <w:r>
        <w:rPr>
          <w:rFonts w:ascii="Times New Roman" w:eastAsia="Times New Roman" w:hAnsi="Times New Roman" w:cs="Times New Roman"/>
          <w:sz w:val="24"/>
          <w:szCs w:val="24"/>
          <w:highlight w:val="white"/>
        </w:rPr>
        <w:t xml:space="preserve"> pharmacokinetic (PK) data for the pediatric population is still lacking. </w:t>
      </w:r>
    </w:p>
    <w:p w14:paraId="2F03C312" w14:textId="77777777" w:rsidR="00F7434F" w:rsidRDefault="00F7434F" w:rsidP="00F7434F">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this study adds</w:t>
      </w:r>
    </w:p>
    <w:p w14:paraId="3E5F5B36" w14:textId="77777777" w:rsidR="00F7434F" w:rsidRDefault="00F7434F" w:rsidP="00F7434F">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physiologically-based pharmacokinetic (PBPK) model of subcutaneous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was developed for predicting its PKs in children and adolescents.</w:t>
      </w:r>
    </w:p>
    <w:p w14:paraId="6B3B0001" w14:textId="77777777" w:rsidR="00F7434F" w:rsidRDefault="00F7434F" w:rsidP="00F7434F">
      <w:pPr>
        <w:numPr>
          <w:ilvl w:val="0"/>
          <w:numId w:val="3"/>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pediatric PBPK simulations indicated that 10-14 years old children, with healthy body weights, presented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peak concentrations outside the target range observed in adults at the reference dose.</w:t>
      </w:r>
    </w:p>
    <w:p w14:paraId="517C1AF3" w14:textId="77777777" w:rsidR="00F7434F" w:rsidRDefault="00F7434F" w:rsidP="00F7434F">
      <w:pPr>
        <w:rPr>
          <w:rFonts w:ascii="Times New Roman" w:eastAsia="Times New Roman" w:hAnsi="Times New Roman" w:cs="Times New Roman"/>
          <w:sz w:val="24"/>
          <w:szCs w:val="24"/>
          <w:shd w:val="clear" w:color="auto" w:fill="FFF2CC"/>
        </w:rPr>
      </w:pPr>
    </w:p>
    <w:p w14:paraId="2122CE65" w14:textId="77777777" w:rsidR="00F7434F" w:rsidRDefault="00F7434F" w:rsidP="00F7434F">
      <w:pPr>
        <w:rPr>
          <w:rFonts w:ascii="Times New Roman" w:eastAsia="Times New Roman" w:hAnsi="Times New Roman" w:cs="Times New Roman"/>
          <w:sz w:val="24"/>
          <w:szCs w:val="24"/>
          <w:shd w:val="clear" w:color="auto" w:fill="FFF2CC"/>
        </w:rPr>
      </w:pPr>
    </w:p>
    <w:p w14:paraId="46D0D964" w14:textId="0E6D2F85" w:rsidR="00F7434F" w:rsidRDefault="00F7434F" w:rsidP="007170B3">
      <w:pPr>
        <w:shd w:val="clear" w:color="auto" w:fill="FFFFFF"/>
        <w:spacing w:before="100" w:beforeAutospacing="1" w:after="100" w:afterAutospacing="1" w:line="240" w:lineRule="auto"/>
        <w:rPr>
          <w:rFonts w:ascii="Open Sans" w:eastAsia="Times New Roman" w:hAnsi="Open Sans" w:cs="Open Sans"/>
          <w:color w:val="1C1D1E"/>
          <w:sz w:val="21"/>
          <w:szCs w:val="21"/>
          <w:lang w:val="pt-BR"/>
        </w:rPr>
      </w:pPr>
    </w:p>
    <w:p w14:paraId="0DC4ACB4" w14:textId="4D222F62" w:rsidR="00F7434F" w:rsidRDefault="00F7434F" w:rsidP="007170B3">
      <w:pPr>
        <w:shd w:val="clear" w:color="auto" w:fill="FFFFFF"/>
        <w:spacing w:before="100" w:beforeAutospacing="1" w:after="100" w:afterAutospacing="1" w:line="240" w:lineRule="auto"/>
        <w:rPr>
          <w:rFonts w:ascii="Open Sans" w:eastAsia="Times New Roman" w:hAnsi="Open Sans" w:cs="Open Sans"/>
          <w:color w:val="1C1D1E"/>
          <w:sz w:val="21"/>
          <w:szCs w:val="21"/>
          <w:lang w:val="pt-BR"/>
        </w:rPr>
      </w:pPr>
    </w:p>
    <w:p w14:paraId="3380B312" w14:textId="6B6285AA" w:rsidR="00F7434F" w:rsidRDefault="00F7434F" w:rsidP="007170B3">
      <w:pPr>
        <w:shd w:val="clear" w:color="auto" w:fill="FFFFFF"/>
        <w:spacing w:before="100" w:beforeAutospacing="1" w:after="100" w:afterAutospacing="1" w:line="240" w:lineRule="auto"/>
        <w:rPr>
          <w:rFonts w:ascii="Open Sans" w:eastAsia="Times New Roman" w:hAnsi="Open Sans" w:cs="Open Sans"/>
          <w:color w:val="1C1D1E"/>
          <w:sz w:val="21"/>
          <w:szCs w:val="21"/>
          <w:lang w:val="pt-BR"/>
        </w:rPr>
      </w:pPr>
    </w:p>
    <w:p w14:paraId="3DAEB994" w14:textId="77777777" w:rsidR="00F7434F" w:rsidRPr="007170B3" w:rsidRDefault="00F7434F" w:rsidP="007170B3">
      <w:pPr>
        <w:shd w:val="clear" w:color="auto" w:fill="FFFFFF"/>
        <w:spacing w:before="100" w:beforeAutospacing="1" w:after="100" w:afterAutospacing="1" w:line="240" w:lineRule="auto"/>
        <w:rPr>
          <w:rFonts w:ascii="Open Sans" w:eastAsia="Times New Roman" w:hAnsi="Open Sans" w:cs="Open Sans"/>
          <w:color w:val="1C1D1E"/>
          <w:sz w:val="21"/>
          <w:szCs w:val="21"/>
          <w:lang w:val="pt-BR"/>
        </w:rPr>
      </w:pPr>
    </w:p>
    <w:p w14:paraId="39D197C0" w14:textId="61C683F0" w:rsidR="007170B3" w:rsidRDefault="007170B3">
      <w:pPr>
        <w:spacing w:after="0" w:line="360" w:lineRule="auto"/>
        <w:jc w:val="both"/>
        <w:rPr>
          <w:rFonts w:ascii="Times New Roman" w:eastAsia="Times New Roman" w:hAnsi="Times New Roman" w:cs="Times New Roman"/>
          <w:sz w:val="24"/>
          <w:szCs w:val="24"/>
        </w:rPr>
      </w:pPr>
    </w:p>
    <w:p w14:paraId="17C07F55" w14:textId="4EE19DFE" w:rsidR="00F7434F" w:rsidRDefault="00F7434F">
      <w:pPr>
        <w:spacing w:after="0" w:line="360" w:lineRule="auto"/>
        <w:jc w:val="both"/>
        <w:rPr>
          <w:rFonts w:ascii="Times New Roman" w:eastAsia="Times New Roman" w:hAnsi="Times New Roman" w:cs="Times New Roman"/>
          <w:sz w:val="24"/>
          <w:szCs w:val="24"/>
        </w:rPr>
      </w:pPr>
    </w:p>
    <w:p w14:paraId="4077095E" w14:textId="31AF2ACC" w:rsidR="00F7434F" w:rsidRDefault="00F7434F">
      <w:pPr>
        <w:spacing w:after="0" w:line="360" w:lineRule="auto"/>
        <w:jc w:val="both"/>
        <w:rPr>
          <w:rFonts w:ascii="Times New Roman" w:eastAsia="Times New Roman" w:hAnsi="Times New Roman" w:cs="Times New Roman"/>
          <w:sz w:val="24"/>
          <w:szCs w:val="24"/>
        </w:rPr>
      </w:pPr>
    </w:p>
    <w:p w14:paraId="2809B12C" w14:textId="16DEAF64" w:rsidR="00F7434F" w:rsidRDefault="00F7434F">
      <w:pPr>
        <w:spacing w:after="0" w:line="360" w:lineRule="auto"/>
        <w:jc w:val="both"/>
        <w:rPr>
          <w:rFonts w:ascii="Times New Roman" w:eastAsia="Times New Roman" w:hAnsi="Times New Roman" w:cs="Times New Roman"/>
          <w:sz w:val="24"/>
          <w:szCs w:val="24"/>
        </w:rPr>
      </w:pPr>
    </w:p>
    <w:p w14:paraId="77FB50F6" w14:textId="7F5DF210" w:rsidR="00F7434F" w:rsidRDefault="00F7434F">
      <w:pPr>
        <w:spacing w:after="0" w:line="360" w:lineRule="auto"/>
        <w:jc w:val="both"/>
        <w:rPr>
          <w:rFonts w:ascii="Times New Roman" w:eastAsia="Times New Roman" w:hAnsi="Times New Roman" w:cs="Times New Roman"/>
          <w:sz w:val="24"/>
          <w:szCs w:val="24"/>
        </w:rPr>
      </w:pPr>
    </w:p>
    <w:p w14:paraId="521C4407" w14:textId="216A8FE5" w:rsidR="00F7434F" w:rsidRDefault="00F7434F">
      <w:pPr>
        <w:spacing w:after="0" w:line="360" w:lineRule="auto"/>
        <w:jc w:val="both"/>
        <w:rPr>
          <w:rFonts w:ascii="Times New Roman" w:eastAsia="Times New Roman" w:hAnsi="Times New Roman" w:cs="Times New Roman"/>
          <w:sz w:val="24"/>
          <w:szCs w:val="24"/>
        </w:rPr>
      </w:pPr>
    </w:p>
    <w:p w14:paraId="101F0562" w14:textId="111E3521" w:rsidR="00F7434F" w:rsidRDefault="00F7434F">
      <w:pPr>
        <w:spacing w:after="0" w:line="360" w:lineRule="auto"/>
        <w:jc w:val="both"/>
        <w:rPr>
          <w:rFonts w:ascii="Times New Roman" w:eastAsia="Times New Roman" w:hAnsi="Times New Roman" w:cs="Times New Roman"/>
          <w:sz w:val="24"/>
          <w:szCs w:val="24"/>
        </w:rPr>
      </w:pPr>
    </w:p>
    <w:p w14:paraId="4EE8F320" w14:textId="77777777" w:rsidR="00F7434F" w:rsidRDefault="00F7434F">
      <w:pPr>
        <w:spacing w:after="0" w:line="360" w:lineRule="auto"/>
        <w:jc w:val="both"/>
        <w:rPr>
          <w:rFonts w:ascii="Times New Roman" w:eastAsia="Times New Roman" w:hAnsi="Times New Roman" w:cs="Times New Roman"/>
          <w:sz w:val="24"/>
          <w:szCs w:val="24"/>
        </w:rPr>
      </w:pPr>
    </w:p>
    <w:p w14:paraId="786594B4" w14:textId="77777777" w:rsidR="00EA6F24" w:rsidRDefault="00EA6F24">
      <w:pPr>
        <w:rPr>
          <w:rFonts w:ascii="Times New Roman" w:eastAsia="Times New Roman" w:hAnsi="Times New Roman" w:cs="Times New Roman"/>
          <w:b/>
          <w:sz w:val="24"/>
          <w:szCs w:val="24"/>
        </w:rPr>
      </w:pPr>
    </w:p>
    <w:p w14:paraId="6C06BBCB" w14:textId="77777777" w:rsidR="00EA6F24" w:rsidRDefault="003D4D33" w:rsidP="00723BBE">
      <w:pPr>
        <w:spacing w:line="360" w:lineRule="auto"/>
        <w:rPr>
          <w:rFonts w:ascii="Times New Roman" w:eastAsia="Times New Roman" w:hAnsi="Times New Roman" w:cs="Times New Roman"/>
          <w:sz w:val="24"/>
          <w:szCs w:val="24"/>
          <w:shd w:val="clear" w:color="auto" w:fill="F4CCCC"/>
        </w:rPr>
      </w:pPr>
      <w:r>
        <w:rPr>
          <w:rFonts w:ascii="Times New Roman" w:eastAsia="Times New Roman" w:hAnsi="Times New Roman" w:cs="Times New Roman"/>
          <w:b/>
          <w:sz w:val="24"/>
          <w:szCs w:val="24"/>
        </w:rPr>
        <w:t>Abstract</w:t>
      </w:r>
    </w:p>
    <w:p w14:paraId="595F4511" w14:textId="77777777" w:rsidR="00EA6F24" w:rsidRDefault="003D4D33" w:rsidP="00723BBE">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Aim</w:t>
      </w:r>
      <w:r>
        <w:rPr>
          <w:rFonts w:ascii="Times New Roman" w:eastAsia="Times New Roman" w:hAnsi="Times New Roman" w:cs="Times New Roman"/>
          <w:sz w:val="24"/>
          <w:szCs w:val="24"/>
        </w:rPr>
        <w:t xml:space="preserve">: Develop PBPK models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to estimate the pharmacokinetic profile for subcutaneous (SC) injections in children and adolescents with healthy and obese body weights.</w:t>
      </w:r>
    </w:p>
    <w:p w14:paraId="36E993CA" w14:textId="77777777" w:rsidR="00EA6F24" w:rsidRDefault="003D4D33" w:rsidP="00723BBE">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Methods</w:t>
      </w:r>
      <w:r>
        <w:rPr>
          <w:rFonts w:ascii="Times New Roman" w:eastAsia="Times New Roman" w:hAnsi="Times New Roman" w:cs="Times New Roman"/>
          <w:sz w:val="24"/>
          <w:szCs w:val="24"/>
        </w:rPr>
        <w:t xml:space="preserve">: Pharmacokinetic modeling and simulations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SC injections were performed using the Transdermal Compartmental Absorption &amp; Transit (TCAT™) model implemented in </w:t>
      </w:r>
      <w:proofErr w:type="spellStart"/>
      <w:r>
        <w:rPr>
          <w:rFonts w:ascii="Times New Roman" w:eastAsia="Times New Roman" w:hAnsi="Times New Roman" w:cs="Times New Roman"/>
          <w:sz w:val="24"/>
          <w:szCs w:val="24"/>
        </w:rPr>
        <w:t>GastroPlus</w:t>
      </w:r>
      <w:proofErr w:type="spellEnd"/>
      <w:r>
        <w:rPr>
          <w:rFonts w:ascii="Times New Roman" w:eastAsia="Times New Roman" w:hAnsi="Times New Roman" w:cs="Times New Roman"/>
          <w:sz w:val="24"/>
          <w:szCs w:val="24"/>
        </w:rPr>
        <w:t xml:space="preserve">™ v.9.5 modules. A PBPK model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was developed and verified in the adult population, by comparing the simulated plasma exposure with the observed data, and further scaled to the pediatric populations with normal and obese body weight.</w:t>
      </w:r>
    </w:p>
    <w:p w14:paraId="39D77477" w14:textId="77777777" w:rsidR="00EA6F24" w:rsidRDefault="003D4D33" w:rsidP="00723BBE">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Results</w:t>
      </w:r>
      <w:r>
        <w:rPr>
          <w:rFonts w:ascii="Times New Roman" w:eastAsia="Times New Roman" w:hAnsi="Times New Roman" w:cs="Times New Roman"/>
          <w:sz w:val="24"/>
          <w:szCs w:val="24"/>
        </w:rPr>
        <w:t xml:space="preserve">: The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PBPK model was successfully developed in adults and scaled to the pediatric population. Our P-PBPK simulations indicated a significant increase in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values for the 10-14 years pediatric population with healthy body weights, which was higher than the observed values in adults at the reference dose. Since gastrointestinal adverse events are related to increased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peak concentrations outside the target range may represent a safety risk for this pediatric age group. Besides, PBPK models indicated that body weight was inversely related to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in children and adolescents, which is in line with the results observed in population pharmacokinetic studies in adults.</w:t>
      </w:r>
    </w:p>
    <w:p w14:paraId="199BC908" w14:textId="77777777" w:rsidR="00EA6F24" w:rsidRDefault="003D4D33" w:rsidP="00723BB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Conclusion</w:t>
      </w:r>
      <w:r>
        <w:rPr>
          <w:rFonts w:ascii="Times New Roman" w:eastAsia="Times New Roman" w:hAnsi="Times New Roman" w:cs="Times New Roman"/>
          <w:sz w:val="24"/>
          <w:szCs w:val="24"/>
        </w:rPr>
        <w:t xml:space="preserve">: Due to the absence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pharmacokinetic data for the pediatric population, these PBPK models will aid in the development of dosing regimens and sampling times. Thus, increasing the efficiency of future pediatric clinical trial studies which can be replaced or improved by PBPK models.</w:t>
      </w:r>
    </w:p>
    <w:p w14:paraId="087BFC8B" w14:textId="77777777" w:rsidR="00EA6F24" w:rsidRDefault="00EA6F24">
      <w:pPr>
        <w:jc w:val="both"/>
        <w:rPr>
          <w:rFonts w:ascii="Times New Roman" w:eastAsia="Times New Roman" w:hAnsi="Times New Roman" w:cs="Times New Roman"/>
          <w:sz w:val="24"/>
          <w:szCs w:val="24"/>
        </w:rPr>
      </w:pPr>
    </w:p>
    <w:p w14:paraId="29026FC8" w14:textId="3812A8A8" w:rsidR="00EA6F24" w:rsidRDefault="00EA6F24">
      <w:pPr>
        <w:jc w:val="both"/>
        <w:rPr>
          <w:rFonts w:ascii="Times New Roman" w:eastAsia="Times New Roman" w:hAnsi="Times New Roman" w:cs="Times New Roman"/>
          <w:sz w:val="24"/>
          <w:szCs w:val="24"/>
        </w:rPr>
      </w:pPr>
    </w:p>
    <w:p w14:paraId="3EDCFDA3" w14:textId="3EFB306E" w:rsidR="00723BBE" w:rsidRDefault="00723BBE">
      <w:pPr>
        <w:jc w:val="both"/>
        <w:rPr>
          <w:rFonts w:ascii="Times New Roman" w:eastAsia="Times New Roman" w:hAnsi="Times New Roman" w:cs="Times New Roman"/>
          <w:sz w:val="24"/>
          <w:szCs w:val="24"/>
        </w:rPr>
      </w:pPr>
    </w:p>
    <w:p w14:paraId="35CC3AA6" w14:textId="77777777" w:rsidR="00EA6F24" w:rsidRDefault="00EA6F24">
      <w:pPr>
        <w:rPr>
          <w:rFonts w:ascii="Times New Roman" w:eastAsia="Times New Roman" w:hAnsi="Times New Roman" w:cs="Times New Roman"/>
          <w:sz w:val="24"/>
          <w:szCs w:val="24"/>
          <w:shd w:val="clear" w:color="auto" w:fill="FFF2CC"/>
        </w:rPr>
      </w:pPr>
    </w:p>
    <w:p w14:paraId="76F2CF10" w14:textId="77777777" w:rsidR="00EA6F24" w:rsidRDefault="003D4D3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Introduction</w:t>
      </w:r>
    </w:p>
    <w:p w14:paraId="5BFE9411" w14:textId="77777777" w:rsidR="00EA6F24" w:rsidRDefault="003D4D33">
      <w:pPr>
        <w:spacing w:line="360" w:lineRule="auto"/>
        <w:jc w:val="both"/>
        <w:rPr>
          <w:rFonts w:ascii="Times New Roman" w:eastAsia="Times New Roman" w:hAnsi="Times New Roman" w:cs="Times New Roman"/>
          <w:color w:val="202124"/>
          <w:sz w:val="24"/>
          <w:szCs w:val="24"/>
        </w:rPr>
      </w:pPr>
      <w:r>
        <w:rPr>
          <w:rFonts w:ascii="Times New Roman" w:eastAsia="Times New Roman" w:hAnsi="Times New Roman" w:cs="Times New Roman"/>
          <w:sz w:val="24"/>
          <w:szCs w:val="24"/>
        </w:rPr>
        <w:t xml:space="preserve">       Diabetes mellitus (DM) is the third most common disease in children and adolescents under 18 years old [1] due to the increase in obesity and lack of physical activity in this population (DM2) [2,3]. </w:t>
      </w:r>
      <w:r>
        <w:rPr>
          <w:rFonts w:ascii="Times New Roman" w:eastAsia="Times New Roman" w:hAnsi="Times New Roman" w:cs="Times New Roman"/>
          <w:color w:val="202124"/>
          <w:sz w:val="24"/>
          <w:szCs w:val="24"/>
        </w:rPr>
        <w:t xml:space="preserve">Currently approved therapy only includes the use of metformin and more recently, liraglutide [4-7], in which there is still concern related to treatment adhesion. </w:t>
      </w:r>
    </w:p>
    <w:p w14:paraId="508348BC" w14:textId="77777777" w:rsidR="00EA6F24" w:rsidRDefault="003D4D33">
      <w:pPr>
        <w:spacing w:line="360" w:lineRule="auto"/>
        <w:ind w:firstLine="720"/>
        <w:jc w:val="both"/>
        <w:rPr>
          <w:rFonts w:ascii="Times New Roman" w:eastAsia="Times New Roman" w:hAnsi="Times New Roman" w:cs="Times New Roman"/>
          <w:color w:val="3E3D40"/>
          <w:sz w:val="25"/>
          <w:szCs w:val="25"/>
          <w:highlight w:val="yellow"/>
        </w:rPr>
      </w:pPr>
      <w:r>
        <w:rPr>
          <w:rFonts w:ascii="Times New Roman" w:eastAsia="Times New Roman" w:hAnsi="Times New Roman" w:cs="Times New Roman"/>
          <w:sz w:val="24"/>
          <w:szCs w:val="24"/>
          <w:highlight w:val="white"/>
        </w:rPr>
        <w:t xml:space="preserve">Recently, </w:t>
      </w:r>
      <w:proofErr w:type="spellStart"/>
      <w:r>
        <w:rPr>
          <w:rFonts w:ascii="Times New Roman" w:eastAsia="Times New Roman" w:hAnsi="Times New Roman" w:cs="Times New Roman"/>
          <w:sz w:val="24"/>
          <w:szCs w:val="24"/>
          <w:highlight w:val="white"/>
        </w:rPr>
        <w:t>Semaglutide</w:t>
      </w:r>
      <w:proofErr w:type="spellEnd"/>
      <w:r>
        <w:rPr>
          <w:rFonts w:ascii="Times New Roman" w:eastAsia="Times New Roman" w:hAnsi="Times New Roman" w:cs="Times New Roman"/>
          <w:sz w:val="24"/>
          <w:szCs w:val="24"/>
          <w:highlight w:val="white"/>
        </w:rPr>
        <w:t xml:space="preserve"> (Ozempic®) was approved with superior long-term glycemic and body weight control capacity compared to liraglutide [8-11]. </w:t>
      </w:r>
      <w:r>
        <w:rPr>
          <w:rFonts w:ascii="Times New Roman" w:eastAsia="Times New Roman" w:hAnsi="Times New Roman" w:cs="Times New Roman"/>
          <w:sz w:val="24"/>
          <w:szCs w:val="24"/>
        </w:rPr>
        <w:t>Nevertheless, liraglutide is the glucagon-like peptide-1 receptor agonist (GLP-1RA) approved for pediatric therapy [12]. The recruitment of young people with DM2 for clinical trials is relatively recent and has presented limited success [13,14].</w:t>
      </w:r>
      <w:r>
        <w:rPr>
          <w:rFonts w:ascii="Times New Roman" w:eastAsia="Times New Roman" w:hAnsi="Times New Roman" w:cs="Times New Roman"/>
          <w:sz w:val="24"/>
          <w:szCs w:val="24"/>
          <w:highlight w:val="white"/>
        </w:rPr>
        <w:t xml:space="preserve"> Indeed, </w:t>
      </w:r>
      <w:r>
        <w:rPr>
          <w:rFonts w:ascii="Times New Roman" w:eastAsia="Times New Roman" w:hAnsi="Times New Roman" w:cs="Times New Roman"/>
          <w:sz w:val="24"/>
          <w:szCs w:val="24"/>
        </w:rPr>
        <w:t>a major challenge for academics and the pharmaceutical industry is to achieve a safe and effective dose in pediatric patients [15].</w:t>
      </w:r>
    </w:p>
    <w:p w14:paraId="578A381A" w14:textId="77777777" w:rsidR="00EA6F24" w:rsidRDefault="003D4D33">
      <w:pPr>
        <w:spacing w:line="360" w:lineRule="auto"/>
        <w:ind w:firstLine="720"/>
        <w:jc w:val="both"/>
        <w:rPr>
          <w:rFonts w:ascii="Georgia" w:eastAsia="Georgia" w:hAnsi="Georgia" w:cs="Georgia"/>
          <w:color w:val="2E2E2E"/>
          <w:sz w:val="27"/>
          <w:szCs w:val="27"/>
        </w:rPr>
      </w:pPr>
      <w:r>
        <w:rPr>
          <w:rFonts w:ascii="Times New Roman" w:eastAsia="Times New Roman" w:hAnsi="Times New Roman" w:cs="Times New Roman"/>
          <w:sz w:val="24"/>
          <w:szCs w:val="24"/>
        </w:rPr>
        <w:t>Physiologically Based Pharmacokinetic (PBPK) models are a valuable approach for integrating known physiological changes that alter drug disposition in children with drug-specific parameters in an untested scenario.  [16-18]. Consequently, pediatric PBPK (P-PBPK) models are advantageous to support dosing decisions during pediatric clinical trials [19-21] and are applied in a variety of pediatric patient groups [19-23].</w:t>
      </w:r>
    </w:p>
    <w:p w14:paraId="6C97152F" w14:textId="77777777" w:rsidR="00EA6F24" w:rsidRDefault="003D4D33">
      <w:pPr>
        <w:spacing w:before="240" w:after="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fulfill the gaps in our knowledge of the use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in the pediatric population, and considering the difficulties in carrying out these studies, we developed P-PBPK models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to improve the ability surrounding pediatric drug treatment. </w:t>
      </w:r>
    </w:p>
    <w:p w14:paraId="7B14A0CF" w14:textId="77777777" w:rsidR="00EA6F24" w:rsidRDefault="003D4D33">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 Methods</w:t>
      </w:r>
    </w:p>
    <w:p w14:paraId="616A2566" w14:textId="77777777" w:rsidR="00EA6F24" w:rsidRDefault="003D4D33">
      <w:pPr>
        <w:spacing w:before="240" w:after="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study, a PBPK model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was developed and verified in the adult population, by comparing the simulated plasma exposure with the observed data, and further scaled to the pediatric population. The final P-PBPK model was developed to enable the estimation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doses. The workflow of the model development is presented in Figure 1.</w:t>
      </w:r>
    </w:p>
    <w:p w14:paraId="19BB10BB" w14:textId="26178620" w:rsidR="00EA6F24" w:rsidRDefault="00EA6F24">
      <w:pPr>
        <w:spacing w:after="0" w:line="360" w:lineRule="auto"/>
        <w:jc w:val="both"/>
        <w:rPr>
          <w:rFonts w:ascii="Times New Roman" w:eastAsia="Times New Roman" w:hAnsi="Times New Roman" w:cs="Times New Roman"/>
          <w:b/>
          <w:sz w:val="24"/>
          <w:szCs w:val="24"/>
        </w:rPr>
      </w:pPr>
    </w:p>
    <w:p w14:paraId="6F81350A" w14:textId="77777777" w:rsidR="003D2A18" w:rsidRDefault="003D2A18">
      <w:pPr>
        <w:spacing w:after="0" w:line="360" w:lineRule="auto"/>
        <w:jc w:val="both"/>
        <w:rPr>
          <w:rFonts w:ascii="Times New Roman" w:eastAsia="Times New Roman" w:hAnsi="Times New Roman" w:cs="Times New Roman"/>
          <w:b/>
          <w:sz w:val="24"/>
          <w:szCs w:val="24"/>
        </w:rPr>
      </w:pPr>
    </w:p>
    <w:p w14:paraId="387DA236" w14:textId="77777777" w:rsidR="00EA6F24" w:rsidRDefault="003D4D33">
      <w:p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Software</w:t>
      </w:r>
    </w:p>
    <w:p w14:paraId="46C4C802" w14:textId="77777777" w:rsidR="00EA6F24" w:rsidRDefault="003D4D33">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Pharmacokinetic modeling and simulations of SC injections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were performed using the Transdermal Compartmental Absorption &amp; Transit (TCAT™) model implemented </w:t>
      </w:r>
      <w:proofErr w:type="spellStart"/>
      <w:r>
        <w:rPr>
          <w:rFonts w:ascii="Times New Roman" w:eastAsia="Times New Roman" w:hAnsi="Times New Roman" w:cs="Times New Roman"/>
          <w:sz w:val="24"/>
          <w:szCs w:val="24"/>
        </w:rPr>
        <w:t>GastroPlus</w:t>
      </w:r>
      <w:proofErr w:type="spellEnd"/>
      <w:r>
        <w:rPr>
          <w:rFonts w:ascii="Times New Roman" w:eastAsia="Times New Roman" w:hAnsi="Times New Roman" w:cs="Times New Roman"/>
          <w:sz w:val="24"/>
          <w:szCs w:val="24"/>
        </w:rPr>
        <w:t>™ v.9.5 modules (Simulations Plus, Inc., Lancaster, CA).</w:t>
      </w:r>
    </w:p>
    <w:p w14:paraId="0639DF21" w14:textId="77777777" w:rsidR="00EA6F24" w:rsidRDefault="00EA6F24">
      <w:pPr>
        <w:spacing w:after="0" w:line="360" w:lineRule="auto"/>
        <w:jc w:val="both"/>
        <w:rPr>
          <w:rFonts w:ascii="Times New Roman" w:eastAsia="Times New Roman" w:hAnsi="Times New Roman" w:cs="Times New Roman"/>
          <w:sz w:val="24"/>
          <w:szCs w:val="24"/>
        </w:rPr>
      </w:pPr>
    </w:p>
    <w:p w14:paraId="7531A5C4" w14:textId="77777777" w:rsidR="00EA6F24" w:rsidRDefault="003D4D33">
      <w:p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Input data </w:t>
      </w:r>
    </w:p>
    <w:p w14:paraId="0CB13390" w14:textId="77777777" w:rsidR="00EA6F24" w:rsidRDefault="003D4D33">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Drug-specific physicochemical properties were obtained from </w:t>
      </w:r>
      <w:r>
        <w:rPr>
          <w:rFonts w:ascii="Times New Roman" w:eastAsia="Times New Roman" w:hAnsi="Times New Roman" w:cs="Times New Roman"/>
          <w:sz w:val="24"/>
          <w:szCs w:val="24"/>
          <w:highlight w:val="white"/>
        </w:rPr>
        <w:t xml:space="preserve">the literature and </w:t>
      </w:r>
      <w:r>
        <w:rPr>
          <w:rFonts w:ascii="Times New Roman" w:eastAsia="Times New Roman" w:hAnsi="Times New Roman" w:cs="Times New Roman"/>
          <w:i/>
          <w:sz w:val="24"/>
          <w:szCs w:val="24"/>
        </w:rPr>
        <w:t>in silico</w:t>
      </w:r>
      <w:r>
        <w:rPr>
          <w:rFonts w:ascii="Times New Roman" w:eastAsia="Times New Roman" w:hAnsi="Times New Roman" w:cs="Times New Roman"/>
          <w:sz w:val="24"/>
          <w:szCs w:val="24"/>
          <w:highlight w:val="white"/>
        </w:rPr>
        <w:t xml:space="preserve"> predictions (Table 1) [24, 25]</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131413"/>
          <w:sz w:val="24"/>
          <w:szCs w:val="24"/>
        </w:rPr>
        <w:t xml:space="preserve">The model development strategy employed a "middle-out" approach, where model parameterization was guided by clinical observations in humans. </w:t>
      </w:r>
      <w:r>
        <w:rPr>
          <w:rFonts w:ascii="Times New Roman" w:eastAsia="Times New Roman" w:hAnsi="Times New Roman" w:cs="Times New Roman"/>
          <w:sz w:val="24"/>
          <w:szCs w:val="24"/>
        </w:rPr>
        <w:t xml:space="preserve">The plasma concentrations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were extracted from the original figure reported previously by Jensen </w:t>
      </w:r>
      <w:r>
        <w:rPr>
          <w:rFonts w:ascii="Times New Roman" w:eastAsia="Times New Roman" w:hAnsi="Times New Roman" w:cs="Times New Roman"/>
          <w:i/>
          <w:sz w:val="24"/>
          <w:szCs w:val="24"/>
        </w:rPr>
        <w:t xml:space="preserve">et al </w:t>
      </w:r>
      <w:r>
        <w:rPr>
          <w:rFonts w:ascii="Times New Roman" w:eastAsia="Times New Roman" w:hAnsi="Times New Roman" w:cs="Times New Roman"/>
          <w:sz w:val="24"/>
          <w:szCs w:val="24"/>
        </w:rPr>
        <w:t>(2017) [25]</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xml:space="preserve">using Web Plot Digitizer 4.2 [26] and used in the </w:t>
      </w:r>
      <w:proofErr w:type="spellStart"/>
      <w:r>
        <w:rPr>
          <w:rFonts w:ascii="Times New Roman" w:eastAsia="Times New Roman" w:hAnsi="Times New Roman" w:cs="Times New Roman"/>
          <w:sz w:val="24"/>
          <w:szCs w:val="24"/>
        </w:rPr>
        <w:t>PKPlus</w:t>
      </w:r>
      <w:proofErr w:type="spellEnd"/>
      <w:r>
        <w:rPr>
          <w:rFonts w:ascii="Times New Roman" w:eastAsia="Times New Roman" w:hAnsi="Times New Roman" w:cs="Times New Roman"/>
          <w:sz w:val="20"/>
          <w:szCs w:val="20"/>
        </w:rPr>
        <w:t>™</w:t>
      </w:r>
      <w:r>
        <w:rPr>
          <w:rFonts w:ascii="Times New Roman" w:eastAsia="Times New Roman" w:hAnsi="Times New Roman" w:cs="Times New Roman"/>
          <w:sz w:val="24"/>
          <w:szCs w:val="24"/>
        </w:rPr>
        <w:t xml:space="preserve"> module in </w:t>
      </w:r>
      <w:proofErr w:type="spellStart"/>
      <w:r>
        <w:rPr>
          <w:rFonts w:ascii="Times New Roman" w:eastAsia="Times New Roman" w:hAnsi="Times New Roman" w:cs="Times New Roman"/>
          <w:sz w:val="24"/>
          <w:szCs w:val="24"/>
        </w:rPr>
        <w:t>GastroPlus</w:t>
      </w:r>
      <w:proofErr w:type="spellEnd"/>
      <w:r>
        <w:rPr>
          <w:rFonts w:ascii="Times New Roman" w:eastAsia="Times New Roman" w:hAnsi="Times New Roman" w:cs="Times New Roman"/>
          <w:sz w:val="20"/>
          <w:szCs w:val="20"/>
        </w:rPr>
        <w:t>™</w:t>
      </w:r>
      <w:r>
        <w:rPr>
          <w:rFonts w:ascii="Times New Roman" w:eastAsia="Times New Roman" w:hAnsi="Times New Roman" w:cs="Times New Roman"/>
          <w:sz w:val="24"/>
          <w:szCs w:val="24"/>
        </w:rPr>
        <w:t xml:space="preserve"> to build a pharmacokinetic (PK) model. </w:t>
      </w:r>
    </w:p>
    <w:p w14:paraId="0513C966" w14:textId="77777777" w:rsidR="00EA6F24" w:rsidRDefault="003D4D33">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Physiologies, including age- and body-weight-matched organ weights, volumes, and blood perfusion rates, were generated by the PEAR</w:t>
      </w:r>
      <w:r>
        <w:rPr>
          <w:rFonts w:ascii="Times New Roman" w:eastAsia="Times New Roman" w:hAnsi="Times New Roman" w:cs="Times New Roman"/>
          <w:sz w:val="24"/>
          <w:szCs w:val="24"/>
          <w:vertAlign w:val="superscript"/>
        </w:rPr>
        <w:t>TM</w:t>
      </w:r>
      <w:r>
        <w:rPr>
          <w:rFonts w:ascii="Times New Roman" w:eastAsia="Times New Roman" w:hAnsi="Times New Roman" w:cs="Times New Roman"/>
          <w:sz w:val="24"/>
          <w:szCs w:val="24"/>
        </w:rPr>
        <w:t xml:space="preserve"> Physiology,</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 xml:space="preserve">implemented </w:t>
      </w:r>
      <w:proofErr w:type="gramStart"/>
      <w:r>
        <w:rPr>
          <w:rFonts w:ascii="Times New Roman" w:eastAsia="Times New Roman" w:hAnsi="Times New Roman" w:cs="Times New Roman"/>
          <w:sz w:val="24"/>
          <w:szCs w:val="24"/>
        </w:rPr>
        <w:t xml:space="preserve">in  </w:t>
      </w:r>
      <w:proofErr w:type="spellStart"/>
      <w:r>
        <w:rPr>
          <w:rFonts w:ascii="Times New Roman" w:eastAsia="Times New Roman" w:hAnsi="Times New Roman" w:cs="Times New Roman"/>
          <w:sz w:val="24"/>
          <w:szCs w:val="24"/>
        </w:rPr>
        <w:t>GastroPlus</w:t>
      </w:r>
      <w:proofErr w:type="spellEnd"/>
      <w:proofErr w:type="gramEnd"/>
      <w:r>
        <w:rPr>
          <w:rFonts w:ascii="Times New Roman" w:eastAsia="Times New Roman" w:hAnsi="Times New Roman" w:cs="Times New Roman"/>
          <w:sz w:val="20"/>
          <w:szCs w:val="20"/>
        </w:rPr>
        <w:t xml:space="preserve">™ </w:t>
      </w:r>
      <w:r>
        <w:rPr>
          <w:rFonts w:ascii="Times New Roman" w:eastAsia="Times New Roman" w:hAnsi="Times New Roman" w:cs="Times New Roman"/>
          <w:sz w:val="24"/>
          <w:szCs w:val="24"/>
        </w:rPr>
        <w:t>(Tables 1 and 2). PBPK models development and workflow followed FDA guidance [27-29].</w:t>
      </w:r>
    </w:p>
    <w:p w14:paraId="6321F65D" w14:textId="77777777" w:rsidR="00EA6F24" w:rsidRDefault="00EA6F24">
      <w:pPr>
        <w:spacing w:after="0" w:line="360" w:lineRule="auto"/>
        <w:jc w:val="both"/>
        <w:rPr>
          <w:rFonts w:ascii="Times New Roman" w:eastAsia="Times New Roman" w:hAnsi="Times New Roman" w:cs="Times New Roman"/>
          <w:sz w:val="24"/>
          <w:szCs w:val="24"/>
        </w:rPr>
      </w:pPr>
    </w:p>
    <w:p w14:paraId="28F54359" w14:textId="77777777" w:rsidR="00EA6F24" w:rsidRDefault="003D4D33">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PBPK model development and verification for intravenous and SC injections of </w:t>
      </w:r>
      <w:proofErr w:type="spellStart"/>
      <w:r>
        <w:rPr>
          <w:rFonts w:ascii="Times New Roman" w:eastAsia="Times New Roman" w:hAnsi="Times New Roman" w:cs="Times New Roman"/>
          <w:b/>
          <w:i/>
          <w:sz w:val="24"/>
          <w:szCs w:val="24"/>
        </w:rPr>
        <w:t>semaglutide</w:t>
      </w:r>
      <w:proofErr w:type="spellEnd"/>
      <w:r>
        <w:rPr>
          <w:rFonts w:ascii="Times New Roman" w:eastAsia="Times New Roman" w:hAnsi="Times New Roman" w:cs="Times New Roman"/>
          <w:b/>
          <w:i/>
          <w:sz w:val="24"/>
          <w:szCs w:val="24"/>
        </w:rPr>
        <w:t xml:space="preserve"> in healthy adults (Sema-1). </w:t>
      </w:r>
    </w:p>
    <w:p w14:paraId="6A5E7C46" w14:textId="4AAA7A46" w:rsidR="00E54839" w:rsidRPr="00BF2088" w:rsidRDefault="003D4D33" w:rsidP="00BF2088">
      <w:pPr>
        <w:spacing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 detailed online literature search was executed to shortlist the published literature in which concentration-time profiles and pharmacokinetic data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were available after intravenous (IV) and SC administration. First, drug disposition was modulated after IV administration, and the adult PBPK model performance was subsequently evaluated based on the concentration versus time data extracted from the literature [30] to promote confidence in the model parametrization. As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is a relatively large (4.1 </w:t>
      </w:r>
      <w:proofErr w:type="spellStart"/>
      <w:r>
        <w:rPr>
          <w:rFonts w:ascii="Times New Roman" w:eastAsia="Times New Roman" w:hAnsi="Times New Roman" w:cs="Times New Roman"/>
          <w:sz w:val="24"/>
          <w:szCs w:val="24"/>
        </w:rPr>
        <w:t>kDa</w:t>
      </w:r>
      <w:proofErr w:type="spellEnd"/>
      <w:r>
        <w:rPr>
          <w:rFonts w:ascii="Times New Roman" w:eastAsia="Times New Roman" w:hAnsi="Times New Roman" w:cs="Times New Roman"/>
          <w:sz w:val="24"/>
          <w:szCs w:val="24"/>
        </w:rPr>
        <w:t>) and hydrophilic (</w:t>
      </w:r>
      <w:proofErr w:type="spellStart"/>
      <w:r>
        <w:rPr>
          <w:rFonts w:ascii="Times New Roman" w:eastAsia="Times New Roman" w:hAnsi="Times New Roman" w:cs="Times New Roman"/>
          <w:sz w:val="24"/>
          <w:szCs w:val="24"/>
        </w:rPr>
        <w:t>logP</w:t>
      </w:r>
      <w:proofErr w:type="spellEnd"/>
      <w:r>
        <w:rPr>
          <w:rFonts w:ascii="Times New Roman" w:eastAsia="Times New Roman" w:hAnsi="Times New Roman" w:cs="Times New Roman"/>
          <w:sz w:val="24"/>
          <w:szCs w:val="24"/>
        </w:rPr>
        <w:t>: -17) peptide, the</w:t>
      </w:r>
      <w:r>
        <w:t xml:space="preserve"> </w:t>
      </w:r>
      <w:r>
        <w:rPr>
          <w:rFonts w:ascii="Times New Roman" w:eastAsia="Times New Roman" w:hAnsi="Times New Roman" w:cs="Times New Roman"/>
          <w:sz w:val="24"/>
          <w:szCs w:val="24"/>
        </w:rPr>
        <w:t>permeability-limited tissue model was considered for all tissues, where the kinetics of drug uptake into the tissue is modeled as time-dependent. Physical-</w:t>
      </w:r>
      <w:r>
        <w:rPr>
          <w:rFonts w:ascii="Times New Roman" w:eastAsia="Times New Roman" w:hAnsi="Times New Roman" w:cs="Times New Roman"/>
          <w:sz w:val="24"/>
          <w:szCs w:val="24"/>
        </w:rPr>
        <w:lastRenderedPageBreak/>
        <w:t xml:space="preserve">chemical properties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and physiological data matching the age and body weight average of the subjects in the clinical study were also used as input. No adjustments were performed on organ/tissue sizes and blood flow for clearance (CL) and steady-state volume of distribution (</w:t>
      </w:r>
      <w:proofErr w:type="spellStart"/>
      <w:r>
        <w:rPr>
          <w:rFonts w:ascii="Times New Roman" w:eastAsia="Times New Roman" w:hAnsi="Times New Roman" w:cs="Times New Roman"/>
          <w:sz w:val="24"/>
          <w:szCs w:val="24"/>
        </w:rPr>
        <w:t>Vss</w:t>
      </w:r>
      <w:proofErr w:type="spellEnd"/>
      <w:r>
        <w:rPr>
          <w:rFonts w:ascii="Times New Roman" w:eastAsia="Times New Roman" w:hAnsi="Times New Roman" w:cs="Times New Roman"/>
          <w:sz w:val="24"/>
          <w:szCs w:val="24"/>
        </w:rPr>
        <w:t>) prediction (Tables 1 and 2). Then, the PBPK model was also validated for the subcutaneous administration route based on the concentration versus time data extracted from the literature [25] and reported pharmacokinetic parameters from different clinical studies [24, 25, 31]</w:t>
      </w:r>
      <w:r>
        <w:rPr>
          <w:rFonts w:ascii="Times New Roman" w:eastAsia="Times New Roman" w:hAnsi="Times New Roman" w:cs="Times New Roman"/>
          <w:b/>
          <w:sz w:val="24"/>
          <w:szCs w:val="24"/>
        </w:rPr>
        <w:t>.</w:t>
      </w:r>
    </w:p>
    <w:p w14:paraId="10E63C87" w14:textId="77777777" w:rsidR="00EA6F24" w:rsidRDefault="003D4D33">
      <w:pPr>
        <w:spacing w:before="240" w:after="240" w:line="360" w:lineRule="auto"/>
        <w:jc w:val="both"/>
        <w:rPr>
          <w:rFonts w:ascii="Times New Roman" w:eastAsia="Times New Roman" w:hAnsi="Times New Roman" w:cs="Times New Roman"/>
          <w:b/>
          <w:i/>
          <w:color w:val="131413"/>
          <w:sz w:val="26"/>
          <w:szCs w:val="26"/>
        </w:rPr>
      </w:pPr>
      <w:r>
        <w:rPr>
          <w:rFonts w:ascii="Times New Roman" w:eastAsia="Times New Roman" w:hAnsi="Times New Roman" w:cs="Times New Roman"/>
          <w:b/>
          <w:i/>
          <w:color w:val="131413"/>
          <w:sz w:val="26"/>
          <w:szCs w:val="26"/>
        </w:rPr>
        <w:t xml:space="preserve">Model Performance Evaluation. </w:t>
      </w:r>
    </w:p>
    <w:p w14:paraId="33F4D734" w14:textId="4357821A" w:rsidR="00E54839" w:rsidRDefault="003D4D33" w:rsidP="00BF2088">
      <w:pPr>
        <w:spacing w:before="240" w:after="240" w:line="360" w:lineRule="auto"/>
        <w:ind w:firstLine="720"/>
        <w:jc w:val="both"/>
        <w:rPr>
          <w:rFonts w:ascii="Times New Roman" w:eastAsia="Times New Roman" w:hAnsi="Times New Roman" w:cs="Times New Roman"/>
          <w:color w:val="131413"/>
          <w:sz w:val="24"/>
          <w:szCs w:val="24"/>
        </w:rPr>
      </w:pPr>
      <w:r>
        <w:rPr>
          <w:rFonts w:ascii="Times New Roman" w:eastAsia="Times New Roman" w:hAnsi="Times New Roman" w:cs="Times New Roman"/>
          <w:sz w:val="24"/>
          <w:szCs w:val="24"/>
          <w:highlight w:val="white"/>
        </w:rPr>
        <w:t>The Sema-1 model's performance was verified by calculating the fold-error (FE) [34]</w:t>
      </w:r>
      <w:r>
        <w:rPr>
          <w:rFonts w:ascii="Times New Roman" w:eastAsia="Times New Roman" w:hAnsi="Times New Roman" w:cs="Times New Roman"/>
          <w:sz w:val="24"/>
          <w:szCs w:val="24"/>
        </w:rPr>
        <w:t>, an</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333333"/>
          <w:sz w:val="24"/>
          <w:szCs w:val="24"/>
          <w:shd w:val="clear" w:color="auto" w:fill="FCFCFC"/>
        </w:rPr>
        <w:t xml:space="preserve">observed/predicted ratio </w:t>
      </w:r>
      <w:r>
        <w:rPr>
          <w:rFonts w:ascii="Times New Roman" w:eastAsia="Times New Roman" w:hAnsi="Times New Roman" w:cs="Times New Roman"/>
          <w:color w:val="131413"/>
          <w:sz w:val="24"/>
          <w:szCs w:val="24"/>
        </w:rPr>
        <w:t>(</w:t>
      </w:r>
      <w:proofErr w:type="spellStart"/>
      <w:r>
        <w:rPr>
          <w:rFonts w:ascii="Times New Roman" w:eastAsia="Times New Roman" w:hAnsi="Times New Roman" w:cs="Times New Roman"/>
          <w:color w:val="131413"/>
          <w:sz w:val="24"/>
          <w:szCs w:val="24"/>
        </w:rPr>
        <w:t>ratio</w:t>
      </w:r>
      <w:r>
        <w:rPr>
          <w:rFonts w:ascii="Times New Roman" w:eastAsia="Times New Roman" w:hAnsi="Times New Roman" w:cs="Times New Roman"/>
          <w:color w:val="131413"/>
          <w:sz w:val="24"/>
          <w:szCs w:val="24"/>
          <w:vertAlign w:val="subscript"/>
        </w:rPr>
        <w:t>Obs</w:t>
      </w:r>
      <w:proofErr w:type="spellEnd"/>
      <w:r>
        <w:rPr>
          <w:rFonts w:ascii="Times New Roman" w:eastAsia="Times New Roman" w:hAnsi="Times New Roman" w:cs="Times New Roman"/>
          <w:color w:val="131413"/>
          <w:sz w:val="24"/>
          <w:szCs w:val="24"/>
          <w:vertAlign w:val="subscript"/>
        </w:rPr>
        <w:t>/Pred</w:t>
      </w:r>
      <w:r>
        <w:rPr>
          <w:rFonts w:ascii="Times New Roman" w:eastAsia="Times New Roman" w:hAnsi="Times New Roman" w:cs="Times New Roman"/>
          <w:color w:val="131413"/>
          <w:sz w:val="24"/>
          <w:szCs w:val="24"/>
        </w:rPr>
        <w:t>)</w:t>
      </w:r>
      <w:r>
        <w:rPr>
          <w:rFonts w:ascii="Times New Roman" w:eastAsia="Times New Roman" w:hAnsi="Times New Roman" w:cs="Times New Roman"/>
          <w:color w:val="333333"/>
          <w:sz w:val="24"/>
          <w:szCs w:val="24"/>
          <w:shd w:val="clear" w:color="auto" w:fill="FCFCFC"/>
        </w:rPr>
        <w:t xml:space="preserve"> of </w:t>
      </w:r>
      <w:r>
        <w:rPr>
          <w:rFonts w:ascii="Times New Roman" w:eastAsia="Times New Roman" w:hAnsi="Times New Roman" w:cs="Times New Roman"/>
          <w:sz w:val="24"/>
          <w:szCs w:val="24"/>
          <w:highlight w:val="white"/>
        </w:rPr>
        <w:t>calculated</w:t>
      </w:r>
      <w:r>
        <w:rPr>
          <w:rFonts w:ascii="Times New Roman" w:eastAsia="Times New Roman" w:hAnsi="Times New Roman" w:cs="Times New Roman"/>
          <w:sz w:val="24"/>
          <w:szCs w:val="24"/>
        </w:rPr>
        <w:t xml:space="preserve"> PK parameters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Tmax</w:t>
      </w:r>
      <w:proofErr w:type="spellEnd"/>
      <w:r>
        <w:rPr>
          <w:rFonts w:ascii="Times New Roman" w:eastAsia="Times New Roman" w:hAnsi="Times New Roman" w:cs="Times New Roman"/>
          <w:sz w:val="24"/>
          <w:szCs w:val="24"/>
        </w:rPr>
        <w:t xml:space="preserve">, and AUC) compared to the reported pharmacokinetic parameters after intravenous [30] and subcutaneous administrations [24, 25, 31]. Prediction accuracy of pharmacokinetic parameters was assessed using </w:t>
      </w:r>
      <w:r>
        <w:rPr>
          <w:rFonts w:ascii="Times New Roman" w:eastAsia="Times New Roman" w:hAnsi="Times New Roman" w:cs="Times New Roman"/>
          <w:color w:val="131413"/>
          <w:sz w:val="24"/>
          <w:szCs w:val="24"/>
        </w:rPr>
        <w:t xml:space="preserve">a two-fold error range from the observed values for model predictions, a </w:t>
      </w:r>
      <w:proofErr w:type="gramStart"/>
      <w:r>
        <w:rPr>
          <w:rFonts w:ascii="Times New Roman" w:eastAsia="Times New Roman" w:hAnsi="Times New Roman" w:cs="Times New Roman"/>
          <w:color w:val="131413"/>
          <w:sz w:val="24"/>
          <w:szCs w:val="24"/>
        </w:rPr>
        <w:t>criteria</w:t>
      </w:r>
      <w:proofErr w:type="gramEnd"/>
      <w:r>
        <w:rPr>
          <w:rFonts w:ascii="Times New Roman" w:eastAsia="Times New Roman" w:hAnsi="Times New Roman" w:cs="Times New Roman"/>
          <w:color w:val="131413"/>
          <w:sz w:val="24"/>
          <w:szCs w:val="24"/>
        </w:rPr>
        <w:t xml:space="preserve"> generally applied in PK predictions [34]. </w:t>
      </w:r>
    </w:p>
    <w:p w14:paraId="5FB54CDF" w14:textId="77777777" w:rsidR="00EA6F24" w:rsidRDefault="003D4D33">
      <w:pPr>
        <w:spacing w:before="240" w:after="240" w:line="360" w:lineRule="auto"/>
        <w:jc w:val="both"/>
        <w:rPr>
          <w:rFonts w:ascii="Times New Roman" w:eastAsia="Times New Roman" w:hAnsi="Times New Roman" w:cs="Times New Roman"/>
          <w:b/>
          <w:i/>
          <w:color w:val="131413"/>
          <w:sz w:val="26"/>
          <w:szCs w:val="26"/>
        </w:rPr>
      </w:pPr>
      <w:r>
        <w:rPr>
          <w:rFonts w:ascii="Times New Roman" w:eastAsia="Times New Roman" w:hAnsi="Times New Roman" w:cs="Times New Roman"/>
          <w:b/>
          <w:i/>
          <w:color w:val="131413"/>
          <w:sz w:val="26"/>
          <w:szCs w:val="26"/>
        </w:rPr>
        <w:t>Parameter Sensitivity Analysis.</w:t>
      </w:r>
    </w:p>
    <w:p w14:paraId="4952E6FF" w14:textId="77777777" w:rsidR="00EA6F24" w:rsidRDefault="003D4D33">
      <w:pPr>
        <w:spacing w:before="240" w:after="240" w:line="360" w:lineRule="auto"/>
        <w:ind w:firstLine="720"/>
        <w:jc w:val="both"/>
        <w:rPr>
          <w:rFonts w:ascii="Times New Roman" w:eastAsia="Times New Roman" w:hAnsi="Times New Roman" w:cs="Times New Roman"/>
          <w:sz w:val="20"/>
          <w:szCs w:val="20"/>
        </w:rPr>
      </w:pPr>
      <w:r>
        <w:rPr>
          <w:rFonts w:ascii="Times New Roman" w:eastAsia="Times New Roman" w:hAnsi="Times New Roman" w:cs="Times New Roman"/>
          <w:color w:val="333333"/>
          <w:sz w:val="24"/>
          <w:szCs w:val="24"/>
        </w:rPr>
        <w:t xml:space="preserve">If the PBPK model data were not close enough to the observed data, a parameter sensitivity analysis (PSA) was performed to understand the effect of selected PK parameters within the Sema-1 model. The PSA was conducted with </w:t>
      </w:r>
      <w:r>
        <w:rPr>
          <w:rFonts w:ascii="Times New Roman" w:eastAsia="Times New Roman" w:hAnsi="Times New Roman" w:cs="Times New Roman"/>
          <w:sz w:val="24"/>
          <w:szCs w:val="24"/>
        </w:rPr>
        <w:t>subcutaneous tissue compartment physiological parameters, such as subcutaneous effective depot Volume (mL), adipose tissue subcutaneous blood flow (</w:t>
      </w:r>
      <w:proofErr w:type="spellStart"/>
      <w:r>
        <w:rPr>
          <w:rFonts w:ascii="Times New Roman" w:eastAsia="Times New Roman" w:hAnsi="Times New Roman" w:cs="Times New Roman"/>
          <w:sz w:val="24"/>
          <w:szCs w:val="24"/>
        </w:rPr>
        <w:t>sATBF</w:t>
      </w:r>
      <w:proofErr w:type="spellEnd"/>
      <w:r>
        <w:rPr>
          <w:rFonts w:ascii="Times New Roman" w:eastAsia="Times New Roman" w:hAnsi="Times New Roman" w:cs="Times New Roman"/>
          <w:sz w:val="24"/>
          <w:szCs w:val="24"/>
        </w:rPr>
        <w:t xml:space="preserve">), subcutaneous permeability-surface area, and partition coefficient of adipose tissue. Thus, an investigation with a virtual population matching the mean demographic parameters of the clinical study by Jensen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was performed. The extent of subcutaneous tissue compartment physiological parameters and the influence on </w:t>
      </w:r>
      <w:proofErr w:type="spellStart"/>
      <w:r>
        <w:rPr>
          <w:rFonts w:ascii="Times New Roman" w:eastAsia="Times New Roman" w:hAnsi="Times New Roman" w:cs="Times New Roman"/>
          <w:sz w:val="24"/>
          <w:szCs w:val="24"/>
        </w:rPr>
        <w:t>Tmax</w:t>
      </w:r>
      <w:proofErr w:type="spellEnd"/>
      <w:r>
        <w:rPr>
          <w:rFonts w:ascii="Times New Roman" w:eastAsia="Times New Roman" w:hAnsi="Times New Roman" w:cs="Times New Roman"/>
          <w:sz w:val="24"/>
          <w:szCs w:val="24"/>
        </w:rPr>
        <w:t xml:space="preserve"> values, considering the selected parameter range, was evaluated. </w:t>
      </w:r>
    </w:p>
    <w:p w14:paraId="0C749244" w14:textId="77777777" w:rsidR="00EA6F24" w:rsidRDefault="003D4D33">
      <w:pPr>
        <w:pBdr>
          <w:top w:val="nil"/>
          <w:left w:val="nil"/>
          <w:bottom w:val="nil"/>
          <w:right w:val="nil"/>
          <w:between w:val="nil"/>
        </w:pBdr>
        <w:spacing w:before="340" w:line="300" w:lineRule="auto"/>
        <w:jc w:val="both"/>
        <w:rPr>
          <w:rFonts w:ascii="Arial" w:eastAsia="Arial" w:hAnsi="Arial" w:cs="Arial"/>
          <w:b/>
          <w:i/>
        </w:rPr>
      </w:pPr>
      <w:bookmarkStart w:id="2" w:name="_heading=h.yumz2yesmbd0" w:colFirst="0" w:colLast="0"/>
      <w:bookmarkEnd w:id="2"/>
      <w:r>
        <w:rPr>
          <w:rFonts w:ascii="Times New Roman" w:eastAsia="Times New Roman" w:hAnsi="Times New Roman" w:cs="Times New Roman"/>
          <w:b/>
          <w:i/>
          <w:color w:val="000000"/>
          <w:sz w:val="26"/>
          <w:szCs w:val="26"/>
        </w:rPr>
        <w:t xml:space="preserve">Pediatric scaling PBPK models </w:t>
      </w:r>
      <w:r>
        <w:rPr>
          <w:rFonts w:ascii="Times New Roman" w:eastAsia="Times New Roman" w:hAnsi="Times New Roman" w:cs="Times New Roman"/>
          <w:b/>
          <w:i/>
          <w:color w:val="000000"/>
          <w:sz w:val="24"/>
          <w:szCs w:val="24"/>
        </w:rPr>
        <w:t xml:space="preserve">(Sema-2 and 3). </w:t>
      </w:r>
    </w:p>
    <w:p w14:paraId="6F1BF512" w14:textId="77777777" w:rsidR="00EA6F24" w:rsidRDefault="003D4D33">
      <w:pPr>
        <w:spacing w:before="3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For the development of the pediatric PBPK (P-PBPK) models, the validated adult PBPK model was scaled down to the pediatric populations of ages 10–17 years, with normal (Sema-2) and obese (Sema-3) body weights. Taking into account age-dependent physiological differences, pediatric populations were built-in into </w:t>
      </w:r>
      <w:proofErr w:type="spellStart"/>
      <w:r>
        <w:rPr>
          <w:rFonts w:ascii="Times New Roman" w:eastAsia="Times New Roman" w:hAnsi="Times New Roman" w:cs="Times New Roman"/>
          <w:sz w:val="24"/>
          <w:szCs w:val="24"/>
        </w:rPr>
        <w:t>GastroPlus</w:t>
      </w:r>
      <w:proofErr w:type="spellEnd"/>
      <w:r>
        <w:rPr>
          <w:rFonts w:ascii="Times New Roman" w:eastAsia="Times New Roman" w:hAnsi="Times New Roman" w:cs="Times New Roman"/>
          <w:sz w:val="24"/>
          <w:szCs w:val="24"/>
        </w:rPr>
        <w:t xml:space="preserve"> 9.5 internal module called PEAR Physiology™ and grouped as children (10-12 years old), early adolescents (13-14 years old), and adolescents (15-17 years old) subpopulations. Each virtual age group consisted of 50 females and males. The PK parameters used as input to the adult Sema-1 model were kept constant for the P-PBPK models. During the generation of the virtual pediatric population and simulation of P-PBPK model, physiological information related to this age group (10-17 years), including weight, volume, density, and perfusion for each tissue, were scaled by PEAR</w:t>
      </w:r>
      <w:r>
        <w:rPr>
          <w:rFonts w:ascii="Times New Roman" w:eastAsia="Times New Roman" w:hAnsi="Times New Roman" w:cs="Times New Roman"/>
          <w:sz w:val="24"/>
          <w:szCs w:val="24"/>
          <w:vertAlign w:val="superscript"/>
        </w:rPr>
        <w:t>TM</w:t>
      </w:r>
      <w:r>
        <w:rPr>
          <w:rFonts w:ascii="Times New Roman" w:eastAsia="Times New Roman" w:hAnsi="Times New Roman" w:cs="Times New Roman"/>
          <w:sz w:val="24"/>
          <w:szCs w:val="24"/>
        </w:rPr>
        <w:t xml:space="preserve"> itself according to the pediatric age. The demographic characteristics of the virtual pediatric population, which were based on the CDC growth charts and tables for children, are given in Table 2 [35].</w:t>
      </w:r>
    </w:p>
    <w:p w14:paraId="7EE09497" w14:textId="62C73450" w:rsidR="00EA6F24" w:rsidRPr="006B4C13" w:rsidRDefault="003D4D33" w:rsidP="006B4C13">
      <w:pPr>
        <w:spacing w:before="340" w:line="360" w:lineRule="auto"/>
        <w:ind w:firstLine="720"/>
        <w:jc w:val="both"/>
        <w:rPr>
          <w:rFonts w:ascii="Times New Roman" w:eastAsia="Times New Roman" w:hAnsi="Times New Roman" w:cs="Times New Roman"/>
          <w:b/>
          <w:i/>
          <w:sz w:val="26"/>
          <w:szCs w:val="26"/>
        </w:rPr>
      </w:pPr>
      <w:r>
        <w:rPr>
          <w:rFonts w:ascii="Times New Roman" w:eastAsia="Times New Roman" w:hAnsi="Times New Roman" w:cs="Times New Roman"/>
          <w:sz w:val="24"/>
          <w:szCs w:val="24"/>
        </w:rPr>
        <w:t xml:space="preserve">For the virtual population of obese children (Sema-3), two data sources were used to build a simulation dataset. As the prevalence of obesity has increased significantly since the 1980s, when data for the 2000 CDC growth charts were collected, a greater number of children are above the CDC-defined obesity cut-off. Accordingly, pediatric body weights were also adjusted based on more recent data reported in the National Center for Health Statistics (NHANES) (Table 2) [36]. The increase of kidney volume and liver volume in obese children, implemented in the </w:t>
      </w:r>
      <w:proofErr w:type="spellStart"/>
      <w:r>
        <w:rPr>
          <w:rFonts w:ascii="Times New Roman" w:eastAsia="Times New Roman" w:hAnsi="Times New Roman" w:cs="Times New Roman"/>
          <w:sz w:val="24"/>
          <w:szCs w:val="24"/>
        </w:rPr>
        <w:t>gastroplus</w:t>
      </w:r>
      <w:proofErr w:type="spellEnd"/>
      <w:r>
        <w:rPr>
          <w:rFonts w:ascii="Times New Roman" w:eastAsia="Times New Roman" w:hAnsi="Times New Roman" w:cs="Times New Roman"/>
          <w:sz w:val="24"/>
          <w:szCs w:val="24"/>
        </w:rPr>
        <w:t xml:space="preserve"> virtual population, was in accordance with the reported percent increase in the literature [37-39]. Because of a lack of composition data in children with obesity (e.g., percent lipids, protein, and water within an organ), organ composition was modeled the same way as in existing virtual children without obesity in </w:t>
      </w:r>
      <w:proofErr w:type="spellStart"/>
      <w:r>
        <w:rPr>
          <w:rFonts w:ascii="Times New Roman" w:eastAsia="Times New Roman" w:hAnsi="Times New Roman" w:cs="Times New Roman"/>
          <w:sz w:val="24"/>
          <w:szCs w:val="24"/>
        </w:rPr>
        <w:t>Gastroplus</w:t>
      </w:r>
      <w:proofErr w:type="spellEnd"/>
      <w:r>
        <w:rPr>
          <w:rFonts w:ascii="Times New Roman" w:eastAsia="Times New Roman" w:hAnsi="Times New Roman" w:cs="Times New Roman"/>
          <w:sz w:val="24"/>
          <w:szCs w:val="24"/>
        </w:rPr>
        <w:t xml:space="preserve">. Cardiac output (an aggregate measure of blood flow to all perfused organs) is often higher in obesity, due to an augmented stroke volume and an increase in heart rate [40-45]. The simulated cardiac output for the obese pediatric virtual population was similar to the reported values in the literature for obese children (4.4–7.3 L/min) (Table 3) [40-45]. Obesity alone can influence glomerular filtration rate (GFR). However, while a population study in Turkey found that obese children and adolescents (5 to 18 years old) presented lower </w:t>
      </w:r>
      <w:r>
        <w:rPr>
          <w:rFonts w:ascii="Times New Roman" w:eastAsia="Times New Roman" w:hAnsi="Times New Roman" w:cs="Times New Roman"/>
          <w:sz w:val="24"/>
          <w:szCs w:val="24"/>
        </w:rPr>
        <w:lastRenderedPageBreak/>
        <w:t xml:space="preserve">eGFR values compared to those with normal BMI [46], Bonito et al. and </w:t>
      </w:r>
      <w:proofErr w:type="spellStart"/>
      <w:r>
        <w:rPr>
          <w:rFonts w:ascii="Times New Roman" w:eastAsia="Times New Roman" w:hAnsi="Times New Roman" w:cs="Times New Roman"/>
          <w:sz w:val="24"/>
          <w:szCs w:val="24"/>
        </w:rPr>
        <w:t>Sawamura</w:t>
      </w:r>
      <w:proofErr w:type="spellEnd"/>
      <w:r>
        <w:rPr>
          <w:rFonts w:ascii="Times New Roman" w:eastAsia="Times New Roman" w:hAnsi="Times New Roman" w:cs="Times New Roman"/>
          <w:sz w:val="24"/>
          <w:szCs w:val="24"/>
        </w:rPr>
        <w:t xml:space="preserve"> et al did not find any significant association between eGFR and BMI in children and adolescents [47,48]. Thus, due to conflicting results from publications regarding BMI influence on pediatric GFR, the same values were considered for the normal and obese pediatric virtual populations. Still, the Sema-2 and Sema-3 simulated values for pediatric GFR were consistent with data reported in the literature for [47,48] (Table 3). No additional changes in hematocrit with obesity were included in the pediatric virtual population, as literature data showed no significant change in pediatric hematocrit across a wide BMI range [37, 49] (Table 3). According to literature data, albumin concentrations between children with and without obesity showed no observable difference across a wide BMI range [37, 49]. Thus, no additional changes in albumin concentrations with obesity were incorporated into the virtual population.</w:t>
      </w:r>
      <w:r>
        <w:rPr>
          <w:rFonts w:ascii="Times New Roman" w:eastAsia="Times New Roman" w:hAnsi="Times New Roman" w:cs="Times New Roman"/>
          <w:b/>
          <w:i/>
          <w:sz w:val="26"/>
          <w:szCs w:val="26"/>
        </w:rPr>
        <w:t xml:space="preserve">  </w:t>
      </w:r>
    </w:p>
    <w:p w14:paraId="08B165A9" w14:textId="77777777" w:rsidR="00EA6F24" w:rsidRDefault="003D4D33">
      <w:pPr>
        <w:spacing w:before="3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Results</w:t>
      </w:r>
    </w:p>
    <w:p w14:paraId="1895C12A" w14:textId="77777777" w:rsidR="00EA6F24" w:rsidRDefault="003D4D33">
      <w:pPr>
        <w:spacing w:before="3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3.1. Development and performance evaluation of PBPK Sema-1 model: Single dose of intravenous </w:t>
      </w:r>
      <w:proofErr w:type="spellStart"/>
      <w:r>
        <w:rPr>
          <w:rFonts w:ascii="Times New Roman" w:eastAsia="Times New Roman" w:hAnsi="Times New Roman" w:cs="Times New Roman"/>
          <w:b/>
          <w:sz w:val="24"/>
          <w:szCs w:val="24"/>
        </w:rPr>
        <w:t>semaglutide</w:t>
      </w:r>
      <w:proofErr w:type="spellEnd"/>
      <w:r>
        <w:rPr>
          <w:rFonts w:ascii="Times New Roman" w:eastAsia="Times New Roman" w:hAnsi="Times New Roman" w:cs="Times New Roman"/>
          <w:b/>
          <w:sz w:val="24"/>
          <w:szCs w:val="24"/>
        </w:rPr>
        <w:t xml:space="preserve"> in adults.</w:t>
      </w:r>
    </w:p>
    <w:p w14:paraId="209DD868" w14:textId="212F2029" w:rsidR="00EA6F24" w:rsidRDefault="003D4D33" w:rsidP="003D2A18">
      <w:pPr>
        <w:spacing w:before="3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bypass the complexity of absorption, the IV approach was adopted first which yielded distribution and elimination patterns comparable to observed data. Model performance evaluation was carried out using superimposition model-based predictions with observed data [30] (Figure 2). The PBPK model successfully predicted the PK of intravenous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in adults. The mean predicted AUC</w:t>
      </w:r>
      <w:r>
        <w:rPr>
          <w:rFonts w:ascii="Times New Roman" w:eastAsia="Times New Roman" w:hAnsi="Times New Roman" w:cs="Times New Roman"/>
          <w:sz w:val="24"/>
          <w:szCs w:val="24"/>
          <w:vertAlign w:val="subscript"/>
        </w:rPr>
        <w:t>0-t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ratioObs</w:t>
      </w:r>
      <w:proofErr w:type="spellEnd"/>
      <w:r>
        <w:rPr>
          <w:rFonts w:ascii="Times New Roman" w:eastAsia="Times New Roman" w:hAnsi="Times New Roman" w:cs="Times New Roman"/>
          <w:sz w:val="24"/>
          <w:szCs w:val="24"/>
        </w:rPr>
        <w:t xml:space="preserve">/Pred) and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values (</w:t>
      </w:r>
      <w:proofErr w:type="spellStart"/>
      <w:r>
        <w:rPr>
          <w:rFonts w:ascii="Times New Roman" w:eastAsia="Times New Roman" w:hAnsi="Times New Roman" w:cs="Times New Roman"/>
          <w:sz w:val="24"/>
          <w:szCs w:val="24"/>
        </w:rPr>
        <w:t>ratioObs</w:t>
      </w:r>
      <w:proofErr w:type="spellEnd"/>
      <w:r>
        <w:rPr>
          <w:rFonts w:ascii="Times New Roman" w:eastAsia="Times New Roman" w:hAnsi="Times New Roman" w:cs="Times New Roman"/>
          <w:sz w:val="24"/>
          <w:szCs w:val="24"/>
        </w:rPr>
        <w:t>/Pred) were within 1.4-fold of the clinically-reported value (Table 4) [30].</w:t>
      </w:r>
    </w:p>
    <w:p w14:paraId="5509968C" w14:textId="77777777" w:rsidR="00EA6F24" w:rsidRDefault="003D4D33">
      <w:pPr>
        <w:spacing w:before="3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3.2. Development and performance evaluation of PBPK Sema-1 model: Single dose of subcutaneous </w:t>
      </w:r>
      <w:proofErr w:type="spellStart"/>
      <w:r>
        <w:rPr>
          <w:rFonts w:ascii="Times New Roman" w:eastAsia="Times New Roman" w:hAnsi="Times New Roman" w:cs="Times New Roman"/>
          <w:b/>
          <w:sz w:val="24"/>
          <w:szCs w:val="24"/>
        </w:rPr>
        <w:t>semaglutide</w:t>
      </w:r>
      <w:proofErr w:type="spellEnd"/>
      <w:r>
        <w:rPr>
          <w:rFonts w:ascii="Times New Roman" w:eastAsia="Times New Roman" w:hAnsi="Times New Roman" w:cs="Times New Roman"/>
          <w:b/>
          <w:sz w:val="24"/>
          <w:szCs w:val="24"/>
        </w:rPr>
        <w:t xml:space="preserve"> in adults.</w:t>
      </w:r>
    </w:p>
    <w:p w14:paraId="288E5A34" w14:textId="3028405A" w:rsidR="00EA6F24" w:rsidRDefault="003D4D33" w:rsidP="003D2A18">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successful intravenous data assessment, the clinical PK profile of the subcutaneous route of administration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after a single simulation, was evaluated</w:t>
      </w:r>
      <w:r>
        <w:rPr>
          <w:rFonts w:ascii="Times New Roman" w:eastAsia="Times New Roman" w:hAnsi="Times New Roman" w:cs="Times New Roman"/>
          <w:sz w:val="24"/>
          <w:szCs w:val="24"/>
          <w:shd w:val="clear" w:color="auto" w:fill="FCFCFC"/>
        </w:rPr>
        <w:t xml:space="preserve">. The model showed a discrepancy of </w:t>
      </w:r>
      <w:proofErr w:type="spellStart"/>
      <w:r>
        <w:rPr>
          <w:rFonts w:ascii="Times New Roman" w:eastAsia="Times New Roman" w:hAnsi="Times New Roman" w:cs="Times New Roman"/>
          <w:sz w:val="24"/>
          <w:szCs w:val="24"/>
          <w:shd w:val="clear" w:color="auto" w:fill="FCFCFC"/>
        </w:rPr>
        <w:t>Tmax</w:t>
      </w:r>
      <w:proofErr w:type="spellEnd"/>
      <w:r>
        <w:rPr>
          <w:rFonts w:ascii="Times New Roman" w:eastAsia="Times New Roman" w:hAnsi="Times New Roman" w:cs="Times New Roman"/>
          <w:sz w:val="24"/>
          <w:szCs w:val="24"/>
        </w:rPr>
        <w:t xml:space="preserve"> (Figure 4A). </w:t>
      </w:r>
      <w:r>
        <w:rPr>
          <w:rFonts w:ascii="Times New Roman" w:eastAsia="Times New Roman" w:hAnsi="Times New Roman" w:cs="Times New Roman"/>
          <w:sz w:val="24"/>
          <w:szCs w:val="24"/>
          <w:shd w:val="clear" w:color="auto" w:fill="FCFCFC"/>
        </w:rPr>
        <w:t xml:space="preserve">Then, a PSA was carried </w:t>
      </w:r>
      <w:r>
        <w:rPr>
          <w:rFonts w:ascii="Times New Roman" w:eastAsia="Times New Roman" w:hAnsi="Times New Roman" w:cs="Times New Roman"/>
          <w:sz w:val="24"/>
          <w:szCs w:val="24"/>
          <w:shd w:val="clear" w:color="auto" w:fill="FCFCFC"/>
        </w:rPr>
        <w:lastRenderedPageBreak/>
        <w:t>out to explore which intrinsic physiological factors might be affecting the drug disposition.</w:t>
      </w:r>
      <w:r>
        <w:rPr>
          <w:rFonts w:ascii="Times New Roman" w:eastAsia="Times New Roman" w:hAnsi="Times New Roman" w:cs="Times New Roman"/>
          <w:sz w:val="24"/>
          <w:szCs w:val="24"/>
        </w:rPr>
        <w:t xml:space="preserve"> The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SC injection model </w:t>
      </w:r>
      <w:r>
        <w:rPr>
          <w:rFonts w:ascii="Times New Roman" w:eastAsia="Times New Roman" w:hAnsi="Times New Roman" w:cs="Times New Roman"/>
          <w:color w:val="131413"/>
          <w:sz w:val="24"/>
          <w:szCs w:val="24"/>
        </w:rPr>
        <w:t xml:space="preserve">showed sensitivity regarding </w:t>
      </w:r>
      <w:proofErr w:type="spellStart"/>
      <w:r>
        <w:rPr>
          <w:rFonts w:ascii="Times New Roman" w:eastAsia="Times New Roman" w:hAnsi="Times New Roman" w:cs="Times New Roman"/>
          <w:sz w:val="24"/>
          <w:szCs w:val="24"/>
        </w:rPr>
        <w:t>sATBF</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Kp</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color w:val="333333"/>
          <w:sz w:val="24"/>
          <w:szCs w:val="24"/>
          <w:shd w:val="clear" w:color="auto" w:fill="FCFCFC"/>
        </w:rPr>
        <w:t>where an</w:t>
      </w:r>
      <w:r>
        <w:rPr>
          <w:rFonts w:ascii="Times New Roman" w:eastAsia="Times New Roman" w:hAnsi="Times New Roman" w:cs="Times New Roman"/>
          <w:sz w:val="24"/>
          <w:szCs w:val="24"/>
        </w:rPr>
        <w:t xml:space="preserve"> increase in </w:t>
      </w:r>
      <w:proofErr w:type="spellStart"/>
      <w:r>
        <w:rPr>
          <w:rFonts w:ascii="Times New Roman" w:eastAsia="Times New Roman" w:hAnsi="Times New Roman" w:cs="Times New Roman"/>
          <w:sz w:val="24"/>
          <w:szCs w:val="24"/>
        </w:rPr>
        <w:t>Kp</w:t>
      </w:r>
      <w:proofErr w:type="spellEnd"/>
      <w:r>
        <w:rPr>
          <w:rFonts w:ascii="Times New Roman" w:eastAsia="Times New Roman" w:hAnsi="Times New Roman" w:cs="Times New Roman"/>
          <w:sz w:val="24"/>
          <w:szCs w:val="24"/>
        </w:rPr>
        <w:t xml:space="preserve"> values and a decrease in </w:t>
      </w:r>
      <w:proofErr w:type="spellStart"/>
      <w:r>
        <w:rPr>
          <w:rFonts w:ascii="Times New Roman" w:eastAsia="Times New Roman" w:hAnsi="Times New Roman" w:cs="Times New Roman"/>
          <w:sz w:val="24"/>
          <w:szCs w:val="24"/>
        </w:rPr>
        <w:t>sATBF</w:t>
      </w:r>
      <w:proofErr w:type="spellEnd"/>
      <w:r>
        <w:rPr>
          <w:rFonts w:ascii="Times New Roman" w:eastAsia="Times New Roman" w:hAnsi="Times New Roman" w:cs="Times New Roman"/>
          <w:sz w:val="24"/>
          <w:szCs w:val="24"/>
        </w:rPr>
        <w:t xml:space="preserve"> resulted in prolonged </w:t>
      </w:r>
      <w:proofErr w:type="spellStart"/>
      <w:r>
        <w:rPr>
          <w:rFonts w:ascii="Times New Roman" w:eastAsia="Times New Roman" w:hAnsi="Times New Roman" w:cs="Times New Roman"/>
          <w:sz w:val="24"/>
          <w:szCs w:val="24"/>
        </w:rPr>
        <w:t>Tmax</w:t>
      </w:r>
      <w:proofErr w:type="spellEnd"/>
      <w:r>
        <w:rPr>
          <w:rFonts w:ascii="Times New Roman" w:eastAsia="Times New Roman" w:hAnsi="Times New Roman" w:cs="Times New Roman"/>
          <w:sz w:val="24"/>
          <w:szCs w:val="24"/>
        </w:rPr>
        <w:t xml:space="preserve"> values. Additionally, the other subcutaneous tissue </w:t>
      </w:r>
      <w:proofErr w:type="gramStart"/>
      <w:r>
        <w:rPr>
          <w:rFonts w:ascii="Times New Roman" w:eastAsia="Times New Roman" w:hAnsi="Times New Roman" w:cs="Times New Roman"/>
          <w:sz w:val="24"/>
          <w:szCs w:val="24"/>
        </w:rPr>
        <w:t>compartment</w:t>
      </w:r>
      <w:proofErr w:type="gramEnd"/>
      <w:r>
        <w:rPr>
          <w:rFonts w:ascii="Times New Roman" w:eastAsia="Times New Roman" w:hAnsi="Times New Roman" w:cs="Times New Roman"/>
          <w:sz w:val="24"/>
          <w:szCs w:val="24"/>
        </w:rPr>
        <w:t xml:space="preserve"> physiological parameters investigated, such as effective depot volume (mL) and subcutaneous permeability-surface area, demonstrated minor to no sensitivity on </w:t>
      </w:r>
      <w:proofErr w:type="spellStart"/>
      <w:r>
        <w:rPr>
          <w:rFonts w:ascii="Times New Roman" w:eastAsia="Times New Roman" w:hAnsi="Times New Roman" w:cs="Times New Roman"/>
          <w:sz w:val="24"/>
          <w:szCs w:val="24"/>
        </w:rPr>
        <w:t>Tmax</w:t>
      </w:r>
      <w:proofErr w:type="spellEnd"/>
      <w:r>
        <w:rPr>
          <w:rFonts w:ascii="Times New Roman" w:eastAsia="Times New Roman" w:hAnsi="Times New Roman" w:cs="Times New Roman"/>
          <w:sz w:val="24"/>
          <w:szCs w:val="24"/>
        </w:rPr>
        <w:t xml:space="preserve">. Thus, these parameters were kept as default. The </w:t>
      </w:r>
      <w:proofErr w:type="spellStart"/>
      <w:r>
        <w:rPr>
          <w:rFonts w:ascii="Times New Roman" w:eastAsia="Times New Roman" w:hAnsi="Times New Roman" w:cs="Times New Roman"/>
          <w:sz w:val="24"/>
          <w:szCs w:val="24"/>
        </w:rPr>
        <w:t>sATBF</w:t>
      </w:r>
      <w:proofErr w:type="spellEnd"/>
      <w:r>
        <w:rPr>
          <w:rFonts w:ascii="Times New Roman" w:eastAsia="Times New Roman" w:hAnsi="Times New Roman" w:cs="Times New Roman"/>
          <w:sz w:val="24"/>
          <w:szCs w:val="24"/>
        </w:rPr>
        <w:t xml:space="preserve"> is strongly related to tissue metabolic functioning and presents a great inter-individual variability, with reference values ranging ​​between 0.56-10.41 mL/min/100g of tissue for healthy adults [50, 51].</w:t>
      </w:r>
    </w:p>
    <w:p w14:paraId="78274B0A" w14:textId="77777777" w:rsidR="00EA6F24" w:rsidRDefault="003D4D33">
      <w:pPr>
        <w:spacing w:line="360" w:lineRule="auto"/>
        <w:ind w:firstLine="720"/>
        <w:jc w:val="both"/>
        <w:rPr>
          <w:rFonts w:ascii="Times New Roman" w:eastAsia="Times New Roman" w:hAnsi="Times New Roman" w:cs="Times New Roman"/>
          <w:sz w:val="24"/>
          <w:szCs w:val="24"/>
          <w:highlight w:val="lightGray"/>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Kp</w:t>
      </w:r>
      <w:proofErr w:type="spellEnd"/>
      <w:r>
        <w:rPr>
          <w:rFonts w:ascii="Times New Roman" w:eastAsia="Times New Roman" w:hAnsi="Times New Roman" w:cs="Times New Roman"/>
          <w:sz w:val="24"/>
          <w:szCs w:val="24"/>
        </w:rPr>
        <w:t xml:space="preserve"> values ​​were calculated based on the Poulin equation for drug partitioning in the extracellular space [52]. In the absence of experimental data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and considering that this drug distributes in plasma and peripheral tissues to the same </w:t>
      </w:r>
      <w:r>
        <w:rPr>
          <w:rFonts w:ascii="Times New Roman" w:eastAsia="Times New Roman" w:hAnsi="Times New Roman" w:cs="Times New Roman"/>
          <w:sz w:val="24"/>
          <w:szCs w:val="24"/>
          <w:shd w:val="clear" w:color="auto" w:fill="FCFCFC"/>
        </w:rPr>
        <w:t>extent as</w:t>
      </w:r>
      <w:r>
        <w:rPr>
          <w:rFonts w:ascii="Times New Roman" w:eastAsia="Times New Roman" w:hAnsi="Times New Roman" w:cs="Times New Roman"/>
          <w:sz w:val="24"/>
          <w:szCs w:val="24"/>
        </w:rPr>
        <w:t xml:space="preserve"> albumin [30], the average extravascular/intravascular ratio of albumin of 1.43, with experimental values ​​ranging from 1.17 to 1.76 [53] was used.</w:t>
      </w:r>
    </w:p>
    <w:p w14:paraId="1BC0F096" w14:textId="1AF97FDF" w:rsidR="00EA6F24" w:rsidRDefault="003D4D33" w:rsidP="00723BB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3D PSA was carried out to analyze the combined effect of </w:t>
      </w:r>
      <w:proofErr w:type="spellStart"/>
      <w:r>
        <w:rPr>
          <w:rFonts w:ascii="Times New Roman" w:eastAsia="Times New Roman" w:hAnsi="Times New Roman" w:cs="Times New Roman"/>
          <w:sz w:val="24"/>
          <w:szCs w:val="24"/>
        </w:rPr>
        <w:t>sATBF</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Kp</w:t>
      </w:r>
      <w:proofErr w:type="spellEnd"/>
      <w:r>
        <w:rPr>
          <w:rFonts w:ascii="Times New Roman" w:eastAsia="Times New Roman" w:hAnsi="Times New Roman" w:cs="Times New Roman"/>
          <w:sz w:val="24"/>
          <w:szCs w:val="24"/>
        </w:rPr>
        <w:t xml:space="preserve"> on </w:t>
      </w:r>
      <w:proofErr w:type="spellStart"/>
      <w:r>
        <w:rPr>
          <w:rFonts w:ascii="Times New Roman" w:eastAsia="Times New Roman" w:hAnsi="Times New Roman" w:cs="Times New Roman"/>
          <w:sz w:val="24"/>
          <w:szCs w:val="24"/>
        </w:rPr>
        <w:t>Tmax</w:t>
      </w:r>
      <w:proofErr w:type="spellEnd"/>
      <w:r>
        <w:rPr>
          <w:rFonts w:ascii="Times New Roman" w:eastAsia="Times New Roman" w:hAnsi="Times New Roman" w:cs="Times New Roman"/>
          <w:sz w:val="24"/>
          <w:szCs w:val="24"/>
        </w:rPr>
        <w:t xml:space="preserve"> values, allowing the most appropriate adjustment for each parameter (</w:t>
      </w:r>
      <w:r>
        <w:rPr>
          <w:rFonts w:ascii="Times New Roman" w:eastAsia="Times New Roman" w:hAnsi="Times New Roman" w:cs="Times New Roman"/>
          <w:b/>
          <w:sz w:val="24"/>
          <w:szCs w:val="24"/>
        </w:rPr>
        <w:t>Figure 3</w:t>
      </w:r>
      <w:r>
        <w:rPr>
          <w:rFonts w:ascii="Times New Roman" w:eastAsia="Times New Roman" w:hAnsi="Times New Roman" w:cs="Times New Roman"/>
          <w:sz w:val="24"/>
          <w:szCs w:val="24"/>
        </w:rPr>
        <w:t xml:space="preserve">). As a result, the </w:t>
      </w:r>
      <w:proofErr w:type="spellStart"/>
      <w:r>
        <w:rPr>
          <w:rFonts w:ascii="Times New Roman" w:eastAsia="Times New Roman" w:hAnsi="Times New Roman" w:cs="Times New Roman"/>
          <w:sz w:val="24"/>
          <w:szCs w:val="24"/>
        </w:rPr>
        <w:t>sATBF</w:t>
      </w:r>
      <w:proofErr w:type="spellEnd"/>
      <w:r>
        <w:rPr>
          <w:rFonts w:ascii="Times New Roman" w:eastAsia="Times New Roman" w:hAnsi="Times New Roman" w:cs="Times New Roman"/>
          <w:sz w:val="24"/>
          <w:szCs w:val="24"/>
        </w:rPr>
        <w:t xml:space="preserve"> and the partition coefficient, both of adipose tissue, underwent adjustments for correlation with experimental data, demonstrating the relevance of these parameters in the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PBPK model development. Regarding the </w:t>
      </w:r>
      <w:proofErr w:type="spellStart"/>
      <w:r>
        <w:rPr>
          <w:rFonts w:ascii="Times New Roman" w:eastAsia="Times New Roman" w:hAnsi="Times New Roman" w:cs="Times New Roman"/>
          <w:sz w:val="24"/>
          <w:szCs w:val="24"/>
        </w:rPr>
        <w:t>Kp</w:t>
      </w:r>
      <w:proofErr w:type="spellEnd"/>
      <w:r>
        <w:rPr>
          <w:rFonts w:ascii="Times New Roman" w:eastAsia="Times New Roman" w:hAnsi="Times New Roman" w:cs="Times New Roman"/>
          <w:sz w:val="24"/>
          <w:szCs w:val="24"/>
        </w:rPr>
        <w:t xml:space="preserve">, the adjustment from the </w:t>
      </w:r>
      <w:proofErr w:type="spellStart"/>
      <w:r>
        <w:rPr>
          <w:rFonts w:ascii="Times New Roman" w:eastAsia="Times New Roman" w:hAnsi="Times New Roman" w:cs="Times New Roman"/>
          <w:sz w:val="24"/>
          <w:szCs w:val="24"/>
        </w:rPr>
        <w:t>GastroPlus</w:t>
      </w:r>
      <w:proofErr w:type="spellEnd"/>
      <w:r>
        <w:rPr>
          <w:rFonts w:ascii="Times New Roman" w:eastAsia="Times New Roman" w:hAnsi="Times New Roman" w:cs="Times New Roman"/>
          <w:sz w:val="24"/>
          <w:szCs w:val="24"/>
        </w:rPr>
        <w:t xml:space="preserve"> calculated value of 0.06 </w:t>
      </w:r>
      <w:r>
        <w:rPr>
          <w:rFonts w:ascii="Times New Roman" w:eastAsia="Times New Roman" w:hAnsi="Times New Roman" w:cs="Times New Roman"/>
        </w:rPr>
        <w:t>to</w:t>
      </w:r>
      <w:r>
        <w:rPr>
          <w:rFonts w:ascii="Times New Roman" w:eastAsia="Times New Roman" w:hAnsi="Times New Roman" w:cs="Times New Roman"/>
          <w:sz w:val="24"/>
          <w:szCs w:val="24"/>
        </w:rPr>
        <w:t xml:space="preserve"> 1.76 resulted in the simulation of the pharmacokinetic profile closest to the experimental one [25] (</w:t>
      </w:r>
      <w:r>
        <w:rPr>
          <w:rFonts w:ascii="Times New Roman" w:eastAsia="Times New Roman" w:hAnsi="Times New Roman" w:cs="Times New Roman"/>
          <w:b/>
          <w:sz w:val="24"/>
          <w:szCs w:val="24"/>
        </w:rPr>
        <w:t>Figure 4</w:t>
      </w:r>
      <w:r>
        <w:rPr>
          <w:rFonts w:ascii="Times New Roman" w:eastAsia="Times New Roman" w:hAnsi="Times New Roman" w:cs="Times New Roman"/>
          <w:sz w:val="24"/>
          <w:szCs w:val="24"/>
        </w:rPr>
        <w:t xml:space="preserve">). The distribution of the drug between the extracellular and intracellular space of this administration compartment follows the model of slow passive diffusion in the permeability-limited tissue model [54]. The partition coefficients of the other tissues were kept. Regarding </w:t>
      </w:r>
      <w:proofErr w:type="spellStart"/>
      <w:r>
        <w:rPr>
          <w:rFonts w:ascii="Times New Roman" w:eastAsia="Times New Roman" w:hAnsi="Times New Roman" w:cs="Times New Roman"/>
          <w:sz w:val="24"/>
          <w:szCs w:val="24"/>
        </w:rPr>
        <w:t>sATBF</w:t>
      </w:r>
      <w:proofErr w:type="spellEnd"/>
      <w:r>
        <w:rPr>
          <w:rFonts w:ascii="Times New Roman" w:eastAsia="Times New Roman" w:hAnsi="Times New Roman" w:cs="Times New Roman"/>
          <w:sz w:val="24"/>
          <w:szCs w:val="24"/>
        </w:rPr>
        <w:t xml:space="preserve">, the adjustment from 3.77 mL/min/100g, supplied as default, to the value of 0.6 mL/min/100g, along with the adipose tissue </w:t>
      </w:r>
      <w:proofErr w:type="spellStart"/>
      <w:r>
        <w:rPr>
          <w:rFonts w:ascii="Times New Roman" w:eastAsia="Times New Roman" w:hAnsi="Times New Roman" w:cs="Times New Roman"/>
          <w:sz w:val="24"/>
          <w:szCs w:val="24"/>
        </w:rPr>
        <w:t>Kp</w:t>
      </w:r>
      <w:proofErr w:type="spellEnd"/>
      <w:r>
        <w:rPr>
          <w:rFonts w:ascii="Times New Roman" w:eastAsia="Times New Roman" w:hAnsi="Times New Roman" w:cs="Times New Roman"/>
          <w:sz w:val="24"/>
          <w:szCs w:val="24"/>
        </w:rPr>
        <w:t xml:space="preserve"> adjustment, allowed the best correlation with the experimental results (</w:t>
      </w:r>
      <w:r>
        <w:rPr>
          <w:rFonts w:ascii="Times New Roman" w:eastAsia="Times New Roman" w:hAnsi="Times New Roman" w:cs="Times New Roman"/>
          <w:b/>
          <w:sz w:val="24"/>
          <w:szCs w:val="24"/>
        </w:rPr>
        <w:t>Figure 4B</w:t>
      </w:r>
      <w:r>
        <w:rPr>
          <w:rFonts w:ascii="Times New Roman" w:eastAsia="Times New Roman" w:hAnsi="Times New Roman" w:cs="Times New Roman"/>
          <w:sz w:val="24"/>
          <w:szCs w:val="24"/>
        </w:rPr>
        <w:t>).</w:t>
      </w:r>
    </w:p>
    <w:p w14:paraId="53DA6F20" w14:textId="328EC17A" w:rsidR="00EA6F24" w:rsidRDefault="003D4D33">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Sema-1 model performance evaluation was carried out using superimposition model-based predictions with observed data from three clinical studies [24, 25, 31], considering virtual populations matching physiological data from the clinical studies (</w:t>
      </w:r>
      <w:r>
        <w:rPr>
          <w:rFonts w:ascii="Times New Roman" w:eastAsia="Times New Roman" w:hAnsi="Times New Roman" w:cs="Times New Roman"/>
          <w:b/>
          <w:sz w:val="24"/>
          <w:szCs w:val="24"/>
        </w:rPr>
        <w:t xml:space="preserve">Table 5; Figure </w:t>
      </w:r>
      <w:r>
        <w:rPr>
          <w:rFonts w:ascii="Times New Roman" w:eastAsia="Times New Roman" w:hAnsi="Times New Roman" w:cs="Times New Roman"/>
          <w:b/>
          <w:sz w:val="24"/>
          <w:szCs w:val="24"/>
        </w:rPr>
        <w:lastRenderedPageBreak/>
        <w:t>5</w:t>
      </w:r>
      <w:r>
        <w:rPr>
          <w:rFonts w:ascii="Times New Roman" w:eastAsia="Times New Roman" w:hAnsi="Times New Roman" w:cs="Times New Roman"/>
          <w:sz w:val="24"/>
          <w:szCs w:val="24"/>
        </w:rPr>
        <w:t>). The PBPK model</w:t>
      </w:r>
      <w:r>
        <w:rPr>
          <w:rFonts w:ascii="Times New Roman" w:eastAsia="Times New Roman" w:hAnsi="Times New Roman" w:cs="Times New Roman"/>
          <w:color w:val="1C1D1E"/>
          <w:sz w:val="24"/>
          <w:szCs w:val="24"/>
          <w:highlight w:val="white"/>
        </w:rPr>
        <w:t xml:space="preserve"> successfully predicted the PK </w:t>
      </w:r>
      <w:r>
        <w:rPr>
          <w:rFonts w:ascii="Times New Roman" w:eastAsia="Times New Roman" w:hAnsi="Times New Roman" w:cs="Times New Roman"/>
          <w:sz w:val="24"/>
          <w:szCs w:val="24"/>
        </w:rPr>
        <w:t xml:space="preserve">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in adults. The mean predicted AUC0-t (</w:t>
      </w:r>
      <w:proofErr w:type="spellStart"/>
      <w:r>
        <w:rPr>
          <w:rFonts w:ascii="Times New Roman" w:eastAsia="Times New Roman" w:hAnsi="Times New Roman" w:cs="Times New Roman"/>
          <w:color w:val="131413"/>
          <w:sz w:val="24"/>
          <w:szCs w:val="24"/>
        </w:rPr>
        <w:t>ratio</w:t>
      </w:r>
      <w:r>
        <w:rPr>
          <w:rFonts w:ascii="Times New Roman" w:eastAsia="Times New Roman" w:hAnsi="Times New Roman" w:cs="Times New Roman"/>
          <w:color w:val="131413"/>
          <w:sz w:val="24"/>
          <w:szCs w:val="24"/>
          <w:vertAlign w:val="subscript"/>
        </w:rPr>
        <w:t>Obs</w:t>
      </w:r>
      <w:proofErr w:type="spellEnd"/>
      <w:r>
        <w:rPr>
          <w:rFonts w:ascii="Times New Roman" w:eastAsia="Times New Roman" w:hAnsi="Times New Roman" w:cs="Times New Roman"/>
          <w:color w:val="131413"/>
          <w:sz w:val="24"/>
          <w:szCs w:val="24"/>
          <w:vertAlign w:val="subscript"/>
        </w:rPr>
        <w:t xml:space="preserve">/Pred </w:t>
      </w:r>
      <w:r>
        <w:rPr>
          <w:rFonts w:ascii="Times New Roman" w:eastAsia="Times New Roman" w:hAnsi="Times New Roman" w:cs="Times New Roman"/>
          <w:sz w:val="24"/>
          <w:szCs w:val="24"/>
        </w:rPr>
        <w:t xml:space="preserve">0.95-1.19) and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values (</w:t>
      </w:r>
      <w:proofErr w:type="spellStart"/>
      <w:r>
        <w:rPr>
          <w:rFonts w:ascii="Times New Roman" w:eastAsia="Times New Roman" w:hAnsi="Times New Roman" w:cs="Times New Roman"/>
          <w:color w:val="131413"/>
          <w:sz w:val="24"/>
          <w:szCs w:val="24"/>
        </w:rPr>
        <w:t>ratio</w:t>
      </w:r>
      <w:r>
        <w:rPr>
          <w:rFonts w:ascii="Times New Roman" w:eastAsia="Times New Roman" w:hAnsi="Times New Roman" w:cs="Times New Roman"/>
          <w:color w:val="131413"/>
          <w:sz w:val="24"/>
          <w:szCs w:val="24"/>
          <w:vertAlign w:val="subscript"/>
        </w:rPr>
        <w:t>Obs</w:t>
      </w:r>
      <w:proofErr w:type="spellEnd"/>
      <w:r>
        <w:rPr>
          <w:rFonts w:ascii="Times New Roman" w:eastAsia="Times New Roman" w:hAnsi="Times New Roman" w:cs="Times New Roman"/>
          <w:color w:val="131413"/>
          <w:sz w:val="24"/>
          <w:szCs w:val="24"/>
          <w:vertAlign w:val="subscript"/>
        </w:rPr>
        <w:t xml:space="preserve">/Pred </w:t>
      </w:r>
      <w:r>
        <w:rPr>
          <w:rFonts w:ascii="Times New Roman" w:eastAsia="Times New Roman" w:hAnsi="Times New Roman" w:cs="Times New Roman"/>
          <w:sz w:val="24"/>
          <w:szCs w:val="24"/>
        </w:rPr>
        <w:t xml:space="preserve">0.92-0.99) were within 1.25-fold of the clinically-reported values in the three reference studies (Figure 5, Table 3). Although the adjusted model led to higher AFE for </w:t>
      </w:r>
      <w:proofErr w:type="spellStart"/>
      <w:r>
        <w:rPr>
          <w:rFonts w:ascii="Times New Roman" w:eastAsia="Times New Roman" w:hAnsi="Times New Roman" w:cs="Times New Roman"/>
          <w:sz w:val="24"/>
          <w:szCs w:val="24"/>
        </w:rPr>
        <w:t>Tmax</w:t>
      </w:r>
      <w:proofErr w:type="spellEnd"/>
      <w:r>
        <w:rPr>
          <w:rFonts w:ascii="Times New Roman" w:eastAsia="Times New Roman" w:hAnsi="Times New Roman" w:cs="Times New Roman"/>
          <w:sz w:val="24"/>
          <w:szCs w:val="24"/>
        </w:rPr>
        <w:t xml:space="preserve"> considering two clinical studies, Jensen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2017 (</w:t>
      </w:r>
      <w:proofErr w:type="spellStart"/>
      <w:r>
        <w:rPr>
          <w:rFonts w:ascii="Times New Roman" w:eastAsia="Times New Roman" w:hAnsi="Times New Roman" w:cs="Times New Roman"/>
          <w:sz w:val="24"/>
          <w:szCs w:val="24"/>
        </w:rPr>
        <w:t>ratio</w:t>
      </w:r>
      <w:r>
        <w:rPr>
          <w:rFonts w:ascii="Times New Roman" w:eastAsia="Times New Roman" w:hAnsi="Times New Roman" w:cs="Times New Roman"/>
          <w:sz w:val="24"/>
          <w:szCs w:val="24"/>
          <w:vertAlign w:val="subscript"/>
        </w:rPr>
        <w:t>Obs</w:t>
      </w:r>
      <w:proofErr w:type="spellEnd"/>
      <w:r>
        <w:rPr>
          <w:rFonts w:ascii="Times New Roman" w:eastAsia="Times New Roman" w:hAnsi="Times New Roman" w:cs="Times New Roman"/>
          <w:sz w:val="24"/>
          <w:szCs w:val="24"/>
          <w:vertAlign w:val="subscript"/>
        </w:rPr>
        <w:t>/Pred</w:t>
      </w:r>
      <w:r>
        <w:rPr>
          <w:rFonts w:ascii="Times New Roman" w:eastAsia="Times New Roman" w:hAnsi="Times New Roman" w:cs="Times New Roman"/>
          <w:sz w:val="24"/>
          <w:szCs w:val="24"/>
        </w:rPr>
        <w:t xml:space="preserve"> = 1.84) and NN9535-4010 (</w:t>
      </w:r>
      <w:proofErr w:type="spellStart"/>
      <w:r>
        <w:rPr>
          <w:rFonts w:ascii="Times New Roman" w:eastAsia="Times New Roman" w:hAnsi="Times New Roman" w:cs="Times New Roman"/>
          <w:sz w:val="24"/>
          <w:szCs w:val="24"/>
        </w:rPr>
        <w:t>ratio</w:t>
      </w:r>
      <w:r>
        <w:rPr>
          <w:rFonts w:ascii="Times New Roman" w:eastAsia="Times New Roman" w:hAnsi="Times New Roman" w:cs="Times New Roman"/>
          <w:sz w:val="24"/>
          <w:szCs w:val="24"/>
          <w:vertAlign w:val="subscript"/>
        </w:rPr>
        <w:t>Obs</w:t>
      </w:r>
      <w:proofErr w:type="spellEnd"/>
      <w:r>
        <w:rPr>
          <w:rFonts w:ascii="Times New Roman" w:eastAsia="Times New Roman" w:hAnsi="Times New Roman" w:cs="Times New Roman"/>
          <w:sz w:val="24"/>
          <w:szCs w:val="24"/>
          <w:vertAlign w:val="subscript"/>
        </w:rPr>
        <w:t xml:space="preserve">/Pred </w:t>
      </w:r>
      <w:r>
        <w:rPr>
          <w:rFonts w:ascii="Times New Roman" w:eastAsia="Times New Roman" w:hAnsi="Times New Roman" w:cs="Times New Roman"/>
          <w:sz w:val="24"/>
          <w:szCs w:val="24"/>
        </w:rPr>
        <w:t xml:space="preserve">= 3), the values were within the range observed in the clinical studies. Indeed, this was the parameter with the greatest inter-individual variability in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clinical studies (</w:t>
      </w:r>
      <w:r>
        <w:rPr>
          <w:rFonts w:ascii="Times New Roman" w:eastAsia="Times New Roman" w:hAnsi="Times New Roman" w:cs="Times New Roman"/>
          <w:b/>
          <w:sz w:val="24"/>
          <w:szCs w:val="24"/>
        </w:rPr>
        <w:t>Table 5</w:t>
      </w:r>
      <w:r>
        <w:rPr>
          <w:rFonts w:ascii="Times New Roman" w:eastAsia="Times New Roman" w:hAnsi="Times New Roman" w:cs="Times New Roman"/>
          <w:sz w:val="24"/>
          <w:szCs w:val="24"/>
        </w:rPr>
        <w:t>) [8, 24].</w:t>
      </w:r>
    </w:p>
    <w:p w14:paraId="7A0E0110" w14:textId="77777777" w:rsidR="00723BBE" w:rsidRDefault="00723BBE" w:rsidP="00723BBE">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 PBPK models for children and adolescents: Sema-2 and Sema-3</w:t>
      </w:r>
    </w:p>
    <w:p w14:paraId="064BCD0F" w14:textId="77777777" w:rsidR="00723BBE" w:rsidRDefault="00723BBE" w:rsidP="00723BB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According to simulation results, </w:t>
      </w:r>
      <w:proofErr w:type="spellStart"/>
      <w:r>
        <w:rPr>
          <w:rFonts w:ascii="Times New Roman" w:eastAsia="Times New Roman" w:hAnsi="Times New Roman" w:cs="Times New Roman"/>
          <w:sz w:val="24"/>
          <w:szCs w:val="24"/>
        </w:rPr>
        <w:t>Tmax</w:t>
      </w:r>
      <w:proofErr w:type="spellEnd"/>
      <w:r>
        <w:rPr>
          <w:rFonts w:ascii="Times New Roman" w:eastAsia="Times New Roman" w:hAnsi="Times New Roman" w:cs="Times New Roman"/>
          <w:sz w:val="24"/>
          <w:szCs w:val="24"/>
        </w:rPr>
        <w:t xml:space="preserve"> and AUC</w:t>
      </w:r>
      <w:r>
        <w:rPr>
          <w:rFonts w:ascii="Times New Roman" w:eastAsia="Times New Roman" w:hAnsi="Times New Roman" w:cs="Times New Roman"/>
          <w:sz w:val="24"/>
          <w:szCs w:val="24"/>
          <w:vertAlign w:val="subscript"/>
        </w:rPr>
        <w:t>0-840h</w:t>
      </w:r>
      <w:r>
        <w:rPr>
          <w:rFonts w:ascii="Times New Roman" w:eastAsia="Times New Roman" w:hAnsi="Times New Roman" w:cs="Times New Roman"/>
          <w:sz w:val="24"/>
          <w:szCs w:val="24"/>
        </w:rPr>
        <w:t xml:space="preserve"> presented little variation over the pediatric population (10-17 years old), with normal and obese body weights, with mean values ​​between 25 and 35 h, and 9.96 and 11.97 µg-h/mL, respectively, which were within the range stated in clinical studies with adults [24, 25, 31]. Differently,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presented the greatest variation with age, ranging from 0.085 to 0.029 µg/mL (</w:t>
      </w:r>
      <w:r>
        <w:rPr>
          <w:rFonts w:ascii="Times New Roman" w:eastAsia="Times New Roman" w:hAnsi="Times New Roman" w:cs="Times New Roman"/>
          <w:b/>
          <w:sz w:val="24"/>
          <w:szCs w:val="24"/>
        </w:rPr>
        <w:t>Table 6</w:t>
      </w:r>
      <w:r>
        <w:rPr>
          <w:rFonts w:ascii="Times New Roman" w:eastAsia="Times New Roman" w:hAnsi="Times New Roman" w:cs="Times New Roman"/>
          <w:sz w:val="24"/>
          <w:szCs w:val="24"/>
        </w:rPr>
        <w:t xml:space="preserve">). Within this population, the 10-14 years with normal body weight (Sema-2) presented the highest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values, which were higher than the range stated in clinical studies with adults at the reference dose of 0.5 mg (</w:t>
      </w:r>
      <w:r>
        <w:rPr>
          <w:rFonts w:ascii="Times New Roman" w:eastAsia="Times New Roman" w:hAnsi="Times New Roman" w:cs="Times New Roman"/>
          <w:b/>
          <w:sz w:val="24"/>
          <w:szCs w:val="24"/>
        </w:rPr>
        <w:t>Table 6</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Figures 6</w:t>
      </w:r>
      <w:r>
        <w:rPr>
          <w:rFonts w:ascii="Times New Roman" w:eastAsia="Times New Roman" w:hAnsi="Times New Roman" w:cs="Times New Roman"/>
          <w:sz w:val="24"/>
          <w:szCs w:val="24"/>
        </w:rPr>
        <w:t xml:space="preserve"> and </w:t>
      </w:r>
      <w:r>
        <w:rPr>
          <w:rFonts w:ascii="Times New Roman" w:eastAsia="Times New Roman" w:hAnsi="Times New Roman" w:cs="Times New Roman"/>
          <w:b/>
          <w:sz w:val="24"/>
          <w:szCs w:val="24"/>
        </w:rPr>
        <w:t>7</w:t>
      </w:r>
      <w:r>
        <w:rPr>
          <w:rFonts w:ascii="Times New Roman" w:eastAsia="Times New Roman" w:hAnsi="Times New Roman" w:cs="Times New Roman"/>
          <w:sz w:val="24"/>
          <w:szCs w:val="24"/>
        </w:rPr>
        <w:t xml:space="preserve">). </w:t>
      </w:r>
    </w:p>
    <w:p w14:paraId="250670DF" w14:textId="77777777" w:rsidR="00723BBE" w:rsidRDefault="00723BBE" w:rsidP="00723BB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obese pediatric population (Sema-3) presented an average increase of 6.4 hours in </w:t>
      </w:r>
      <w:proofErr w:type="spellStart"/>
      <w:r>
        <w:rPr>
          <w:rFonts w:ascii="Times New Roman" w:eastAsia="Times New Roman" w:hAnsi="Times New Roman" w:cs="Times New Roman"/>
          <w:sz w:val="24"/>
          <w:szCs w:val="24"/>
        </w:rPr>
        <w:t>Tmax</w:t>
      </w:r>
      <w:proofErr w:type="spellEnd"/>
      <w:r>
        <w:rPr>
          <w:rFonts w:ascii="Times New Roman" w:eastAsia="Times New Roman" w:hAnsi="Times New Roman" w:cs="Times New Roman"/>
          <w:sz w:val="24"/>
          <w:szCs w:val="24"/>
        </w:rPr>
        <w:t xml:space="preserve"> values in relation to children with normal body weight (Sema-2) at the same age range (Table 6), which remained in the range stated in clinical studies with adults. Regarding the absorption extent (AUC), little variation was observed with the increased body weight (Table 6).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showed the greatest variation with body weight, with a mean increase of 0.033 µg/mL for obese children compared to children with normal body weight in the same age range (Table 6).  Notably, the plasma concentrations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decreased in obese children and adolescents in all the studied age ranges, with values achieving the range stated in adult clinical studies, even for the </w:t>
      </w:r>
      <w:proofErr w:type="gramStart"/>
      <w:r>
        <w:rPr>
          <w:rFonts w:ascii="Times New Roman" w:eastAsia="Times New Roman" w:hAnsi="Times New Roman" w:cs="Times New Roman"/>
          <w:sz w:val="24"/>
          <w:szCs w:val="24"/>
        </w:rPr>
        <w:t>10-12 and 13-14 years</w:t>
      </w:r>
      <w:proofErr w:type="gramEnd"/>
      <w:r>
        <w:rPr>
          <w:rFonts w:ascii="Times New Roman" w:eastAsia="Times New Roman" w:hAnsi="Times New Roman" w:cs="Times New Roman"/>
          <w:sz w:val="24"/>
          <w:szCs w:val="24"/>
        </w:rPr>
        <w:t xml:space="preserve"> old ranges (</w:t>
      </w:r>
      <w:r>
        <w:rPr>
          <w:rFonts w:ascii="Times New Roman" w:eastAsia="Times New Roman" w:hAnsi="Times New Roman" w:cs="Times New Roman"/>
          <w:b/>
          <w:sz w:val="24"/>
          <w:szCs w:val="24"/>
        </w:rPr>
        <w:t>Figures 6</w:t>
      </w:r>
      <w:r>
        <w:rPr>
          <w:rFonts w:ascii="Times New Roman" w:eastAsia="Times New Roman" w:hAnsi="Times New Roman" w:cs="Times New Roman"/>
          <w:sz w:val="24"/>
          <w:szCs w:val="24"/>
        </w:rPr>
        <w:t xml:space="preserve"> and </w:t>
      </w:r>
      <w:r>
        <w:rPr>
          <w:rFonts w:ascii="Times New Roman" w:eastAsia="Times New Roman" w:hAnsi="Times New Roman" w:cs="Times New Roman"/>
          <w:b/>
          <w:sz w:val="24"/>
          <w:szCs w:val="24"/>
        </w:rPr>
        <w:t>7</w:t>
      </w:r>
      <w:r>
        <w:rPr>
          <w:rFonts w:ascii="Times New Roman" w:eastAsia="Times New Roman" w:hAnsi="Times New Roman" w:cs="Times New Roman"/>
          <w:sz w:val="24"/>
          <w:szCs w:val="24"/>
        </w:rPr>
        <w:t xml:space="preserve">). </w:t>
      </w:r>
    </w:p>
    <w:p w14:paraId="0C9846AF" w14:textId="77777777" w:rsidR="00723BBE" w:rsidRDefault="00723BBE" w:rsidP="00723BBE">
      <w:pPr>
        <w:widowControl w:val="0"/>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rPr>
        <w:t xml:space="preserve">4. </w:t>
      </w:r>
      <w:r>
        <w:rPr>
          <w:rFonts w:ascii="Times New Roman" w:eastAsia="Times New Roman" w:hAnsi="Times New Roman" w:cs="Times New Roman"/>
          <w:b/>
          <w:sz w:val="24"/>
          <w:szCs w:val="24"/>
        </w:rPr>
        <w:t>Discussion</w:t>
      </w:r>
    </w:p>
    <w:p w14:paraId="48DC4EB0" w14:textId="77777777" w:rsidR="00723BBE" w:rsidRDefault="00723BBE" w:rsidP="00723BBE">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Given the limited opportunities to collect data in children, modeling and simulation methodologies are being utilized by academia, industry, and regulatory agencies as powerful </w:t>
      </w:r>
      <w:r>
        <w:rPr>
          <w:rFonts w:ascii="Times New Roman" w:eastAsia="Times New Roman" w:hAnsi="Times New Roman" w:cs="Times New Roman"/>
          <w:sz w:val="24"/>
          <w:szCs w:val="24"/>
        </w:rPr>
        <w:lastRenderedPageBreak/>
        <w:t xml:space="preserve">tools to optimize resources to design meaningful pediatric clinical studies for drug development [55-58]. </w:t>
      </w:r>
    </w:p>
    <w:p w14:paraId="46C388BC" w14:textId="77777777" w:rsidR="00723BBE" w:rsidRDefault="00723BBE" w:rsidP="00723BBE">
      <w:pPr>
        <w:spacing w:before="240" w:after="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Dose selection is the most common pediatric drug development application followed by formulation. The use of P-PBPK models for initial dose extrapolation prior to undertaking clinical trials in children has been steadily increasing in the last few years and is viewed as a low/medium impact application of this approach in the recent European Medicines Agency guidelines [59, 60]. P-PBPK models have been used for dose projection in different age groups based on adult exposure in clinical and drug development settings [58, 59, 61, 62]. </w:t>
      </w:r>
    </w:p>
    <w:p w14:paraId="5661631F" w14:textId="77777777" w:rsidR="00723BBE" w:rsidRDefault="00723BBE" w:rsidP="00723BBE">
      <w:pPr>
        <w:spacing w:before="240" w:after="24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       In the present study, the P-PBPK model was developed using best practice with model verification and modification following a predict–learn–confirm paradigm, refining the model based on adult data before undertaking simulations in pediatrics [59, 63]. This is the first time a PBPK model has been developed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a drug that represents a T2D therapy, safe and efficacious.</w:t>
      </w:r>
      <w:r>
        <w:rPr>
          <w:rFonts w:ascii="Georgia" w:eastAsia="Georgia" w:hAnsi="Georgia" w:cs="Georgia"/>
          <w:color w:val="333333"/>
          <w:sz w:val="27"/>
          <w:szCs w:val="27"/>
          <w:shd w:val="clear" w:color="auto" w:fill="FCFCFC"/>
        </w:rPr>
        <w:t xml:space="preserve"> </w:t>
      </w:r>
      <w:r>
        <w:rPr>
          <w:rFonts w:ascii="Times New Roman" w:eastAsia="Times New Roman" w:hAnsi="Times New Roman" w:cs="Times New Roman"/>
          <w:sz w:val="24"/>
          <w:szCs w:val="24"/>
          <w:highlight w:val="white"/>
        </w:rPr>
        <w:t>Although the STEP-4 Teen trial closed in March 2022 (</w:t>
      </w:r>
      <w:hyperlink r:id="rId9">
        <w:r>
          <w:rPr>
            <w:rFonts w:ascii="Times New Roman" w:eastAsia="Times New Roman" w:hAnsi="Times New Roman" w:cs="Times New Roman"/>
            <w:sz w:val="24"/>
            <w:szCs w:val="24"/>
            <w:highlight w:val="white"/>
          </w:rPr>
          <w:t>https://clinicaltrials.gov/ct2/show/NCT04102189</w:t>
        </w:r>
      </w:hyperlink>
      <w:r>
        <w:rPr>
          <w:rFonts w:ascii="Times New Roman" w:eastAsia="Times New Roman" w:hAnsi="Times New Roman" w:cs="Times New Roman"/>
          <w:sz w:val="24"/>
          <w:szCs w:val="24"/>
          <w:highlight w:val="white"/>
        </w:rPr>
        <w:t xml:space="preserve">), no pharmacokinetic and dose adjustment data have been released up to now. </w:t>
      </w:r>
    </w:p>
    <w:p w14:paraId="71247965" w14:textId="77777777" w:rsidR="00723BBE" w:rsidRDefault="00723BBE" w:rsidP="00723BBE">
      <w:pPr>
        <w:spacing w:before="240" w:after="240" w:line="360" w:lineRule="auto"/>
        <w:ind w:firstLine="720"/>
        <w:jc w:val="both"/>
        <w:rPr>
          <w:rFonts w:ascii="Arial" w:eastAsia="Arial" w:hAnsi="Arial" w:cs="Arial"/>
          <w:color w:val="333333"/>
          <w:sz w:val="24"/>
          <w:szCs w:val="24"/>
          <w:highlight w:val="white"/>
        </w:rPr>
      </w:pPr>
      <w:r>
        <w:rPr>
          <w:rFonts w:ascii="Times New Roman" w:eastAsia="Times New Roman" w:hAnsi="Times New Roman" w:cs="Times New Roman"/>
          <w:sz w:val="24"/>
          <w:szCs w:val="24"/>
        </w:rPr>
        <w:t xml:space="preserve">The adult PBPK model was successfully developed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based on the good prediction of the concentration-time profiles after a single intravenous (IV) and subcutaneous administration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First, the pharmacokinetics simulation with IV application was carried out, as it provides disposition kinetics without the interference of complexities arising from absorption. In the next step, a PBPK model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was developed based on PK characteristics in healthy adults (Sema-1) and evaluated using PK data from three different clinical studies for the subcutaneous administration route [24, 25, 31]. </w:t>
      </w:r>
    </w:p>
    <w:p w14:paraId="26FA5DF4" w14:textId="5AA57960" w:rsidR="00EA6F24" w:rsidRDefault="00723BBE" w:rsidP="00723BBE">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D4D33">
        <w:rPr>
          <w:rFonts w:ascii="Times New Roman" w:eastAsia="Times New Roman" w:hAnsi="Times New Roman" w:cs="Times New Roman"/>
          <w:color w:val="2E2E2E"/>
          <w:sz w:val="24"/>
          <w:szCs w:val="24"/>
        </w:rPr>
        <w:t xml:space="preserve">To the development of the Sema-1 model, it was needed to perform </w:t>
      </w:r>
      <w:r w:rsidR="003D4D33">
        <w:rPr>
          <w:rFonts w:ascii="Times New Roman" w:eastAsia="Times New Roman" w:hAnsi="Times New Roman" w:cs="Times New Roman"/>
          <w:sz w:val="24"/>
          <w:szCs w:val="24"/>
        </w:rPr>
        <w:t xml:space="preserve">a PSA that pointed out the </w:t>
      </w:r>
      <w:proofErr w:type="spellStart"/>
      <w:r w:rsidR="003D4D33">
        <w:rPr>
          <w:rFonts w:ascii="Times New Roman" w:eastAsia="Times New Roman" w:hAnsi="Times New Roman" w:cs="Times New Roman"/>
          <w:sz w:val="24"/>
          <w:szCs w:val="24"/>
        </w:rPr>
        <w:t>sATBF</w:t>
      </w:r>
      <w:proofErr w:type="spellEnd"/>
      <w:r w:rsidR="003D4D33">
        <w:rPr>
          <w:rFonts w:ascii="Times New Roman" w:eastAsia="Times New Roman" w:hAnsi="Times New Roman" w:cs="Times New Roman"/>
          <w:sz w:val="24"/>
          <w:szCs w:val="24"/>
        </w:rPr>
        <w:t xml:space="preserve"> and the partition coefficient, both of adipose tissue, as critical parameters for the model development. </w:t>
      </w:r>
      <w:r w:rsidR="003D4D33">
        <w:rPr>
          <w:rFonts w:ascii="Times New Roman" w:eastAsia="Times New Roman" w:hAnsi="Times New Roman" w:cs="Times New Roman"/>
          <w:color w:val="202124"/>
          <w:sz w:val="24"/>
          <w:szCs w:val="24"/>
        </w:rPr>
        <w:t xml:space="preserve">These parameters are directly related to the SC administration, where </w:t>
      </w:r>
      <w:r w:rsidR="003D4D33">
        <w:rPr>
          <w:rFonts w:ascii="Times New Roman" w:eastAsia="Times New Roman" w:hAnsi="Times New Roman" w:cs="Times New Roman"/>
          <w:color w:val="2E2E2E"/>
          <w:sz w:val="24"/>
          <w:szCs w:val="24"/>
        </w:rPr>
        <w:t xml:space="preserve">the drug is deposited within the interstitial fluid of the extracellular matrix and needs </w:t>
      </w:r>
      <w:r w:rsidR="003D4D33">
        <w:rPr>
          <w:rFonts w:ascii="Times New Roman" w:eastAsia="Times New Roman" w:hAnsi="Times New Roman" w:cs="Times New Roman"/>
          <w:color w:val="2E2E2E"/>
          <w:sz w:val="24"/>
          <w:szCs w:val="24"/>
        </w:rPr>
        <w:lastRenderedPageBreak/>
        <w:t xml:space="preserve">to diffuse to the nearest blood or lymphatic capillary. Literature supports redefining parameters in order to accomplish a similar-to-desired pharmacokinetic profile [64, 65]. Thus, </w:t>
      </w:r>
      <w:proofErr w:type="spellStart"/>
      <w:r w:rsidR="003D4D33">
        <w:rPr>
          <w:rFonts w:ascii="Times New Roman" w:eastAsia="Times New Roman" w:hAnsi="Times New Roman" w:cs="Times New Roman"/>
          <w:sz w:val="24"/>
          <w:szCs w:val="24"/>
        </w:rPr>
        <w:t>sATBF</w:t>
      </w:r>
      <w:proofErr w:type="spellEnd"/>
      <w:r w:rsidR="003D4D33">
        <w:rPr>
          <w:rFonts w:ascii="Times New Roman" w:eastAsia="Times New Roman" w:hAnsi="Times New Roman" w:cs="Times New Roman"/>
          <w:sz w:val="24"/>
          <w:szCs w:val="24"/>
        </w:rPr>
        <w:t xml:space="preserve"> and the adipose tissue partition coefficient were adjusted from a range of literature values [50, 51, 53], assuming that this drug distributes in plasma and peripheral tissues to the same </w:t>
      </w:r>
      <w:r w:rsidR="003D4D33">
        <w:rPr>
          <w:rFonts w:ascii="Times New Roman" w:eastAsia="Times New Roman" w:hAnsi="Times New Roman" w:cs="Times New Roman"/>
          <w:sz w:val="24"/>
          <w:szCs w:val="24"/>
          <w:shd w:val="clear" w:color="auto" w:fill="FCFCFC"/>
        </w:rPr>
        <w:t>extent as</w:t>
      </w:r>
      <w:r w:rsidR="003D4D33">
        <w:rPr>
          <w:rFonts w:ascii="Times New Roman" w:eastAsia="Times New Roman" w:hAnsi="Times New Roman" w:cs="Times New Roman"/>
          <w:sz w:val="24"/>
          <w:szCs w:val="24"/>
        </w:rPr>
        <w:t xml:space="preserve"> albumin [30]. As a result, </w:t>
      </w:r>
      <w:proofErr w:type="spellStart"/>
      <w:r w:rsidR="003D4D33">
        <w:rPr>
          <w:rFonts w:ascii="Times New Roman" w:eastAsia="Times New Roman" w:hAnsi="Times New Roman" w:cs="Times New Roman"/>
          <w:sz w:val="24"/>
          <w:szCs w:val="24"/>
        </w:rPr>
        <w:t>sATBF</w:t>
      </w:r>
      <w:proofErr w:type="spellEnd"/>
      <w:r w:rsidR="003D4D33">
        <w:rPr>
          <w:rFonts w:ascii="Times New Roman" w:eastAsia="Times New Roman" w:hAnsi="Times New Roman" w:cs="Times New Roman"/>
          <w:sz w:val="24"/>
          <w:szCs w:val="24"/>
        </w:rPr>
        <w:t xml:space="preserve"> of 0.6 mL/min/100g and adipose tissue </w:t>
      </w:r>
      <w:proofErr w:type="spellStart"/>
      <w:r w:rsidR="003D4D33">
        <w:rPr>
          <w:rFonts w:ascii="Times New Roman" w:eastAsia="Times New Roman" w:hAnsi="Times New Roman" w:cs="Times New Roman"/>
          <w:sz w:val="24"/>
          <w:szCs w:val="24"/>
        </w:rPr>
        <w:t>Kp</w:t>
      </w:r>
      <w:proofErr w:type="spellEnd"/>
      <w:r w:rsidR="003D4D33">
        <w:rPr>
          <w:rFonts w:ascii="Times New Roman" w:eastAsia="Times New Roman" w:hAnsi="Times New Roman" w:cs="Times New Roman"/>
          <w:sz w:val="24"/>
          <w:szCs w:val="24"/>
        </w:rPr>
        <w:t xml:space="preserve"> of 1.76 minimized variation between the fitted and reference pharmacokinetic profiles [25].</w:t>
      </w:r>
      <w:r w:rsidR="003D4D33">
        <w:rPr>
          <w:rFonts w:ascii="Times New Roman" w:eastAsia="Times New Roman" w:hAnsi="Times New Roman" w:cs="Times New Roman"/>
          <w:color w:val="2E2E2E"/>
          <w:sz w:val="24"/>
          <w:szCs w:val="24"/>
        </w:rPr>
        <w:t xml:space="preserve"> Afterward, with </w:t>
      </w:r>
      <w:r w:rsidR="003D4D33">
        <w:rPr>
          <w:rFonts w:ascii="Times New Roman" w:eastAsia="Times New Roman" w:hAnsi="Times New Roman" w:cs="Times New Roman"/>
          <w:sz w:val="24"/>
          <w:szCs w:val="24"/>
        </w:rPr>
        <w:t xml:space="preserve">the </w:t>
      </w:r>
      <w:proofErr w:type="spellStart"/>
      <w:r w:rsidR="003D4D33">
        <w:rPr>
          <w:rFonts w:ascii="Times New Roman" w:eastAsia="Times New Roman" w:hAnsi="Times New Roman" w:cs="Times New Roman"/>
          <w:color w:val="131413"/>
          <w:sz w:val="24"/>
          <w:szCs w:val="24"/>
        </w:rPr>
        <w:t>ratio</w:t>
      </w:r>
      <w:r w:rsidR="003D4D33">
        <w:rPr>
          <w:rFonts w:ascii="Times New Roman" w:eastAsia="Times New Roman" w:hAnsi="Times New Roman" w:cs="Times New Roman"/>
          <w:color w:val="131413"/>
          <w:sz w:val="24"/>
          <w:szCs w:val="24"/>
          <w:vertAlign w:val="subscript"/>
        </w:rPr>
        <w:t>Obs</w:t>
      </w:r>
      <w:proofErr w:type="spellEnd"/>
      <w:r w:rsidR="003D4D33">
        <w:rPr>
          <w:rFonts w:ascii="Times New Roman" w:eastAsia="Times New Roman" w:hAnsi="Times New Roman" w:cs="Times New Roman"/>
          <w:color w:val="131413"/>
          <w:sz w:val="24"/>
          <w:szCs w:val="24"/>
          <w:vertAlign w:val="subscript"/>
        </w:rPr>
        <w:t>/Pred</w:t>
      </w:r>
      <w:r w:rsidR="003D4D33">
        <w:rPr>
          <w:rFonts w:ascii="Times New Roman" w:eastAsia="Times New Roman" w:hAnsi="Times New Roman" w:cs="Times New Roman"/>
          <w:color w:val="131413"/>
          <w:sz w:val="24"/>
          <w:szCs w:val="24"/>
        </w:rPr>
        <w:t xml:space="preserve"> </w:t>
      </w:r>
      <w:proofErr w:type="gramStart"/>
      <w:r w:rsidR="003D4D33">
        <w:rPr>
          <w:rFonts w:ascii="Times New Roman" w:eastAsia="Times New Roman" w:hAnsi="Times New Roman" w:cs="Times New Roman"/>
          <w:color w:val="131413"/>
          <w:sz w:val="24"/>
          <w:szCs w:val="24"/>
        </w:rPr>
        <w:t xml:space="preserve">of </w:t>
      </w:r>
      <w:r w:rsidR="003D4D33">
        <w:rPr>
          <w:rFonts w:ascii="Times New Roman" w:eastAsia="Times New Roman" w:hAnsi="Times New Roman" w:cs="Times New Roman"/>
          <w:sz w:val="24"/>
          <w:szCs w:val="24"/>
        </w:rPr>
        <w:t xml:space="preserve"> </w:t>
      </w:r>
      <w:proofErr w:type="spellStart"/>
      <w:r w:rsidR="003D4D33">
        <w:rPr>
          <w:rFonts w:ascii="Times New Roman" w:eastAsia="Times New Roman" w:hAnsi="Times New Roman" w:cs="Times New Roman"/>
          <w:sz w:val="24"/>
          <w:szCs w:val="24"/>
        </w:rPr>
        <w:t>Tmax</w:t>
      </w:r>
      <w:proofErr w:type="spellEnd"/>
      <w:proofErr w:type="gramEnd"/>
      <w:r w:rsidR="003D4D33">
        <w:rPr>
          <w:rFonts w:ascii="Times New Roman" w:eastAsia="Times New Roman" w:hAnsi="Times New Roman" w:cs="Times New Roman"/>
          <w:sz w:val="24"/>
          <w:szCs w:val="24"/>
        </w:rPr>
        <w:t xml:space="preserve">, AUC, and </w:t>
      </w:r>
      <w:proofErr w:type="spellStart"/>
      <w:r w:rsidR="003D4D33">
        <w:rPr>
          <w:rFonts w:ascii="Times New Roman" w:eastAsia="Times New Roman" w:hAnsi="Times New Roman" w:cs="Times New Roman"/>
          <w:sz w:val="24"/>
          <w:szCs w:val="24"/>
        </w:rPr>
        <w:t>Cmax</w:t>
      </w:r>
      <w:proofErr w:type="spellEnd"/>
      <w:r w:rsidR="003D4D33">
        <w:rPr>
          <w:rFonts w:ascii="Times New Roman" w:eastAsia="Times New Roman" w:hAnsi="Times New Roman" w:cs="Times New Roman"/>
          <w:sz w:val="24"/>
          <w:szCs w:val="24"/>
        </w:rPr>
        <w:t xml:space="preserve"> within the two-fold range performance [34, 66], the established Sema-1 model adequately described the observed PK of </w:t>
      </w:r>
      <w:proofErr w:type="spellStart"/>
      <w:r w:rsidR="003D4D33">
        <w:rPr>
          <w:rFonts w:ascii="Times New Roman" w:eastAsia="Times New Roman" w:hAnsi="Times New Roman" w:cs="Times New Roman"/>
          <w:sz w:val="24"/>
          <w:szCs w:val="24"/>
        </w:rPr>
        <w:t>semaglutide</w:t>
      </w:r>
      <w:proofErr w:type="spellEnd"/>
      <w:r w:rsidR="003D4D33">
        <w:rPr>
          <w:rFonts w:ascii="Times New Roman" w:eastAsia="Times New Roman" w:hAnsi="Times New Roman" w:cs="Times New Roman"/>
          <w:sz w:val="24"/>
          <w:szCs w:val="24"/>
        </w:rPr>
        <w:t xml:space="preserve"> after a single SC dose in healthy adults. It is important to highlight that, although the adjusted model led to high AFE values for </w:t>
      </w:r>
      <w:proofErr w:type="spellStart"/>
      <w:r w:rsidR="003D4D33">
        <w:rPr>
          <w:rFonts w:ascii="Times New Roman" w:eastAsia="Times New Roman" w:hAnsi="Times New Roman" w:cs="Times New Roman"/>
          <w:sz w:val="24"/>
          <w:szCs w:val="24"/>
        </w:rPr>
        <w:t>Tmax</w:t>
      </w:r>
      <w:proofErr w:type="spellEnd"/>
      <w:r w:rsidR="003D4D33">
        <w:rPr>
          <w:rFonts w:ascii="Times New Roman" w:eastAsia="Times New Roman" w:hAnsi="Times New Roman" w:cs="Times New Roman"/>
          <w:sz w:val="24"/>
          <w:szCs w:val="24"/>
        </w:rPr>
        <w:t xml:space="preserve"> (0.79-3), the simulated values were within the observed range of clinical studies. Indeed, according to submitted clinical studies for the American and European regulatory authorities (FDA and EMA), after SC injection of a single 0.5 mg dose of </w:t>
      </w:r>
      <w:proofErr w:type="spellStart"/>
      <w:r w:rsidR="003D4D33">
        <w:rPr>
          <w:rFonts w:ascii="Times New Roman" w:eastAsia="Times New Roman" w:hAnsi="Times New Roman" w:cs="Times New Roman"/>
          <w:sz w:val="24"/>
          <w:szCs w:val="24"/>
        </w:rPr>
        <w:t>semaglutide</w:t>
      </w:r>
      <w:proofErr w:type="spellEnd"/>
      <w:r w:rsidR="003D4D33">
        <w:rPr>
          <w:rFonts w:ascii="Times New Roman" w:eastAsia="Times New Roman" w:hAnsi="Times New Roman" w:cs="Times New Roman"/>
          <w:sz w:val="24"/>
          <w:szCs w:val="24"/>
        </w:rPr>
        <w:t xml:space="preserve"> in healthy men, the drug was slowly absorbed into the systemic circulation and maximum concentrations were reached between 24 and 122 hours [8, 24]. Thus, this variability was expected due to the high inter-individual variability observed by clinical studies [8, 24]. </w:t>
      </w:r>
    </w:p>
    <w:p w14:paraId="6DF331E7" w14:textId="77777777" w:rsidR="00EA6F24" w:rsidRDefault="003D4D33">
      <w:pPr>
        <w:spacing w:before="240" w:after="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P-PBPK Sema-2 of 10-14 years old, the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values were above the reference range observed for adults at 0.5 mg (</w:t>
      </w:r>
      <w:r>
        <w:rPr>
          <w:rFonts w:ascii="Times New Roman" w:eastAsia="Times New Roman" w:hAnsi="Times New Roman" w:cs="Times New Roman"/>
          <w:b/>
          <w:sz w:val="24"/>
          <w:szCs w:val="24"/>
        </w:rPr>
        <w:t>Figures 6</w:t>
      </w:r>
      <w:r>
        <w:rPr>
          <w:rFonts w:ascii="Times New Roman" w:eastAsia="Times New Roman" w:hAnsi="Times New Roman" w:cs="Times New Roman"/>
          <w:sz w:val="24"/>
          <w:szCs w:val="24"/>
        </w:rPr>
        <w:t xml:space="preserve"> and </w:t>
      </w:r>
      <w:r>
        <w:rPr>
          <w:rFonts w:ascii="Times New Roman" w:eastAsia="Times New Roman" w:hAnsi="Times New Roman" w:cs="Times New Roman"/>
          <w:b/>
          <w:sz w:val="24"/>
          <w:szCs w:val="24"/>
        </w:rPr>
        <w:t>7</w:t>
      </w:r>
      <w:r>
        <w:rPr>
          <w:rFonts w:ascii="Times New Roman" w:eastAsia="Times New Roman" w:hAnsi="Times New Roman" w:cs="Times New Roman"/>
          <w:sz w:val="24"/>
          <w:szCs w:val="24"/>
        </w:rPr>
        <w:t xml:space="preserve">). This age group corresponds to the developing children subpopulation [67], which presents a smaller thickness of SC tissue and a higher perfusion rate. These features surely play a role in the higher exposure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in this subpopulation compared to older children and adults [68] being of particular concern due to the higher probability of gastrointestinal adverse events (GIAEs) associated with this drug. In adults, GIAEs are dose-dependent most notably with nausea and vomiting. Another consistent finding associated with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treatment is a subtle and asymptomatic increase in plasma lipase and amylase level, which occurs within hours of administration [69, 70]. In a 26-week randomized controlled trial, subcutaneous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dose-dependently increased lipase levels by 9 to 36% [71]. Although an increase in enzyme levels was not associated with the occurrence of pancreatic events in trials with liraglutide, such studies have not yet been conducted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[70].  Thus, peak concentrations </w:t>
      </w:r>
      <w:r>
        <w:rPr>
          <w:rFonts w:ascii="Times New Roman" w:eastAsia="Times New Roman" w:hAnsi="Times New Roman" w:cs="Times New Roman"/>
          <w:sz w:val="24"/>
          <w:szCs w:val="24"/>
        </w:rPr>
        <w:lastRenderedPageBreak/>
        <w:t xml:space="preserve">outside the target range may represent a crucial risk for the developing children subpopulation.      </w:t>
      </w:r>
    </w:p>
    <w:p w14:paraId="25CE6A13" w14:textId="3C1A3B1C" w:rsidR="00EA6F24" w:rsidRDefault="003D4D33">
      <w:pPr>
        <w:spacing w:before="240" w:after="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Epidemiologic studies have reported a strong relationship between obesity and DM2 in youth [72-75]. P-PBPK approach is remarkably helpful for examining the suitability of adjusting the treatment dose for pediatric-specific population subsets, particularly those expected to have exposures at the low and high extremes, such as high vs low body weight, which has been shown to be of importance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[76]. So, we also analyzed the influence of body weight on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through a pediatric virtual population simulation of obese children and adolescents. A comparison between the obese and normal body weight pediatric virtual populations indicated that body weight is the covariate of importance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pharmacokinetics, especially for younger children. In all the age groups studied, body weight was inversely related to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corroborating the consensus on the influence of increased body weight on decreased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in adults [8, 9, 24]. Body weight was also the main covariate affecting liraglutide exposure in both adolescents and adults, which is the drug from the GLP-1 analogs class recently approved for the treatment of pediatric patients 10 years or older [77, 78]. Covariate analysis showed that subjects with low body weight will achieve higher liraglutide exposure than subjects with high body weight, suggesting that differences in clinical response to liraglutide may be associated with differences in exposure [77, 78]. </w:t>
      </w:r>
    </w:p>
    <w:p w14:paraId="7AC817D1" w14:textId="77777777" w:rsidR="00EA6F24" w:rsidRDefault="003D4D33">
      <w:pPr>
        <w:spacing w:before="240" w:after="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10-14 years old (Sema-2) presented the highest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values, while the 15-17 years old adolescents with obese body weights presented the lowest values for this PK parameter (0.022-0.037 µg/mL) (</w:t>
      </w:r>
      <w:r>
        <w:rPr>
          <w:rFonts w:ascii="Times New Roman" w:eastAsia="Times New Roman" w:hAnsi="Times New Roman" w:cs="Times New Roman"/>
          <w:b/>
          <w:sz w:val="24"/>
          <w:szCs w:val="24"/>
        </w:rPr>
        <w:t>Table 6</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Figures 6</w:t>
      </w:r>
      <w:r>
        <w:rPr>
          <w:rFonts w:ascii="Times New Roman" w:eastAsia="Times New Roman" w:hAnsi="Times New Roman" w:cs="Times New Roman"/>
          <w:sz w:val="24"/>
          <w:szCs w:val="24"/>
        </w:rPr>
        <w:t xml:space="preserve"> and </w:t>
      </w:r>
      <w:r>
        <w:rPr>
          <w:rFonts w:ascii="Times New Roman" w:eastAsia="Times New Roman" w:hAnsi="Times New Roman" w:cs="Times New Roman"/>
          <w:b/>
          <w:sz w:val="24"/>
          <w:szCs w:val="24"/>
        </w:rPr>
        <w:t>7</w:t>
      </w:r>
      <w:r>
        <w:rPr>
          <w:rFonts w:ascii="Times New Roman" w:eastAsia="Times New Roman" w:hAnsi="Times New Roman" w:cs="Times New Roman"/>
          <w:sz w:val="24"/>
          <w:szCs w:val="24"/>
        </w:rPr>
        <w:t xml:space="preserve">). Despite that, the mean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value (0.029 µg/mL) simulated for this older age group was within the reference range (0.028–0.056 µg/mL) in adults, but lower than the median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value (0.0447 µg/mL) observed in adults (</w:t>
      </w:r>
      <w:r>
        <w:rPr>
          <w:rFonts w:ascii="Times New Roman" w:eastAsia="Times New Roman" w:hAnsi="Times New Roman" w:cs="Times New Roman"/>
          <w:b/>
          <w:sz w:val="24"/>
          <w:szCs w:val="24"/>
        </w:rPr>
        <w:t>Table 6</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1C1D1E"/>
          <w:sz w:val="24"/>
          <w:szCs w:val="24"/>
          <w:highlight w:val="white"/>
        </w:rPr>
        <w:t>Although body weight was found to be the most important covariate affecting exposure,</w:t>
      </w:r>
      <w:r>
        <w:rPr>
          <w:rFonts w:ascii="Arial" w:eastAsia="Arial" w:hAnsi="Arial" w:cs="Arial"/>
          <w:color w:val="1C1D1E"/>
          <w:sz w:val="24"/>
          <w:szCs w:val="24"/>
          <w:highlight w:val="white"/>
        </w:rPr>
        <w:t xml:space="preserve"> </w:t>
      </w:r>
      <w:r>
        <w:rPr>
          <w:rFonts w:ascii="Times New Roman" w:eastAsia="Times New Roman" w:hAnsi="Times New Roman" w:cs="Times New Roman"/>
          <w:sz w:val="24"/>
          <w:szCs w:val="24"/>
        </w:rPr>
        <w:t xml:space="preserve">no dose adjustments were necessary for obese adults that fell within the lower exposure values of the observed reference range [76]. Even if the predicted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for these obese 15-17 years-old adolescents indicated a lower exposure compared to </w:t>
      </w:r>
      <w:r>
        <w:rPr>
          <w:rFonts w:ascii="Times New Roman" w:eastAsia="Times New Roman" w:hAnsi="Times New Roman" w:cs="Times New Roman"/>
          <w:sz w:val="24"/>
          <w:szCs w:val="24"/>
        </w:rPr>
        <w:lastRenderedPageBreak/>
        <w:t xml:space="preserve">normal body weights children and adults, dose adjustment should not be required for this age group, since the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values were within the reference range observed in adults. </w:t>
      </w:r>
    </w:p>
    <w:p w14:paraId="6946A09D" w14:textId="77777777" w:rsidR="00EA6F24" w:rsidRDefault="003D4D33">
      <w:pPr>
        <w:spacing w:before="240" w:after="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P-PBPK Sema-2 models, from 10 to 17 years old, presented a high variation of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xml:space="preserve"> with age (</w:t>
      </w:r>
      <w:r>
        <w:rPr>
          <w:rFonts w:ascii="Times New Roman" w:eastAsia="Times New Roman" w:hAnsi="Times New Roman" w:cs="Times New Roman"/>
          <w:b/>
          <w:sz w:val="24"/>
          <w:szCs w:val="24"/>
        </w:rPr>
        <w:t>Table 6</w:t>
      </w:r>
      <w:r>
        <w:rPr>
          <w:rFonts w:ascii="Times New Roman" w:eastAsia="Times New Roman" w:hAnsi="Times New Roman" w:cs="Times New Roman"/>
          <w:sz w:val="24"/>
          <w:szCs w:val="24"/>
        </w:rPr>
        <w:t>), which indicates an increase in drug exposure inversely correlated to age. However, this variation might be related to body weight increases through 10 to 17 years instead of age. Consequently, dose adjustment based on age alone is not recommended.</w:t>
      </w:r>
    </w:p>
    <w:p w14:paraId="558C9242" w14:textId="77777777" w:rsidR="00EA6F24" w:rsidRDefault="003D4D33">
      <w:pPr>
        <w:spacing w:before="240" w:after="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plasma concentrations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decreased in obese children of all ages studied (Sema-3 models) compared to children with normal body weights (Sema-2) (</w:t>
      </w:r>
      <w:r>
        <w:rPr>
          <w:rFonts w:ascii="Times New Roman" w:eastAsia="Times New Roman" w:hAnsi="Times New Roman" w:cs="Times New Roman"/>
          <w:b/>
          <w:sz w:val="24"/>
          <w:szCs w:val="24"/>
        </w:rPr>
        <w:t>Table 6</w:t>
      </w:r>
      <w:r>
        <w:rPr>
          <w:rFonts w:ascii="Times New Roman" w:eastAsia="Times New Roman" w:hAnsi="Times New Roman" w:cs="Times New Roman"/>
          <w:sz w:val="24"/>
          <w:szCs w:val="24"/>
        </w:rPr>
        <w:t xml:space="preserve">), which may be correlated with the thickness of the adipose tissue of this population. In adults, body weight loss increased linearly with increasing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with a relative weight loss from baseline of ~6.5% for the highest exposure quantile and a predicted weight loss of ~8% for participants with exposure at the upper end of the exposure range [76]. Since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reduces body weight, the predicted higher exposure for normal body weights children, especially for the 10-14 years old group, is expected to increase even more throughout the treatment compared to baseline values. This result is of particular concern due to the higher probability of gastrointestinal adverse events (GIAEs), which were exposure-dependent in adults, such as the exposure-response analysis of vomiting, which showed an increased proportion of participants with events and number of events with increasing exposure [76].</w:t>
      </w:r>
    </w:p>
    <w:p w14:paraId="0CD3C50C" w14:textId="77777777" w:rsidR="00EA6F24" w:rsidRDefault="003D4D33">
      <w:pPr>
        <w:spacing w:line="360" w:lineRule="auto"/>
        <w:ind w:firstLine="72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Tmax</w:t>
      </w:r>
      <w:proofErr w:type="spellEnd"/>
      <w:r>
        <w:rPr>
          <w:rFonts w:ascii="Times New Roman" w:eastAsia="Times New Roman" w:hAnsi="Times New Roman" w:cs="Times New Roman"/>
          <w:sz w:val="24"/>
          <w:szCs w:val="24"/>
        </w:rPr>
        <w:t xml:space="preserve"> values were reduced in the Sema-3 group by an average of 3.2 hours in relation to the healthy body weight pediatric population but still remained in the range stated in clinical studies (</w:t>
      </w:r>
      <w:r>
        <w:rPr>
          <w:rFonts w:ascii="Times New Roman" w:eastAsia="Times New Roman" w:hAnsi="Times New Roman" w:cs="Times New Roman"/>
          <w:b/>
          <w:sz w:val="24"/>
          <w:szCs w:val="24"/>
        </w:rPr>
        <w:t>Table 6</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Figure 6</w:t>
      </w:r>
      <w:r>
        <w:rPr>
          <w:rFonts w:ascii="Times New Roman" w:eastAsia="Times New Roman" w:hAnsi="Times New Roman" w:cs="Times New Roman"/>
          <w:sz w:val="24"/>
          <w:szCs w:val="24"/>
        </w:rPr>
        <w:t>). It is feasible that the amount of subcutaneous fat influences the absorption rate due to less vascularization of adipose tissue. The increased skinfold thickness as well as higher BMI has also been associated with delayed absorption of subcutaneous administered drugs [51, 79, 80, 81].</w:t>
      </w:r>
    </w:p>
    <w:p w14:paraId="333B1362" w14:textId="77777777" w:rsidR="00EA6F24" w:rsidRDefault="003D4D33">
      <w:pPr>
        <w:spacing w:before="240" w:after="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simulation results indicated that different dosage regimens must be considered for the younger children in future pediatric clinical studies, in order to avoid the GIAEs </w:t>
      </w:r>
      <w:r>
        <w:rPr>
          <w:rFonts w:ascii="Times New Roman" w:eastAsia="Times New Roman" w:hAnsi="Times New Roman" w:cs="Times New Roman"/>
          <w:sz w:val="24"/>
          <w:szCs w:val="24"/>
        </w:rPr>
        <w:lastRenderedPageBreak/>
        <w:t xml:space="preserve">associated with high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Moreover, the heterogeneity in weight loss response related to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use must be given due consideration, as the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increased significantly in the younger children with lower body weight. </w:t>
      </w:r>
    </w:p>
    <w:p w14:paraId="7C636F03" w14:textId="77777777" w:rsidR="00EA6F24" w:rsidRDefault="003D4D33">
      <w:pPr>
        <w:spacing w:before="240" w:after="240" w:line="360" w:lineRule="auto"/>
        <w:jc w:val="both"/>
        <w:rPr>
          <w:rFonts w:ascii="Times New Roman" w:eastAsia="Times New Roman" w:hAnsi="Times New Roman" w:cs="Times New Roman"/>
          <w:sz w:val="26"/>
          <w:szCs w:val="26"/>
        </w:rPr>
      </w:pPr>
      <w:r>
        <w:rPr>
          <w:rFonts w:ascii="Times New Roman" w:eastAsia="Times New Roman" w:hAnsi="Times New Roman" w:cs="Times New Roman"/>
          <w:b/>
        </w:rPr>
        <w:t xml:space="preserve">5. </w:t>
      </w:r>
      <w:r>
        <w:rPr>
          <w:rFonts w:ascii="Times New Roman" w:eastAsia="Times New Roman" w:hAnsi="Times New Roman" w:cs="Times New Roman"/>
          <w:b/>
          <w:sz w:val="24"/>
          <w:szCs w:val="24"/>
        </w:rPr>
        <w:t>Conclusion</w:t>
      </w:r>
    </w:p>
    <w:p w14:paraId="0DA6D32F" w14:textId="07F003EC" w:rsidR="00EA6F24" w:rsidRDefault="003D4D33">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Considering the absence of pharmacokinetic studies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for pediatric patients with DM, herein we reported P-PBPK models with healthy and obese children to contribute to a clinical trial of first-in-child dosing. P-PBPK simulations indicated that 10-14 years old children, with healthy body weights, presented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peak concentrations outside the target range observed in adults at the reference dose of 0.5 mg. This result is of particular concern due to the higher probability of gastrointestinal adverse events, which were exposure-dependent in adults. These simulations also highlighted that body weight was inversely related to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in children and adolescents, corroborating the results observed in clinical studies with adults. Since increased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exposure is related to gastrointestinal adverse events, our results might be helpful in the design of future pediatric clinical studies, in which adequate dosage regimens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should be considered, particularly for younger children. Indeed, this study corroborates the improvement of the pediatric PBPK models, allowing academia, industry, and regulatory agencies to apply pediatric efficacious and safe doses in diabetes treatment.</w:t>
      </w:r>
    </w:p>
    <w:p w14:paraId="6CCB0D7B" w14:textId="77777777" w:rsidR="001B4AED" w:rsidRDefault="001B4AED" w:rsidP="00723BBE">
      <w:pPr>
        <w:spacing w:line="360" w:lineRule="auto"/>
        <w:jc w:val="both"/>
        <w:rPr>
          <w:rFonts w:ascii="Times New Roman" w:eastAsia="Times New Roman" w:hAnsi="Times New Roman" w:cs="Times New Roman"/>
          <w:b/>
          <w:i/>
          <w:sz w:val="24"/>
          <w:szCs w:val="24"/>
          <w:highlight w:val="white"/>
        </w:rPr>
      </w:pPr>
    </w:p>
    <w:p w14:paraId="77CD1CB3" w14:textId="6045B203" w:rsidR="001B4AED" w:rsidRDefault="001B4AED" w:rsidP="001B4AED">
      <w:pPr>
        <w:spacing w:line="360" w:lineRule="auto"/>
        <w:ind w:left="720"/>
        <w:jc w:val="both"/>
        <w:rPr>
          <w:rFonts w:ascii="Times New Roman" w:eastAsia="Times New Roman" w:hAnsi="Times New Roman" w:cs="Times New Roman"/>
          <w:sz w:val="24"/>
          <w:szCs w:val="24"/>
          <w:highlight w:val="white"/>
        </w:rPr>
      </w:pPr>
      <w:r>
        <w:rPr>
          <w:rFonts w:ascii="Times New Roman" w:eastAsia="Times New Roman" w:hAnsi="Times New Roman" w:cs="Times New Roman"/>
          <w:b/>
          <w:i/>
          <w:sz w:val="24"/>
          <w:szCs w:val="24"/>
          <w:highlight w:val="white"/>
        </w:rPr>
        <w:t>Conflict of Interest Statement</w:t>
      </w:r>
      <w:r>
        <w:rPr>
          <w:rFonts w:ascii="Times New Roman" w:eastAsia="Times New Roman" w:hAnsi="Times New Roman" w:cs="Times New Roman"/>
          <w:sz w:val="24"/>
          <w:szCs w:val="24"/>
          <w:highlight w:val="white"/>
        </w:rPr>
        <w:t xml:space="preserve"> </w:t>
      </w:r>
    </w:p>
    <w:p w14:paraId="1DD31D20" w14:textId="63F34B59" w:rsidR="00BC4B34" w:rsidRDefault="001B4AED" w:rsidP="001B4AED">
      <w:pPr>
        <w:spacing w:after="0" w:line="360" w:lineRule="auto"/>
        <w:ind w:firstLine="709"/>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The authors declare that they have no competing interests.</w:t>
      </w:r>
    </w:p>
    <w:p w14:paraId="079E75B2" w14:textId="77777777" w:rsidR="001B4AED" w:rsidRPr="001B4AED" w:rsidRDefault="001B4AED" w:rsidP="001B4AED">
      <w:pPr>
        <w:spacing w:after="0" w:line="360" w:lineRule="auto"/>
        <w:ind w:firstLine="709"/>
        <w:jc w:val="both"/>
        <w:rPr>
          <w:rFonts w:ascii="Times New Roman" w:eastAsia="Times New Roman" w:hAnsi="Times New Roman" w:cs="Times New Roman"/>
          <w:sz w:val="24"/>
          <w:szCs w:val="24"/>
          <w:highlight w:val="white"/>
        </w:rPr>
      </w:pPr>
    </w:p>
    <w:p w14:paraId="271AD6A6" w14:textId="77777777" w:rsidR="00BC4B34" w:rsidRDefault="00BC4B34" w:rsidP="00BC4B34">
      <w:pPr>
        <w:spacing w:line="360" w:lineRule="auto"/>
        <w:ind w:left="720"/>
        <w:jc w:val="both"/>
        <w:rPr>
          <w:rFonts w:ascii="Times New Roman" w:eastAsia="Times New Roman" w:hAnsi="Times New Roman" w:cs="Times New Roman"/>
          <w:sz w:val="24"/>
          <w:szCs w:val="24"/>
          <w:highlight w:val="white"/>
        </w:rPr>
      </w:pPr>
      <w:r>
        <w:rPr>
          <w:rFonts w:ascii="Times New Roman" w:eastAsia="Times New Roman" w:hAnsi="Times New Roman" w:cs="Times New Roman"/>
          <w:b/>
          <w:i/>
          <w:sz w:val="24"/>
          <w:szCs w:val="24"/>
          <w:highlight w:val="white"/>
        </w:rPr>
        <w:t>Funding Statement</w:t>
      </w:r>
      <w:r>
        <w:rPr>
          <w:rFonts w:ascii="Times New Roman" w:eastAsia="Times New Roman" w:hAnsi="Times New Roman" w:cs="Times New Roman"/>
          <w:sz w:val="24"/>
          <w:szCs w:val="24"/>
          <w:highlight w:val="white"/>
        </w:rPr>
        <w:t xml:space="preserve"> </w:t>
      </w:r>
    </w:p>
    <w:p w14:paraId="48D5C44E" w14:textId="02948433" w:rsidR="00BC4B34" w:rsidRDefault="00BC4B34" w:rsidP="001B4AED">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work was supported in part by FAPERJ (</w:t>
      </w:r>
      <w:proofErr w:type="spellStart"/>
      <w:r>
        <w:rPr>
          <w:rFonts w:ascii="Times New Roman" w:eastAsia="Times New Roman" w:hAnsi="Times New Roman" w:cs="Times New Roman"/>
          <w:sz w:val="24"/>
          <w:szCs w:val="24"/>
        </w:rPr>
        <w:t>Fundação</w:t>
      </w:r>
      <w:proofErr w:type="spellEnd"/>
      <w:r>
        <w:rPr>
          <w:rFonts w:ascii="Times New Roman" w:eastAsia="Times New Roman" w:hAnsi="Times New Roman" w:cs="Times New Roman"/>
          <w:sz w:val="24"/>
          <w:szCs w:val="24"/>
        </w:rPr>
        <w:t xml:space="preserve"> de Amparo à </w:t>
      </w:r>
      <w:proofErr w:type="spellStart"/>
      <w:r>
        <w:rPr>
          <w:rFonts w:ascii="Times New Roman" w:eastAsia="Times New Roman" w:hAnsi="Times New Roman" w:cs="Times New Roman"/>
          <w:sz w:val="24"/>
          <w:szCs w:val="24"/>
        </w:rPr>
        <w:t>Pesquisa</w:t>
      </w:r>
      <w:proofErr w:type="spellEnd"/>
      <w:r>
        <w:rPr>
          <w:rFonts w:ascii="Times New Roman" w:eastAsia="Times New Roman" w:hAnsi="Times New Roman" w:cs="Times New Roman"/>
          <w:sz w:val="24"/>
          <w:szCs w:val="24"/>
        </w:rPr>
        <w:t xml:space="preserve"> do Estado do Rio de Janeiro) grant number E-26/202.742/2019, the </w:t>
      </w:r>
      <w:proofErr w:type="spellStart"/>
      <w:r>
        <w:rPr>
          <w:rFonts w:ascii="Times New Roman" w:eastAsia="Times New Roman" w:hAnsi="Times New Roman" w:cs="Times New Roman"/>
          <w:sz w:val="24"/>
          <w:szCs w:val="24"/>
        </w:rPr>
        <w:t>Coordenação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Aperfeiçoamento</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Pessoal</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Nível</w:t>
      </w:r>
      <w:proofErr w:type="spellEnd"/>
      <w:r>
        <w:rPr>
          <w:rFonts w:ascii="Times New Roman" w:eastAsia="Times New Roman" w:hAnsi="Times New Roman" w:cs="Times New Roman"/>
          <w:sz w:val="24"/>
          <w:szCs w:val="24"/>
        </w:rPr>
        <w:t xml:space="preserve"> Superior – </w:t>
      </w:r>
      <w:proofErr w:type="spellStart"/>
      <w:r>
        <w:rPr>
          <w:rFonts w:ascii="Times New Roman" w:eastAsia="Times New Roman" w:hAnsi="Times New Roman" w:cs="Times New Roman"/>
          <w:sz w:val="24"/>
          <w:szCs w:val="24"/>
        </w:rPr>
        <w:t>Brasil</w:t>
      </w:r>
      <w:proofErr w:type="spellEnd"/>
      <w:r>
        <w:rPr>
          <w:rFonts w:ascii="Times New Roman" w:eastAsia="Times New Roman" w:hAnsi="Times New Roman" w:cs="Times New Roman"/>
          <w:sz w:val="24"/>
          <w:szCs w:val="24"/>
        </w:rPr>
        <w:t xml:space="preserve"> (CAPES) – Finance Code 001 and </w:t>
      </w:r>
      <w:r>
        <w:rPr>
          <w:rFonts w:ascii="Times New Roman" w:eastAsia="Times New Roman" w:hAnsi="Times New Roman" w:cs="Times New Roman"/>
          <w:sz w:val="24"/>
          <w:szCs w:val="24"/>
        </w:rPr>
        <w:lastRenderedPageBreak/>
        <w:t xml:space="preserve">Postdoctoral fellowship from </w:t>
      </w:r>
      <w:proofErr w:type="spellStart"/>
      <w:r>
        <w:rPr>
          <w:rFonts w:ascii="Times New Roman" w:eastAsia="Times New Roman" w:hAnsi="Times New Roman" w:cs="Times New Roman"/>
          <w:sz w:val="24"/>
          <w:szCs w:val="24"/>
        </w:rPr>
        <w:t>CNPq</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Conselho</w:t>
      </w:r>
      <w:proofErr w:type="spellEnd"/>
      <w:r>
        <w:rPr>
          <w:rFonts w:ascii="Times New Roman" w:eastAsia="Times New Roman" w:hAnsi="Times New Roman" w:cs="Times New Roman"/>
          <w:sz w:val="24"/>
          <w:szCs w:val="24"/>
        </w:rPr>
        <w:t xml:space="preserve"> Nacional de </w:t>
      </w:r>
      <w:proofErr w:type="spellStart"/>
      <w:r>
        <w:rPr>
          <w:rFonts w:ascii="Times New Roman" w:eastAsia="Times New Roman" w:hAnsi="Times New Roman" w:cs="Times New Roman"/>
          <w:sz w:val="24"/>
          <w:szCs w:val="24"/>
        </w:rPr>
        <w:t>Desenvolvimento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Científico</w:t>
      </w:r>
      <w:proofErr w:type="spellEnd"/>
      <w:r>
        <w:rPr>
          <w:rFonts w:ascii="Times New Roman" w:eastAsia="Times New Roman" w:hAnsi="Times New Roman" w:cs="Times New Roman"/>
          <w:sz w:val="24"/>
          <w:szCs w:val="24"/>
        </w:rPr>
        <w:t xml:space="preserve"> e </w:t>
      </w:r>
      <w:proofErr w:type="spellStart"/>
      <w:r>
        <w:rPr>
          <w:rFonts w:ascii="Times New Roman" w:eastAsia="Times New Roman" w:hAnsi="Times New Roman" w:cs="Times New Roman"/>
          <w:sz w:val="24"/>
          <w:szCs w:val="24"/>
        </w:rPr>
        <w:t>Tecnológico</w:t>
      </w:r>
      <w:proofErr w:type="spellEnd"/>
      <w:r>
        <w:rPr>
          <w:rFonts w:ascii="Times New Roman" w:eastAsia="Times New Roman" w:hAnsi="Times New Roman" w:cs="Times New Roman"/>
          <w:sz w:val="24"/>
          <w:szCs w:val="24"/>
        </w:rPr>
        <w:t>).</w:t>
      </w:r>
    </w:p>
    <w:p w14:paraId="16A05167" w14:textId="409BC864" w:rsidR="001B4AED" w:rsidRDefault="001B4AED" w:rsidP="001B4AED">
      <w:pPr>
        <w:spacing w:after="0" w:line="360" w:lineRule="auto"/>
        <w:ind w:firstLine="709"/>
        <w:jc w:val="both"/>
        <w:rPr>
          <w:rFonts w:ascii="Times New Roman" w:eastAsia="Times New Roman" w:hAnsi="Times New Roman" w:cs="Times New Roman"/>
          <w:sz w:val="24"/>
          <w:szCs w:val="24"/>
        </w:rPr>
      </w:pPr>
    </w:p>
    <w:p w14:paraId="33637840" w14:textId="0E948A6D" w:rsidR="00723BBE" w:rsidRDefault="00723BBE" w:rsidP="001B4AED">
      <w:pPr>
        <w:spacing w:after="0" w:line="360" w:lineRule="auto"/>
        <w:ind w:firstLine="709"/>
        <w:jc w:val="both"/>
        <w:rPr>
          <w:rFonts w:ascii="Times New Roman" w:eastAsia="Times New Roman" w:hAnsi="Times New Roman" w:cs="Times New Roman"/>
          <w:sz w:val="24"/>
          <w:szCs w:val="24"/>
        </w:rPr>
      </w:pPr>
    </w:p>
    <w:p w14:paraId="738F26A6" w14:textId="77777777" w:rsidR="00723BBE" w:rsidRPr="001B4AED" w:rsidRDefault="00723BBE" w:rsidP="001B4AED">
      <w:pPr>
        <w:spacing w:after="0" w:line="360" w:lineRule="auto"/>
        <w:ind w:firstLine="709"/>
        <w:jc w:val="both"/>
        <w:rPr>
          <w:rFonts w:ascii="Times New Roman" w:eastAsia="Times New Roman" w:hAnsi="Times New Roman" w:cs="Times New Roman"/>
          <w:sz w:val="24"/>
          <w:szCs w:val="24"/>
        </w:rPr>
      </w:pPr>
    </w:p>
    <w:p w14:paraId="4BD8D0AF" w14:textId="77777777" w:rsidR="00BC4B34" w:rsidRDefault="00BC4B34" w:rsidP="00BC4B34">
      <w:pPr>
        <w:spacing w:line="36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Author Contributions</w:t>
      </w:r>
      <w:r>
        <w:rPr>
          <w:rFonts w:ascii="Times New Roman" w:eastAsia="Times New Roman" w:hAnsi="Times New Roman" w:cs="Times New Roman"/>
          <w:sz w:val="24"/>
          <w:szCs w:val="24"/>
        </w:rPr>
        <w:t xml:space="preserve"> </w:t>
      </w:r>
    </w:p>
    <w:p w14:paraId="540066BF" w14:textId="2205304A" w:rsidR="00EA6F24" w:rsidRPr="00BF2088" w:rsidRDefault="00BC4B34" w:rsidP="00BF2088">
      <w:pPr>
        <w:spacing w:before="240" w:after="240" w:line="480" w:lineRule="auto"/>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rPr>
        <w:t xml:space="preserve">A.M.T.S and B.A.A.V. conceived the initial idea and designed the research. T.R.M. performed and analyzed the PBPK studies. T.H., </w:t>
      </w:r>
      <w:r w:rsidR="00723BBE">
        <w:rPr>
          <w:rFonts w:ascii="Times New Roman" w:eastAsia="Times New Roman" w:hAnsi="Times New Roman" w:cs="Times New Roman"/>
          <w:color w:val="202020"/>
          <w:sz w:val="24"/>
          <w:szCs w:val="24"/>
        </w:rPr>
        <w:t>D.S.C.P</w:t>
      </w:r>
      <w:r>
        <w:rPr>
          <w:rFonts w:ascii="Times New Roman" w:eastAsia="Times New Roman" w:hAnsi="Times New Roman" w:cs="Times New Roman"/>
          <w:color w:val="202020"/>
          <w:sz w:val="24"/>
          <w:szCs w:val="24"/>
        </w:rPr>
        <w:t xml:space="preserve">. and T.F.S.D contributed with the statistical and </w:t>
      </w:r>
      <w:r>
        <w:rPr>
          <w:rFonts w:ascii="Times New Roman" w:eastAsia="Times New Roman" w:hAnsi="Times New Roman" w:cs="Times New Roman"/>
          <w:i/>
          <w:color w:val="202020"/>
          <w:sz w:val="24"/>
          <w:szCs w:val="24"/>
        </w:rPr>
        <w:t>in silico</w:t>
      </w:r>
      <w:r>
        <w:rPr>
          <w:rFonts w:ascii="Times New Roman" w:eastAsia="Times New Roman" w:hAnsi="Times New Roman" w:cs="Times New Roman"/>
          <w:color w:val="202020"/>
          <w:sz w:val="24"/>
          <w:szCs w:val="24"/>
        </w:rPr>
        <w:t xml:space="preserve"> analysis. C.R.R. and L.M.C. supported all the computational work. A.M.T.S. and B.A.A.V. finalized the manuscript and all authors approved it. </w:t>
      </w:r>
    </w:p>
    <w:p w14:paraId="2E72A1D4" w14:textId="77777777" w:rsidR="00EA6F24" w:rsidRDefault="003D4D33">
      <w:pPr>
        <w:widowControl w:val="0"/>
        <w:spacing w:line="36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6. References</w:t>
      </w:r>
    </w:p>
    <w:p w14:paraId="7EB6FFD4" w14:textId="77777777" w:rsidR="00EA6F24" w:rsidRDefault="003D4D33">
      <w:pPr>
        <w:widowControl w:val="0"/>
        <w:numPr>
          <w:ilvl w:val="0"/>
          <w:numId w:val="2"/>
        </w:num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color w:val="212121"/>
          <w:sz w:val="24"/>
          <w:szCs w:val="24"/>
          <w:highlight w:val="white"/>
        </w:rPr>
        <w:t xml:space="preserve">Hamman, R. F., Bell, R. A., </w:t>
      </w:r>
      <w:proofErr w:type="spellStart"/>
      <w:r>
        <w:rPr>
          <w:rFonts w:ascii="Times New Roman" w:eastAsia="Times New Roman" w:hAnsi="Times New Roman" w:cs="Times New Roman"/>
          <w:color w:val="212121"/>
          <w:sz w:val="24"/>
          <w:szCs w:val="24"/>
          <w:highlight w:val="white"/>
        </w:rPr>
        <w:t>Dabelea</w:t>
      </w:r>
      <w:proofErr w:type="spellEnd"/>
      <w:r>
        <w:rPr>
          <w:rFonts w:ascii="Times New Roman" w:eastAsia="Times New Roman" w:hAnsi="Times New Roman" w:cs="Times New Roman"/>
          <w:color w:val="212121"/>
          <w:sz w:val="24"/>
          <w:szCs w:val="24"/>
          <w:highlight w:val="white"/>
        </w:rPr>
        <w:t xml:space="preserve">, D., D'Agostino, R. B., Jr, Dolan, L., </w:t>
      </w:r>
      <w:proofErr w:type="spellStart"/>
      <w:r>
        <w:rPr>
          <w:rFonts w:ascii="Times New Roman" w:eastAsia="Times New Roman" w:hAnsi="Times New Roman" w:cs="Times New Roman"/>
          <w:color w:val="212121"/>
          <w:sz w:val="24"/>
          <w:szCs w:val="24"/>
          <w:highlight w:val="white"/>
        </w:rPr>
        <w:t>Imperatore</w:t>
      </w:r>
      <w:proofErr w:type="spellEnd"/>
      <w:r>
        <w:rPr>
          <w:rFonts w:ascii="Times New Roman" w:eastAsia="Times New Roman" w:hAnsi="Times New Roman" w:cs="Times New Roman"/>
          <w:color w:val="212121"/>
          <w:sz w:val="24"/>
          <w:szCs w:val="24"/>
          <w:highlight w:val="white"/>
        </w:rPr>
        <w:t xml:space="preserve">, G., Lawrence, J. M., Linder, B., </w:t>
      </w:r>
      <w:proofErr w:type="spellStart"/>
      <w:r>
        <w:rPr>
          <w:rFonts w:ascii="Times New Roman" w:eastAsia="Times New Roman" w:hAnsi="Times New Roman" w:cs="Times New Roman"/>
          <w:color w:val="212121"/>
          <w:sz w:val="24"/>
          <w:szCs w:val="24"/>
          <w:highlight w:val="white"/>
        </w:rPr>
        <w:t>Marcovina</w:t>
      </w:r>
      <w:proofErr w:type="spellEnd"/>
      <w:r>
        <w:rPr>
          <w:rFonts w:ascii="Times New Roman" w:eastAsia="Times New Roman" w:hAnsi="Times New Roman" w:cs="Times New Roman"/>
          <w:color w:val="212121"/>
          <w:sz w:val="24"/>
          <w:szCs w:val="24"/>
          <w:highlight w:val="white"/>
        </w:rPr>
        <w:t xml:space="preserve">, S. M., Mayer-Davis, E. J., </w:t>
      </w:r>
      <w:proofErr w:type="spellStart"/>
      <w:r>
        <w:rPr>
          <w:rFonts w:ascii="Times New Roman" w:eastAsia="Times New Roman" w:hAnsi="Times New Roman" w:cs="Times New Roman"/>
          <w:color w:val="212121"/>
          <w:sz w:val="24"/>
          <w:szCs w:val="24"/>
          <w:highlight w:val="white"/>
        </w:rPr>
        <w:t>Pihoker</w:t>
      </w:r>
      <w:proofErr w:type="spellEnd"/>
      <w:r>
        <w:rPr>
          <w:rFonts w:ascii="Times New Roman" w:eastAsia="Times New Roman" w:hAnsi="Times New Roman" w:cs="Times New Roman"/>
          <w:color w:val="212121"/>
          <w:sz w:val="24"/>
          <w:szCs w:val="24"/>
          <w:highlight w:val="white"/>
        </w:rPr>
        <w:t xml:space="preserve">, C., Rodriguez, B. L., </w:t>
      </w:r>
      <w:proofErr w:type="spellStart"/>
      <w:r>
        <w:rPr>
          <w:rFonts w:ascii="Times New Roman" w:eastAsia="Times New Roman" w:hAnsi="Times New Roman" w:cs="Times New Roman"/>
          <w:color w:val="212121"/>
          <w:sz w:val="24"/>
          <w:szCs w:val="24"/>
          <w:highlight w:val="white"/>
        </w:rPr>
        <w:t>Saydah</w:t>
      </w:r>
      <w:proofErr w:type="spellEnd"/>
      <w:r>
        <w:rPr>
          <w:rFonts w:ascii="Times New Roman" w:eastAsia="Times New Roman" w:hAnsi="Times New Roman" w:cs="Times New Roman"/>
          <w:color w:val="212121"/>
          <w:sz w:val="24"/>
          <w:szCs w:val="24"/>
          <w:highlight w:val="white"/>
        </w:rPr>
        <w:t xml:space="preserve">, S., &amp; SEARCH for Diabetes in Youth Study Group (2014). The SEARCH for Diabetes in Youth study: rationale, findings, and future directions. </w:t>
      </w:r>
      <w:r>
        <w:rPr>
          <w:rFonts w:ascii="Times New Roman" w:eastAsia="Times New Roman" w:hAnsi="Times New Roman" w:cs="Times New Roman"/>
          <w:i/>
          <w:color w:val="212121"/>
          <w:sz w:val="24"/>
          <w:szCs w:val="24"/>
          <w:highlight w:val="white"/>
        </w:rPr>
        <w:t>Diabetes care</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37</w:t>
      </w:r>
      <w:r>
        <w:rPr>
          <w:rFonts w:ascii="Times New Roman" w:eastAsia="Times New Roman" w:hAnsi="Times New Roman" w:cs="Times New Roman"/>
          <w:color w:val="212121"/>
          <w:sz w:val="24"/>
          <w:szCs w:val="24"/>
          <w:highlight w:val="white"/>
        </w:rPr>
        <w:t>(12), 3336–3344. https://doi.org/10.2337/dc14-0574</w:t>
      </w:r>
    </w:p>
    <w:p w14:paraId="4D816299" w14:textId="77777777" w:rsidR="00EA6F24" w:rsidRDefault="003D4D33">
      <w:pPr>
        <w:widowControl w:val="0"/>
        <w:numPr>
          <w:ilvl w:val="0"/>
          <w:numId w:val="2"/>
        </w:numPr>
        <w:spacing w:after="0" w:line="36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color w:val="212121"/>
          <w:sz w:val="24"/>
          <w:szCs w:val="24"/>
          <w:highlight w:val="white"/>
        </w:rPr>
        <w:t>Amutha</w:t>
      </w:r>
      <w:proofErr w:type="spellEnd"/>
      <w:r>
        <w:rPr>
          <w:rFonts w:ascii="Times New Roman" w:eastAsia="Times New Roman" w:hAnsi="Times New Roman" w:cs="Times New Roman"/>
          <w:color w:val="212121"/>
          <w:sz w:val="24"/>
          <w:szCs w:val="24"/>
          <w:highlight w:val="white"/>
        </w:rPr>
        <w:t xml:space="preserve">, A., &amp; Mohan, V. (2016). Diabetes complications in childhood and adolescent onset type 2 diabetes-a review. </w:t>
      </w:r>
      <w:r>
        <w:rPr>
          <w:rFonts w:ascii="Times New Roman" w:eastAsia="Times New Roman" w:hAnsi="Times New Roman" w:cs="Times New Roman"/>
          <w:i/>
          <w:color w:val="212121"/>
          <w:sz w:val="24"/>
          <w:szCs w:val="24"/>
          <w:highlight w:val="white"/>
        </w:rPr>
        <w:t>Journal of diabetes and its complications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30</w:t>
      </w:r>
      <w:r>
        <w:rPr>
          <w:rFonts w:ascii="Times New Roman" w:eastAsia="Times New Roman" w:hAnsi="Times New Roman" w:cs="Times New Roman"/>
          <w:color w:val="212121"/>
          <w:sz w:val="24"/>
          <w:szCs w:val="24"/>
          <w:highlight w:val="white"/>
        </w:rPr>
        <w:t>(5), 951–957. https://doi.org/10.1016/j.jdiacomp.2016.02.009</w:t>
      </w:r>
    </w:p>
    <w:p w14:paraId="77B067B6"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International Diabetes Federation. IDF Diabetes Atlas, 9th </w:t>
      </w:r>
      <w:proofErr w:type="spellStart"/>
      <w:r>
        <w:rPr>
          <w:rFonts w:ascii="Times New Roman" w:eastAsia="Times New Roman" w:hAnsi="Times New Roman" w:cs="Times New Roman"/>
          <w:sz w:val="24"/>
          <w:szCs w:val="24"/>
          <w:highlight w:val="white"/>
        </w:rPr>
        <w:t>edn</w:t>
      </w:r>
      <w:proofErr w:type="spellEnd"/>
      <w:r>
        <w:rPr>
          <w:rFonts w:ascii="Times New Roman" w:eastAsia="Times New Roman" w:hAnsi="Times New Roman" w:cs="Times New Roman"/>
          <w:sz w:val="24"/>
          <w:szCs w:val="24"/>
          <w:highlight w:val="white"/>
        </w:rPr>
        <w:t>. Brussels, Belgium: International Diabetes Federation. 2019.</w:t>
      </w:r>
    </w:p>
    <w:p w14:paraId="4587B30B"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 American Diabetes Association. Children and Adolescents: Standards of Medical Care in Diabetes. Diabetes Care</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2019; 42: 1. </w:t>
      </w:r>
    </w:p>
    <w:p w14:paraId="01EC85A4"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12121"/>
          <w:sz w:val="24"/>
          <w:szCs w:val="24"/>
          <w:highlight w:val="white"/>
        </w:rPr>
        <w:t>Tieh</w:t>
      </w:r>
      <w:proofErr w:type="spellEnd"/>
      <w:r>
        <w:rPr>
          <w:rFonts w:ascii="Times New Roman" w:eastAsia="Times New Roman" w:hAnsi="Times New Roman" w:cs="Times New Roman"/>
          <w:color w:val="212121"/>
          <w:sz w:val="24"/>
          <w:szCs w:val="24"/>
          <w:highlight w:val="white"/>
        </w:rPr>
        <w:t xml:space="preserve">, P., &amp; </w:t>
      </w:r>
      <w:proofErr w:type="spellStart"/>
      <w:r>
        <w:rPr>
          <w:rFonts w:ascii="Times New Roman" w:eastAsia="Times New Roman" w:hAnsi="Times New Roman" w:cs="Times New Roman"/>
          <w:color w:val="212121"/>
          <w:sz w:val="24"/>
          <w:szCs w:val="24"/>
          <w:highlight w:val="white"/>
        </w:rPr>
        <w:t>Dreimane</w:t>
      </w:r>
      <w:proofErr w:type="spellEnd"/>
      <w:r>
        <w:rPr>
          <w:rFonts w:ascii="Times New Roman" w:eastAsia="Times New Roman" w:hAnsi="Times New Roman" w:cs="Times New Roman"/>
          <w:color w:val="212121"/>
          <w:sz w:val="24"/>
          <w:szCs w:val="24"/>
          <w:highlight w:val="white"/>
        </w:rPr>
        <w:t xml:space="preserve">, D. (2014). Type 2 diabetes mellitus in children and adolescents. </w:t>
      </w:r>
      <w:r>
        <w:rPr>
          <w:rFonts w:ascii="Times New Roman" w:eastAsia="Times New Roman" w:hAnsi="Times New Roman" w:cs="Times New Roman"/>
          <w:i/>
          <w:color w:val="212121"/>
          <w:sz w:val="24"/>
          <w:szCs w:val="24"/>
          <w:highlight w:val="white"/>
        </w:rPr>
        <w:t>Indian journal of pediatrics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81</w:t>
      </w:r>
      <w:r>
        <w:rPr>
          <w:rFonts w:ascii="Times New Roman" w:eastAsia="Times New Roman" w:hAnsi="Times New Roman" w:cs="Times New Roman"/>
          <w:color w:val="212121"/>
          <w:sz w:val="24"/>
          <w:szCs w:val="24"/>
          <w:highlight w:val="white"/>
        </w:rPr>
        <w:t>(2), 165–169. https://doi.org/10.1007/s12098-013-1193-6</w:t>
      </w:r>
    </w:p>
    <w:p w14:paraId="69CF937B"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lastRenderedPageBreak/>
        <w:t xml:space="preserve">Zeitler, P., Hirst, K., Copeland, K. C., El </w:t>
      </w:r>
      <w:proofErr w:type="spellStart"/>
      <w:r>
        <w:rPr>
          <w:rFonts w:ascii="Times New Roman" w:eastAsia="Times New Roman" w:hAnsi="Times New Roman" w:cs="Times New Roman"/>
          <w:color w:val="212121"/>
          <w:sz w:val="24"/>
          <w:szCs w:val="24"/>
          <w:highlight w:val="white"/>
        </w:rPr>
        <w:t>Ghormli</w:t>
      </w:r>
      <w:proofErr w:type="spellEnd"/>
      <w:r>
        <w:rPr>
          <w:rFonts w:ascii="Times New Roman" w:eastAsia="Times New Roman" w:hAnsi="Times New Roman" w:cs="Times New Roman"/>
          <w:color w:val="212121"/>
          <w:sz w:val="24"/>
          <w:szCs w:val="24"/>
          <w:highlight w:val="white"/>
        </w:rPr>
        <w:t xml:space="preserve">, L., Levitt Katz, L., </w:t>
      </w:r>
      <w:proofErr w:type="spellStart"/>
      <w:r>
        <w:rPr>
          <w:rFonts w:ascii="Times New Roman" w:eastAsia="Times New Roman" w:hAnsi="Times New Roman" w:cs="Times New Roman"/>
          <w:color w:val="212121"/>
          <w:sz w:val="24"/>
          <w:szCs w:val="24"/>
          <w:highlight w:val="white"/>
        </w:rPr>
        <w:t>Levitsky</w:t>
      </w:r>
      <w:proofErr w:type="spellEnd"/>
      <w:r>
        <w:rPr>
          <w:rFonts w:ascii="Times New Roman" w:eastAsia="Times New Roman" w:hAnsi="Times New Roman" w:cs="Times New Roman"/>
          <w:color w:val="212121"/>
          <w:sz w:val="24"/>
          <w:szCs w:val="24"/>
          <w:highlight w:val="white"/>
        </w:rPr>
        <w:t xml:space="preserve">, L. L., Linder, B., McGuigan, P., White, N. H., Wilfley, D., &amp; TODAY Study Group (2015). HbA1c After a Short Period of Monotherapy </w:t>
      </w:r>
      <w:proofErr w:type="gramStart"/>
      <w:r>
        <w:rPr>
          <w:rFonts w:ascii="Times New Roman" w:eastAsia="Times New Roman" w:hAnsi="Times New Roman" w:cs="Times New Roman"/>
          <w:color w:val="212121"/>
          <w:sz w:val="24"/>
          <w:szCs w:val="24"/>
          <w:highlight w:val="white"/>
        </w:rPr>
        <w:t>With</w:t>
      </w:r>
      <w:proofErr w:type="gramEnd"/>
      <w:r>
        <w:rPr>
          <w:rFonts w:ascii="Times New Roman" w:eastAsia="Times New Roman" w:hAnsi="Times New Roman" w:cs="Times New Roman"/>
          <w:color w:val="212121"/>
          <w:sz w:val="24"/>
          <w:szCs w:val="24"/>
          <w:highlight w:val="white"/>
        </w:rPr>
        <w:t xml:space="preserve"> Metformin Identifies Durable Glycemic Control Among Adolescents With Type 2 Diabetes. </w:t>
      </w:r>
      <w:r>
        <w:rPr>
          <w:rFonts w:ascii="Times New Roman" w:eastAsia="Times New Roman" w:hAnsi="Times New Roman" w:cs="Times New Roman"/>
          <w:i/>
          <w:color w:val="212121"/>
          <w:sz w:val="24"/>
          <w:szCs w:val="24"/>
          <w:highlight w:val="white"/>
        </w:rPr>
        <w:t>Diabetes care</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38</w:t>
      </w:r>
      <w:r>
        <w:rPr>
          <w:rFonts w:ascii="Times New Roman" w:eastAsia="Times New Roman" w:hAnsi="Times New Roman" w:cs="Times New Roman"/>
          <w:color w:val="212121"/>
          <w:sz w:val="24"/>
          <w:szCs w:val="24"/>
          <w:highlight w:val="white"/>
        </w:rPr>
        <w:t>(12), 2285–2292. https://doi.org/10.2337/dc15-0848</w:t>
      </w:r>
    </w:p>
    <w:p w14:paraId="5B59CAA6"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FDA - Food and Drug Administration. 2019. </w:t>
      </w:r>
      <w:hyperlink r:id="rId10">
        <w:r>
          <w:rPr>
            <w:rFonts w:ascii="Times New Roman" w:eastAsia="Times New Roman" w:hAnsi="Times New Roman" w:cs="Times New Roman"/>
            <w:sz w:val="24"/>
            <w:szCs w:val="24"/>
            <w:u w:val="single"/>
          </w:rPr>
          <w:t>https://www.fda.gov/news-events/press-announcements/fda-approves-new-treatment-pediatric-patients-type-2-diabetes</w:t>
        </w:r>
      </w:hyperlink>
      <w:r>
        <w:rPr>
          <w:rFonts w:ascii="Times New Roman" w:eastAsia="Times New Roman" w:hAnsi="Times New Roman" w:cs="Times New Roman"/>
          <w:sz w:val="24"/>
          <w:szCs w:val="24"/>
        </w:rPr>
        <w:t>. Accessed 1 December 2022.</w:t>
      </w:r>
    </w:p>
    <w:p w14:paraId="1EC0218A" w14:textId="77777777" w:rsidR="00EA6F24" w:rsidRDefault="003D4D33">
      <w:pPr>
        <w:numPr>
          <w:ilvl w:val="0"/>
          <w:numId w:val="2"/>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European Medicines Agency. Committee for Medicinal Products for Human Use. Assessment report: Ozempic (EMA/CHMP/715701/2017). 2017. https://www.ema.europa.eu/en/documents/assessment-report/ozempic-epar-public-assessment-report_en.pdf. Accessed 1 December 2022.</w:t>
      </w:r>
    </w:p>
    <w:p w14:paraId="4BD37FCD"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12121"/>
          <w:sz w:val="24"/>
          <w:szCs w:val="24"/>
          <w:highlight w:val="white"/>
        </w:rPr>
        <w:t xml:space="preserve">Carlsson Petri, K. C., </w:t>
      </w:r>
      <w:proofErr w:type="spellStart"/>
      <w:r>
        <w:rPr>
          <w:rFonts w:ascii="Times New Roman" w:eastAsia="Times New Roman" w:hAnsi="Times New Roman" w:cs="Times New Roman"/>
          <w:color w:val="212121"/>
          <w:sz w:val="24"/>
          <w:szCs w:val="24"/>
          <w:highlight w:val="white"/>
        </w:rPr>
        <w:t>Ingwersen</w:t>
      </w:r>
      <w:proofErr w:type="spellEnd"/>
      <w:r>
        <w:rPr>
          <w:rFonts w:ascii="Times New Roman" w:eastAsia="Times New Roman" w:hAnsi="Times New Roman" w:cs="Times New Roman"/>
          <w:color w:val="212121"/>
          <w:sz w:val="24"/>
          <w:szCs w:val="24"/>
          <w:highlight w:val="white"/>
        </w:rPr>
        <w:t xml:space="preserve">, S. H., Flint, A., </w:t>
      </w:r>
      <w:proofErr w:type="spellStart"/>
      <w:r>
        <w:rPr>
          <w:rFonts w:ascii="Times New Roman" w:eastAsia="Times New Roman" w:hAnsi="Times New Roman" w:cs="Times New Roman"/>
          <w:color w:val="212121"/>
          <w:sz w:val="24"/>
          <w:szCs w:val="24"/>
          <w:highlight w:val="white"/>
        </w:rPr>
        <w:t>Zacho</w:t>
      </w:r>
      <w:proofErr w:type="spellEnd"/>
      <w:r>
        <w:rPr>
          <w:rFonts w:ascii="Times New Roman" w:eastAsia="Times New Roman" w:hAnsi="Times New Roman" w:cs="Times New Roman"/>
          <w:color w:val="212121"/>
          <w:sz w:val="24"/>
          <w:szCs w:val="24"/>
          <w:highlight w:val="white"/>
        </w:rPr>
        <w:t xml:space="preserve">, J., &amp; Overgaard, R. V. (2018). </w:t>
      </w:r>
      <w:proofErr w:type="spellStart"/>
      <w:r>
        <w:rPr>
          <w:rFonts w:ascii="Times New Roman" w:eastAsia="Times New Roman" w:hAnsi="Times New Roman" w:cs="Times New Roman"/>
          <w:color w:val="212121"/>
          <w:sz w:val="24"/>
          <w:szCs w:val="24"/>
          <w:highlight w:val="white"/>
        </w:rPr>
        <w:t>Semaglutide</w:t>
      </w:r>
      <w:proofErr w:type="spellEnd"/>
      <w:r>
        <w:rPr>
          <w:rFonts w:ascii="Times New Roman" w:eastAsia="Times New Roman" w:hAnsi="Times New Roman" w:cs="Times New Roman"/>
          <w:color w:val="212121"/>
          <w:sz w:val="24"/>
          <w:szCs w:val="24"/>
          <w:highlight w:val="white"/>
        </w:rPr>
        <w:t xml:space="preserve"> </w:t>
      </w:r>
      <w:proofErr w:type="spellStart"/>
      <w:r>
        <w:rPr>
          <w:rFonts w:ascii="Times New Roman" w:eastAsia="Times New Roman" w:hAnsi="Times New Roman" w:cs="Times New Roman"/>
          <w:color w:val="212121"/>
          <w:sz w:val="24"/>
          <w:szCs w:val="24"/>
          <w:highlight w:val="white"/>
        </w:rPr>
        <w:t>s.c.</w:t>
      </w:r>
      <w:proofErr w:type="spellEnd"/>
      <w:r>
        <w:rPr>
          <w:rFonts w:ascii="Times New Roman" w:eastAsia="Times New Roman" w:hAnsi="Times New Roman" w:cs="Times New Roman"/>
          <w:color w:val="212121"/>
          <w:sz w:val="24"/>
          <w:szCs w:val="24"/>
          <w:highlight w:val="white"/>
        </w:rPr>
        <w:t xml:space="preserve"> Once-Weekly in Type 2 Diabetes: A Population Pharmacokinetic Analysis. </w:t>
      </w:r>
      <w:r>
        <w:rPr>
          <w:rFonts w:ascii="Times New Roman" w:eastAsia="Times New Roman" w:hAnsi="Times New Roman" w:cs="Times New Roman"/>
          <w:i/>
          <w:color w:val="212121"/>
          <w:sz w:val="24"/>
          <w:szCs w:val="24"/>
          <w:highlight w:val="white"/>
        </w:rPr>
        <w:t xml:space="preserve">Diabetes </w:t>
      </w:r>
      <w:proofErr w:type="gramStart"/>
      <w:r>
        <w:rPr>
          <w:rFonts w:ascii="Times New Roman" w:eastAsia="Times New Roman" w:hAnsi="Times New Roman" w:cs="Times New Roman"/>
          <w:i/>
          <w:color w:val="212121"/>
          <w:sz w:val="24"/>
          <w:szCs w:val="24"/>
          <w:highlight w:val="white"/>
        </w:rPr>
        <w:t>therapy :</w:t>
      </w:r>
      <w:proofErr w:type="gramEnd"/>
      <w:r>
        <w:rPr>
          <w:rFonts w:ascii="Times New Roman" w:eastAsia="Times New Roman" w:hAnsi="Times New Roman" w:cs="Times New Roman"/>
          <w:i/>
          <w:color w:val="212121"/>
          <w:sz w:val="24"/>
          <w:szCs w:val="24"/>
          <w:highlight w:val="white"/>
        </w:rPr>
        <w:t xml:space="preserve"> research, treatment and education of diabetes and related disorders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9</w:t>
      </w:r>
      <w:r>
        <w:rPr>
          <w:rFonts w:ascii="Times New Roman" w:eastAsia="Times New Roman" w:hAnsi="Times New Roman" w:cs="Times New Roman"/>
          <w:color w:val="212121"/>
          <w:sz w:val="24"/>
          <w:szCs w:val="24"/>
          <w:highlight w:val="white"/>
        </w:rPr>
        <w:t>(4), 1533–1547. https://doi.org/10.1007/s13300-018-0458-5</w:t>
      </w:r>
    </w:p>
    <w:p w14:paraId="0BDABF0E"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Rubino</w:t>
      </w:r>
      <w:proofErr w:type="spellEnd"/>
      <w:r>
        <w:rPr>
          <w:rFonts w:ascii="Times New Roman" w:eastAsia="Times New Roman" w:hAnsi="Times New Roman" w:cs="Times New Roman"/>
          <w:sz w:val="24"/>
          <w:szCs w:val="24"/>
        </w:rPr>
        <w:t xml:space="preserve">, D. M., Greenway, F. L., Khalid, U., O'Neil, P. M., Rosenstock, J., </w:t>
      </w:r>
      <w:proofErr w:type="spellStart"/>
      <w:r>
        <w:rPr>
          <w:rFonts w:ascii="Times New Roman" w:eastAsia="Times New Roman" w:hAnsi="Times New Roman" w:cs="Times New Roman"/>
          <w:sz w:val="24"/>
          <w:szCs w:val="24"/>
        </w:rPr>
        <w:t>Sørrig</w:t>
      </w:r>
      <w:proofErr w:type="spellEnd"/>
      <w:r>
        <w:rPr>
          <w:rFonts w:ascii="Times New Roman" w:eastAsia="Times New Roman" w:hAnsi="Times New Roman" w:cs="Times New Roman"/>
          <w:sz w:val="24"/>
          <w:szCs w:val="24"/>
        </w:rPr>
        <w:t xml:space="preserve">, R., </w:t>
      </w:r>
      <w:proofErr w:type="spellStart"/>
      <w:r>
        <w:rPr>
          <w:rFonts w:ascii="Times New Roman" w:eastAsia="Times New Roman" w:hAnsi="Times New Roman" w:cs="Times New Roman"/>
          <w:sz w:val="24"/>
          <w:szCs w:val="24"/>
        </w:rPr>
        <w:t>Wadden</w:t>
      </w:r>
      <w:proofErr w:type="spellEnd"/>
      <w:r>
        <w:rPr>
          <w:rFonts w:ascii="Times New Roman" w:eastAsia="Times New Roman" w:hAnsi="Times New Roman" w:cs="Times New Roman"/>
          <w:sz w:val="24"/>
          <w:szCs w:val="24"/>
        </w:rPr>
        <w:t xml:space="preserve">, T. A., </w:t>
      </w:r>
      <w:proofErr w:type="spellStart"/>
      <w:r>
        <w:rPr>
          <w:rFonts w:ascii="Times New Roman" w:eastAsia="Times New Roman" w:hAnsi="Times New Roman" w:cs="Times New Roman"/>
          <w:sz w:val="24"/>
          <w:szCs w:val="24"/>
        </w:rPr>
        <w:t>Wizert</w:t>
      </w:r>
      <w:proofErr w:type="spellEnd"/>
      <w:r>
        <w:rPr>
          <w:rFonts w:ascii="Times New Roman" w:eastAsia="Times New Roman" w:hAnsi="Times New Roman" w:cs="Times New Roman"/>
          <w:sz w:val="24"/>
          <w:szCs w:val="24"/>
        </w:rPr>
        <w:t xml:space="preserve">, A., Garvey, W. T., &amp; STEP 8 Investigators (2022). Effect of Weekly Subcutaneous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vs Daily Liraglutide on Body Weight in Adults </w:t>
      </w:r>
      <w:proofErr w:type="gramStart"/>
      <w:r>
        <w:rPr>
          <w:rFonts w:ascii="Times New Roman" w:eastAsia="Times New Roman" w:hAnsi="Times New Roman" w:cs="Times New Roman"/>
          <w:sz w:val="24"/>
          <w:szCs w:val="24"/>
        </w:rPr>
        <w:t>With</w:t>
      </w:r>
      <w:proofErr w:type="gramEnd"/>
      <w:r>
        <w:rPr>
          <w:rFonts w:ascii="Times New Roman" w:eastAsia="Times New Roman" w:hAnsi="Times New Roman" w:cs="Times New Roman"/>
          <w:sz w:val="24"/>
          <w:szCs w:val="24"/>
        </w:rPr>
        <w:t xml:space="preserve"> Overweight or Obesity Without Diabetes: The STEP 8 Randomized Clinical Trial. </w:t>
      </w:r>
      <w:r>
        <w:rPr>
          <w:rFonts w:ascii="Times New Roman" w:eastAsia="Times New Roman" w:hAnsi="Times New Roman" w:cs="Times New Roman"/>
          <w:i/>
          <w:sz w:val="24"/>
          <w:szCs w:val="24"/>
        </w:rPr>
        <w:t>JAMA, 327</w:t>
      </w:r>
      <w:r>
        <w:rPr>
          <w:rFonts w:ascii="Times New Roman" w:eastAsia="Times New Roman" w:hAnsi="Times New Roman" w:cs="Times New Roman"/>
          <w:sz w:val="24"/>
          <w:szCs w:val="24"/>
        </w:rPr>
        <w:t>(2), 138–150. https://doi.org/10.1001/jama.2021.23619</w:t>
      </w:r>
    </w:p>
    <w:p w14:paraId="61E03EEC"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Johansen, P., Chubb, B., Hunt, B., Malkin, S. J. P., Sandberg, A., &amp; </w:t>
      </w:r>
      <w:proofErr w:type="spellStart"/>
      <w:r>
        <w:rPr>
          <w:rFonts w:ascii="Times New Roman" w:eastAsia="Times New Roman" w:hAnsi="Times New Roman" w:cs="Times New Roman"/>
          <w:sz w:val="24"/>
          <w:szCs w:val="24"/>
        </w:rPr>
        <w:t>Capehorn</w:t>
      </w:r>
      <w:proofErr w:type="spellEnd"/>
      <w:r>
        <w:rPr>
          <w:rFonts w:ascii="Times New Roman" w:eastAsia="Times New Roman" w:hAnsi="Times New Roman" w:cs="Times New Roman"/>
          <w:sz w:val="24"/>
          <w:szCs w:val="24"/>
        </w:rPr>
        <w:t xml:space="preserve">, M. (2020). Evaluating the Long-Term Cost-Effectiveness of Once-Weekly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Versus Once-Daily Liraglutide for the Treatment of Type 2 Diabetes in the UK. </w:t>
      </w:r>
      <w:r>
        <w:rPr>
          <w:rFonts w:ascii="Times New Roman" w:eastAsia="Times New Roman" w:hAnsi="Times New Roman" w:cs="Times New Roman"/>
          <w:i/>
          <w:sz w:val="24"/>
          <w:szCs w:val="24"/>
        </w:rPr>
        <w:t>Advances in therapy, 37</w:t>
      </w:r>
      <w:r>
        <w:rPr>
          <w:rFonts w:ascii="Times New Roman" w:eastAsia="Times New Roman" w:hAnsi="Times New Roman" w:cs="Times New Roman"/>
          <w:sz w:val="24"/>
          <w:szCs w:val="24"/>
        </w:rPr>
        <w:t>(5), 2427–2441. https://doi.org/10.1007/s12325-020-01337-7</w:t>
      </w:r>
    </w:p>
    <w:p w14:paraId="72DABE78"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Bacha F. (2019). FDA approval of GLP-1 receptor agonist (liraglutide) for use in children. </w:t>
      </w:r>
      <w:r>
        <w:rPr>
          <w:rFonts w:ascii="Times New Roman" w:eastAsia="Times New Roman" w:hAnsi="Times New Roman" w:cs="Times New Roman"/>
          <w:i/>
          <w:sz w:val="24"/>
          <w:szCs w:val="24"/>
        </w:rPr>
        <w:t>The Lancet. Child &amp; adolescent health, 3</w:t>
      </w:r>
      <w:r>
        <w:rPr>
          <w:rFonts w:ascii="Times New Roman" w:eastAsia="Times New Roman" w:hAnsi="Times New Roman" w:cs="Times New Roman"/>
          <w:sz w:val="24"/>
          <w:szCs w:val="24"/>
        </w:rPr>
        <w:t xml:space="preserve">(9), 595–597. </w:t>
      </w:r>
      <w:r>
        <w:rPr>
          <w:rFonts w:ascii="Times New Roman" w:eastAsia="Times New Roman" w:hAnsi="Times New Roman" w:cs="Times New Roman"/>
          <w:sz w:val="24"/>
          <w:szCs w:val="24"/>
        </w:rPr>
        <w:lastRenderedPageBreak/>
        <w:t>https://doi.org/10.1016/S2352-4642(19)30236-6</w:t>
      </w:r>
    </w:p>
    <w:p w14:paraId="4CCA0086"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Currie, B. M., Howell, T. A., Matza, L. S., Cox, D. A., &amp; Johnston, J. A. (2021). A Review of Interventional Trials in Youth-Onset Type 2 Diabetes: Challenges and Opportunities. </w:t>
      </w:r>
      <w:r>
        <w:rPr>
          <w:rFonts w:ascii="Times New Roman" w:eastAsia="Times New Roman" w:hAnsi="Times New Roman" w:cs="Times New Roman"/>
          <w:i/>
          <w:sz w:val="24"/>
          <w:szCs w:val="24"/>
        </w:rPr>
        <w:t xml:space="preserve">Diabetes </w:t>
      </w:r>
      <w:proofErr w:type="gramStart"/>
      <w:r>
        <w:rPr>
          <w:rFonts w:ascii="Times New Roman" w:eastAsia="Times New Roman" w:hAnsi="Times New Roman" w:cs="Times New Roman"/>
          <w:i/>
          <w:sz w:val="24"/>
          <w:szCs w:val="24"/>
        </w:rPr>
        <w:t>therapy :</w:t>
      </w:r>
      <w:proofErr w:type="gramEnd"/>
      <w:r>
        <w:rPr>
          <w:rFonts w:ascii="Times New Roman" w:eastAsia="Times New Roman" w:hAnsi="Times New Roman" w:cs="Times New Roman"/>
          <w:i/>
          <w:sz w:val="24"/>
          <w:szCs w:val="24"/>
        </w:rPr>
        <w:t xml:space="preserve"> research, treatment and education of diabetes and related disorders, 12</w:t>
      </w:r>
      <w:r>
        <w:rPr>
          <w:rFonts w:ascii="Times New Roman" w:eastAsia="Times New Roman" w:hAnsi="Times New Roman" w:cs="Times New Roman"/>
          <w:sz w:val="24"/>
          <w:szCs w:val="24"/>
        </w:rPr>
        <w:t>(11), 2827–2856. https://doi.org/10.1007/s13300-021-01136-5</w:t>
      </w:r>
    </w:p>
    <w:p w14:paraId="7C82E320"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Nguyen, T. T., </w:t>
      </w:r>
      <w:proofErr w:type="spellStart"/>
      <w:r>
        <w:rPr>
          <w:rFonts w:ascii="Times New Roman" w:eastAsia="Times New Roman" w:hAnsi="Times New Roman" w:cs="Times New Roman"/>
          <w:sz w:val="24"/>
          <w:szCs w:val="24"/>
        </w:rPr>
        <w:t>Jayadeva</w:t>
      </w:r>
      <w:proofErr w:type="spellEnd"/>
      <w:r>
        <w:rPr>
          <w:rFonts w:ascii="Times New Roman" w:eastAsia="Times New Roman" w:hAnsi="Times New Roman" w:cs="Times New Roman"/>
          <w:sz w:val="24"/>
          <w:szCs w:val="24"/>
        </w:rPr>
        <w:t xml:space="preserve">, V., </w:t>
      </w:r>
      <w:proofErr w:type="spellStart"/>
      <w:r>
        <w:rPr>
          <w:rFonts w:ascii="Times New Roman" w:eastAsia="Times New Roman" w:hAnsi="Times New Roman" w:cs="Times New Roman"/>
          <w:sz w:val="24"/>
          <w:szCs w:val="24"/>
        </w:rPr>
        <w:t>Cizza</w:t>
      </w:r>
      <w:proofErr w:type="spellEnd"/>
      <w:r>
        <w:rPr>
          <w:rFonts w:ascii="Times New Roman" w:eastAsia="Times New Roman" w:hAnsi="Times New Roman" w:cs="Times New Roman"/>
          <w:sz w:val="24"/>
          <w:szCs w:val="24"/>
        </w:rPr>
        <w:t xml:space="preserve">, G., Brown, R. J., </w:t>
      </w:r>
      <w:proofErr w:type="spellStart"/>
      <w:r>
        <w:rPr>
          <w:rFonts w:ascii="Times New Roman" w:eastAsia="Times New Roman" w:hAnsi="Times New Roman" w:cs="Times New Roman"/>
          <w:sz w:val="24"/>
          <w:szCs w:val="24"/>
        </w:rPr>
        <w:t>Nandagopal</w:t>
      </w:r>
      <w:proofErr w:type="spellEnd"/>
      <w:r>
        <w:rPr>
          <w:rFonts w:ascii="Times New Roman" w:eastAsia="Times New Roman" w:hAnsi="Times New Roman" w:cs="Times New Roman"/>
          <w:sz w:val="24"/>
          <w:szCs w:val="24"/>
        </w:rPr>
        <w:t xml:space="preserve">, R., Rodriguez, L. M., &amp; Rother, K. I. (2014). Challenging recruitment of youth with type 2 diabetes into clinical trials. </w:t>
      </w:r>
      <w:r>
        <w:rPr>
          <w:rFonts w:ascii="Times New Roman" w:eastAsia="Times New Roman" w:hAnsi="Times New Roman" w:cs="Times New Roman"/>
          <w:i/>
          <w:sz w:val="24"/>
          <w:szCs w:val="24"/>
        </w:rPr>
        <w:t xml:space="preserve">The Journal of adolescent </w:t>
      </w:r>
      <w:proofErr w:type="gramStart"/>
      <w:r>
        <w:rPr>
          <w:rFonts w:ascii="Times New Roman" w:eastAsia="Times New Roman" w:hAnsi="Times New Roman" w:cs="Times New Roman"/>
          <w:i/>
          <w:sz w:val="24"/>
          <w:szCs w:val="24"/>
        </w:rPr>
        <w:t>health :</w:t>
      </w:r>
      <w:proofErr w:type="gramEnd"/>
      <w:r>
        <w:rPr>
          <w:rFonts w:ascii="Times New Roman" w:eastAsia="Times New Roman" w:hAnsi="Times New Roman" w:cs="Times New Roman"/>
          <w:i/>
          <w:sz w:val="24"/>
          <w:szCs w:val="24"/>
        </w:rPr>
        <w:t xml:space="preserve"> official publication of the Society for Adolescent Medicine, 54</w:t>
      </w:r>
      <w:r>
        <w:rPr>
          <w:rFonts w:ascii="Times New Roman" w:eastAsia="Times New Roman" w:hAnsi="Times New Roman" w:cs="Times New Roman"/>
          <w:sz w:val="24"/>
          <w:szCs w:val="24"/>
        </w:rPr>
        <w:t>(3), 247–254. https://doi.org/10.1016/j.jadohealth.2013.08.017</w:t>
      </w:r>
    </w:p>
    <w:p w14:paraId="445049A5"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Leong, R., Vieira, M. L., Zhao, P., </w:t>
      </w:r>
      <w:proofErr w:type="spellStart"/>
      <w:r>
        <w:rPr>
          <w:rFonts w:ascii="Times New Roman" w:eastAsia="Times New Roman" w:hAnsi="Times New Roman" w:cs="Times New Roman"/>
          <w:sz w:val="24"/>
          <w:szCs w:val="24"/>
        </w:rPr>
        <w:t>Mulugeta</w:t>
      </w:r>
      <w:proofErr w:type="spellEnd"/>
      <w:r>
        <w:rPr>
          <w:rFonts w:ascii="Times New Roman" w:eastAsia="Times New Roman" w:hAnsi="Times New Roman" w:cs="Times New Roman"/>
          <w:sz w:val="24"/>
          <w:szCs w:val="24"/>
        </w:rPr>
        <w:t xml:space="preserve">, Y., Lee, C. S., Huang, S. M., &amp; </w:t>
      </w:r>
      <w:proofErr w:type="spellStart"/>
      <w:r>
        <w:rPr>
          <w:rFonts w:ascii="Times New Roman" w:eastAsia="Times New Roman" w:hAnsi="Times New Roman" w:cs="Times New Roman"/>
          <w:sz w:val="24"/>
          <w:szCs w:val="24"/>
        </w:rPr>
        <w:t>Burckart</w:t>
      </w:r>
      <w:proofErr w:type="spellEnd"/>
      <w:r>
        <w:rPr>
          <w:rFonts w:ascii="Times New Roman" w:eastAsia="Times New Roman" w:hAnsi="Times New Roman" w:cs="Times New Roman"/>
          <w:sz w:val="24"/>
          <w:szCs w:val="24"/>
        </w:rPr>
        <w:t xml:space="preserve">, G. J. (2012). Regulatory experience with physiologically based pharmacokinetic modeling for pediatric drug trials. </w:t>
      </w:r>
      <w:r>
        <w:rPr>
          <w:rFonts w:ascii="Times New Roman" w:eastAsia="Times New Roman" w:hAnsi="Times New Roman" w:cs="Times New Roman"/>
          <w:i/>
          <w:sz w:val="24"/>
          <w:szCs w:val="24"/>
        </w:rPr>
        <w:t>Clinical pharmacology and therapeutics, 91</w:t>
      </w:r>
      <w:r>
        <w:rPr>
          <w:rFonts w:ascii="Times New Roman" w:eastAsia="Times New Roman" w:hAnsi="Times New Roman" w:cs="Times New Roman"/>
          <w:sz w:val="24"/>
          <w:szCs w:val="24"/>
        </w:rPr>
        <w:t>(5), 926–931. https://doi.org/10.1038/clpt.2012.19</w:t>
      </w:r>
    </w:p>
    <w:p w14:paraId="57262511"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Hornik</w:t>
      </w:r>
      <w:proofErr w:type="spellEnd"/>
      <w:r>
        <w:rPr>
          <w:rFonts w:ascii="Times New Roman" w:eastAsia="Times New Roman" w:hAnsi="Times New Roman" w:cs="Times New Roman"/>
          <w:sz w:val="24"/>
          <w:szCs w:val="24"/>
        </w:rPr>
        <w:t xml:space="preserve">, C. P., Wu, H., </w:t>
      </w:r>
      <w:proofErr w:type="spellStart"/>
      <w:r>
        <w:rPr>
          <w:rFonts w:ascii="Times New Roman" w:eastAsia="Times New Roman" w:hAnsi="Times New Roman" w:cs="Times New Roman"/>
          <w:sz w:val="24"/>
          <w:szCs w:val="24"/>
        </w:rPr>
        <w:t>Edginton</w:t>
      </w:r>
      <w:proofErr w:type="spellEnd"/>
      <w:r>
        <w:rPr>
          <w:rFonts w:ascii="Times New Roman" w:eastAsia="Times New Roman" w:hAnsi="Times New Roman" w:cs="Times New Roman"/>
          <w:sz w:val="24"/>
          <w:szCs w:val="24"/>
        </w:rPr>
        <w:t>, A. N., Watt, K., Cohen-</w:t>
      </w:r>
      <w:proofErr w:type="spellStart"/>
      <w:r>
        <w:rPr>
          <w:rFonts w:ascii="Times New Roman" w:eastAsia="Times New Roman" w:hAnsi="Times New Roman" w:cs="Times New Roman"/>
          <w:sz w:val="24"/>
          <w:szCs w:val="24"/>
        </w:rPr>
        <w:t>Wolkowiez</w:t>
      </w:r>
      <w:proofErr w:type="spellEnd"/>
      <w:r>
        <w:rPr>
          <w:rFonts w:ascii="Times New Roman" w:eastAsia="Times New Roman" w:hAnsi="Times New Roman" w:cs="Times New Roman"/>
          <w:sz w:val="24"/>
          <w:szCs w:val="24"/>
        </w:rPr>
        <w:t xml:space="preserve">, M., &amp; Gonzalez, D. (2017). Development of a Pediatric Physiologically-Based Pharmacokinetic Model of Clindamycin Using Opportunistic Pharmacokinetic Data. </w:t>
      </w:r>
      <w:r>
        <w:rPr>
          <w:rFonts w:ascii="Times New Roman" w:eastAsia="Times New Roman" w:hAnsi="Times New Roman" w:cs="Times New Roman"/>
          <w:i/>
          <w:sz w:val="24"/>
          <w:szCs w:val="24"/>
        </w:rPr>
        <w:t>Clinical pharmacokinetics, 56</w:t>
      </w:r>
      <w:r>
        <w:rPr>
          <w:rFonts w:ascii="Times New Roman" w:eastAsia="Times New Roman" w:hAnsi="Times New Roman" w:cs="Times New Roman"/>
          <w:sz w:val="24"/>
          <w:szCs w:val="24"/>
        </w:rPr>
        <w:t>(11), 1343–1353. https://doi.org/10.1007/s40262-017-0525-5</w:t>
      </w:r>
    </w:p>
    <w:p w14:paraId="6D68ED1E"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Maharaj, A. R., &amp; </w:t>
      </w:r>
      <w:proofErr w:type="spellStart"/>
      <w:r>
        <w:rPr>
          <w:rFonts w:ascii="Times New Roman" w:eastAsia="Times New Roman" w:hAnsi="Times New Roman" w:cs="Times New Roman"/>
          <w:sz w:val="24"/>
          <w:szCs w:val="24"/>
        </w:rPr>
        <w:t>Edginton</w:t>
      </w:r>
      <w:proofErr w:type="spellEnd"/>
      <w:r>
        <w:rPr>
          <w:rFonts w:ascii="Times New Roman" w:eastAsia="Times New Roman" w:hAnsi="Times New Roman" w:cs="Times New Roman"/>
          <w:sz w:val="24"/>
          <w:szCs w:val="24"/>
        </w:rPr>
        <w:t xml:space="preserve">, A. N. (2014). Physiologically based pharmacokinetic modeling and simulation in pediatric drug development. </w:t>
      </w:r>
      <w:r>
        <w:rPr>
          <w:rFonts w:ascii="Times New Roman" w:eastAsia="Times New Roman" w:hAnsi="Times New Roman" w:cs="Times New Roman"/>
          <w:i/>
          <w:sz w:val="24"/>
          <w:szCs w:val="24"/>
        </w:rPr>
        <w:t>CPT: pharmacometrics &amp; systems pharmacology, 3</w:t>
      </w:r>
      <w:r>
        <w:rPr>
          <w:rFonts w:ascii="Times New Roman" w:eastAsia="Times New Roman" w:hAnsi="Times New Roman" w:cs="Times New Roman"/>
          <w:sz w:val="24"/>
          <w:szCs w:val="24"/>
        </w:rPr>
        <w:t>(11), e150. https://doi.org/10.1038/psp.2014.45</w:t>
      </w:r>
    </w:p>
    <w:p w14:paraId="6D5D7FF9"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12121"/>
          <w:sz w:val="24"/>
          <w:szCs w:val="24"/>
          <w:highlight w:val="white"/>
        </w:rPr>
        <w:t>Verscheijden</w:t>
      </w:r>
      <w:proofErr w:type="spellEnd"/>
      <w:r>
        <w:rPr>
          <w:rFonts w:ascii="Times New Roman" w:eastAsia="Times New Roman" w:hAnsi="Times New Roman" w:cs="Times New Roman"/>
          <w:color w:val="212121"/>
          <w:sz w:val="24"/>
          <w:szCs w:val="24"/>
          <w:highlight w:val="white"/>
        </w:rPr>
        <w:t xml:space="preserve">, L. F. M., </w:t>
      </w:r>
      <w:proofErr w:type="spellStart"/>
      <w:r>
        <w:rPr>
          <w:rFonts w:ascii="Times New Roman" w:eastAsia="Times New Roman" w:hAnsi="Times New Roman" w:cs="Times New Roman"/>
          <w:color w:val="212121"/>
          <w:sz w:val="24"/>
          <w:szCs w:val="24"/>
          <w:highlight w:val="white"/>
        </w:rPr>
        <w:t>Koenderink</w:t>
      </w:r>
      <w:proofErr w:type="spellEnd"/>
      <w:r>
        <w:rPr>
          <w:rFonts w:ascii="Times New Roman" w:eastAsia="Times New Roman" w:hAnsi="Times New Roman" w:cs="Times New Roman"/>
          <w:color w:val="212121"/>
          <w:sz w:val="24"/>
          <w:szCs w:val="24"/>
          <w:highlight w:val="white"/>
        </w:rPr>
        <w:t xml:space="preserve">, J. B., Johnson, T. N., de </w:t>
      </w:r>
      <w:proofErr w:type="spellStart"/>
      <w:r>
        <w:rPr>
          <w:rFonts w:ascii="Times New Roman" w:eastAsia="Times New Roman" w:hAnsi="Times New Roman" w:cs="Times New Roman"/>
          <w:color w:val="212121"/>
          <w:sz w:val="24"/>
          <w:szCs w:val="24"/>
          <w:highlight w:val="white"/>
        </w:rPr>
        <w:t>Wildt</w:t>
      </w:r>
      <w:proofErr w:type="spellEnd"/>
      <w:r>
        <w:rPr>
          <w:rFonts w:ascii="Times New Roman" w:eastAsia="Times New Roman" w:hAnsi="Times New Roman" w:cs="Times New Roman"/>
          <w:color w:val="212121"/>
          <w:sz w:val="24"/>
          <w:szCs w:val="24"/>
          <w:highlight w:val="white"/>
        </w:rPr>
        <w:t xml:space="preserve">, S. N., &amp; Russel, F. G. M. (2020). Physiologically-based pharmacokinetic models for children: Starting to reach </w:t>
      </w:r>
      <w:proofErr w:type="gramStart"/>
      <w:r>
        <w:rPr>
          <w:rFonts w:ascii="Times New Roman" w:eastAsia="Times New Roman" w:hAnsi="Times New Roman" w:cs="Times New Roman"/>
          <w:color w:val="212121"/>
          <w:sz w:val="24"/>
          <w:szCs w:val="24"/>
          <w:highlight w:val="white"/>
        </w:rPr>
        <w:t>maturation?.</w:t>
      </w:r>
      <w:proofErr w:type="gramEnd"/>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Pharmacology &amp; therapeutics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211</w:t>
      </w:r>
      <w:r>
        <w:rPr>
          <w:rFonts w:ascii="Times New Roman" w:eastAsia="Times New Roman" w:hAnsi="Times New Roman" w:cs="Times New Roman"/>
          <w:color w:val="212121"/>
          <w:sz w:val="24"/>
          <w:szCs w:val="24"/>
          <w:highlight w:val="white"/>
        </w:rPr>
        <w:t>, 107541. https://doi.org/10.1016/j.pharmthera.2020.107541</w:t>
      </w:r>
    </w:p>
    <w:p w14:paraId="370358D6"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12121"/>
          <w:sz w:val="24"/>
          <w:szCs w:val="24"/>
          <w:highlight w:val="white"/>
        </w:rPr>
        <w:t>Willmann</w:t>
      </w:r>
      <w:proofErr w:type="spellEnd"/>
      <w:r>
        <w:rPr>
          <w:rFonts w:ascii="Times New Roman" w:eastAsia="Times New Roman" w:hAnsi="Times New Roman" w:cs="Times New Roman"/>
          <w:color w:val="212121"/>
          <w:sz w:val="24"/>
          <w:szCs w:val="24"/>
          <w:highlight w:val="white"/>
        </w:rPr>
        <w:t xml:space="preserve">, S., Frei, M., Sutter, G., </w:t>
      </w:r>
      <w:proofErr w:type="spellStart"/>
      <w:r>
        <w:rPr>
          <w:rFonts w:ascii="Times New Roman" w:eastAsia="Times New Roman" w:hAnsi="Times New Roman" w:cs="Times New Roman"/>
          <w:color w:val="212121"/>
          <w:sz w:val="24"/>
          <w:szCs w:val="24"/>
          <w:highlight w:val="white"/>
        </w:rPr>
        <w:t>Coboeken</w:t>
      </w:r>
      <w:proofErr w:type="spellEnd"/>
      <w:r>
        <w:rPr>
          <w:rFonts w:ascii="Times New Roman" w:eastAsia="Times New Roman" w:hAnsi="Times New Roman" w:cs="Times New Roman"/>
          <w:color w:val="212121"/>
          <w:sz w:val="24"/>
          <w:szCs w:val="24"/>
          <w:highlight w:val="white"/>
        </w:rPr>
        <w:t xml:space="preserve">, K., </w:t>
      </w:r>
      <w:proofErr w:type="spellStart"/>
      <w:r>
        <w:rPr>
          <w:rFonts w:ascii="Times New Roman" w:eastAsia="Times New Roman" w:hAnsi="Times New Roman" w:cs="Times New Roman"/>
          <w:color w:val="212121"/>
          <w:sz w:val="24"/>
          <w:szCs w:val="24"/>
          <w:highlight w:val="white"/>
        </w:rPr>
        <w:t>Wendl</w:t>
      </w:r>
      <w:proofErr w:type="spellEnd"/>
      <w:r>
        <w:rPr>
          <w:rFonts w:ascii="Times New Roman" w:eastAsia="Times New Roman" w:hAnsi="Times New Roman" w:cs="Times New Roman"/>
          <w:color w:val="212121"/>
          <w:sz w:val="24"/>
          <w:szCs w:val="24"/>
          <w:highlight w:val="white"/>
        </w:rPr>
        <w:t xml:space="preserve">, T., </w:t>
      </w:r>
      <w:proofErr w:type="spellStart"/>
      <w:r>
        <w:rPr>
          <w:rFonts w:ascii="Times New Roman" w:eastAsia="Times New Roman" w:hAnsi="Times New Roman" w:cs="Times New Roman"/>
          <w:color w:val="212121"/>
          <w:sz w:val="24"/>
          <w:szCs w:val="24"/>
          <w:highlight w:val="white"/>
        </w:rPr>
        <w:t>Eissing</w:t>
      </w:r>
      <w:proofErr w:type="spellEnd"/>
      <w:r>
        <w:rPr>
          <w:rFonts w:ascii="Times New Roman" w:eastAsia="Times New Roman" w:hAnsi="Times New Roman" w:cs="Times New Roman"/>
          <w:color w:val="212121"/>
          <w:sz w:val="24"/>
          <w:szCs w:val="24"/>
          <w:highlight w:val="white"/>
        </w:rPr>
        <w:t xml:space="preserve">, T., Lippert, J., &amp; </w:t>
      </w:r>
      <w:proofErr w:type="spellStart"/>
      <w:r>
        <w:rPr>
          <w:rFonts w:ascii="Times New Roman" w:eastAsia="Times New Roman" w:hAnsi="Times New Roman" w:cs="Times New Roman"/>
          <w:color w:val="212121"/>
          <w:sz w:val="24"/>
          <w:szCs w:val="24"/>
          <w:highlight w:val="white"/>
        </w:rPr>
        <w:t>Stass</w:t>
      </w:r>
      <w:proofErr w:type="spellEnd"/>
      <w:r>
        <w:rPr>
          <w:rFonts w:ascii="Times New Roman" w:eastAsia="Times New Roman" w:hAnsi="Times New Roman" w:cs="Times New Roman"/>
          <w:color w:val="212121"/>
          <w:sz w:val="24"/>
          <w:szCs w:val="24"/>
          <w:highlight w:val="white"/>
        </w:rPr>
        <w:t xml:space="preserve">, H. (2019). Application of Physiologically-Based and Population Pharmacokinetic Modeling for Dose Finding and Confirmation During the Pediatric Development of Moxifloxacin. </w:t>
      </w:r>
      <w:r>
        <w:rPr>
          <w:rFonts w:ascii="Times New Roman" w:eastAsia="Times New Roman" w:hAnsi="Times New Roman" w:cs="Times New Roman"/>
          <w:i/>
          <w:color w:val="212121"/>
          <w:sz w:val="24"/>
          <w:szCs w:val="24"/>
          <w:highlight w:val="white"/>
        </w:rPr>
        <w:t>CPT: pharmacometrics &amp; systems pharmacology</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lastRenderedPageBreak/>
        <w:t>8</w:t>
      </w:r>
      <w:r>
        <w:rPr>
          <w:rFonts w:ascii="Times New Roman" w:eastAsia="Times New Roman" w:hAnsi="Times New Roman" w:cs="Times New Roman"/>
          <w:color w:val="212121"/>
          <w:sz w:val="24"/>
          <w:szCs w:val="24"/>
          <w:highlight w:val="white"/>
        </w:rPr>
        <w:t>(9), 654–663. https://doi.org/10.1002/psp4.12446</w:t>
      </w:r>
    </w:p>
    <w:p w14:paraId="1673DA71"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12121"/>
          <w:sz w:val="24"/>
          <w:szCs w:val="24"/>
          <w:highlight w:val="white"/>
        </w:rPr>
        <w:t xml:space="preserve">Jo, H., </w:t>
      </w:r>
      <w:proofErr w:type="spellStart"/>
      <w:r>
        <w:rPr>
          <w:rFonts w:ascii="Times New Roman" w:eastAsia="Times New Roman" w:hAnsi="Times New Roman" w:cs="Times New Roman"/>
          <w:color w:val="212121"/>
          <w:sz w:val="24"/>
          <w:szCs w:val="24"/>
          <w:highlight w:val="white"/>
        </w:rPr>
        <w:t>Pilla</w:t>
      </w:r>
      <w:proofErr w:type="spellEnd"/>
      <w:r>
        <w:rPr>
          <w:rFonts w:ascii="Times New Roman" w:eastAsia="Times New Roman" w:hAnsi="Times New Roman" w:cs="Times New Roman"/>
          <w:color w:val="212121"/>
          <w:sz w:val="24"/>
          <w:szCs w:val="24"/>
          <w:highlight w:val="white"/>
        </w:rPr>
        <w:t xml:space="preserve"> Reddy, V., Parkinson, J., Boulton, D. W., &amp; Tang, W. (2021). Model-Informed Pediatric Dose Selection for Dapagliflozin by Incorporating Developmental Changes. </w:t>
      </w:r>
      <w:r>
        <w:rPr>
          <w:rFonts w:ascii="Times New Roman" w:eastAsia="Times New Roman" w:hAnsi="Times New Roman" w:cs="Times New Roman"/>
          <w:i/>
          <w:color w:val="212121"/>
          <w:sz w:val="24"/>
          <w:szCs w:val="24"/>
          <w:highlight w:val="white"/>
        </w:rPr>
        <w:t>CPT: pharmacometrics &amp; systems pharmacology</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10</w:t>
      </w:r>
      <w:r>
        <w:rPr>
          <w:rFonts w:ascii="Times New Roman" w:eastAsia="Times New Roman" w:hAnsi="Times New Roman" w:cs="Times New Roman"/>
          <w:color w:val="212121"/>
          <w:sz w:val="24"/>
          <w:szCs w:val="24"/>
          <w:highlight w:val="white"/>
        </w:rPr>
        <w:t>(2), 108–118. https://doi.org/10.1002/psp4.12577</w:t>
      </w:r>
    </w:p>
    <w:p w14:paraId="758FEC93"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12121"/>
          <w:sz w:val="24"/>
          <w:szCs w:val="24"/>
          <w:highlight w:val="white"/>
        </w:rPr>
        <w:t xml:space="preserve">Templeton, I. E., Jones, N. S., &amp; </w:t>
      </w:r>
      <w:proofErr w:type="spellStart"/>
      <w:r>
        <w:rPr>
          <w:rFonts w:ascii="Times New Roman" w:eastAsia="Times New Roman" w:hAnsi="Times New Roman" w:cs="Times New Roman"/>
          <w:color w:val="212121"/>
          <w:sz w:val="24"/>
          <w:szCs w:val="24"/>
          <w:highlight w:val="white"/>
        </w:rPr>
        <w:t>Musib</w:t>
      </w:r>
      <w:proofErr w:type="spellEnd"/>
      <w:r>
        <w:rPr>
          <w:rFonts w:ascii="Times New Roman" w:eastAsia="Times New Roman" w:hAnsi="Times New Roman" w:cs="Times New Roman"/>
          <w:color w:val="212121"/>
          <w:sz w:val="24"/>
          <w:szCs w:val="24"/>
          <w:highlight w:val="white"/>
        </w:rPr>
        <w:t xml:space="preserve">, L. (2018). Pediatric Dose Selection and Utility of PBPK in Determining Dose. </w:t>
      </w:r>
      <w:r>
        <w:rPr>
          <w:rFonts w:ascii="Times New Roman" w:eastAsia="Times New Roman" w:hAnsi="Times New Roman" w:cs="Times New Roman"/>
          <w:i/>
          <w:color w:val="212121"/>
          <w:sz w:val="24"/>
          <w:szCs w:val="24"/>
          <w:highlight w:val="white"/>
        </w:rPr>
        <w:t>The AAPS journal</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20</w:t>
      </w:r>
      <w:r>
        <w:rPr>
          <w:rFonts w:ascii="Times New Roman" w:eastAsia="Times New Roman" w:hAnsi="Times New Roman" w:cs="Times New Roman"/>
          <w:color w:val="212121"/>
          <w:sz w:val="24"/>
          <w:szCs w:val="24"/>
          <w:highlight w:val="white"/>
        </w:rPr>
        <w:t>(2), 31. https://doi.org/10.1208/s12248-018-0187-8</w:t>
      </w:r>
    </w:p>
    <w:p w14:paraId="2D73C734"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12121"/>
          <w:sz w:val="24"/>
          <w:szCs w:val="24"/>
          <w:highlight w:val="white"/>
        </w:rPr>
        <w:t>Bellanti</w:t>
      </w:r>
      <w:proofErr w:type="spellEnd"/>
      <w:r>
        <w:rPr>
          <w:rFonts w:ascii="Times New Roman" w:eastAsia="Times New Roman" w:hAnsi="Times New Roman" w:cs="Times New Roman"/>
          <w:color w:val="212121"/>
          <w:sz w:val="24"/>
          <w:szCs w:val="24"/>
          <w:highlight w:val="white"/>
        </w:rPr>
        <w:t xml:space="preserve">, F., &amp; Della </w:t>
      </w:r>
      <w:proofErr w:type="spellStart"/>
      <w:r>
        <w:rPr>
          <w:rFonts w:ascii="Times New Roman" w:eastAsia="Times New Roman" w:hAnsi="Times New Roman" w:cs="Times New Roman"/>
          <w:color w:val="212121"/>
          <w:sz w:val="24"/>
          <w:szCs w:val="24"/>
          <w:highlight w:val="white"/>
        </w:rPr>
        <w:t>Pasqua</w:t>
      </w:r>
      <w:proofErr w:type="spellEnd"/>
      <w:r>
        <w:rPr>
          <w:rFonts w:ascii="Times New Roman" w:eastAsia="Times New Roman" w:hAnsi="Times New Roman" w:cs="Times New Roman"/>
          <w:color w:val="212121"/>
          <w:sz w:val="24"/>
          <w:szCs w:val="24"/>
          <w:highlight w:val="white"/>
        </w:rPr>
        <w:t xml:space="preserve">, O. (2011). Modelling and simulation as research tools in </w:t>
      </w:r>
      <w:proofErr w:type="spellStart"/>
      <w:r>
        <w:rPr>
          <w:rFonts w:ascii="Times New Roman" w:eastAsia="Times New Roman" w:hAnsi="Times New Roman" w:cs="Times New Roman"/>
          <w:color w:val="212121"/>
          <w:sz w:val="24"/>
          <w:szCs w:val="24"/>
          <w:highlight w:val="white"/>
        </w:rPr>
        <w:t>paediatric</w:t>
      </w:r>
      <w:proofErr w:type="spellEnd"/>
      <w:r>
        <w:rPr>
          <w:rFonts w:ascii="Times New Roman" w:eastAsia="Times New Roman" w:hAnsi="Times New Roman" w:cs="Times New Roman"/>
          <w:color w:val="212121"/>
          <w:sz w:val="24"/>
          <w:szCs w:val="24"/>
          <w:highlight w:val="white"/>
        </w:rPr>
        <w:t xml:space="preserve"> drug development. </w:t>
      </w:r>
      <w:r>
        <w:rPr>
          <w:rFonts w:ascii="Times New Roman" w:eastAsia="Times New Roman" w:hAnsi="Times New Roman" w:cs="Times New Roman"/>
          <w:i/>
          <w:color w:val="212121"/>
          <w:sz w:val="24"/>
          <w:szCs w:val="24"/>
          <w:highlight w:val="white"/>
        </w:rPr>
        <w:t>European journal of clinical pharmacology</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67 Suppl 1</w:t>
      </w:r>
      <w:r>
        <w:rPr>
          <w:rFonts w:ascii="Times New Roman" w:eastAsia="Times New Roman" w:hAnsi="Times New Roman" w:cs="Times New Roman"/>
          <w:color w:val="212121"/>
          <w:sz w:val="24"/>
          <w:szCs w:val="24"/>
          <w:highlight w:val="white"/>
        </w:rPr>
        <w:t>(Suppl 1), 75–86. https://doi.org/10.1007/s00228-010-0974-3</w:t>
      </w:r>
    </w:p>
    <w:p w14:paraId="4DADDCD9" w14:textId="77777777" w:rsidR="00EA6F24" w:rsidRDefault="003D4D33">
      <w:pPr>
        <w:widowControl w:val="0"/>
        <w:numPr>
          <w:ilvl w:val="0"/>
          <w:numId w:val="2"/>
        </w:numPr>
        <w:spacing w:after="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color w:val="212121"/>
          <w:sz w:val="24"/>
          <w:szCs w:val="24"/>
          <w:highlight w:val="white"/>
        </w:rPr>
        <w:t>Grimstein</w:t>
      </w:r>
      <w:proofErr w:type="spellEnd"/>
      <w:r>
        <w:rPr>
          <w:rFonts w:ascii="Times New Roman" w:eastAsia="Times New Roman" w:hAnsi="Times New Roman" w:cs="Times New Roman"/>
          <w:color w:val="212121"/>
          <w:sz w:val="24"/>
          <w:szCs w:val="24"/>
          <w:highlight w:val="white"/>
        </w:rPr>
        <w:t xml:space="preserve">, M., Yang, Y., Zhang, X., Grillo, J., Huang, S. M., </w:t>
      </w:r>
      <w:proofErr w:type="spellStart"/>
      <w:r>
        <w:rPr>
          <w:rFonts w:ascii="Times New Roman" w:eastAsia="Times New Roman" w:hAnsi="Times New Roman" w:cs="Times New Roman"/>
          <w:color w:val="212121"/>
          <w:sz w:val="24"/>
          <w:szCs w:val="24"/>
          <w:highlight w:val="white"/>
        </w:rPr>
        <w:t>Zineh</w:t>
      </w:r>
      <w:proofErr w:type="spellEnd"/>
      <w:r>
        <w:rPr>
          <w:rFonts w:ascii="Times New Roman" w:eastAsia="Times New Roman" w:hAnsi="Times New Roman" w:cs="Times New Roman"/>
          <w:color w:val="212121"/>
          <w:sz w:val="24"/>
          <w:szCs w:val="24"/>
          <w:highlight w:val="white"/>
        </w:rPr>
        <w:t xml:space="preserve">, I., &amp; Wang, Y. (2019). Physiologically Based Pharmacokinetic Modeling in Regulatory Science: An Update </w:t>
      </w:r>
      <w:proofErr w:type="gramStart"/>
      <w:r>
        <w:rPr>
          <w:rFonts w:ascii="Times New Roman" w:eastAsia="Times New Roman" w:hAnsi="Times New Roman" w:cs="Times New Roman"/>
          <w:color w:val="212121"/>
          <w:sz w:val="24"/>
          <w:szCs w:val="24"/>
          <w:highlight w:val="white"/>
        </w:rPr>
        <w:t>From</w:t>
      </w:r>
      <w:proofErr w:type="gramEnd"/>
      <w:r>
        <w:rPr>
          <w:rFonts w:ascii="Times New Roman" w:eastAsia="Times New Roman" w:hAnsi="Times New Roman" w:cs="Times New Roman"/>
          <w:color w:val="212121"/>
          <w:sz w:val="24"/>
          <w:szCs w:val="24"/>
          <w:highlight w:val="white"/>
        </w:rPr>
        <w:t xml:space="preserve"> the U.S. Food and Drug Administration's Office of Clinical Pharmacology. </w:t>
      </w:r>
      <w:r>
        <w:rPr>
          <w:rFonts w:ascii="Times New Roman" w:eastAsia="Times New Roman" w:hAnsi="Times New Roman" w:cs="Times New Roman"/>
          <w:i/>
          <w:color w:val="212121"/>
          <w:sz w:val="24"/>
          <w:szCs w:val="24"/>
          <w:highlight w:val="white"/>
        </w:rPr>
        <w:t>Journal of pharmaceutical sciences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108</w:t>
      </w:r>
      <w:r>
        <w:rPr>
          <w:rFonts w:ascii="Times New Roman" w:eastAsia="Times New Roman" w:hAnsi="Times New Roman" w:cs="Times New Roman"/>
          <w:color w:val="212121"/>
          <w:sz w:val="24"/>
          <w:szCs w:val="24"/>
          <w:highlight w:val="white"/>
        </w:rPr>
        <w:t>(1), 21–25. https://doi.org/10.1016/j.xphs.2018.10.033</w:t>
      </w:r>
    </w:p>
    <w:p w14:paraId="21FE4B33"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FDA - Food and Drug Administration. Clinical Pharmacology and Biopharmaceutics Reviews. Center For Drug Evaluation </w:t>
      </w: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Research.  Application Number: 209637Orig1s000. 2016.</w:t>
      </w:r>
    </w:p>
    <w:p w14:paraId="33979941" w14:textId="77777777" w:rsidR="00EA6F24" w:rsidRDefault="003D4D33">
      <w:pPr>
        <w:widowControl w:val="0"/>
        <w:numPr>
          <w:ilvl w:val="0"/>
          <w:numId w:val="2"/>
        </w:numPr>
        <w:spacing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Jensen, L., </w:t>
      </w:r>
      <w:proofErr w:type="spellStart"/>
      <w:r>
        <w:rPr>
          <w:rFonts w:ascii="Times New Roman" w:eastAsia="Times New Roman" w:hAnsi="Times New Roman" w:cs="Times New Roman"/>
          <w:color w:val="212121"/>
          <w:sz w:val="24"/>
          <w:szCs w:val="24"/>
          <w:highlight w:val="white"/>
        </w:rPr>
        <w:t>Helleberg</w:t>
      </w:r>
      <w:proofErr w:type="spellEnd"/>
      <w:r>
        <w:rPr>
          <w:rFonts w:ascii="Times New Roman" w:eastAsia="Times New Roman" w:hAnsi="Times New Roman" w:cs="Times New Roman"/>
          <w:color w:val="212121"/>
          <w:sz w:val="24"/>
          <w:szCs w:val="24"/>
          <w:highlight w:val="white"/>
        </w:rPr>
        <w:t xml:space="preserve">, H., </w:t>
      </w:r>
      <w:proofErr w:type="spellStart"/>
      <w:r>
        <w:rPr>
          <w:rFonts w:ascii="Times New Roman" w:eastAsia="Times New Roman" w:hAnsi="Times New Roman" w:cs="Times New Roman"/>
          <w:color w:val="212121"/>
          <w:sz w:val="24"/>
          <w:szCs w:val="24"/>
          <w:highlight w:val="white"/>
        </w:rPr>
        <w:t>Roffel</w:t>
      </w:r>
      <w:proofErr w:type="spellEnd"/>
      <w:r>
        <w:rPr>
          <w:rFonts w:ascii="Times New Roman" w:eastAsia="Times New Roman" w:hAnsi="Times New Roman" w:cs="Times New Roman"/>
          <w:color w:val="212121"/>
          <w:sz w:val="24"/>
          <w:szCs w:val="24"/>
          <w:highlight w:val="white"/>
        </w:rPr>
        <w:t xml:space="preserve">, A., van Lier, J. J., </w:t>
      </w:r>
      <w:proofErr w:type="spellStart"/>
      <w:r>
        <w:rPr>
          <w:rFonts w:ascii="Times New Roman" w:eastAsia="Times New Roman" w:hAnsi="Times New Roman" w:cs="Times New Roman"/>
          <w:color w:val="212121"/>
          <w:sz w:val="24"/>
          <w:szCs w:val="24"/>
          <w:highlight w:val="white"/>
        </w:rPr>
        <w:t>Bjørnsdottir</w:t>
      </w:r>
      <w:proofErr w:type="spellEnd"/>
      <w:r>
        <w:rPr>
          <w:rFonts w:ascii="Times New Roman" w:eastAsia="Times New Roman" w:hAnsi="Times New Roman" w:cs="Times New Roman"/>
          <w:color w:val="212121"/>
          <w:sz w:val="24"/>
          <w:szCs w:val="24"/>
          <w:highlight w:val="white"/>
        </w:rPr>
        <w:t xml:space="preserve">, I., Pedersen, P. J., Rowe, E., </w:t>
      </w:r>
      <w:proofErr w:type="spellStart"/>
      <w:r>
        <w:rPr>
          <w:rFonts w:ascii="Times New Roman" w:eastAsia="Times New Roman" w:hAnsi="Times New Roman" w:cs="Times New Roman"/>
          <w:color w:val="212121"/>
          <w:sz w:val="24"/>
          <w:szCs w:val="24"/>
          <w:highlight w:val="white"/>
        </w:rPr>
        <w:t>Derving</w:t>
      </w:r>
      <w:proofErr w:type="spellEnd"/>
      <w:r>
        <w:rPr>
          <w:rFonts w:ascii="Times New Roman" w:eastAsia="Times New Roman" w:hAnsi="Times New Roman" w:cs="Times New Roman"/>
          <w:color w:val="212121"/>
          <w:sz w:val="24"/>
          <w:szCs w:val="24"/>
          <w:highlight w:val="white"/>
        </w:rPr>
        <w:t xml:space="preserve"> </w:t>
      </w:r>
      <w:proofErr w:type="spellStart"/>
      <w:r>
        <w:rPr>
          <w:rFonts w:ascii="Times New Roman" w:eastAsia="Times New Roman" w:hAnsi="Times New Roman" w:cs="Times New Roman"/>
          <w:color w:val="212121"/>
          <w:sz w:val="24"/>
          <w:szCs w:val="24"/>
          <w:highlight w:val="white"/>
        </w:rPr>
        <w:t>Karsbøl</w:t>
      </w:r>
      <w:proofErr w:type="spellEnd"/>
      <w:r>
        <w:rPr>
          <w:rFonts w:ascii="Times New Roman" w:eastAsia="Times New Roman" w:hAnsi="Times New Roman" w:cs="Times New Roman"/>
          <w:color w:val="212121"/>
          <w:sz w:val="24"/>
          <w:szCs w:val="24"/>
          <w:highlight w:val="white"/>
        </w:rPr>
        <w:t xml:space="preserve">, J., &amp; Pedersen, M. L. (2017). Absorption, metabolism and excretion of the GLP-1 analogue </w:t>
      </w:r>
      <w:proofErr w:type="spellStart"/>
      <w:r>
        <w:rPr>
          <w:rFonts w:ascii="Times New Roman" w:eastAsia="Times New Roman" w:hAnsi="Times New Roman" w:cs="Times New Roman"/>
          <w:color w:val="212121"/>
          <w:sz w:val="24"/>
          <w:szCs w:val="24"/>
          <w:highlight w:val="white"/>
        </w:rPr>
        <w:t>semaglutide</w:t>
      </w:r>
      <w:proofErr w:type="spellEnd"/>
      <w:r>
        <w:rPr>
          <w:rFonts w:ascii="Times New Roman" w:eastAsia="Times New Roman" w:hAnsi="Times New Roman" w:cs="Times New Roman"/>
          <w:color w:val="212121"/>
          <w:sz w:val="24"/>
          <w:szCs w:val="24"/>
          <w:highlight w:val="white"/>
        </w:rPr>
        <w:t xml:space="preserve"> in humans and nonclinical species. </w:t>
      </w:r>
      <w:r>
        <w:rPr>
          <w:rFonts w:ascii="Times New Roman" w:eastAsia="Times New Roman" w:hAnsi="Times New Roman" w:cs="Times New Roman"/>
          <w:i/>
          <w:color w:val="212121"/>
          <w:sz w:val="24"/>
          <w:szCs w:val="24"/>
          <w:highlight w:val="white"/>
        </w:rPr>
        <w:t xml:space="preserve">European journal of pharmaceutical </w:t>
      </w:r>
      <w:proofErr w:type="gramStart"/>
      <w:r>
        <w:rPr>
          <w:rFonts w:ascii="Times New Roman" w:eastAsia="Times New Roman" w:hAnsi="Times New Roman" w:cs="Times New Roman"/>
          <w:i/>
          <w:color w:val="212121"/>
          <w:sz w:val="24"/>
          <w:szCs w:val="24"/>
          <w:highlight w:val="white"/>
        </w:rPr>
        <w:t>sciences :</w:t>
      </w:r>
      <w:proofErr w:type="gramEnd"/>
      <w:r>
        <w:rPr>
          <w:rFonts w:ascii="Times New Roman" w:eastAsia="Times New Roman" w:hAnsi="Times New Roman" w:cs="Times New Roman"/>
          <w:i/>
          <w:color w:val="212121"/>
          <w:sz w:val="24"/>
          <w:szCs w:val="24"/>
          <w:highlight w:val="white"/>
        </w:rPr>
        <w:t xml:space="preserve"> official journal of the European Federation for Pharmaceutical Sciences, 104</w:t>
      </w:r>
      <w:r>
        <w:rPr>
          <w:rFonts w:ascii="Times New Roman" w:eastAsia="Times New Roman" w:hAnsi="Times New Roman" w:cs="Times New Roman"/>
          <w:color w:val="212121"/>
          <w:sz w:val="24"/>
          <w:szCs w:val="24"/>
          <w:highlight w:val="white"/>
        </w:rPr>
        <w:t>, 31–41. https://doi.org/10.1016/j.ejps.2017.03.020</w:t>
      </w:r>
    </w:p>
    <w:p w14:paraId="59DF0F27"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Rohatgi, A. </w:t>
      </w:r>
      <w:proofErr w:type="spellStart"/>
      <w:r>
        <w:rPr>
          <w:rFonts w:ascii="Times New Roman" w:eastAsia="Times New Roman" w:hAnsi="Times New Roman" w:cs="Times New Roman"/>
          <w:sz w:val="24"/>
          <w:szCs w:val="24"/>
        </w:rPr>
        <w:t>WebPlotDigitizer</w:t>
      </w:r>
      <w:proofErr w:type="spellEnd"/>
      <w:r>
        <w:rPr>
          <w:rFonts w:ascii="Times New Roman" w:eastAsia="Times New Roman" w:hAnsi="Times New Roman" w:cs="Times New Roman"/>
          <w:sz w:val="24"/>
          <w:szCs w:val="24"/>
        </w:rPr>
        <w:t xml:space="preserve"> (Version 4.2) [Computer software]. Retrieved from http://arohatgi.info/WebPlotDigitizer</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2015.</w:t>
      </w:r>
    </w:p>
    <w:p w14:paraId="5D554261"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FDA. Pediatric study plans: content of and process for submitting initial pediatric study plans and amended pediatric study plans. 2016. </w:t>
      </w:r>
      <w:r>
        <w:rPr>
          <w:rFonts w:ascii="Times New Roman" w:eastAsia="Times New Roman" w:hAnsi="Times New Roman" w:cs="Times New Roman"/>
          <w:sz w:val="24"/>
          <w:szCs w:val="24"/>
        </w:rPr>
        <w:lastRenderedPageBreak/>
        <w:t>https://www.fda.gov/regulatory-information/search-fda-guidance-documents/pediatric-study-plans-content-and-process-submitting-initial-pediatric-study-plans-and-amended. Accessed 1 December 2022.</w:t>
      </w:r>
    </w:p>
    <w:p w14:paraId="2AE05CB4" w14:textId="77777777" w:rsidR="00EA6F24" w:rsidRDefault="003D4D33">
      <w:pPr>
        <w:widowControl w:val="0"/>
        <w:numPr>
          <w:ilvl w:val="0"/>
          <w:numId w:val="2"/>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12121"/>
          <w:sz w:val="24"/>
          <w:szCs w:val="24"/>
          <w:highlight w:val="white"/>
        </w:rPr>
        <w:t xml:space="preserve">Maharaj, A. R., Barrett, J. S., &amp; </w:t>
      </w:r>
      <w:proofErr w:type="spellStart"/>
      <w:r>
        <w:rPr>
          <w:rFonts w:ascii="Times New Roman" w:eastAsia="Times New Roman" w:hAnsi="Times New Roman" w:cs="Times New Roman"/>
          <w:color w:val="212121"/>
          <w:sz w:val="24"/>
          <w:szCs w:val="24"/>
          <w:highlight w:val="white"/>
        </w:rPr>
        <w:t>Edginton</w:t>
      </w:r>
      <w:proofErr w:type="spellEnd"/>
      <w:r>
        <w:rPr>
          <w:rFonts w:ascii="Times New Roman" w:eastAsia="Times New Roman" w:hAnsi="Times New Roman" w:cs="Times New Roman"/>
          <w:color w:val="212121"/>
          <w:sz w:val="24"/>
          <w:szCs w:val="24"/>
          <w:highlight w:val="white"/>
        </w:rPr>
        <w:t xml:space="preserve">, A. N. (2013). A workflow example of PBPK modeling to support pediatric research and development: case study with lorazepam. </w:t>
      </w:r>
      <w:r>
        <w:rPr>
          <w:rFonts w:ascii="Times New Roman" w:eastAsia="Times New Roman" w:hAnsi="Times New Roman" w:cs="Times New Roman"/>
          <w:i/>
          <w:color w:val="212121"/>
          <w:sz w:val="24"/>
          <w:szCs w:val="24"/>
          <w:highlight w:val="white"/>
        </w:rPr>
        <w:t>The AAPS journal</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15</w:t>
      </w:r>
      <w:r>
        <w:rPr>
          <w:rFonts w:ascii="Times New Roman" w:eastAsia="Times New Roman" w:hAnsi="Times New Roman" w:cs="Times New Roman"/>
          <w:color w:val="212121"/>
          <w:sz w:val="24"/>
          <w:szCs w:val="24"/>
          <w:highlight w:val="white"/>
        </w:rPr>
        <w:t>(2), 455–464. https://doi.org/10.1208/s12248-013-9451-0</w:t>
      </w:r>
    </w:p>
    <w:p w14:paraId="7C513A95"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FDA. Leveraging Existing Clinical Data for Extrapolation to Pediatric Uses of Medical Devices Guidance for Industry and Food and Drug Administration Staff. 2016.https://www.fda.gov/downloads/medicaldevices/deviceregulationandguidance/guidancedocuments/ucm444591.pdf. Accessed 2 December 2022.</w:t>
      </w:r>
    </w:p>
    <w:p w14:paraId="5341541F"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Overgaard, R. V., </w:t>
      </w:r>
      <w:proofErr w:type="spellStart"/>
      <w:r>
        <w:rPr>
          <w:rFonts w:ascii="Times New Roman" w:eastAsia="Times New Roman" w:hAnsi="Times New Roman" w:cs="Times New Roman"/>
          <w:sz w:val="24"/>
          <w:szCs w:val="24"/>
        </w:rPr>
        <w:t>Delff</w:t>
      </w:r>
      <w:proofErr w:type="spellEnd"/>
      <w:r>
        <w:rPr>
          <w:rFonts w:ascii="Times New Roman" w:eastAsia="Times New Roman" w:hAnsi="Times New Roman" w:cs="Times New Roman"/>
          <w:sz w:val="24"/>
          <w:szCs w:val="24"/>
        </w:rPr>
        <w:t xml:space="preserve">, P. H., Petri, K., Anderson, T. W., Flint, A., &amp; </w:t>
      </w:r>
      <w:proofErr w:type="spellStart"/>
      <w:r>
        <w:rPr>
          <w:rFonts w:ascii="Times New Roman" w:eastAsia="Times New Roman" w:hAnsi="Times New Roman" w:cs="Times New Roman"/>
          <w:sz w:val="24"/>
          <w:szCs w:val="24"/>
        </w:rPr>
        <w:t>Ingwersen</w:t>
      </w:r>
      <w:proofErr w:type="spellEnd"/>
      <w:r>
        <w:rPr>
          <w:rFonts w:ascii="Times New Roman" w:eastAsia="Times New Roman" w:hAnsi="Times New Roman" w:cs="Times New Roman"/>
          <w:sz w:val="24"/>
          <w:szCs w:val="24"/>
        </w:rPr>
        <w:t xml:space="preserve">, S. H. (2019). Population Pharmacokinetics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for Type 2 Diabetes. </w:t>
      </w:r>
      <w:r>
        <w:rPr>
          <w:rFonts w:ascii="Times New Roman" w:eastAsia="Times New Roman" w:hAnsi="Times New Roman" w:cs="Times New Roman"/>
          <w:i/>
          <w:sz w:val="24"/>
          <w:szCs w:val="24"/>
        </w:rPr>
        <w:t xml:space="preserve">Diabetes </w:t>
      </w:r>
      <w:proofErr w:type="gramStart"/>
      <w:r>
        <w:rPr>
          <w:rFonts w:ascii="Times New Roman" w:eastAsia="Times New Roman" w:hAnsi="Times New Roman" w:cs="Times New Roman"/>
          <w:i/>
          <w:sz w:val="24"/>
          <w:szCs w:val="24"/>
        </w:rPr>
        <w:t>therapy :</w:t>
      </w:r>
      <w:proofErr w:type="gramEnd"/>
      <w:r>
        <w:rPr>
          <w:rFonts w:ascii="Times New Roman" w:eastAsia="Times New Roman" w:hAnsi="Times New Roman" w:cs="Times New Roman"/>
          <w:i/>
          <w:sz w:val="24"/>
          <w:szCs w:val="24"/>
        </w:rPr>
        <w:t xml:space="preserve"> research, treatment and education of diabetes and related disorders, 10</w:t>
      </w:r>
      <w:r>
        <w:rPr>
          <w:rFonts w:ascii="Times New Roman" w:eastAsia="Times New Roman" w:hAnsi="Times New Roman" w:cs="Times New Roman"/>
          <w:sz w:val="24"/>
          <w:szCs w:val="24"/>
        </w:rPr>
        <w:t>(2), 649–662. https://doi.org/10.1007/s13300-019-0581-y</w:t>
      </w:r>
    </w:p>
    <w:p w14:paraId="0C451BFB"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Marbury, T. C., Flint, A., Jacobsen, J. B., </w:t>
      </w:r>
      <w:proofErr w:type="spellStart"/>
      <w:r>
        <w:rPr>
          <w:rFonts w:ascii="Times New Roman" w:eastAsia="Times New Roman" w:hAnsi="Times New Roman" w:cs="Times New Roman"/>
          <w:sz w:val="24"/>
          <w:szCs w:val="24"/>
        </w:rPr>
        <w:t>Derving</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Karsbøl</w:t>
      </w:r>
      <w:proofErr w:type="spellEnd"/>
      <w:r>
        <w:rPr>
          <w:rFonts w:ascii="Times New Roman" w:eastAsia="Times New Roman" w:hAnsi="Times New Roman" w:cs="Times New Roman"/>
          <w:sz w:val="24"/>
          <w:szCs w:val="24"/>
        </w:rPr>
        <w:t xml:space="preserve">, J., &amp; Lasseter, K. (2017). Pharmacokinetics and Tolerability of a Single Dose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a Human Glucagon-Like Peptide-1 Analog, in Subjects </w:t>
      </w:r>
      <w:proofErr w:type="gramStart"/>
      <w:r>
        <w:rPr>
          <w:rFonts w:ascii="Times New Roman" w:eastAsia="Times New Roman" w:hAnsi="Times New Roman" w:cs="Times New Roman"/>
          <w:sz w:val="24"/>
          <w:szCs w:val="24"/>
        </w:rPr>
        <w:t>With</w:t>
      </w:r>
      <w:proofErr w:type="gramEnd"/>
      <w:r>
        <w:rPr>
          <w:rFonts w:ascii="Times New Roman" w:eastAsia="Times New Roman" w:hAnsi="Times New Roman" w:cs="Times New Roman"/>
          <w:sz w:val="24"/>
          <w:szCs w:val="24"/>
        </w:rPr>
        <w:t xml:space="preserve"> and Without Renal Impairment. </w:t>
      </w:r>
      <w:r>
        <w:rPr>
          <w:rFonts w:ascii="Times New Roman" w:eastAsia="Times New Roman" w:hAnsi="Times New Roman" w:cs="Times New Roman"/>
          <w:i/>
          <w:sz w:val="24"/>
          <w:szCs w:val="24"/>
        </w:rPr>
        <w:t>Clinical pharmacokinetics, 56</w:t>
      </w:r>
      <w:r>
        <w:rPr>
          <w:rFonts w:ascii="Times New Roman" w:eastAsia="Times New Roman" w:hAnsi="Times New Roman" w:cs="Times New Roman"/>
          <w:sz w:val="24"/>
          <w:szCs w:val="24"/>
        </w:rPr>
        <w:t>(11), 1381–1390. https://doi.org/10.1007/s40262-017-0528-2</w:t>
      </w:r>
    </w:p>
    <w:p w14:paraId="524F232E" w14:textId="77777777" w:rsidR="00EA6F24" w:rsidRDefault="003D4D33">
      <w:pPr>
        <w:numPr>
          <w:ilvl w:val="0"/>
          <w:numId w:val="2"/>
        </w:num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FDA. Other Review(s). Center For Drug Evaluation </w:t>
      </w: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Research.  Application Number: 209637Orig1s000. </w:t>
      </w:r>
      <w:proofErr w:type="gramStart"/>
      <w:r>
        <w:rPr>
          <w:rFonts w:ascii="Times New Roman" w:eastAsia="Times New Roman" w:hAnsi="Times New Roman" w:cs="Times New Roman"/>
          <w:sz w:val="24"/>
          <w:szCs w:val="24"/>
        </w:rPr>
        <w:t>2017 .</w:t>
      </w:r>
      <w:proofErr w:type="gramEnd"/>
      <w:r>
        <w:rPr>
          <w:rFonts w:ascii="Times New Roman" w:eastAsia="Times New Roman" w:hAnsi="Times New Roman" w:cs="Times New Roman"/>
          <w:sz w:val="24"/>
          <w:szCs w:val="24"/>
        </w:rPr>
        <w:t xml:space="preserve"> https://www.accessdata.fda.gov/drugsatfda_docs/nda/2017/209637Orig1s000ClinPharmR.pdf. Accessed 2 December 2022.</w:t>
      </w:r>
    </w:p>
    <w:p w14:paraId="410581FD"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Wishart, D. S., Knox, C., Guo, A. C., Shrivastava, S., </w:t>
      </w:r>
      <w:proofErr w:type="spellStart"/>
      <w:r>
        <w:rPr>
          <w:rFonts w:ascii="Times New Roman" w:eastAsia="Times New Roman" w:hAnsi="Times New Roman" w:cs="Times New Roman"/>
          <w:color w:val="212121"/>
          <w:sz w:val="24"/>
          <w:szCs w:val="24"/>
          <w:highlight w:val="white"/>
        </w:rPr>
        <w:t>Hassanali</w:t>
      </w:r>
      <w:proofErr w:type="spellEnd"/>
      <w:r>
        <w:rPr>
          <w:rFonts w:ascii="Times New Roman" w:eastAsia="Times New Roman" w:hAnsi="Times New Roman" w:cs="Times New Roman"/>
          <w:color w:val="212121"/>
          <w:sz w:val="24"/>
          <w:szCs w:val="24"/>
          <w:highlight w:val="white"/>
        </w:rPr>
        <w:t xml:space="preserve">, M., </w:t>
      </w:r>
      <w:proofErr w:type="spellStart"/>
      <w:r>
        <w:rPr>
          <w:rFonts w:ascii="Times New Roman" w:eastAsia="Times New Roman" w:hAnsi="Times New Roman" w:cs="Times New Roman"/>
          <w:color w:val="212121"/>
          <w:sz w:val="24"/>
          <w:szCs w:val="24"/>
          <w:highlight w:val="white"/>
        </w:rPr>
        <w:t>Stothard</w:t>
      </w:r>
      <w:proofErr w:type="spellEnd"/>
      <w:r>
        <w:rPr>
          <w:rFonts w:ascii="Times New Roman" w:eastAsia="Times New Roman" w:hAnsi="Times New Roman" w:cs="Times New Roman"/>
          <w:color w:val="212121"/>
          <w:sz w:val="24"/>
          <w:szCs w:val="24"/>
          <w:highlight w:val="white"/>
        </w:rPr>
        <w:t xml:space="preserve">, P., Chang, Z., &amp; Woolsey, J. (2006). </w:t>
      </w:r>
      <w:proofErr w:type="spellStart"/>
      <w:r>
        <w:rPr>
          <w:rFonts w:ascii="Times New Roman" w:eastAsia="Times New Roman" w:hAnsi="Times New Roman" w:cs="Times New Roman"/>
          <w:color w:val="212121"/>
          <w:sz w:val="24"/>
          <w:szCs w:val="24"/>
          <w:highlight w:val="white"/>
        </w:rPr>
        <w:t>DrugBank</w:t>
      </w:r>
      <w:proofErr w:type="spellEnd"/>
      <w:r>
        <w:rPr>
          <w:rFonts w:ascii="Times New Roman" w:eastAsia="Times New Roman" w:hAnsi="Times New Roman" w:cs="Times New Roman"/>
          <w:color w:val="212121"/>
          <w:sz w:val="24"/>
          <w:szCs w:val="24"/>
          <w:highlight w:val="white"/>
        </w:rPr>
        <w:t xml:space="preserve">: a comprehensive resource for in silico drug discovery and exploration. </w:t>
      </w:r>
      <w:r>
        <w:rPr>
          <w:rFonts w:ascii="Times New Roman" w:eastAsia="Times New Roman" w:hAnsi="Times New Roman" w:cs="Times New Roman"/>
          <w:i/>
          <w:color w:val="212121"/>
          <w:sz w:val="24"/>
          <w:szCs w:val="24"/>
          <w:highlight w:val="white"/>
        </w:rPr>
        <w:t>Nucleic acids research</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34</w:t>
      </w:r>
      <w:r>
        <w:rPr>
          <w:rFonts w:ascii="Times New Roman" w:eastAsia="Times New Roman" w:hAnsi="Times New Roman" w:cs="Times New Roman"/>
          <w:color w:val="212121"/>
          <w:sz w:val="24"/>
          <w:szCs w:val="24"/>
          <w:highlight w:val="white"/>
        </w:rPr>
        <w:t>(Database issue), D668–D672. https://doi.org/10.1093/nar/gkj067</w:t>
      </w:r>
    </w:p>
    <w:p w14:paraId="0B589E6E"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lastRenderedPageBreak/>
        <w:t xml:space="preserve">Sager, J. E., Yu, J., </w:t>
      </w:r>
      <w:proofErr w:type="spellStart"/>
      <w:r>
        <w:rPr>
          <w:rFonts w:ascii="Times New Roman" w:eastAsia="Times New Roman" w:hAnsi="Times New Roman" w:cs="Times New Roman"/>
          <w:color w:val="212121"/>
          <w:sz w:val="24"/>
          <w:szCs w:val="24"/>
          <w:highlight w:val="white"/>
        </w:rPr>
        <w:t>Ragueneau-Majlessi</w:t>
      </w:r>
      <w:proofErr w:type="spellEnd"/>
      <w:r>
        <w:rPr>
          <w:rFonts w:ascii="Times New Roman" w:eastAsia="Times New Roman" w:hAnsi="Times New Roman" w:cs="Times New Roman"/>
          <w:color w:val="212121"/>
          <w:sz w:val="24"/>
          <w:szCs w:val="24"/>
          <w:highlight w:val="white"/>
        </w:rPr>
        <w:t xml:space="preserve">, I., &amp; </w:t>
      </w:r>
      <w:proofErr w:type="spellStart"/>
      <w:r>
        <w:rPr>
          <w:rFonts w:ascii="Times New Roman" w:eastAsia="Times New Roman" w:hAnsi="Times New Roman" w:cs="Times New Roman"/>
          <w:color w:val="212121"/>
          <w:sz w:val="24"/>
          <w:szCs w:val="24"/>
          <w:highlight w:val="white"/>
        </w:rPr>
        <w:t>Isoherranen</w:t>
      </w:r>
      <w:proofErr w:type="spellEnd"/>
      <w:r>
        <w:rPr>
          <w:rFonts w:ascii="Times New Roman" w:eastAsia="Times New Roman" w:hAnsi="Times New Roman" w:cs="Times New Roman"/>
          <w:color w:val="212121"/>
          <w:sz w:val="24"/>
          <w:szCs w:val="24"/>
          <w:highlight w:val="white"/>
        </w:rPr>
        <w:t xml:space="preserve">, N. (2015). Physiologically Based Pharmacokinetic (PBPK) Modeling and Simulation Approaches: A Systematic Review of Published Models, Applications, and Model Verification. </w:t>
      </w:r>
      <w:r>
        <w:rPr>
          <w:rFonts w:ascii="Times New Roman" w:eastAsia="Times New Roman" w:hAnsi="Times New Roman" w:cs="Times New Roman"/>
          <w:i/>
          <w:color w:val="212121"/>
          <w:sz w:val="24"/>
          <w:szCs w:val="24"/>
          <w:highlight w:val="white"/>
        </w:rPr>
        <w:t>Drug metabolism and disposition: the biological fate of chemicals, 43</w:t>
      </w:r>
      <w:r>
        <w:rPr>
          <w:rFonts w:ascii="Times New Roman" w:eastAsia="Times New Roman" w:hAnsi="Times New Roman" w:cs="Times New Roman"/>
          <w:color w:val="212121"/>
          <w:sz w:val="24"/>
          <w:szCs w:val="24"/>
          <w:highlight w:val="white"/>
        </w:rPr>
        <w:t>(11), 1823–1837. https://doi.org/10.1124/dmd.115.065920</w:t>
      </w:r>
    </w:p>
    <w:p w14:paraId="61C29B6E"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Kuczmarski</w:t>
      </w:r>
      <w:proofErr w:type="spellEnd"/>
      <w:r>
        <w:rPr>
          <w:rFonts w:ascii="Times New Roman" w:eastAsia="Times New Roman" w:hAnsi="Times New Roman" w:cs="Times New Roman"/>
          <w:color w:val="212121"/>
          <w:sz w:val="24"/>
          <w:szCs w:val="24"/>
          <w:highlight w:val="white"/>
        </w:rPr>
        <w:t xml:space="preserve">, R. J., Ogden, C. L., Guo, S. S., </w:t>
      </w:r>
      <w:proofErr w:type="spellStart"/>
      <w:r>
        <w:rPr>
          <w:rFonts w:ascii="Times New Roman" w:eastAsia="Times New Roman" w:hAnsi="Times New Roman" w:cs="Times New Roman"/>
          <w:color w:val="212121"/>
          <w:sz w:val="24"/>
          <w:szCs w:val="24"/>
          <w:highlight w:val="white"/>
        </w:rPr>
        <w:t>Grummer</w:t>
      </w:r>
      <w:proofErr w:type="spellEnd"/>
      <w:r>
        <w:rPr>
          <w:rFonts w:ascii="Times New Roman" w:eastAsia="Times New Roman" w:hAnsi="Times New Roman" w:cs="Times New Roman"/>
          <w:color w:val="212121"/>
          <w:sz w:val="24"/>
          <w:szCs w:val="24"/>
          <w:highlight w:val="white"/>
        </w:rPr>
        <w:t xml:space="preserve">-Strawn, L. M., </w:t>
      </w:r>
      <w:proofErr w:type="spellStart"/>
      <w:r>
        <w:rPr>
          <w:rFonts w:ascii="Times New Roman" w:eastAsia="Times New Roman" w:hAnsi="Times New Roman" w:cs="Times New Roman"/>
          <w:color w:val="212121"/>
          <w:sz w:val="24"/>
          <w:szCs w:val="24"/>
          <w:highlight w:val="white"/>
        </w:rPr>
        <w:t>Flegal</w:t>
      </w:r>
      <w:proofErr w:type="spellEnd"/>
      <w:r>
        <w:rPr>
          <w:rFonts w:ascii="Times New Roman" w:eastAsia="Times New Roman" w:hAnsi="Times New Roman" w:cs="Times New Roman"/>
          <w:color w:val="212121"/>
          <w:sz w:val="24"/>
          <w:szCs w:val="24"/>
          <w:highlight w:val="white"/>
        </w:rPr>
        <w:t xml:space="preserve">, K. M., Mei, Z., Wei, R., Curtin, L. R., Roche, A. F., &amp; Johnson, C. L. (2002). 2000 CDC Growth Charts for the United States: methods and development. </w:t>
      </w:r>
      <w:r>
        <w:rPr>
          <w:rFonts w:ascii="Times New Roman" w:eastAsia="Times New Roman" w:hAnsi="Times New Roman" w:cs="Times New Roman"/>
          <w:i/>
          <w:color w:val="212121"/>
          <w:sz w:val="24"/>
          <w:szCs w:val="24"/>
          <w:highlight w:val="white"/>
        </w:rPr>
        <w:t>Vital and health statistics. Series 11, Data from the National Health Survey</w:t>
      </w:r>
      <w:r>
        <w:rPr>
          <w:rFonts w:ascii="Times New Roman" w:eastAsia="Times New Roman" w:hAnsi="Times New Roman" w:cs="Times New Roman"/>
          <w:color w:val="212121"/>
          <w:sz w:val="24"/>
          <w:szCs w:val="24"/>
          <w:highlight w:val="white"/>
        </w:rPr>
        <w:t>, (246), 1–190.</w:t>
      </w:r>
    </w:p>
    <w:p w14:paraId="01D1B104"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Centers for Disease Control and Prevention (CDC). National Center for Health Statistics (NCHS). National Health and Nutrition Examination Survey Data. Hyattsville, MD: US Department of Health and Human Services, Centers for Disease Control and Prevention. https://www.cdc.gov/nchs/nhanes/index.htm. Accessed 06 Dez 2022.</w:t>
      </w:r>
    </w:p>
    <w:p w14:paraId="6480A910"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212121"/>
          <w:sz w:val="24"/>
          <w:szCs w:val="24"/>
        </w:rPr>
        <w:t xml:space="preserve">Gerhart, J. G., </w:t>
      </w:r>
      <w:proofErr w:type="spellStart"/>
      <w:r>
        <w:rPr>
          <w:rFonts w:ascii="Times New Roman" w:eastAsia="Times New Roman" w:hAnsi="Times New Roman" w:cs="Times New Roman"/>
          <w:color w:val="212121"/>
          <w:sz w:val="24"/>
          <w:szCs w:val="24"/>
        </w:rPr>
        <w:t>Carreño</w:t>
      </w:r>
      <w:proofErr w:type="spellEnd"/>
      <w:r>
        <w:rPr>
          <w:rFonts w:ascii="Times New Roman" w:eastAsia="Times New Roman" w:hAnsi="Times New Roman" w:cs="Times New Roman"/>
          <w:color w:val="212121"/>
          <w:sz w:val="24"/>
          <w:szCs w:val="24"/>
        </w:rPr>
        <w:t xml:space="preserve">, F. O., </w:t>
      </w:r>
      <w:proofErr w:type="spellStart"/>
      <w:r>
        <w:rPr>
          <w:rFonts w:ascii="Times New Roman" w:eastAsia="Times New Roman" w:hAnsi="Times New Roman" w:cs="Times New Roman"/>
          <w:color w:val="212121"/>
          <w:sz w:val="24"/>
          <w:szCs w:val="24"/>
        </w:rPr>
        <w:t>Edginton</w:t>
      </w:r>
      <w:proofErr w:type="spellEnd"/>
      <w:r>
        <w:rPr>
          <w:rFonts w:ascii="Times New Roman" w:eastAsia="Times New Roman" w:hAnsi="Times New Roman" w:cs="Times New Roman"/>
          <w:color w:val="212121"/>
          <w:sz w:val="24"/>
          <w:szCs w:val="24"/>
        </w:rPr>
        <w:t xml:space="preserve">, A. N., Sinha, J., Perrin, E. M., Kumar, K. R., </w:t>
      </w:r>
      <w:proofErr w:type="spellStart"/>
      <w:r>
        <w:rPr>
          <w:rFonts w:ascii="Times New Roman" w:eastAsia="Times New Roman" w:hAnsi="Times New Roman" w:cs="Times New Roman"/>
          <w:color w:val="212121"/>
          <w:sz w:val="24"/>
          <w:szCs w:val="24"/>
        </w:rPr>
        <w:t>Rikhi</w:t>
      </w:r>
      <w:proofErr w:type="spellEnd"/>
      <w:r>
        <w:rPr>
          <w:rFonts w:ascii="Times New Roman" w:eastAsia="Times New Roman" w:hAnsi="Times New Roman" w:cs="Times New Roman"/>
          <w:color w:val="212121"/>
          <w:sz w:val="24"/>
          <w:szCs w:val="24"/>
        </w:rPr>
        <w:t xml:space="preserve">, A., </w:t>
      </w:r>
      <w:proofErr w:type="spellStart"/>
      <w:r>
        <w:rPr>
          <w:rFonts w:ascii="Times New Roman" w:eastAsia="Times New Roman" w:hAnsi="Times New Roman" w:cs="Times New Roman"/>
          <w:color w:val="212121"/>
          <w:sz w:val="24"/>
          <w:szCs w:val="24"/>
        </w:rPr>
        <w:t>Hornik</w:t>
      </w:r>
      <w:proofErr w:type="spellEnd"/>
      <w:r>
        <w:rPr>
          <w:rFonts w:ascii="Times New Roman" w:eastAsia="Times New Roman" w:hAnsi="Times New Roman" w:cs="Times New Roman"/>
          <w:color w:val="212121"/>
          <w:sz w:val="24"/>
          <w:szCs w:val="24"/>
        </w:rPr>
        <w:t xml:space="preserve">, C. P., Harris, V., </w:t>
      </w:r>
      <w:proofErr w:type="spellStart"/>
      <w:r>
        <w:rPr>
          <w:rFonts w:ascii="Times New Roman" w:eastAsia="Times New Roman" w:hAnsi="Times New Roman" w:cs="Times New Roman"/>
          <w:color w:val="212121"/>
          <w:sz w:val="24"/>
          <w:szCs w:val="24"/>
        </w:rPr>
        <w:t>Ganguly</w:t>
      </w:r>
      <w:proofErr w:type="spellEnd"/>
      <w:r>
        <w:rPr>
          <w:rFonts w:ascii="Times New Roman" w:eastAsia="Times New Roman" w:hAnsi="Times New Roman" w:cs="Times New Roman"/>
          <w:color w:val="212121"/>
          <w:sz w:val="24"/>
          <w:szCs w:val="24"/>
        </w:rPr>
        <w:t>, S., Cohen-</w:t>
      </w:r>
      <w:proofErr w:type="spellStart"/>
      <w:r>
        <w:rPr>
          <w:rFonts w:ascii="Times New Roman" w:eastAsia="Times New Roman" w:hAnsi="Times New Roman" w:cs="Times New Roman"/>
          <w:color w:val="212121"/>
          <w:sz w:val="24"/>
          <w:szCs w:val="24"/>
        </w:rPr>
        <w:t>Wolkowiez</w:t>
      </w:r>
      <w:proofErr w:type="spellEnd"/>
      <w:r>
        <w:rPr>
          <w:rFonts w:ascii="Times New Roman" w:eastAsia="Times New Roman" w:hAnsi="Times New Roman" w:cs="Times New Roman"/>
          <w:color w:val="212121"/>
          <w:sz w:val="24"/>
          <w:szCs w:val="24"/>
        </w:rPr>
        <w:t xml:space="preserve">, M., Gonzalez, D., &amp; Best Pharmaceuticals for Children Act—Pediatric Trials Network Steering Committee (2022). Development and Evaluation of a Virtual Population of Children with Obesity for Physiologically Based Pharmacokinetic Modeling. </w:t>
      </w:r>
      <w:r>
        <w:rPr>
          <w:rFonts w:ascii="Times New Roman" w:eastAsia="Times New Roman" w:hAnsi="Times New Roman" w:cs="Times New Roman"/>
          <w:i/>
          <w:color w:val="212121"/>
          <w:sz w:val="24"/>
          <w:szCs w:val="24"/>
        </w:rPr>
        <w:t>Clinical pharmacokinetics, 61(2)</w:t>
      </w:r>
      <w:r>
        <w:rPr>
          <w:rFonts w:ascii="Times New Roman" w:eastAsia="Times New Roman" w:hAnsi="Times New Roman" w:cs="Times New Roman"/>
          <w:color w:val="212121"/>
          <w:sz w:val="24"/>
          <w:szCs w:val="24"/>
        </w:rPr>
        <w:t>, 307–320. https://doi.org/10.1007/s40262-021-01072-4</w:t>
      </w:r>
    </w:p>
    <w:p w14:paraId="36E2B703"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rPr>
      </w:pPr>
      <w:proofErr w:type="spellStart"/>
      <w:r>
        <w:rPr>
          <w:rFonts w:ascii="Times New Roman" w:eastAsia="Times New Roman" w:hAnsi="Times New Roman" w:cs="Times New Roman"/>
          <w:color w:val="212121"/>
          <w:sz w:val="24"/>
          <w:szCs w:val="24"/>
        </w:rPr>
        <w:t>Hosey-Cojocari</w:t>
      </w:r>
      <w:proofErr w:type="spellEnd"/>
      <w:r>
        <w:rPr>
          <w:rFonts w:ascii="Times New Roman" w:eastAsia="Times New Roman" w:hAnsi="Times New Roman" w:cs="Times New Roman"/>
          <w:color w:val="212121"/>
          <w:sz w:val="24"/>
          <w:szCs w:val="24"/>
        </w:rPr>
        <w:t xml:space="preserve">, C., Chan, S. S., Friesen, C. S., Robinson, A., Williams, V., Swanson, E., O'Toole, D., Radford, J., </w:t>
      </w:r>
      <w:proofErr w:type="spellStart"/>
      <w:r>
        <w:rPr>
          <w:rFonts w:ascii="Times New Roman" w:eastAsia="Times New Roman" w:hAnsi="Times New Roman" w:cs="Times New Roman"/>
          <w:color w:val="212121"/>
          <w:sz w:val="24"/>
          <w:szCs w:val="24"/>
        </w:rPr>
        <w:t>Mardis</w:t>
      </w:r>
      <w:proofErr w:type="spellEnd"/>
      <w:r>
        <w:rPr>
          <w:rFonts w:ascii="Times New Roman" w:eastAsia="Times New Roman" w:hAnsi="Times New Roman" w:cs="Times New Roman"/>
          <w:color w:val="212121"/>
          <w:sz w:val="24"/>
          <w:szCs w:val="24"/>
        </w:rPr>
        <w:t xml:space="preserve">, N., Johnson, T. N., Leeder, J. S., &amp; </w:t>
      </w:r>
      <w:proofErr w:type="spellStart"/>
      <w:r>
        <w:rPr>
          <w:rFonts w:ascii="Times New Roman" w:eastAsia="Times New Roman" w:hAnsi="Times New Roman" w:cs="Times New Roman"/>
          <w:color w:val="212121"/>
          <w:sz w:val="24"/>
          <w:szCs w:val="24"/>
        </w:rPr>
        <w:t>Shakhnovich</w:t>
      </w:r>
      <w:proofErr w:type="spellEnd"/>
      <w:r>
        <w:rPr>
          <w:rFonts w:ascii="Times New Roman" w:eastAsia="Times New Roman" w:hAnsi="Times New Roman" w:cs="Times New Roman"/>
          <w:color w:val="212121"/>
          <w:sz w:val="24"/>
          <w:szCs w:val="24"/>
        </w:rPr>
        <w:t xml:space="preserve">, V. (2021). </w:t>
      </w:r>
      <w:proofErr w:type="gramStart"/>
      <w:r>
        <w:rPr>
          <w:rFonts w:ascii="Times New Roman" w:eastAsia="Times New Roman" w:hAnsi="Times New Roman" w:cs="Times New Roman"/>
          <w:color w:val="212121"/>
          <w:sz w:val="24"/>
          <w:szCs w:val="24"/>
        </w:rPr>
        <w:t>Are</w:t>
      </w:r>
      <w:proofErr w:type="gramEnd"/>
      <w:r>
        <w:rPr>
          <w:rFonts w:ascii="Times New Roman" w:eastAsia="Times New Roman" w:hAnsi="Times New Roman" w:cs="Times New Roman"/>
          <w:color w:val="212121"/>
          <w:sz w:val="24"/>
          <w:szCs w:val="24"/>
        </w:rPr>
        <w:t xml:space="preserve"> body surface area based estimates of liver volume applicable to children with overweight or obesity? An in vivo validation </w:t>
      </w:r>
      <w:proofErr w:type="gramStart"/>
      <w:r>
        <w:rPr>
          <w:rFonts w:ascii="Times New Roman" w:eastAsia="Times New Roman" w:hAnsi="Times New Roman" w:cs="Times New Roman"/>
          <w:color w:val="212121"/>
          <w:sz w:val="24"/>
          <w:szCs w:val="24"/>
        </w:rPr>
        <w:t>study</w:t>
      </w:r>
      <w:proofErr w:type="gramEnd"/>
      <w:r>
        <w:rPr>
          <w:rFonts w:ascii="Times New Roman" w:eastAsia="Times New Roman" w:hAnsi="Times New Roman" w:cs="Times New Roman"/>
          <w:color w:val="212121"/>
          <w:sz w:val="24"/>
          <w:szCs w:val="24"/>
        </w:rPr>
        <w:t xml:space="preserve">. </w:t>
      </w:r>
      <w:r>
        <w:rPr>
          <w:rFonts w:ascii="Times New Roman" w:eastAsia="Times New Roman" w:hAnsi="Times New Roman" w:cs="Times New Roman"/>
          <w:i/>
          <w:color w:val="212121"/>
          <w:sz w:val="24"/>
          <w:szCs w:val="24"/>
        </w:rPr>
        <w:t>Clinical and translational science, 14(5)</w:t>
      </w:r>
      <w:r>
        <w:rPr>
          <w:rFonts w:ascii="Times New Roman" w:eastAsia="Times New Roman" w:hAnsi="Times New Roman" w:cs="Times New Roman"/>
          <w:color w:val="212121"/>
          <w:sz w:val="24"/>
          <w:szCs w:val="24"/>
        </w:rPr>
        <w:t>, 2008–2016. https://doi.org/10.1111/cts.13059</w:t>
      </w:r>
    </w:p>
    <w:p w14:paraId="3293C3A9"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rPr>
      </w:pPr>
      <w:r>
        <w:rPr>
          <w:rFonts w:ascii="Times New Roman" w:eastAsia="Times New Roman" w:hAnsi="Times New Roman" w:cs="Times New Roman"/>
          <w:color w:val="333333"/>
          <w:sz w:val="24"/>
          <w:szCs w:val="24"/>
          <w:highlight w:val="white"/>
        </w:rPr>
        <w:t xml:space="preserve">Wang, H., Quintana, F. G., Cervantes, F. J., &amp; </w:t>
      </w:r>
      <w:proofErr w:type="spellStart"/>
      <w:r>
        <w:rPr>
          <w:rFonts w:ascii="Times New Roman" w:eastAsia="Times New Roman" w:hAnsi="Times New Roman" w:cs="Times New Roman"/>
          <w:color w:val="333333"/>
          <w:sz w:val="24"/>
          <w:szCs w:val="24"/>
          <w:highlight w:val="white"/>
        </w:rPr>
        <w:t>Faz</w:t>
      </w:r>
      <w:proofErr w:type="spellEnd"/>
      <w:r>
        <w:rPr>
          <w:rFonts w:ascii="Times New Roman" w:eastAsia="Times New Roman" w:hAnsi="Times New Roman" w:cs="Times New Roman"/>
          <w:color w:val="333333"/>
          <w:sz w:val="24"/>
          <w:szCs w:val="24"/>
          <w:highlight w:val="white"/>
        </w:rPr>
        <w:t xml:space="preserve">, M. (2019). Analysis of the Relationship among Kidney Volume, Obesity, and Blood Pressure in Mexican-American Children. </w:t>
      </w:r>
      <w:r>
        <w:rPr>
          <w:rFonts w:ascii="Times New Roman" w:eastAsia="Times New Roman" w:hAnsi="Times New Roman" w:cs="Times New Roman"/>
          <w:i/>
          <w:color w:val="333333"/>
          <w:sz w:val="24"/>
          <w:szCs w:val="24"/>
          <w:highlight w:val="white"/>
        </w:rPr>
        <w:t>Journal of Pediatric Nephrology</w:t>
      </w:r>
      <w:r>
        <w:rPr>
          <w:rFonts w:ascii="Times New Roman" w:eastAsia="Times New Roman" w:hAnsi="Times New Roman" w:cs="Times New Roman"/>
          <w:color w:val="333333"/>
          <w:sz w:val="24"/>
          <w:szCs w:val="24"/>
          <w:highlight w:val="white"/>
        </w:rPr>
        <w:t xml:space="preserve">, </w:t>
      </w:r>
      <w:r>
        <w:rPr>
          <w:rFonts w:ascii="Times New Roman" w:eastAsia="Times New Roman" w:hAnsi="Times New Roman" w:cs="Times New Roman"/>
          <w:i/>
          <w:color w:val="333333"/>
          <w:sz w:val="24"/>
          <w:szCs w:val="24"/>
          <w:highlight w:val="white"/>
        </w:rPr>
        <w:t>7</w:t>
      </w:r>
      <w:r>
        <w:rPr>
          <w:rFonts w:ascii="Times New Roman" w:eastAsia="Times New Roman" w:hAnsi="Times New Roman" w:cs="Times New Roman"/>
          <w:color w:val="333333"/>
          <w:sz w:val="24"/>
          <w:szCs w:val="24"/>
          <w:highlight w:val="white"/>
        </w:rPr>
        <w:t>(3), 1-7. https://doi.org/10.22037/jpn.v7i3.26495</w:t>
      </w:r>
    </w:p>
    <w:p w14:paraId="69C5EE81"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rPr>
      </w:pPr>
      <w:proofErr w:type="spellStart"/>
      <w:r>
        <w:rPr>
          <w:rFonts w:ascii="Times New Roman" w:eastAsia="Times New Roman" w:hAnsi="Times New Roman" w:cs="Times New Roman"/>
          <w:color w:val="212121"/>
          <w:sz w:val="24"/>
          <w:szCs w:val="24"/>
        </w:rPr>
        <w:lastRenderedPageBreak/>
        <w:t>Vasan</w:t>
      </w:r>
      <w:proofErr w:type="spellEnd"/>
      <w:r>
        <w:rPr>
          <w:rFonts w:ascii="Times New Roman" w:eastAsia="Times New Roman" w:hAnsi="Times New Roman" w:cs="Times New Roman"/>
          <w:color w:val="212121"/>
          <w:sz w:val="24"/>
          <w:szCs w:val="24"/>
        </w:rPr>
        <w:t xml:space="preserve"> R. S. (2003). Cardiac function and obesity. </w:t>
      </w:r>
      <w:r>
        <w:rPr>
          <w:rFonts w:ascii="Times New Roman" w:eastAsia="Times New Roman" w:hAnsi="Times New Roman" w:cs="Times New Roman"/>
          <w:i/>
          <w:color w:val="212121"/>
          <w:sz w:val="24"/>
          <w:szCs w:val="24"/>
        </w:rPr>
        <w:t>Heart (British Cardiac Society), 89(10)</w:t>
      </w:r>
      <w:r>
        <w:rPr>
          <w:rFonts w:ascii="Times New Roman" w:eastAsia="Times New Roman" w:hAnsi="Times New Roman" w:cs="Times New Roman"/>
          <w:color w:val="212121"/>
          <w:sz w:val="24"/>
          <w:szCs w:val="24"/>
        </w:rPr>
        <w:t>, 1127–1129. https://doi.org/10.1136/heart.89.10.1127</w:t>
      </w:r>
    </w:p>
    <w:p w14:paraId="695BA8F9"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rPr>
      </w:pPr>
      <w:proofErr w:type="spellStart"/>
      <w:r>
        <w:rPr>
          <w:rFonts w:ascii="Times New Roman" w:eastAsia="Times New Roman" w:hAnsi="Times New Roman" w:cs="Times New Roman"/>
          <w:color w:val="212121"/>
          <w:sz w:val="24"/>
          <w:szCs w:val="24"/>
          <w:highlight w:val="white"/>
        </w:rPr>
        <w:t>Mangner</w:t>
      </w:r>
      <w:proofErr w:type="spellEnd"/>
      <w:r>
        <w:rPr>
          <w:rFonts w:ascii="Times New Roman" w:eastAsia="Times New Roman" w:hAnsi="Times New Roman" w:cs="Times New Roman"/>
          <w:color w:val="212121"/>
          <w:sz w:val="24"/>
          <w:szCs w:val="24"/>
          <w:highlight w:val="white"/>
        </w:rPr>
        <w:t xml:space="preserve">, N., Scheuermann, K., </w:t>
      </w:r>
      <w:proofErr w:type="spellStart"/>
      <w:r>
        <w:rPr>
          <w:rFonts w:ascii="Times New Roman" w:eastAsia="Times New Roman" w:hAnsi="Times New Roman" w:cs="Times New Roman"/>
          <w:color w:val="212121"/>
          <w:sz w:val="24"/>
          <w:szCs w:val="24"/>
          <w:highlight w:val="white"/>
        </w:rPr>
        <w:t>Winzer</w:t>
      </w:r>
      <w:proofErr w:type="spellEnd"/>
      <w:r>
        <w:rPr>
          <w:rFonts w:ascii="Times New Roman" w:eastAsia="Times New Roman" w:hAnsi="Times New Roman" w:cs="Times New Roman"/>
          <w:color w:val="212121"/>
          <w:sz w:val="24"/>
          <w:szCs w:val="24"/>
          <w:highlight w:val="white"/>
        </w:rPr>
        <w:t xml:space="preserve">, E., Wagner, I., </w:t>
      </w:r>
      <w:proofErr w:type="spellStart"/>
      <w:r>
        <w:rPr>
          <w:rFonts w:ascii="Times New Roman" w:eastAsia="Times New Roman" w:hAnsi="Times New Roman" w:cs="Times New Roman"/>
          <w:color w:val="212121"/>
          <w:sz w:val="24"/>
          <w:szCs w:val="24"/>
          <w:highlight w:val="white"/>
        </w:rPr>
        <w:t>Hoellriegel</w:t>
      </w:r>
      <w:proofErr w:type="spellEnd"/>
      <w:r>
        <w:rPr>
          <w:rFonts w:ascii="Times New Roman" w:eastAsia="Times New Roman" w:hAnsi="Times New Roman" w:cs="Times New Roman"/>
          <w:color w:val="212121"/>
          <w:sz w:val="24"/>
          <w:szCs w:val="24"/>
          <w:highlight w:val="white"/>
        </w:rPr>
        <w:t xml:space="preserve">, R., Sandri, M., Zimmer, M., Mende, M., </w:t>
      </w:r>
      <w:proofErr w:type="spellStart"/>
      <w:r>
        <w:rPr>
          <w:rFonts w:ascii="Times New Roman" w:eastAsia="Times New Roman" w:hAnsi="Times New Roman" w:cs="Times New Roman"/>
          <w:color w:val="212121"/>
          <w:sz w:val="24"/>
          <w:szCs w:val="24"/>
          <w:highlight w:val="white"/>
        </w:rPr>
        <w:t>Linke</w:t>
      </w:r>
      <w:proofErr w:type="spellEnd"/>
      <w:r>
        <w:rPr>
          <w:rFonts w:ascii="Times New Roman" w:eastAsia="Times New Roman" w:hAnsi="Times New Roman" w:cs="Times New Roman"/>
          <w:color w:val="212121"/>
          <w:sz w:val="24"/>
          <w:szCs w:val="24"/>
          <w:highlight w:val="white"/>
        </w:rPr>
        <w:t xml:space="preserve">, A., </w:t>
      </w:r>
      <w:proofErr w:type="spellStart"/>
      <w:r>
        <w:rPr>
          <w:rFonts w:ascii="Times New Roman" w:eastAsia="Times New Roman" w:hAnsi="Times New Roman" w:cs="Times New Roman"/>
          <w:color w:val="212121"/>
          <w:sz w:val="24"/>
          <w:szCs w:val="24"/>
          <w:highlight w:val="white"/>
        </w:rPr>
        <w:t>Kiess</w:t>
      </w:r>
      <w:proofErr w:type="spellEnd"/>
      <w:r>
        <w:rPr>
          <w:rFonts w:ascii="Times New Roman" w:eastAsia="Times New Roman" w:hAnsi="Times New Roman" w:cs="Times New Roman"/>
          <w:color w:val="212121"/>
          <w:sz w:val="24"/>
          <w:szCs w:val="24"/>
          <w:highlight w:val="white"/>
        </w:rPr>
        <w:t xml:space="preserve">, W., Schuler, G., </w:t>
      </w:r>
      <w:proofErr w:type="spellStart"/>
      <w:r>
        <w:rPr>
          <w:rFonts w:ascii="Times New Roman" w:eastAsia="Times New Roman" w:hAnsi="Times New Roman" w:cs="Times New Roman"/>
          <w:color w:val="212121"/>
          <w:sz w:val="24"/>
          <w:szCs w:val="24"/>
          <w:highlight w:val="white"/>
        </w:rPr>
        <w:t>Körner</w:t>
      </w:r>
      <w:proofErr w:type="spellEnd"/>
      <w:r>
        <w:rPr>
          <w:rFonts w:ascii="Times New Roman" w:eastAsia="Times New Roman" w:hAnsi="Times New Roman" w:cs="Times New Roman"/>
          <w:color w:val="212121"/>
          <w:sz w:val="24"/>
          <w:szCs w:val="24"/>
          <w:highlight w:val="white"/>
        </w:rPr>
        <w:t xml:space="preserve">, A., &amp; </w:t>
      </w:r>
      <w:proofErr w:type="spellStart"/>
      <w:r>
        <w:rPr>
          <w:rFonts w:ascii="Times New Roman" w:eastAsia="Times New Roman" w:hAnsi="Times New Roman" w:cs="Times New Roman"/>
          <w:color w:val="212121"/>
          <w:sz w:val="24"/>
          <w:szCs w:val="24"/>
          <w:highlight w:val="white"/>
        </w:rPr>
        <w:t>Erbs</w:t>
      </w:r>
      <w:proofErr w:type="spellEnd"/>
      <w:r>
        <w:rPr>
          <w:rFonts w:ascii="Times New Roman" w:eastAsia="Times New Roman" w:hAnsi="Times New Roman" w:cs="Times New Roman"/>
          <w:color w:val="212121"/>
          <w:sz w:val="24"/>
          <w:szCs w:val="24"/>
          <w:highlight w:val="white"/>
        </w:rPr>
        <w:t xml:space="preserve">, S. (2014). Childhood obesity: impact on cardiac geometry and function. </w:t>
      </w:r>
      <w:r>
        <w:rPr>
          <w:rFonts w:ascii="Times New Roman" w:eastAsia="Times New Roman" w:hAnsi="Times New Roman" w:cs="Times New Roman"/>
          <w:i/>
          <w:color w:val="212121"/>
          <w:sz w:val="24"/>
          <w:szCs w:val="24"/>
          <w:highlight w:val="white"/>
        </w:rPr>
        <w:t>JACC. Cardiovascular imaging</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7</w:t>
      </w:r>
      <w:r>
        <w:rPr>
          <w:rFonts w:ascii="Times New Roman" w:eastAsia="Times New Roman" w:hAnsi="Times New Roman" w:cs="Times New Roman"/>
          <w:color w:val="212121"/>
          <w:sz w:val="24"/>
          <w:szCs w:val="24"/>
          <w:highlight w:val="white"/>
        </w:rPr>
        <w:t>(12), 1198–1205. https://doi.org/10.1016/j.jcmg.2014.08.006</w:t>
      </w:r>
    </w:p>
    <w:p w14:paraId="7C6E37B0"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Castro, J. M., García-Espinosa, V., Curcio, S., Arana, M., Chiesa, P., </w:t>
      </w:r>
      <w:proofErr w:type="spellStart"/>
      <w:r>
        <w:rPr>
          <w:rFonts w:ascii="Times New Roman" w:eastAsia="Times New Roman" w:hAnsi="Times New Roman" w:cs="Times New Roman"/>
          <w:color w:val="212121"/>
          <w:sz w:val="24"/>
          <w:szCs w:val="24"/>
          <w:highlight w:val="white"/>
        </w:rPr>
        <w:t>Giachetto</w:t>
      </w:r>
      <w:proofErr w:type="spellEnd"/>
      <w:r>
        <w:rPr>
          <w:rFonts w:ascii="Times New Roman" w:eastAsia="Times New Roman" w:hAnsi="Times New Roman" w:cs="Times New Roman"/>
          <w:color w:val="212121"/>
          <w:sz w:val="24"/>
          <w:szCs w:val="24"/>
          <w:highlight w:val="white"/>
        </w:rPr>
        <w:t xml:space="preserve">, G., </w:t>
      </w:r>
      <w:proofErr w:type="spellStart"/>
      <w:r>
        <w:rPr>
          <w:rFonts w:ascii="Times New Roman" w:eastAsia="Times New Roman" w:hAnsi="Times New Roman" w:cs="Times New Roman"/>
          <w:color w:val="212121"/>
          <w:sz w:val="24"/>
          <w:szCs w:val="24"/>
          <w:highlight w:val="white"/>
        </w:rPr>
        <w:t>Zócalo</w:t>
      </w:r>
      <w:proofErr w:type="spellEnd"/>
      <w:r>
        <w:rPr>
          <w:rFonts w:ascii="Times New Roman" w:eastAsia="Times New Roman" w:hAnsi="Times New Roman" w:cs="Times New Roman"/>
          <w:color w:val="212121"/>
          <w:sz w:val="24"/>
          <w:szCs w:val="24"/>
          <w:highlight w:val="white"/>
        </w:rPr>
        <w:t xml:space="preserve">, Y., &amp; Bia, D. (2016). Childhood Obesity Associates </w:t>
      </w:r>
      <w:proofErr w:type="spellStart"/>
      <w:r>
        <w:rPr>
          <w:rFonts w:ascii="Times New Roman" w:eastAsia="Times New Roman" w:hAnsi="Times New Roman" w:cs="Times New Roman"/>
          <w:color w:val="212121"/>
          <w:sz w:val="24"/>
          <w:szCs w:val="24"/>
          <w:highlight w:val="white"/>
        </w:rPr>
        <w:t>Haemodynamic</w:t>
      </w:r>
      <w:proofErr w:type="spellEnd"/>
      <w:r>
        <w:rPr>
          <w:rFonts w:ascii="Times New Roman" w:eastAsia="Times New Roman" w:hAnsi="Times New Roman" w:cs="Times New Roman"/>
          <w:color w:val="212121"/>
          <w:sz w:val="24"/>
          <w:szCs w:val="24"/>
          <w:highlight w:val="white"/>
        </w:rPr>
        <w:t xml:space="preserve"> and Vascular Changes That Result in Increased Central Aortic Pressure with Augmented Incident and Reflected Wave Components, without Changes in Peripheral Amplification. </w:t>
      </w:r>
      <w:r>
        <w:rPr>
          <w:rFonts w:ascii="Times New Roman" w:eastAsia="Times New Roman" w:hAnsi="Times New Roman" w:cs="Times New Roman"/>
          <w:i/>
          <w:color w:val="212121"/>
          <w:sz w:val="24"/>
          <w:szCs w:val="24"/>
          <w:highlight w:val="white"/>
        </w:rPr>
        <w:t>International journal of vascular medicine</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2016</w:t>
      </w:r>
      <w:r>
        <w:rPr>
          <w:rFonts w:ascii="Times New Roman" w:eastAsia="Times New Roman" w:hAnsi="Times New Roman" w:cs="Times New Roman"/>
          <w:color w:val="212121"/>
          <w:sz w:val="24"/>
          <w:szCs w:val="24"/>
          <w:highlight w:val="white"/>
        </w:rPr>
        <w:t>, 3129304. https://doi.org/10.1155/2016/3129304</w:t>
      </w:r>
    </w:p>
    <w:p w14:paraId="2B5B55F9"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Wójtowicz</w:t>
      </w:r>
      <w:proofErr w:type="spellEnd"/>
      <w:r>
        <w:rPr>
          <w:rFonts w:ascii="Times New Roman" w:eastAsia="Times New Roman" w:hAnsi="Times New Roman" w:cs="Times New Roman"/>
          <w:color w:val="212121"/>
          <w:sz w:val="24"/>
          <w:szCs w:val="24"/>
          <w:highlight w:val="white"/>
        </w:rPr>
        <w:t xml:space="preserve">, J., </w:t>
      </w:r>
      <w:proofErr w:type="spellStart"/>
      <w:r>
        <w:rPr>
          <w:rFonts w:ascii="Times New Roman" w:eastAsia="Times New Roman" w:hAnsi="Times New Roman" w:cs="Times New Roman"/>
          <w:color w:val="212121"/>
          <w:sz w:val="24"/>
          <w:szCs w:val="24"/>
          <w:highlight w:val="white"/>
        </w:rPr>
        <w:t>Łempicka</w:t>
      </w:r>
      <w:proofErr w:type="spellEnd"/>
      <w:r>
        <w:rPr>
          <w:rFonts w:ascii="Times New Roman" w:eastAsia="Times New Roman" w:hAnsi="Times New Roman" w:cs="Times New Roman"/>
          <w:color w:val="212121"/>
          <w:sz w:val="24"/>
          <w:szCs w:val="24"/>
          <w:highlight w:val="white"/>
        </w:rPr>
        <w:t xml:space="preserve">, A., </w:t>
      </w:r>
      <w:proofErr w:type="spellStart"/>
      <w:r>
        <w:rPr>
          <w:rFonts w:ascii="Times New Roman" w:eastAsia="Times New Roman" w:hAnsi="Times New Roman" w:cs="Times New Roman"/>
          <w:color w:val="212121"/>
          <w:sz w:val="24"/>
          <w:szCs w:val="24"/>
          <w:highlight w:val="white"/>
        </w:rPr>
        <w:t>Łuczyński</w:t>
      </w:r>
      <w:proofErr w:type="spellEnd"/>
      <w:r>
        <w:rPr>
          <w:rFonts w:ascii="Times New Roman" w:eastAsia="Times New Roman" w:hAnsi="Times New Roman" w:cs="Times New Roman"/>
          <w:color w:val="212121"/>
          <w:sz w:val="24"/>
          <w:szCs w:val="24"/>
          <w:highlight w:val="white"/>
        </w:rPr>
        <w:t xml:space="preserve">, W., </w:t>
      </w:r>
      <w:proofErr w:type="spellStart"/>
      <w:r>
        <w:rPr>
          <w:rFonts w:ascii="Times New Roman" w:eastAsia="Times New Roman" w:hAnsi="Times New Roman" w:cs="Times New Roman"/>
          <w:color w:val="212121"/>
          <w:sz w:val="24"/>
          <w:szCs w:val="24"/>
          <w:highlight w:val="white"/>
        </w:rPr>
        <w:t>Szczepański</w:t>
      </w:r>
      <w:proofErr w:type="spellEnd"/>
      <w:r>
        <w:rPr>
          <w:rFonts w:ascii="Times New Roman" w:eastAsia="Times New Roman" w:hAnsi="Times New Roman" w:cs="Times New Roman"/>
          <w:color w:val="212121"/>
          <w:sz w:val="24"/>
          <w:szCs w:val="24"/>
          <w:highlight w:val="white"/>
        </w:rPr>
        <w:t xml:space="preserve">, W., </w:t>
      </w:r>
      <w:proofErr w:type="spellStart"/>
      <w:r>
        <w:rPr>
          <w:rFonts w:ascii="Times New Roman" w:eastAsia="Times New Roman" w:hAnsi="Times New Roman" w:cs="Times New Roman"/>
          <w:color w:val="212121"/>
          <w:sz w:val="24"/>
          <w:szCs w:val="24"/>
          <w:highlight w:val="white"/>
        </w:rPr>
        <w:t>Zomerfeld</w:t>
      </w:r>
      <w:proofErr w:type="spellEnd"/>
      <w:r>
        <w:rPr>
          <w:rFonts w:ascii="Times New Roman" w:eastAsia="Times New Roman" w:hAnsi="Times New Roman" w:cs="Times New Roman"/>
          <w:color w:val="212121"/>
          <w:sz w:val="24"/>
          <w:szCs w:val="24"/>
          <w:highlight w:val="white"/>
        </w:rPr>
        <w:t xml:space="preserve">, A., </w:t>
      </w:r>
      <w:proofErr w:type="spellStart"/>
      <w:r>
        <w:rPr>
          <w:rFonts w:ascii="Times New Roman" w:eastAsia="Times New Roman" w:hAnsi="Times New Roman" w:cs="Times New Roman"/>
          <w:color w:val="212121"/>
          <w:sz w:val="24"/>
          <w:szCs w:val="24"/>
          <w:highlight w:val="white"/>
        </w:rPr>
        <w:t>Semeran</w:t>
      </w:r>
      <w:proofErr w:type="spellEnd"/>
      <w:r>
        <w:rPr>
          <w:rFonts w:ascii="Times New Roman" w:eastAsia="Times New Roman" w:hAnsi="Times New Roman" w:cs="Times New Roman"/>
          <w:color w:val="212121"/>
          <w:sz w:val="24"/>
          <w:szCs w:val="24"/>
          <w:highlight w:val="white"/>
        </w:rPr>
        <w:t xml:space="preserve">, K., &amp; </w:t>
      </w:r>
      <w:proofErr w:type="spellStart"/>
      <w:r>
        <w:rPr>
          <w:rFonts w:ascii="Times New Roman" w:eastAsia="Times New Roman" w:hAnsi="Times New Roman" w:cs="Times New Roman"/>
          <w:color w:val="212121"/>
          <w:sz w:val="24"/>
          <w:szCs w:val="24"/>
          <w:highlight w:val="white"/>
        </w:rPr>
        <w:t>Bossowski</w:t>
      </w:r>
      <w:proofErr w:type="spellEnd"/>
      <w:r>
        <w:rPr>
          <w:rFonts w:ascii="Times New Roman" w:eastAsia="Times New Roman" w:hAnsi="Times New Roman" w:cs="Times New Roman"/>
          <w:color w:val="212121"/>
          <w:sz w:val="24"/>
          <w:szCs w:val="24"/>
          <w:highlight w:val="white"/>
        </w:rPr>
        <w:t xml:space="preserve">, A. (2017). Central aortic pressure, arterial stiffness and echocardiographic parameters of children with overweight/obesity and arterial hypertension. </w:t>
      </w:r>
      <w:r>
        <w:rPr>
          <w:rFonts w:ascii="Times New Roman" w:eastAsia="Times New Roman" w:hAnsi="Times New Roman" w:cs="Times New Roman"/>
          <w:i/>
          <w:color w:val="212121"/>
          <w:sz w:val="24"/>
          <w:szCs w:val="24"/>
          <w:highlight w:val="white"/>
        </w:rPr>
        <w:t xml:space="preserve">Advances in clinical and experimental </w:t>
      </w:r>
      <w:proofErr w:type="gramStart"/>
      <w:r>
        <w:rPr>
          <w:rFonts w:ascii="Times New Roman" w:eastAsia="Times New Roman" w:hAnsi="Times New Roman" w:cs="Times New Roman"/>
          <w:i/>
          <w:color w:val="212121"/>
          <w:sz w:val="24"/>
          <w:szCs w:val="24"/>
          <w:highlight w:val="white"/>
        </w:rPr>
        <w:t>medicine :</w:t>
      </w:r>
      <w:proofErr w:type="gramEnd"/>
      <w:r>
        <w:rPr>
          <w:rFonts w:ascii="Times New Roman" w:eastAsia="Times New Roman" w:hAnsi="Times New Roman" w:cs="Times New Roman"/>
          <w:i/>
          <w:color w:val="212121"/>
          <w:sz w:val="24"/>
          <w:szCs w:val="24"/>
          <w:highlight w:val="white"/>
        </w:rPr>
        <w:t xml:space="preserve"> official organ Wroclaw Medical University</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26</w:t>
      </w:r>
      <w:r>
        <w:rPr>
          <w:rFonts w:ascii="Times New Roman" w:eastAsia="Times New Roman" w:hAnsi="Times New Roman" w:cs="Times New Roman"/>
          <w:color w:val="212121"/>
          <w:sz w:val="24"/>
          <w:szCs w:val="24"/>
          <w:highlight w:val="white"/>
        </w:rPr>
        <w:t>(9), 1399–1404. https://doi.org/10.17219/acem/65485</w:t>
      </w:r>
    </w:p>
    <w:p w14:paraId="69FDEED2"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Özkan</w:t>
      </w:r>
      <w:proofErr w:type="spellEnd"/>
      <w:r>
        <w:rPr>
          <w:rFonts w:ascii="Times New Roman" w:eastAsia="Times New Roman" w:hAnsi="Times New Roman" w:cs="Times New Roman"/>
          <w:color w:val="212121"/>
          <w:sz w:val="24"/>
          <w:szCs w:val="24"/>
          <w:highlight w:val="white"/>
        </w:rPr>
        <w:t xml:space="preserve">, E. A., </w:t>
      </w:r>
      <w:proofErr w:type="spellStart"/>
      <w:r>
        <w:rPr>
          <w:rFonts w:ascii="Times New Roman" w:eastAsia="Times New Roman" w:hAnsi="Times New Roman" w:cs="Times New Roman"/>
          <w:color w:val="212121"/>
          <w:sz w:val="24"/>
          <w:szCs w:val="24"/>
          <w:highlight w:val="white"/>
        </w:rPr>
        <w:t>Khosroshahi</w:t>
      </w:r>
      <w:proofErr w:type="spellEnd"/>
      <w:r>
        <w:rPr>
          <w:rFonts w:ascii="Times New Roman" w:eastAsia="Times New Roman" w:hAnsi="Times New Roman" w:cs="Times New Roman"/>
          <w:color w:val="212121"/>
          <w:sz w:val="24"/>
          <w:szCs w:val="24"/>
          <w:highlight w:val="white"/>
        </w:rPr>
        <w:t xml:space="preserve">, H. E., </w:t>
      </w:r>
      <w:proofErr w:type="spellStart"/>
      <w:r>
        <w:rPr>
          <w:rFonts w:ascii="Times New Roman" w:eastAsia="Times New Roman" w:hAnsi="Times New Roman" w:cs="Times New Roman"/>
          <w:color w:val="212121"/>
          <w:sz w:val="24"/>
          <w:szCs w:val="24"/>
          <w:highlight w:val="white"/>
        </w:rPr>
        <w:t>Kılıç</w:t>
      </w:r>
      <w:proofErr w:type="spellEnd"/>
      <w:r>
        <w:rPr>
          <w:rFonts w:ascii="Times New Roman" w:eastAsia="Times New Roman" w:hAnsi="Times New Roman" w:cs="Times New Roman"/>
          <w:color w:val="212121"/>
          <w:sz w:val="24"/>
          <w:szCs w:val="24"/>
          <w:highlight w:val="white"/>
        </w:rPr>
        <w:t xml:space="preserve">, M., </w:t>
      </w:r>
      <w:proofErr w:type="spellStart"/>
      <w:r>
        <w:rPr>
          <w:rFonts w:ascii="Times New Roman" w:eastAsia="Times New Roman" w:hAnsi="Times New Roman" w:cs="Times New Roman"/>
          <w:color w:val="212121"/>
          <w:sz w:val="24"/>
          <w:szCs w:val="24"/>
          <w:highlight w:val="white"/>
        </w:rPr>
        <w:t>Geçit</w:t>
      </w:r>
      <w:proofErr w:type="spellEnd"/>
      <w:r>
        <w:rPr>
          <w:rFonts w:ascii="Times New Roman" w:eastAsia="Times New Roman" w:hAnsi="Times New Roman" w:cs="Times New Roman"/>
          <w:color w:val="212121"/>
          <w:sz w:val="24"/>
          <w:szCs w:val="24"/>
          <w:highlight w:val="white"/>
        </w:rPr>
        <w:t xml:space="preserve">, U. A., &amp; </w:t>
      </w:r>
      <w:proofErr w:type="spellStart"/>
      <w:r>
        <w:rPr>
          <w:rFonts w:ascii="Times New Roman" w:eastAsia="Times New Roman" w:hAnsi="Times New Roman" w:cs="Times New Roman"/>
          <w:color w:val="212121"/>
          <w:sz w:val="24"/>
          <w:szCs w:val="24"/>
          <w:highlight w:val="white"/>
        </w:rPr>
        <w:t>Domur</w:t>
      </w:r>
      <w:proofErr w:type="spellEnd"/>
      <w:r>
        <w:rPr>
          <w:rFonts w:ascii="Times New Roman" w:eastAsia="Times New Roman" w:hAnsi="Times New Roman" w:cs="Times New Roman"/>
          <w:color w:val="212121"/>
          <w:sz w:val="24"/>
          <w:szCs w:val="24"/>
          <w:highlight w:val="white"/>
        </w:rPr>
        <w:t xml:space="preserve">, E. (2016). Obesity-related cardiovascular behavior in children. </w:t>
      </w:r>
      <w:r>
        <w:rPr>
          <w:rFonts w:ascii="Times New Roman" w:eastAsia="Times New Roman" w:hAnsi="Times New Roman" w:cs="Times New Roman"/>
          <w:i/>
          <w:color w:val="212121"/>
          <w:sz w:val="24"/>
          <w:szCs w:val="24"/>
          <w:highlight w:val="white"/>
        </w:rPr>
        <w:t>European review for medical and pharmacological sciences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20</w:t>
      </w:r>
      <w:r>
        <w:rPr>
          <w:rFonts w:ascii="Times New Roman" w:eastAsia="Times New Roman" w:hAnsi="Times New Roman" w:cs="Times New Roman"/>
          <w:color w:val="212121"/>
          <w:sz w:val="24"/>
          <w:szCs w:val="24"/>
          <w:highlight w:val="white"/>
        </w:rPr>
        <w:t>(8), 1559–1565.</w:t>
      </w:r>
    </w:p>
    <w:p w14:paraId="4DBFE56D"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Rauch, R., </w:t>
      </w:r>
      <w:proofErr w:type="spellStart"/>
      <w:r>
        <w:rPr>
          <w:rFonts w:ascii="Times New Roman" w:eastAsia="Times New Roman" w:hAnsi="Times New Roman" w:cs="Times New Roman"/>
          <w:color w:val="212121"/>
          <w:sz w:val="24"/>
          <w:szCs w:val="24"/>
          <w:highlight w:val="white"/>
        </w:rPr>
        <w:t>Welisch</w:t>
      </w:r>
      <w:proofErr w:type="spellEnd"/>
      <w:r>
        <w:rPr>
          <w:rFonts w:ascii="Times New Roman" w:eastAsia="Times New Roman" w:hAnsi="Times New Roman" w:cs="Times New Roman"/>
          <w:color w:val="212121"/>
          <w:sz w:val="24"/>
          <w:szCs w:val="24"/>
          <w:highlight w:val="white"/>
        </w:rPr>
        <w:t xml:space="preserve">, E., </w:t>
      </w:r>
      <w:proofErr w:type="spellStart"/>
      <w:r>
        <w:rPr>
          <w:rFonts w:ascii="Times New Roman" w:eastAsia="Times New Roman" w:hAnsi="Times New Roman" w:cs="Times New Roman"/>
          <w:color w:val="212121"/>
          <w:sz w:val="24"/>
          <w:szCs w:val="24"/>
          <w:highlight w:val="white"/>
        </w:rPr>
        <w:t>Lansdell</w:t>
      </w:r>
      <w:proofErr w:type="spellEnd"/>
      <w:r>
        <w:rPr>
          <w:rFonts w:ascii="Times New Roman" w:eastAsia="Times New Roman" w:hAnsi="Times New Roman" w:cs="Times New Roman"/>
          <w:color w:val="212121"/>
          <w:sz w:val="24"/>
          <w:szCs w:val="24"/>
          <w:highlight w:val="white"/>
        </w:rPr>
        <w:t xml:space="preserve">, N., Burrill, E., Jones, J., Robinson, T., Bock, D., </w:t>
      </w:r>
      <w:proofErr w:type="spellStart"/>
      <w:r>
        <w:rPr>
          <w:rFonts w:ascii="Times New Roman" w:eastAsia="Times New Roman" w:hAnsi="Times New Roman" w:cs="Times New Roman"/>
          <w:color w:val="212121"/>
          <w:sz w:val="24"/>
          <w:szCs w:val="24"/>
          <w:highlight w:val="white"/>
        </w:rPr>
        <w:t>Clarson</w:t>
      </w:r>
      <w:proofErr w:type="spellEnd"/>
      <w:r>
        <w:rPr>
          <w:rFonts w:ascii="Times New Roman" w:eastAsia="Times New Roman" w:hAnsi="Times New Roman" w:cs="Times New Roman"/>
          <w:color w:val="212121"/>
          <w:sz w:val="24"/>
          <w:szCs w:val="24"/>
          <w:highlight w:val="white"/>
        </w:rPr>
        <w:t xml:space="preserve">, C., Filler, G., &amp; </w:t>
      </w:r>
      <w:proofErr w:type="spellStart"/>
      <w:r>
        <w:rPr>
          <w:rFonts w:ascii="Times New Roman" w:eastAsia="Times New Roman" w:hAnsi="Times New Roman" w:cs="Times New Roman"/>
          <w:color w:val="212121"/>
          <w:sz w:val="24"/>
          <w:szCs w:val="24"/>
          <w:highlight w:val="white"/>
        </w:rPr>
        <w:t>Norozi</w:t>
      </w:r>
      <w:proofErr w:type="spellEnd"/>
      <w:r>
        <w:rPr>
          <w:rFonts w:ascii="Times New Roman" w:eastAsia="Times New Roman" w:hAnsi="Times New Roman" w:cs="Times New Roman"/>
          <w:color w:val="212121"/>
          <w:sz w:val="24"/>
          <w:szCs w:val="24"/>
          <w:highlight w:val="white"/>
        </w:rPr>
        <w:t xml:space="preserve">, K. (2013). Non-invasive measurement of cardiac output in obese children and adolescents: comparison of electrical cardiometry and transthoracic Doppler echocardiography. </w:t>
      </w:r>
      <w:r>
        <w:rPr>
          <w:rFonts w:ascii="Times New Roman" w:eastAsia="Times New Roman" w:hAnsi="Times New Roman" w:cs="Times New Roman"/>
          <w:i/>
          <w:color w:val="212121"/>
          <w:sz w:val="24"/>
          <w:szCs w:val="24"/>
          <w:highlight w:val="white"/>
        </w:rPr>
        <w:t>Journal of clinical monitoring and computing</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27</w:t>
      </w:r>
      <w:r>
        <w:rPr>
          <w:rFonts w:ascii="Times New Roman" w:eastAsia="Times New Roman" w:hAnsi="Times New Roman" w:cs="Times New Roman"/>
          <w:color w:val="212121"/>
          <w:sz w:val="24"/>
          <w:szCs w:val="24"/>
          <w:highlight w:val="white"/>
        </w:rPr>
        <w:t>(2), 187–193. https://doi.org/10.1007/s10877-012-9412-7</w:t>
      </w:r>
    </w:p>
    <w:p w14:paraId="55D15918"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Duzova</w:t>
      </w:r>
      <w:proofErr w:type="spellEnd"/>
      <w:r>
        <w:rPr>
          <w:rFonts w:ascii="Times New Roman" w:eastAsia="Times New Roman" w:hAnsi="Times New Roman" w:cs="Times New Roman"/>
          <w:color w:val="212121"/>
          <w:sz w:val="24"/>
          <w:szCs w:val="24"/>
          <w:highlight w:val="white"/>
        </w:rPr>
        <w:t xml:space="preserve">, A., </w:t>
      </w:r>
      <w:proofErr w:type="spellStart"/>
      <w:r>
        <w:rPr>
          <w:rFonts w:ascii="Times New Roman" w:eastAsia="Times New Roman" w:hAnsi="Times New Roman" w:cs="Times New Roman"/>
          <w:color w:val="212121"/>
          <w:sz w:val="24"/>
          <w:szCs w:val="24"/>
          <w:highlight w:val="white"/>
        </w:rPr>
        <w:t>Yalçinkaya</w:t>
      </w:r>
      <w:proofErr w:type="spellEnd"/>
      <w:r>
        <w:rPr>
          <w:rFonts w:ascii="Times New Roman" w:eastAsia="Times New Roman" w:hAnsi="Times New Roman" w:cs="Times New Roman"/>
          <w:color w:val="212121"/>
          <w:sz w:val="24"/>
          <w:szCs w:val="24"/>
          <w:highlight w:val="white"/>
        </w:rPr>
        <w:t xml:space="preserve">, F., Baskin, E., </w:t>
      </w:r>
      <w:proofErr w:type="spellStart"/>
      <w:r>
        <w:rPr>
          <w:rFonts w:ascii="Times New Roman" w:eastAsia="Times New Roman" w:hAnsi="Times New Roman" w:cs="Times New Roman"/>
          <w:color w:val="212121"/>
          <w:sz w:val="24"/>
          <w:szCs w:val="24"/>
          <w:highlight w:val="white"/>
        </w:rPr>
        <w:t>Bakkaloglu</w:t>
      </w:r>
      <w:proofErr w:type="spellEnd"/>
      <w:r>
        <w:rPr>
          <w:rFonts w:ascii="Times New Roman" w:eastAsia="Times New Roman" w:hAnsi="Times New Roman" w:cs="Times New Roman"/>
          <w:color w:val="212121"/>
          <w:sz w:val="24"/>
          <w:szCs w:val="24"/>
          <w:highlight w:val="white"/>
        </w:rPr>
        <w:t xml:space="preserve">, A., &amp; </w:t>
      </w:r>
      <w:proofErr w:type="spellStart"/>
      <w:r>
        <w:rPr>
          <w:rFonts w:ascii="Times New Roman" w:eastAsia="Times New Roman" w:hAnsi="Times New Roman" w:cs="Times New Roman"/>
          <w:color w:val="212121"/>
          <w:sz w:val="24"/>
          <w:szCs w:val="24"/>
          <w:highlight w:val="white"/>
        </w:rPr>
        <w:t>Soylemezoglu</w:t>
      </w:r>
      <w:proofErr w:type="spellEnd"/>
      <w:r>
        <w:rPr>
          <w:rFonts w:ascii="Times New Roman" w:eastAsia="Times New Roman" w:hAnsi="Times New Roman" w:cs="Times New Roman"/>
          <w:color w:val="212121"/>
          <w:sz w:val="24"/>
          <w:szCs w:val="24"/>
          <w:highlight w:val="white"/>
        </w:rPr>
        <w:t xml:space="preserve">, O. (2013). Prevalence of hypertension and decreased glomerular filtration rate in obese children: results of a population-based field study. </w:t>
      </w:r>
      <w:r>
        <w:rPr>
          <w:rFonts w:ascii="Times New Roman" w:eastAsia="Times New Roman" w:hAnsi="Times New Roman" w:cs="Times New Roman"/>
          <w:i/>
          <w:color w:val="212121"/>
          <w:sz w:val="24"/>
          <w:szCs w:val="24"/>
          <w:highlight w:val="white"/>
        </w:rPr>
        <w:t xml:space="preserve">Nephrology, dialysis, </w:t>
      </w:r>
      <w:proofErr w:type="gramStart"/>
      <w:r>
        <w:rPr>
          <w:rFonts w:ascii="Times New Roman" w:eastAsia="Times New Roman" w:hAnsi="Times New Roman" w:cs="Times New Roman"/>
          <w:i/>
          <w:color w:val="212121"/>
          <w:sz w:val="24"/>
          <w:szCs w:val="24"/>
          <w:highlight w:val="white"/>
        </w:rPr>
        <w:t>transplantation :</w:t>
      </w:r>
      <w:proofErr w:type="gramEnd"/>
      <w:r>
        <w:rPr>
          <w:rFonts w:ascii="Times New Roman" w:eastAsia="Times New Roman" w:hAnsi="Times New Roman" w:cs="Times New Roman"/>
          <w:i/>
          <w:color w:val="212121"/>
          <w:sz w:val="24"/>
          <w:szCs w:val="24"/>
          <w:highlight w:val="white"/>
        </w:rPr>
        <w:t xml:space="preserve"> </w:t>
      </w:r>
      <w:r>
        <w:rPr>
          <w:rFonts w:ascii="Times New Roman" w:eastAsia="Times New Roman" w:hAnsi="Times New Roman" w:cs="Times New Roman"/>
          <w:i/>
          <w:color w:val="212121"/>
          <w:sz w:val="24"/>
          <w:szCs w:val="24"/>
          <w:highlight w:val="white"/>
        </w:rPr>
        <w:lastRenderedPageBreak/>
        <w:t>official publication of the European Dialysis and Transplant Association - European Renal Association</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28 Suppl 4</w:t>
      </w:r>
      <w:r>
        <w:rPr>
          <w:rFonts w:ascii="Times New Roman" w:eastAsia="Times New Roman" w:hAnsi="Times New Roman" w:cs="Times New Roman"/>
          <w:color w:val="212121"/>
          <w:sz w:val="24"/>
          <w:szCs w:val="24"/>
          <w:highlight w:val="white"/>
        </w:rPr>
        <w:t>, iv166–iv171. https://doi.org/10.1093/ndt/gft317</w:t>
      </w:r>
    </w:p>
    <w:p w14:paraId="5B53C708"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Di Bonito, P., </w:t>
      </w:r>
      <w:proofErr w:type="spellStart"/>
      <w:r>
        <w:rPr>
          <w:rFonts w:ascii="Times New Roman" w:eastAsia="Times New Roman" w:hAnsi="Times New Roman" w:cs="Times New Roman"/>
          <w:color w:val="212121"/>
          <w:sz w:val="24"/>
          <w:szCs w:val="24"/>
          <w:highlight w:val="white"/>
        </w:rPr>
        <w:t>Sanguigno</w:t>
      </w:r>
      <w:proofErr w:type="spellEnd"/>
      <w:r>
        <w:rPr>
          <w:rFonts w:ascii="Times New Roman" w:eastAsia="Times New Roman" w:hAnsi="Times New Roman" w:cs="Times New Roman"/>
          <w:color w:val="212121"/>
          <w:sz w:val="24"/>
          <w:szCs w:val="24"/>
          <w:highlight w:val="white"/>
        </w:rPr>
        <w:t xml:space="preserve">, E., </w:t>
      </w:r>
      <w:proofErr w:type="spellStart"/>
      <w:r>
        <w:rPr>
          <w:rFonts w:ascii="Times New Roman" w:eastAsia="Times New Roman" w:hAnsi="Times New Roman" w:cs="Times New Roman"/>
          <w:color w:val="212121"/>
          <w:sz w:val="24"/>
          <w:szCs w:val="24"/>
          <w:highlight w:val="white"/>
        </w:rPr>
        <w:t>Forziato</w:t>
      </w:r>
      <w:proofErr w:type="spellEnd"/>
      <w:r>
        <w:rPr>
          <w:rFonts w:ascii="Times New Roman" w:eastAsia="Times New Roman" w:hAnsi="Times New Roman" w:cs="Times New Roman"/>
          <w:color w:val="212121"/>
          <w:sz w:val="24"/>
          <w:szCs w:val="24"/>
          <w:highlight w:val="white"/>
        </w:rPr>
        <w:t xml:space="preserve">, C., Di </w:t>
      </w:r>
      <w:proofErr w:type="spellStart"/>
      <w:r>
        <w:rPr>
          <w:rFonts w:ascii="Times New Roman" w:eastAsia="Times New Roman" w:hAnsi="Times New Roman" w:cs="Times New Roman"/>
          <w:color w:val="212121"/>
          <w:sz w:val="24"/>
          <w:szCs w:val="24"/>
          <w:highlight w:val="white"/>
        </w:rPr>
        <w:t>Fraia</w:t>
      </w:r>
      <w:proofErr w:type="spellEnd"/>
      <w:r>
        <w:rPr>
          <w:rFonts w:ascii="Times New Roman" w:eastAsia="Times New Roman" w:hAnsi="Times New Roman" w:cs="Times New Roman"/>
          <w:color w:val="212121"/>
          <w:sz w:val="24"/>
          <w:szCs w:val="24"/>
          <w:highlight w:val="white"/>
        </w:rPr>
        <w:t xml:space="preserve">, T., </w:t>
      </w:r>
      <w:proofErr w:type="spellStart"/>
      <w:r>
        <w:rPr>
          <w:rFonts w:ascii="Times New Roman" w:eastAsia="Times New Roman" w:hAnsi="Times New Roman" w:cs="Times New Roman"/>
          <w:color w:val="212121"/>
          <w:sz w:val="24"/>
          <w:szCs w:val="24"/>
          <w:highlight w:val="white"/>
        </w:rPr>
        <w:t>Moio</w:t>
      </w:r>
      <w:proofErr w:type="spellEnd"/>
      <w:r>
        <w:rPr>
          <w:rFonts w:ascii="Times New Roman" w:eastAsia="Times New Roman" w:hAnsi="Times New Roman" w:cs="Times New Roman"/>
          <w:color w:val="212121"/>
          <w:sz w:val="24"/>
          <w:szCs w:val="24"/>
          <w:highlight w:val="white"/>
        </w:rPr>
        <w:t xml:space="preserve">, N., Cavuto, L., </w:t>
      </w:r>
      <w:proofErr w:type="spellStart"/>
      <w:r>
        <w:rPr>
          <w:rFonts w:ascii="Times New Roman" w:eastAsia="Times New Roman" w:hAnsi="Times New Roman" w:cs="Times New Roman"/>
          <w:color w:val="212121"/>
          <w:sz w:val="24"/>
          <w:szCs w:val="24"/>
          <w:highlight w:val="white"/>
        </w:rPr>
        <w:t>Sibilio</w:t>
      </w:r>
      <w:proofErr w:type="spellEnd"/>
      <w:r>
        <w:rPr>
          <w:rFonts w:ascii="Times New Roman" w:eastAsia="Times New Roman" w:hAnsi="Times New Roman" w:cs="Times New Roman"/>
          <w:color w:val="212121"/>
          <w:sz w:val="24"/>
          <w:szCs w:val="24"/>
          <w:highlight w:val="white"/>
        </w:rPr>
        <w:t xml:space="preserve">, G., </w:t>
      </w:r>
      <w:proofErr w:type="spellStart"/>
      <w:r>
        <w:rPr>
          <w:rFonts w:ascii="Times New Roman" w:eastAsia="Times New Roman" w:hAnsi="Times New Roman" w:cs="Times New Roman"/>
          <w:color w:val="212121"/>
          <w:sz w:val="24"/>
          <w:szCs w:val="24"/>
          <w:highlight w:val="white"/>
        </w:rPr>
        <w:t>Iardino</w:t>
      </w:r>
      <w:proofErr w:type="spellEnd"/>
      <w:r>
        <w:rPr>
          <w:rFonts w:ascii="Times New Roman" w:eastAsia="Times New Roman" w:hAnsi="Times New Roman" w:cs="Times New Roman"/>
          <w:color w:val="212121"/>
          <w:sz w:val="24"/>
          <w:szCs w:val="24"/>
          <w:highlight w:val="white"/>
        </w:rPr>
        <w:t xml:space="preserve">, M. R., Di </w:t>
      </w:r>
      <w:proofErr w:type="spellStart"/>
      <w:r>
        <w:rPr>
          <w:rFonts w:ascii="Times New Roman" w:eastAsia="Times New Roman" w:hAnsi="Times New Roman" w:cs="Times New Roman"/>
          <w:color w:val="212121"/>
          <w:sz w:val="24"/>
          <w:szCs w:val="24"/>
          <w:highlight w:val="white"/>
        </w:rPr>
        <w:t>Carluccio</w:t>
      </w:r>
      <w:proofErr w:type="spellEnd"/>
      <w:r>
        <w:rPr>
          <w:rFonts w:ascii="Times New Roman" w:eastAsia="Times New Roman" w:hAnsi="Times New Roman" w:cs="Times New Roman"/>
          <w:color w:val="212121"/>
          <w:sz w:val="24"/>
          <w:szCs w:val="24"/>
          <w:highlight w:val="white"/>
        </w:rPr>
        <w:t xml:space="preserve">, C., &amp; </w:t>
      </w:r>
      <w:proofErr w:type="spellStart"/>
      <w:r>
        <w:rPr>
          <w:rFonts w:ascii="Times New Roman" w:eastAsia="Times New Roman" w:hAnsi="Times New Roman" w:cs="Times New Roman"/>
          <w:color w:val="212121"/>
          <w:sz w:val="24"/>
          <w:szCs w:val="24"/>
          <w:highlight w:val="white"/>
        </w:rPr>
        <w:t>Capaldo</w:t>
      </w:r>
      <w:proofErr w:type="spellEnd"/>
      <w:r>
        <w:rPr>
          <w:rFonts w:ascii="Times New Roman" w:eastAsia="Times New Roman" w:hAnsi="Times New Roman" w:cs="Times New Roman"/>
          <w:color w:val="212121"/>
          <w:sz w:val="24"/>
          <w:szCs w:val="24"/>
          <w:highlight w:val="white"/>
        </w:rPr>
        <w:t xml:space="preserve">, B. (2014). Glomerular filtration rate and cardiometabolic risk in an outpatient pediatric population with high prevalence of obesity. </w:t>
      </w:r>
      <w:r>
        <w:rPr>
          <w:rFonts w:ascii="Times New Roman" w:eastAsia="Times New Roman" w:hAnsi="Times New Roman" w:cs="Times New Roman"/>
          <w:i/>
          <w:color w:val="212121"/>
          <w:sz w:val="24"/>
          <w:szCs w:val="24"/>
          <w:highlight w:val="white"/>
        </w:rPr>
        <w:t>Obesity (Silver Spring, Md.)</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22</w:t>
      </w:r>
      <w:r>
        <w:rPr>
          <w:rFonts w:ascii="Times New Roman" w:eastAsia="Times New Roman" w:hAnsi="Times New Roman" w:cs="Times New Roman"/>
          <w:color w:val="212121"/>
          <w:sz w:val="24"/>
          <w:szCs w:val="24"/>
          <w:highlight w:val="white"/>
        </w:rPr>
        <w:t>(2), 585–589. https://doi.org/10.1002/oby.20497</w:t>
      </w:r>
    </w:p>
    <w:p w14:paraId="38076B87"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Sawamura</w:t>
      </w:r>
      <w:proofErr w:type="spellEnd"/>
      <w:r>
        <w:rPr>
          <w:rFonts w:ascii="Times New Roman" w:eastAsia="Times New Roman" w:hAnsi="Times New Roman" w:cs="Times New Roman"/>
          <w:color w:val="212121"/>
          <w:sz w:val="24"/>
          <w:szCs w:val="24"/>
          <w:highlight w:val="white"/>
        </w:rPr>
        <w:t xml:space="preserve">, L. S., Souza, G. G., Santos, J. D. G. D., </w:t>
      </w:r>
      <w:proofErr w:type="spellStart"/>
      <w:r>
        <w:rPr>
          <w:rFonts w:ascii="Times New Roman" w:eastAsia="Times New Roman" w:hAnsi="Times New Roman" w:cs="Times New Roman"/>
          <w:color w:val="212121"/>
          <w:sz w:val="24"/>
          <w:szCs w:val="24"/>
          <w:highlight w:val="white"/>
        </w:rPr>
        <w:t>Suano</w:t>
      </w:r>
      <w:proofErr w:type="spellEnd"/>
      <w:r>
        <w:rPr>
          <w:rFonts w:ascii="Times New Roman" w:eastAsia="Times New Roman" w:hAnsi="Times New Roman" w:cs="Times New Roman"/>
          <w:color w:val="212121"/>
          <w:sz w:val="24"/>
          <w:szCs w:val="24"/>
          <w:highlight w:val="white"/>
        </w:rPr>
        <w:t xml:space="preserve">-Souza, F. I., </w:t>
      </w:r>
      <w:proofErr w:type="spellStart"/>
      <w:r>
        <w:rPr>
          <w:rFonts w:ascii="Times New Roman" w:eastAsia="Times New Roman" w:hAnsi="Times New Roman" w:cs="Times New Roman"/>
          <w:color w:val="212121"/>
          <w:sz w:val="24"/>
          <w:szCs w:val="24"/>
          <w:highlight w:val="white"/>
        </w:rPr>
        <w:t>Gessullo</w:t>
      </w:r>
      <w:proofErr w:type="spellEnd"/>
      <w:r>
        <w:rPr>
          <w:rFonts w:ascii="Times New Roman" w:eastAsia="Times New Roman" w:hAnsi="Times New Roman" w:cs="Times New Roman"/>
          <w:color w:val="212121"/>
          <w:sz w:val="24"/>
          <w:szCs w:val="24"/>
          <w:highlight w:val="white"/>
        </w:rPr>
        <w:t xml:space="preserve">, A. D. V., &amp; </w:t>
      </w:r>
      <w:proofErr w:type="spellStart"/>
      <w:r>
        <w:rPr>
          <w:rFonts w:ascii="Times New Roman" w:eastAsia="Times New Roman" w:hAnsi="Times New Roman" w:cs="Times New Roman"/>
          <w:color w:val="212121"/>
          <w:sz w:val="24"/>
          <w:szCs w:val="24"/>
          <w:highlight w:val="white"/>
        </w:rPr>
        <w:t>Sarni</w:t>
      </w:r>
      <w:proofErr w:type="spellEnd"/>
      <w:r>
        <w:rPr>
          <w:rFonts w:ascii="Times New Roman" w:eastAsia="Times New Roman" w:hAnsi="Times New Roman" w:cs="Times New Roman"/>
          <w:color w:val="212121"/>
          <w:sz w:val="24"/>
          <w:szCs w:val="24"/>
          <w:highlight w:val="white"/>
        </w:rPr>
        <w:t xml:space="preserve">, R. O. S. (2019). Albuminuria and glomerular filtration rate in obese children and adolescents. </w:t>
      </w:r>
      <w:proofErr w:type="spellStart"/>
      <w:r>
        <w:rPr>
          <w:rFonts w:ascii="Times New Roman" w:eastAsia="Times New Roman" w:hAnsi="Times New Roman" w:cs="Times New Roman"/>
          <w:i/>
          <w:color w:val="212121"/>
          <w:sz w:val="24"/>
          <w:szCs w:val="24"/>
          <w:highlight w:val="white"/>
        </w:rPr>
        <w:t>Jornal</w:t>
      </w:r>
      <w:proofErr w:type="spellEnd"/>
      <w:r>
        <w:rPr>
          <w:rFonts w:ascii="Times New Roman" w:eastAsia="Times New Roman" w:hAnsi="Times New Roman" w:cs="Times New Roman"/>
          <w:i/>
          <w:color w:val="212121"/>
          <w:sz w:val="24"/>
          <w:szCs w:val="24"/>
          <w:highlight w:val="white"/>
        </w:rPr>
        <w:t xml:space="preserve"> </w:t>
      </w:r>
      <w:proofErr w:type="spellStart"/>
      <w:r>
        <w:rPr>
          <w:rFonts w:ascii="Times New Roman" w:eastAsia="Times New Roman" w:hAnsi="Times New Roman" w:cs="Times New Roman"/>
          <w:i/>
          <w:color w:val="212121"/>
          <w:sz w:val="24"/>
          <w:szCs w:val="24"/>
          <w:highlight w:val="white"/>
        </w:rPr>
        <w:t>brasileiro</w:t>
      </w:r>
      <w:proofErr w:type="spellEnd"/>
      <w:r>
        <w:rPr>
          <w:rFonts w:ascii="Times New Roman" w:eastAsia="Times New Roman" w:hAnsi="Times New Roman" w:cs="Times New Roman"/>
          <w:i/>
          <w:color w:val="212121"/>
          <w:sz w:val="24"/>
          <w:szCs w:val="24"/>
          <w:highlight w:val="white"/>
        </w:rPr>
        <w:t xml:space="preserve"> de </w:t>
      </w:r>
      <w:proofErr w:type="spellStart"/>
      <w:proofErr w:type="gramStart"/>
      <w:r>
        <w:rPr>
          <w:rFonts w:ascii="Times New Roman" w:eastAsia="Times New Roman" w:hAnsi="Times New Roman" w:cs="Times New Roman"/>
          <w:i/>
          <w:color w:val="212121"/>
          <w:sz w:val="24"/>
          <w:szCs w:val="24"/>
          <w:highlight w:val="white"/>
        </w:rPr>
        <w:t>nefrologia</w:t>
      </w:r>
      <w:proofErr w:type="spellEnd"/>
      <w:r>
        <w:rPr>
          <w:rFonts w:ascii="Times New Roman" w:eastAsia="Times New Roman" w:hAnsi="Times New Roman" w:cs="Times New Roman"/>
          <w:i/>
          <w:color w:val="212121"/>
          <w:sz w:val="24"/>
          <w:szCs w:val="24"/>
          <w:highlight w:val="white"/>
        </w:rPr>
        <w:t xml:space="preserve"> :</w:t>
      </w:r>
      <w:proofErr w:type="gramEnd"/>
      <w:r>
        <w:rPr>
          <w:rFonts w:ascii="Times New Roman" w:eastAsia="Times New Roman" w:hAnsi="Times New Roman" w:cs="Times New Roman"/>
          <w:i/>
          <w:color w:val="212121"/>
          <w:sz w:val="24"/>
          <w:szCs w:val="24"/>
          <w:highlight w:val="white"/>
        </w:rPr>
        <w:t xml:space="preserve"> '</w:t>
      </w:r>
      <w:proofErr w:type="spellStart"/>
      <w:r>
        <w:rPr>
          <w:rFonts w:ascii="Times New Roman" w:eastAsia="Times New Roman" w:hAnsi="Times New Roman" w:cs="Times New Roman"/>
          <w:i/>
          <w:color w:val="212121"/>
          <w:sz w:val="24"/>
          <w:szCs w:val="24"/>
          <w:highlight w:val="white"/>
        </w:rPr>
        <w:t>orgao</w:t>
      </w:r>
      <w:proofErr w:type="spellEnd"/>
      <w:r>
        <w:rPr>
          <w:rFonts w:ascii="Times New Roman" w:eastAsia="Times New Roman" w:hAnsi="Times New Roman" w:cs="Times New Roman"/>
          <w:i/>
          <w:color w:val="212121"/>
          <w:sz w:val="24"/>
          <w:szCs w:val="24"/>
          <w:highlight w:val="white"/>
        </w:rPr>
        <w:t xml:space="preserve"> </w:t>
      </w:r>
      <w:proofErr w:type="spellStart"/>
      <w:r>
        <w:rPr>
          <w:rFonts w:ascii="Times New Roman" w:eastAsia="Times New Roman" w:hAnsi="Times New Roman" w:cs="Times New Roman"/>
          <w:i/>
          <w:color w:val="212121"/>
          <w:sz w:val="24"/>
          <w:szCs w:val="24"/>
          <w:highlight w:val="white"/>
        </w:rPr>
        <w:t>oficial</w:t>
      </w:r>
      <w:proofErr w:type="spellEnd"/>
      <w:r>
        <w:rPr>
          <w:rFonts w:ascii="Times New Roman" w:eastAsia="Times New Roman" w:hAnsi="Times New Roman" w:cs="Times New Roman"/>
          <w:i/>
          <w:color w:val="212121"/>
          <w:sz w:val="24"/>
          <w:szCs w:val="24"/>
          <w:highlight w:val="white"/>
        </w:rPr>
        <w:t xml:space="preserve"> de </w:t>
      </w:r>
      <w:proofErr w:type="spellStart"/>
      <w:r>
        <w:rPr>
          <w:rFonts w:ascii="Times New Roman" w:eastAsia="Times New Roman" w:hAnsi="Times New Roman" w:cs="Times New Roman"/>
          <w:i/>
          <w:color w:val="212121"/>
          <w:sz w:val="24"/>
          <w:szCs w:val="24"/>
          <w:highlight w:val="white"/>
        </w:rPr>
        <w:t>Sociedades</w:t>
      </w:r>
      <w:proofErr w:type="spellEnd"/>
      <w:r>
        <w:rPr>
          <w:rFonts w:ascii="Times New Roman" w:eastAsia="Times New Roman" w:hAnsi="Times New Roman" w:cs="Times New Roman"/>
          <w:i/>
          <w:color w:val="212121"/>
          <w:sz w:val="24"/>
          <w:szCs w:val="24"/>
          <w:highlight w:val="white"/>
        </w:rPr>
        <w:t xml:space="preserve"> </w:t>
      </w:r>
      <w:proofErr w:type="spellStart"/>
      <w:r>
        <w:rPr>
          <w:rFonts w:ascii="Times New Roman" w:eastAsia="Times New Roman" w:hAnsi="Times New Roman" w:cs="Times New Roman"/>
          <w:i/>
          <w:color w:val="212121"/>
          <w:sz w:val="24"/>
          <w:szCs w:val="24"/>
          <w:highlight w:val="white"/>
        </w:rPr>
        <w:t>Brasileira</w:t>
      </w:r>
      <w:proofErr w:type="spellEnd"/>
      <w:r>
        <w:rPr>
          <w:rFonts w:ascii="Times New Roman" w:eastAsia="Times New Roman" w:hAnsi="Times New Roman" w:cs="Times New Roman"/>
          <w:i/>
          <w:color w:val="212121"/>
          <w:sz w:val="24"/>
          <w:szCs w:val="24"/>
          <w:highlight w:val="white"/>
        </w:rPr>
        <w:t xml:space="preserve"> e Latino-Americana de </w:t>
      </w:r>
      <w:proofErr w:type="spellStart"/>
      <w:r>
        <w:rPr>
          <w:rFonts w:ascii="Times New Roman" w:eastAsia="Times New Roman" w:hAnsi="Times New Roman" w:cs="Times New Roman"/>
          <w:i/>
          <w:color w:val="212121"/>
          <w:sz w:val="24"/>
          <w:szCs w:val="24"/>
          <w:highlight w:val="white"/>
        </w:rPr>
        <w:t>Nefrologia</w:t>
      </w:r>
      <w:proofErr w:type="spellEnd"/>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41</w:t>
      </w:r>
      <w:r>
        <w:rPr>
          <w:rFonts w:ascii="Times New Roman" w:eastAsia="Times New Roman" w:hAnsi="Times New Roman" w:cs="Times New Roman"/>
          <w:color w:val="212121"/>
          <w:sz w:val="24"/>
          <w:szCs w:val="24"/>
          <w:highlight w:val="white"/>
        </w:rPr>
        <w:t>(2), 193–199. https://doi.org/10.1590/2175-8239-jbn-2018-0006</w:t>
      </w:r>
    </w:p>
    <w:p w14:paraId="0FB4E9EB"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Hornik</w:t>
      </w:r>
      <w:proofErr w:type="spellEnd"/>
      <w:r>
        <w:rPr>
          <w:rFonts w:ascii="Times New Roman" w:eastAsia="Times New Roman" w:hAnsi="Times New Roman" w:cs="Times New Roman"/>
          <w:color w:val="212121"/>
          <w:sz w:val="24"/>
          <w:szCs w:val="24"/>
          <w:highlight w:val="white"/>
        </w:rPr>
        <w:t xml:space="preserve">, C. P., </w:t>
      </w:r>
      <w:proofErr w:type="spellStart"/>
      <w:r>
        <w:rPr>
          <w:rFonts w:ascii="Times New Roman" w:eastAsia="Times New Roman" w:hAnsi="Times New Roman" w:cs="Times New Roman"/>
          <w:color w:val="212121"/>
          <w:sz w:val="24"/>
          <w:szCs w:val="24"/>
          <w:highlight w:val="white"/>
        </w:rPr>
        <w:t>Atz</w:t>
      </w:r>
      <w:proofErr w:type="spellEnd"/>
      <w:r>
        <w:rPr>
          <w:rFonts w:ascii="Times New Roman" w:eastAsia="Times New Roman" w:hAnsi="Times New Roman" w:cs="Times New Roman"/>
          <w:color w:val="212121"/>
          <w:sz w:val="24"/>
          <w:szCs w:val="24"/>
          <w:highlight w:val="white"/>
        </w:rPr>
        <w:t xml:space="preserve">, A. M., Bendel, C., Chan, F., Downes, K., </w:t>
      </w:r>
      <w:proofErr w:type="spellStart"/>
      <w:r>
        <w:rPr>
          <w:rFonts w:ascii="Times New Roman" w:eastAsia="Times New Roman" w:hAnsi="Times New Roman" w:cs="Times New Roman"/>
          <w:color w:val="212121"/>
          <w:sz w:val="24"/>
          <w:szCs w:val="24"/>
          <w:highlight w:val="white"/>
        </w:rPr>
        <w:t>Grundmeier</w:t>
      </w:r>
      <w:proofErr w:type="spellEnd"/>
      <w:r>
        <w:rPr>
          <w:rFonts w:ascii="Times New Roman" w:eastAsia="Times New Roman" w:hAnsi="Times New Roman" w:cs="Times New Roman"/>
          <w:color w:val="212121"/>
          <w:sz w:val="24"/>
          <w:szCs w:val="24"/>
          <w:highlight w:val="white"/>
        </w:rPr>
        <w:t xml:space="preserve">, R., Fogel, B., Gipson, D., </w:t>
      </w:r>
      <w:proofErr w:type="spellStart"/>
      <w:r>
        <w:rPr>
          <w:rFonts w:ascii="Times New Roman" w:eastAsia="Times New Roman" w:hAnsi="Times New Roman" w:cs="Times New Roman"/>
          <w:color w:val="212121"/>
          <w:sz w:val="24"/>
          <w:szCs w:val="24"/>
          <w:highlight w:val="white"/>
        </w:rPr>
        <w:t>Laughon</w:t>
      </w:r>
      <w:proofErr w:type="spellEnd"/>
      <w:r>
        <w:rPr>
          <w:rFonts w:ascii="Times New Roman" w:eastAsia="Times New Roman" w:hAnsi="Times New Roman" w:cs="Times New Roman"/>
          <w:color w:val="212121"/>
          <w:sz w:val="24"/>
          <w:szCs w:val="24"/>
          <w:highlight w:val="white"/>
        </w:rPr>
        <w:t xml:space="preserve">, M., Miller, M., Smith, M., Livingston, C., </w:t>
      </w:r>
      <w:proofErr w:type="spellStart"/>
      <w:r>
        <w:rPr>
          <w:rFonts w:ascii="Times New Roman" w:eastAsia="Times New Roman" w:hAnsi="Times New Roman" w:cs="Times New Roman"/>
          <w:color w:val="212121"/>
          <w:sz w:val="24"/>
          <w:szCs w:val="24"/>
          <w:highlight w:val="white"/>
        </w:rPr>
        <w:t>Kluchar</w:t>
      </w:r>
      <w:proofErr w:type="spellEnd"/>
      <w:r>
        <w:rPr>
          <w:rFonts w:ascii="Times New Roman" w:eastAsia="Times New Roman" w:hAnsi="Times New Roman" w:cs="Times New Roman"/>
          <w:color w:val="212121"/>
          <w:sz w:val="24"/>
          <w:szCs w:val="24"/>
          <w:highlight w:val="white"/>
        </w:rPr>
        <w:t xml:space="preserve">, C., Heath, A., Jarrett, C., </w:t>
      </w:r>
      <w:proofErr w:type="spellStart"/>
      <w:r>
        <w:rPr>
          <w:rFonts w:ascii="Times New Roman" w:eastAsia="Times New Roman" w:hAnsi="Times New Roman" w:cs="Times New Roman"/>
          <w:color w:val="212121"/>
          <w:sz w:val="24"/>
          <w:szCs w:val="24"/>
          <w:highlight w:val="white"/>
        </w:rPr>
        <w:t>McKerlie</w:t>
      </w:r>
      <w:proofErr w:type="spellEnd"/>
      <w:r>
        <w:rPr>
          <w:rFonts w:ascii="Times New Roman" w:eastAsia="Times New Roman" w:hAnsi="Times New Roman" w:cs="Times New Roman"/>
          <w:color w:val="212121"/>
          <w:sz w:val="24"/>
          <w:szCs w:val="24"/>
          <w:highlight w:val="white"/>
        </w:rPr>
        <w:t xml:space="preserve">, B., Patel, H., Hunter, C., &amp; Best Pharmaceuticals for Children Act–Pediatric Trials Network (2019). Creation of a Multicenter Pediatric Inpatient Data Repository Derived from Electronic Health Records. </w:t>
      </w:r>
      <w:r>
        <w:rPr>
          <w:rFonts w:ascii="Times New Roman" w:eastAsia="Times New Roman" w:hAnsi="Times New Roman" w:cs="Times New Roman"/>
          <w:i/>
          <w:color w:val="212121"/>
          <w:sz w:val="24"/>
          <w:szCs w:val="24"/>
          <w:highlight w:val="white"/>
        </w:rPr>
        <w:t>Applied clinical informatics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10</w:t>
      </w:r>
      <w:r>
        <w:rPr>
          <w:rFonts w:ascii="Times New Roman" w:eastAsia="Times New Roman" w:hAnsi="Times New Roman" w:cs="Times New Roman"/>
          <w:color w:val="212121"/>
          <w:sz w:val="24"/>
          <w:szCs w:val="24"/>
          <w:highlight w:val="white"/>
        </w:rPr>
        <w:t>(2), 307–315. https://doi.org/10.1055/s-0039-1688477</w:t>
      </w:r>
    </w:p>
    <w:p w14:paraId="2A7EA7FA"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Summers, L. K., Samra, J. S., Humphreys, S. M., Morris, R. J., &amp; Frayn, K. N. (1996). Subcutaneous abdominal adipose tissue blood flow: variation within and between subjects and relationship to obesity. </w:t>
      </w:r>
      <w:r>
        <w:rPr>
          <w:rFonts w:ascii="Times New Roman" w:eastAsia="Times New Roman" w:hAnsi="Times New Roman" w:cs="Times New Roman"/>
          <w:i/>
          <w:color w:val="212121"/>
          <w:sz w:val="24"/>
          <w:szCs w:val="24"/>
          <w:highlight w:val="white"/>
        </w:rPr>
        <w:t xml:space="preserve">Clinical science (London, </w:t>
      </w:r>
      <w:proofErr w:type="gramStart"/>
      <w:r>
        <w:rPr>
          <w:rFonts w:ascii="Times New Roman" w:eastAsia="Times New Roman" w:hAnsi="Times New Roman" w:cs="Times New Roman"/>
          <w:i/>
          <w:color w:val="212121"/>
          <w:sz w:val="24"/>
          <w:szCs w:val="24"/>
          <w:highlight w:val="white"/>
        </w:rPr>
        <w:t>England :</w:t>
      </w:r>
      <w:proofErr w:type="gramEnd"/>
      <w:r>
        <w:rPr>
          <w:rFonts w:ascii="Times New Roman" w:eastAsia="Times New Roman" w:hAnsi="Times New Roman" w:cs="Times New Roman"/>
          <w:i/>
          <w:color w:val="212121"/>
          <w:sz w:val="24"/>
          <w:szCs w:val="24"/>
          <w:highlight w:val="white"/>
        </w:rPr>
        <w:t xml:space="preserve"> 1979)</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91</w:t>
      </w:r>
      <w:r>
        <w:rPr>
          <w:rFonts w:ascii="Times New Roman" w:eastAsia="Times New Roman" w:hAnsi="Times New Roman" w:cs="Times New Roman"/>
          <w:color w:val="212121"/>
          <w:sz w:val="24"/>
          <w:szCs w:val="24"/>
          <w:highlight w:val="white"/>
        </w:rPr>
        <w:t>(6), 679–683. https://doi.org/10.1042/cs0910679</w:t>
      </w:r>
    </w:p>
    <w:p w14:paraId="57FEDFDC"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Gradel</w:t>
      </w:r>
      <w:proofErr w:type="spellEnd"/>
      <w:r>
        <w:rPr>
          <w:rFonts w:ascii="Times New Roman" w:eastAsia="Times New Roman" w:hAnsi="Times New Roman" w:cs="Times New Roman"/>
          <w:color w:val="212121"/>
          <w:sz w:val="24"/>
          <w:szCs w:val="24"/>
          <w:highlight w:val="white"/>
        </w:rPr>
        <w:t xml:space="preserve">, A. K. J., </w:t>
      </w:r>
      <w:proofErr w:type="spellStart"/>
      <w:r>
        <w:rPr>
          <w:rFonts w:ascii="Times New Roman" w:eastAsia="Times New Roman" w:hAnsi="Times New Roman" w:cs="Times New Roman"/>
          <w:color w:val="212121"/>
          <w:sz w:val="24"/>
          <w:szCs w:val="24"/>
          <w:highlight w:val="white"/>
        </w:rPr>
        <w:t>Porsgaard</w:t>
      </w:r>
      <w:proofErr w:type="spellEnd"/>
      <w:r>
        <w:rPr>
          <w:rFonts w:ascii="Times New Roman" w:eastAsia="Times New Roman" w:hAnsi="Times New Roman" w:cs="Times New Roman"/>
          <w:color w:val="212121"/>
          <w:sz w:val="24"/>
          <w:szCs w:val="24"/>
          <w:highlight w:val="white"/>
        </w:rPr>
        <w:t xml:space="preserve">, T., </w:t>
      </w:r>
      <w:proofErr w:type="spellStart"/>
      <w:r>
        <w:rPr>
          <w:rFonts w:ascii="Times New Roman" w:eastAsia="Times New Roman" w:hAnsi="Times New Roman" w:cs="Times New Roman"/>
          <w:color w:val="212121"/>
          <w:sz w:val="24"/>
          <w:szCs w:val="24"/>
          <w:highlight w:val="white"/>
        </w:rPr>
        <w:t>Lykkesfeldt</w:t>
      </w:r>
      <w:proofErr w:type="spellEnd"/>
      <w:r>
        <w:rPr>
          <w:rFonts w:ascii="Times New Roman" w:eastAsia="Times New Roman" w:hAnsi="Times New Roman" w:cs="Times New Roman"/>
          <w:color w:val="212121"/>
          <w:sz w:val="24"/>
          <w:szCs w:val="24"/>
          <w:highlight w:val="white"/>
        </w:rPr>
        <w:t xml:space="preserve">, J., </w:t>
      </w:r>
      <w:proofErr w:type="spellStart"/>
      <w:r>
        <w:rPr>
          <w:rFonts w:ascii="Times New Roman" w:eastAsia="Times New Roman" w:hAnsi="Times New Roman" w:cs="Times New Roman"/>
          <w:color w:val="212121"/>
          <w:sz w:val="24"/>
          <w:szCs w:val="24"/>
          <w:highlight w:val="white"/>
        </w:rPr>
        <w:t>Seested</w:t>
      </w:r>
      <w:proofErr w:type="spellEnd"/>
      <w:r>
        <w:rPr>
          <w:rFonts w:ascii="Times New Roman" w:eastAsia="Times New Roman" w:hAnsi="Times New Roman" w:cs="Times New Roman"/>
          <w:color w:val="212121"/>
          <w:sz w:val="24"/>
          <w:szCs w:val="24"/>
          <w:highlight w:val="white"/>
        </w:rPr>
        <w:t xml:space="preserve">, T., Gram-Nielsen, S., Kristensen, N. R., &amp; </w:t>
      </w:r>
      <w:proofErr w:type="spellStart"/>
      <w:r>
        <w:rPr>
          <w:rFonts w:ascii="Times New Roman" w:eastAsia="Times New Roman" w:hAnsi="Times New Roman" w:cs="Times New Roman"/>
          <w:color w:val="212121"/>
          <w:sz w:val="24"/>
          <w:szCs w:val="24"/>
          <w:highlight w:val="white"/>
        </w:rPr>
        <w:t>Refsgaard</w:t>
      </w:r>
      <w:proofErr w:type="spellEnd"/>
      <w:r>
        <w:rPr>
          <w:rFonts w:ascii="Times New Roman" w:eastAsia="Times New Roman" w:hAnsi="Times New Roman" w:cs="Times New Roman"/>
          <w:color w:val="212121"/>
          <w:sz w:val="24"/>
          <w:szCs w:val="24"/>
          <w:highlight w:val="white"/>
        </w:rPr>
        <w:t xml:space="preserve">, H. H. F. (2018). Factors Affecting the Absorption of Subcutaneously Administered Insulin: Effect on Variability. </w:t>
      </w:r>
      <w:r>
        <w:rPr>
          <w:rFonts w:ascii="Times New Roman" w:eastAsia="Times New Roman" w:hAnsi="Times New Roman" w:cs="Times New Roman"/>
          <w:i/>
          <w:color w:val="212121"/>
          <w:sz w:val="24"/>
          <w:szCs w:val="24"/>
          <w:highlight w:val="white"/>
        </w:rPr>
        <w:t>Journal of diabetes research</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2018</w:t>
      </w:r>
      <w:r>
        <w:rPr>
          <w:rFonts w:ascii="Times New Roman" w:eastAsia="Times New Roman" w:hAnsi="Times New Roman" w:cs="Times New Roman"/>
          <w:color w:val="212121"/>
          <w:sz w:val="24"/>
          <w:szCs w:val="24"/>
          <w:highlight w:val="white"/>
        </w:rPr>
        <w:t>, 1205121. https://doi.org/10.1155/2018/1205121</w:t>
      </w:r>
    </w:p>
    <w:p w14:paraId="67DEE40B"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Poulin, P., &amp; Theil, F. P. (2000). A priori prediction of </w:t>
      </w:r>
      <w:proofErr w:type="spellStart"/>
      <w:proofErr w:type="gramStart"/>
      <w:r>
        <w:rPr>
          <w:rFonts w:ascii="Times New Roman" w:eastAsia="Times New Roman" w:hAnsi="Times New Roman" w:cs="Times New Roman"/>
          <w:color w:val="212121"/>
          <w:sz w:val="24"/>
          <w:szCs w:val="24"/>
          <w:highlight w:val="white"/>
        </w:rPr>
        <w:t>tissue:plasma</w:t>
      </w:r>
      <w:proofErr w:type="spellEnd"/>
      <w:proofErr w:type="gramEnd"/>
      <w:r>
        <w:rPr>
          <w:rFonts w:ascii="Times New Roman" w:eastAsia="Times New Roman" w:hAnsi="Times New Roman" w:cs="Times New Roman"/>
          <w:color w:val="212121"/>
          <w:sz w:val="24"/>
          <w:szCs w:val="24"/>
          <w:highlight w:val="white"/>
        </w:rPr>
        <w:t xml:space="preserve"> partition coefficients of drugs to facilitate the use of physiologically-based pharmacokinetic models in drug discovery. </w:t>
      </w:r>
      <w:r>
        <w:rPr>
          <w:rFonts w:ascii="Times New Roman" w:eastAsia="Times New Roman" w:hAnsi="Times New Roman" w:cs="Times New Roman"/>
          <w:i/>
          <w:color w:val="212121"/>
          <w:sz w:val="24"/>
          <w:szCs w:val="24"/>
          <w:highlight w:val="white"/>
        </w:rPr>
        <w:t>Journal of pharmaceutical sciences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89</w:t>
      </w:r>
      <w:r>
        <w:rPr>
          <w:rFonts w:ascii="Times New Roman" w:eastAsia="Times New Roman" w:hAnsi="Times New Roman" w:cs="Times New Roman"/>
          <w:color w:val="212121"/>
          <w:sz w:val="24"/>
          <w:szCs w:val="24"/>
          <w:highlight w:val="white"/>
        </w:rPr>
        <w:t>(1), 16–35. https://doi.org/10.1002/(SICI)1520-6017(200001)89:1&lt;</w:t>
      </w:r>
      <w:proofErr w:type="gramStart"/>
      <w:r>
        <w:rPr>
          <w:rFonts w:ascii="Times New Roman" w:eastAsia="Times New Roman" w:hAnsi="Times New Roman" w:cs="Times New Roman"/>
          <w:color w:val="212121"/>
          <w:sz w:val="24"/>
          <w:szCs w:val="24"/>
          <w:highlight w:val="white"/>
        </w:rPr>
        <w:t>16::</w:t>
      </w:r>
      <w:proofErr w:type="gramEnd"/>
      <w:r>
        <w:rPr>
          <w:rFonts w:ascii="Times New Roman" w:eastAsia="Times New Roman" w:hAnsi="Times New Roman" w:cs="Times New Roman"/>
          <w:color w:val="212121"/>
          <w:sz w:val="24"/>
          <w:szCs w:val="24"/>
          <w:highlight w:val="white"/>
        </w:rPr>
        <w:t>AID-JPS3&gt;3.0.CO;2-E</w:t>
      </w:r>
    </w:p>
    <w:p w14:paraId="6CDF7420"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lastRenderedPageBreak/>
        <w:t>Jusko</w:t>
      </w:r>
      <w:proofErr w:type="spellEnd"/>
      <w:r>
        <w:rPr>
          <w:rFonts w:ascii="Times New Roman" w:eastAsia="Times New Roman" w:hAnsi="Times New Roman" w:cs="Times New Roman"/>
          <w:color w:val="212121"/>
          <w:sz w:val="24"/>
          <w:szCs w:val="24"/>
          <w:highlight w:val="white"/>
        </w:rPr>
        <w:t xml:space="preserve">, W. J., &amp; </w:t>
      </w:r>
      <w:proofErr w:type="spellStart"/>
      <w:r>
        <w:rPr>
          <w:rFonts w:ascii="Times New Roman" w:eastAsia="Times New Roman" w:hAnsi="Times New Roman" w:cs="Times New Roman"/>
          <w:color w:val="212121"/>
          <w:sz w:val="24"/>
          <w:szCs w:val="24"/>
          <w:highlight w:val="white"/>
        </w:rPr>
        <w:t>Gretch</w:t>
      </w:r>
      <w:proofErr w:type="spellEnd"/>
      <w:r>
        <w:rPr>
          <w:rFonts w:ascii="Times New Roman" w:eastAsia="Times New Roman" w:hAnsi="Times New Roman" w:cs="Times New Roman"/>
          <w:color w:val="212121"/>
          <w:sz w:val="24"/>
          <w:szCs w:val="24"/>
          <w:highlight w:val="white"/>
        </w:rPr>
        <w:t xml:space="preserve">, M. (1976). Plasma and tissue protein binding of drugs in pharmacokinetics. </w:t>
      </w:r>
      <w:r>
        <w:rPr>
          <w:rFonts w:ascii="Times New Roman" w:eastAsia="Times New Roman" w:hAnsi="Times New Roman" w:cs="Times New Roman"/>
          <w:i/>
          <w:color w:val="212121"/>
          <w:sz w:val="24"/>
          <w:szCs w:val="24"/>
          <w:highlight w:val="white"/>
        </w:rPr>
        <w:t>Drug metabolism reviews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5</w:t>
      </w:r>
      <w:r>
        <w:rPr>
          <w:rFonts w:ascii="Times New Roman" w:eastAsia="Times New Roman" w:hAnsi="Times New Roman" w:cs="Times New Roman"/>
          <w:color w:val="212121"/>
          <w:sz w:val="24"/>
          <w:szCs w:val="24"/>
          <w:highlight w:val="white"/>
        </w:rPr>
        <w:t>(1), 43–140. https://doi.org/10.3109/03602537608995839</w:t>
      </w:r>
    </w:p>
    <w:p w14:paraId="5376F2AC"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Thompson, M. D., &amp; Beard, D. A. (2011). Development of appropriate equations for physiologically based pharmacokinetic modeling of permeability-limited and flow-limited transport. </w:t>
      </w:r>
      <w:r>
        <w:rPr>
          <w:rFonts w:ascii="Times New Roman" w:eastAsia="Times New Roman" w:hAnsi="Times New Roman" w:cs="Times New Roman"/>
          <w:i/>
          <w:color w:val="212121"/>
          <w:sz w:val="24"/>
          <w:szCs w:val="24"/>
          <w:highlight w:val="white"/>
        </w:rPr>
        <w:t>Journal of pharmacokinetics and pharmacodynamics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38</w:t>
      </w:r>
      <w:r>
        <w:rPr>
          <w:rFonts w:ascii="Times New Roman" w:eastAsia="Times New Roman" w:hAnsi="Times New Roman" w:cs="Times New Roman"/>
          <w:color w:val="212121"/>
          <w:sz w:val="24"/>
          <w:szCs w:val="24"/>
          <w:highlight w:val="white"/>
        </w:rPr>
        <w:t>(4), 405–421. https://doi.org/10.1007/s10928-011-9200-x</w:t>
      </w:r>
    </w:p>
    <w:p w14:paraId="1548A4DA"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Vinks</w:t>
      </w:r>
      <w:proofErr w:type="spellEnd"/>
      <w:r>
        <w:rPr>
          <w:rFonts w:ascii="Times New Roman" w:eastAsia="Times New Roman" w:hAnsi="Times New Roman" w:cs="Times New Roman"/>
          <w:color w:val="212121"/>
          <w:sz w:val="24"/>
          <w:szCs w:val="24"/>
          <w:highlight w:val="white"/>
        </w:rPr>
        <w:t xml:space="preserve">, A. A., </w:t>
      </w:r>
      <w:proofErr w:type="spellStart"/>
      <w:r>
        <w:rPr>
          <w:rFonts w:ascii="Times New Roman" w:eastAsia="Times New Roman" w:hAnsi="Times New Roman" w:cs="Times New Roman"/>
          <w:color w:val="212121"/>
          <w:sz w:val="24"/>
          <w:szCs w:val="24"/>
          <w:highlight w:val="white"/>
        </w:rPr>
        <w:t>Emoto</w:t>
      </w:r>
      <w:proofErr w:type="spellEnd"/>
      <w:r>
        <w:rPr>
          <w:rFonts w:ascii="Times New Roman" w:eastAsia="Times New Roman" w:hAnsi="Times New Roman" w:cs="Times New Roman"/>
          <w:color w:val="212121"/>
          <w:sz w:val="24"/>
          <w:szCs w:val="24"/>
          <w:highlight w:val="white"/>
        </w:rPr>
        <w:t xml:space="preserve">, C., &amp; Fukuda, T. (2015). Modeling and simulation in pediatric drug therapy: Application of pharmacometrics to define the right dose for children. </w:t>
      </w:r>
      <w:r>
        <w:rPr>
          <w:rFonts w:ascii="Times New Roman" w:eastAsia="Times New Roman" w:hAnsi="Times New Roman" w:cs="Times New Roman"/>
          <w:i/>
          <w:color w:val="212121"/>
          <w:sz w:val="24"/>
          <w:szCs w:val="24"/>
          <w:highlight w:val="white"/>
        </w:rPr>
        <w:t>Clinical pharmacology and therapeutics, 98</w:t>
      </w:r>
      <w:r>
        <w:rPr>
          <w:rFonts w:ascii="Times New Roman" w:eastAsia="Times New Roman" w:hAnsi="Times New Roman" w:cs="Times New Roman"/>
          <w:color w:val="212121"/>
          <w:sz w:val="24"/>
          <w:szCs w:val="24"/>
          <w:highlight w:val="white"/>
        </w:rPr>
        <w:t>(3), 298–308. https://doi.org/10.1002/cpt.169</w:t>
      </w:r>
    </w:p>
    <w:p w14:paraId="1EE8F60C"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Bellanti</w:t>
      </w:r>
      <w:proofErr w:type="spellEnd"/>
      <w:r>
        <w:rPr>
          <w:rFonts w:ascii="Times New Roman" w:eastAsia="Times New Roman" w:hAnsi="Times New Roman" w:cs="Times New Roman"/>
          <w:color w:val="212121"/>
          <w:sz w:val="24"/>
          <w:szCs w:val="24"/>
          <w:highlight w:val="white"/>
        </w:rPr>
        <w:t xml:space="preserve">, F., &amp; Della </w:t>
      </w:r>
      <w:proofErr w:type="spellStart"/>
      <w:r>
        <w:rPr>
          <w:rFonts w:ascii="Times New Roman" w:eastAsia="Times New Roman" w:hAnsi="Times New Roman" w:cs="Times New Roman"/>
          <w:color w:val="212121"/>
          <w:sz w:val="24"/>
          <w:szCs w:val="24"/>
          <w:highlight w:val="white"/>
        </w:rPr>
        <w:t>Pasqua</w:t>
      </w:r>
      <w:proofErr w:type="spellEnd"/>
      <w:r>
        <w:rPr>
          <w:rFonts w:ascii="Times New Roman" w:eastAsia="Times New Roman" w:hAnsi="Times New Roman" w:cs="Times New Roman"/>
          <w:color w:val="212121"/>
          <w:sz w:val="24"/>
          <w:szCs w:val="24"/>
          <w:highlight w:val="white"/>
        </w:rPr>
        <w:t xml:space="preserve">, O. (2011). Modelling and simulation as research tools in </w:t>
      </w:r>
      <w:proofErr w:type="spellStart"/>
      <w:r>
        <w:rPr>
          <w:rFonts w:ascii="Times New Roman" w:eastAsia="Times New Roman" w:hAnsi="Times New Roman" w:cs="Times New Roman"/>
          <w:color w:val="212121"/>
          <w:sz w:val="24"/>
          <w:szCs w:val="24"/>
          <w:highlight w:val="white"/>
        </w:rPr>
        <w:t>paediatric</w:t>
      </w:r>
      <w:proofErr w:type="spellEnd"/>
      <w:r>
        <w:rPr>
          <w:rFonts w:ascii="Times New Roman" w:eastAsia="Times New Roman" w:hAnsi="Times New Roman" w:cs="Times New Roman"/>
          <w:color w:val="212121"/>
          <w:sz w:val="24"/>
          <w:szCs w:val="24"/>
          <w:highlight w:val="white"/>
        </w:rPr>
        <w:t xml:space="preserve"> drug development.</w:t>
      </w:r>
      <w:r>
        <w:rPr>
          <w:rFonts w:ascii="Times New Roman" w:eastAsia="Times New Roman" w:hAnsi="Times New Roman" w:cs="Times New Roman"/>
          <w:i/>
          <w:color w:val="212121"/>
          <w:sz w:val="24"/>
          <w:szCs w:val="24"/>
          <w:highlight w:val="white"/>
        </w:rPr>
        <w:t xml:space="preserve"> European journal of clinical pharmacology, 67</w:t>
      </w:r>
      <w:r>
        <w:rPr>
          <w:rFonts w:ascii="Times New Roman" w:eastAsia="Times New Roman" w:hAnsi="Times New Roman" w:cs="Times New Roman"/>
          <w:color w:val="212121"/>
          <w:sz w:val="24"/>
          <w:szCs w:val="24"/>
          <w:highlight w:val="white"/>
        </w:rPr>
        <w:t xml:space="preserve"> Suppl 1(Suppl 1), 75–86. https://doi.org/10.1007/s00228-010-0974-3</w:t>
      </w:r>
    </w:p>
    <w:p w14:paraId="6A33DC56"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Severin, T., </w:t>
      </w:r>
      <w:proofErr w:type="spellStart"/>
      <w:r>
        <w:rPr>
          <w:rFonts w:ascii="Times New Roman" w:eastAsia="Times New Roman" w:hAnsi="Times New Roman" w:cs="Times New Roman"/>
          <w:color w:val="212121"/>
          <w:sz w:val="24"/>
          <w:szCs w:val="24"/>
          <w:highlight w:val="white"/>
        </w:rPr>
        <w:t>Corriol-Rohou</w:t>
      </w:r>
      <w:proofErr w:type="spellEnd"/>
      <w:r>
        <w:rPr>
          <w:rFonts w:ascii="Times New Roman" w:eastAsia="Times New Roman" w:hAnsi="Times New Roman" w:cs="Times New Roman"/>
          <w:color w:val="212121"/>
          <w:sz w:val="24"/>
          <w:szCs w:val="24"/>
          <w:highlight w:val="white"/>
        </w:rPr>
        <w:t>, S., Bucci-</w:t>
      </w:r>
      <w:proofErr w:type="spellStart"/>
      <w:r>
        <w:rPr>
          <w:rFonts w:ascii="Times New Roman" w:eastAsia="Times New Roman" w:hAnsi="Times New Roman" w:cs="Times New Roman"/>
          <w:color w:val="212121"/>
          <w:sz w:val="24"/>
          <w:szCs w:val="24"/>
          <w:highlight w:val="white"/>
        </w:rPr>
        <w:t>Rechtweg</w:t>
      </w:r>
      <w:proofErr w:type="spellEnd"/>
      <w:r>
        <w:rPr>
          <w:rFonts w:ascii="Times New Roman" w:eastAsia="Times New Roman" w:hAnsi="Times New Roman" w:cs="Times New Roman"/>
          <w:color w:val="212121"/>
          <w:sz w:val="24"/>
          <w:szCs w:val="24"/>
          <w:highlight w:val="white"/>
        </w:rPr>
        <w:t xml:space="preserve">, C., </w:t>
      </w:r>
      <w:proofErr w:type="gramStart"/>
      <w:r>
        <w:rPr>
          <w:rFonts w:ascii="Times New Roman" w:eastAsia="Times New Roman" w:hAnsi="Times New Roman" w:cs="Times New Roman"/>
          <w:color w:val="212121"/>
          <w:sz w:val="24"/>
          <w:szCs w:val="24"/>
          <w:highlight w:val="white"/>
        </w:rPr>
        <w:t>An</w:t>
      </w:r>
      <w:proofErr w:type="gramEnd"/>
      <w:r>
        <w:rPr>
          <w:rFonts w:ascii="Times New Roman" w:eastAsia="Times New Roman" w:hAnsi="Times New Roman" w:cs="Times New Roman"/>
          <w:color w:val="212121"/>
          <w:sz w:val="24"/>
          <w:szCs w:val="24"/>
          <w:highlight w:val="white"/>
        </w:rPr>
        <w:t xml:space="preserve"> Haack, K., </w:t>
      </w:r>
      <w:proofErr w:type="spellStart"/>
      <w:r>
        <w:rPr>
          <w:rFonts w:ascii="Times New Roman" w:eastAsia="Times New Roman" w:hAnsi="Times New Roman" w:cs="Times New Roman"/>
          <w:color w:val="212121"/>
          <w:sz w:val="24"/>
          <w:szCs w:val="24"/>
          <w:highlight w:val="white"/>
        </w:rPr>
        <w:t>Fuerst-Recktenwald</w:t>
      </w:r>
      <w:proofErr w:type="spellEnd"/>
      <w:r>
        <w:rPr>
          <w:rFonts w:ascii="Times New Roman" w:eastAsia="Times New Roman" w:hAnsi="Times New Roman" w:cs="Times New Roman"/>
          <w:color w:val="212121"/>
          <w:sz w:val="24"/>
          <w:szCs w:val="24"/>
          <w:highlight w:val="white"/>
        </w:rPr>
        <w:t xml:space="preserve">, S., </w:t>
      </w:r>
      <w:proofErr w:type="spellStart"/>
      <w:r>
        <w:rPr>
          <w:rFonts w:ascii="Times New Roman" w:eastAsia="Times New Roman" w:hAnsi="Times New Roman" w:cs="Times New Roman"/>
          <w:color w:val="212121"/>
          <w:sz w:val="24"/>
          <w:szCs w:val="24"/>
          <w:highlight w:val="white"/>
        </w:rPr>
        <w:t>Lepola</w:t>
      </w:r>
      <w:proofErr w:type="spellEnd"/>
      <w:r>
        <w:rPr>
          <w:rFonts w:ascii="Times New Roman" w:eastAsia="Times New Roman" w:hAnsi="Times New Roman" w:cs="Times New Roman"/>
          <w:color w:val="212121"/>
          <w:sz w:val="24"/>
          <w:szCs w:val="24"/>
          <w:highlight w:val="white"/>
        </w:rPr>
        <w:t xml:space="preserve">, P., </w:t>
      </w:r>
      <w:proofErr w:type="spellStart"/>
      <w:r>
        <w:rPr>
          <w:rFonts w:ascii="Times New Roman" w:eastAsia="Times New Roman" w:hAnsi="Times New Roman" w:cs="Times New Roman"/>
          <w:color w:val="212121"/>
          <w:sz w:val="24"/>
          <w:szCs w:val="24"/>
          <w:highlight w:val="white"/>
        </w:rPr>
        <w:t>Norjavaara</w:t>
      </w:r>
      <w:proofErr w:type="spellEnd"/>
      <w:r>
        <w:rPr>
          <w:rFonts w:ascii="Times New Roman" w:eastAsia="Times New Roman" w:hAnsi="Times New Roman" w:cs="Times New Roman"/>
          <w:color w:val="212121"/>
          <w:sz w:val="24"/>
          <w:szCs w:val="24"/>
          <w:highlight w:val="white"/>
        </w:rPr>
        <w:t xml:space="preserve">, E., </w:t>
      </w:r>
      <w:proofErr w:type="spellStart"/>
      <w:r>
        <w:rPr>
          <w:rFonts w:ascii="Times New Roman" w:eastAsia="Times New Roman" w:hAnsi="Times New Roman" w:cs="Times New Roman"/>
          <w:color w:val="212121"/>
          <w:sz w:val="24"/>
          <w:szCs w:val="24"/>
          <w:highlight w:val="white"/>
        </w:rPr>
        <w:t>Dehlinger</w:t>
      </w:r>
      <w:proofErr w:type="spellEnd"/>
      <w:r>
        <w:rPr>
          <w:rFonts w:ascii="Times New Roman" w:eastAsia="Times New Roman" w:hAnsi="Times New Roman" w:cs="Times New Roman"/>
          <w:color w:val="212121"/>
          <w:sz w:val="24"/>
          <w:szCs w:val="24"/>
          <w:highlight w:val="white"/>
        </w:rPr>
        <w:t xml:space="preserve">-Kremer, M., EFGCP Children’s Medicines Working Party, </w:t>
      </w:r>
      <w:proofErr w:type="spellStart"/>
      <w:r>
        <w:rPr>
          <w:rFonts w:ascii="Times New Roman" w:eastAsia="Times New Roman" w:hAnsi="Times New Roman" w:cs="Times New Roman"/>
          <w:color w:val="212121"/>
          <w:sz w:val="24"/>
          <w:szCs w:val="24"/>
          <w:highlight w:val="white"/>
        </w:rPr>
        <w:t>Haertter</w:t>
      </w:r>
      <w:proofErr w:type="spellEnd"/>
      <w:r>
        <w:rPr>
          <w:rFonts w:ascii="Times New Roman" w:eastAsia="Times New Roman" w:hAnsi="Times New Roman" w:cs="Times New Roman"/>
          <w:color w:val="212121"/>
          <w:sz w:val="24"/>
          <w:szCs w:val="24"/>
          <w:highlight w:val="white"/>
        </w:rPr>
        <w:t xml:space="preserve">, S., Cheung, S. Y. A., &amp; IQ Pediatric Working Group (2020). How is the Pharmaceutical Industry Structured to Optimize Pediatric Drug Development? Existing Pediatric Structure Models and Proposed Recommendations for Structural Enhancement. </w:t>
      </w:r>
      <w:r>
        <w:rPr>
          <w:rFonts w:ascii="Times New Roman" w:eastAsia="Times New Roman" w:hAnsi="Times New Roman" w:cs="Times New Roman"/>
          <w:i/>
          <w:color w:val="212121"/>
          <w:sz w:val="24"/>
          <w:szCs w:val="24"/>
          <w:highlight w:val="white"/>
        </w:rPr>
        <w:t>Therapeutic innovation &amp; regulatory science, 54</w:t>
      </w:r>
      <w:r>
        <w:rPr>
          <w:rFonts w:ascii="Times New Roman" w:eastAsia="Times New Roman" w:hAnsi="Times New Roman" w:cs="Times New Roman"/>
          <w:color w:val="212121"/>
          <w:sz w:val="24"/>
          <w:szCs w:val="24"/>
          <w:highlight w:val="white"/>
        </w:rPr>
        <w:t>(5), 1076–1084. https://doi.org/10.1007/s43441-020-00116-4</w:t>
      </w:r>
    </w:p>
    <w:p w14:paraId="6298AF00"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Nguyen, D., Shaik, J. S., Tai, G., Tiffany, C., Perry, C., Dumont, E., Gardiner, D., Barth, A., Singh, R., &amp; Hossain, M. (2022). Comparison between physiologically based pharmacokinetic and population pharmacokinetic modelling to select </w:t>
      </w:r>
      <w:proofErr w:type="spellStart"/>
      <w:r>
        <w:rPr>
          <w:rFonts w:ascii="Times New Roman" w:eastAsia="Times New Roman" w:hAnsi="Times New Roman" w:cs="Times New Roman"/>
          <w:color w:val="212121"/>
          <w:sz w:val="24"/>
          <w:szCs w:val="24"/>
          <w:highlight w:val="white"/>
        </w:rPr>
        <w:t>paediatric</w:t>
      </w:r>
      <w:proofErr w:type="spellEnd"/>
      <w:r>
        <w:rPr>
          <w:rFonts w:ascii="Times New Roman" w:eastAsia="Times New Roman" w:hAnsi="Times New Roman" w:cs="Times New Roman"/>
          <w:color w:val="212121"/>
          <w:sz w:val="24"/>
          <w:szCs w:val="24"/>
          <w:highlight w:val="white"/>
        </w:rPr>
        <w:t xml:space="preserve"> doses of </w:t>
      </w:r>
      <w:proofErr w:type="spellStart"/>
      <w:r>
        <w:rPr>
          <w:rFonts w:ascii="Times New Roman" w:eastAsia="Times New Roman" w:hAnsi="Times New Roman" w:cs="Times New Roman"/>
          <w:color w:val="212121"/>
          <w:sz w:val="24"/>
          <w:szCs w:val="24"/>
          <w:highlight w:val="white"/>
        </w:rPr>
        <w:t>gepotidacin</w:t>
      </w:r>
      <w:proofErr w:type="spellEnd"/>
      <w:r>
        <w:rPr>
          <w:rFonts w:ascii="Times New Roman" w:eastAsia="Times New Roman" w:hAnsi="Times New Roman" w:cs="Times New Roman"/>
          <w:color w:val="212121"/>
          <w:sz w:val="24"/>
          <w:szCs w:val="24"/>
          <w:highlight w:val="white"/>
        </w:rPr>
        <w:t xml:space="preserve"> in plague. </w:t>
      </w:r>
      <w:r>
        <w:rPr>
          <w:rFonts w:ascii="Times New Roman" w:eastAsia="Times New Roman" w:hAnsi="Times New Roman" w:cs="Times New Roman"/>
          <w:i/>
          <w:color w:val="212121"/>
          <w:sz w:val="24"/>
          <w:szCs w:val="24"/>
          <w:highlight w:val="white"/>
        </w:rPr>
        <w:t>British journal of clinical pharmacology, 88</w:t>
      </w:r>
      <w:r>
        <w:rPr>
          <w:rFonts w:ascii="Times New Roman" w:eastAsia="Times New Roman" w:hAnsi="Times New Roman" w:cs="Times New Roman"/>
          <w:color w:val="212121"/>
          <w:sz w:val="24"/>
          <w:szCs w:val="24"/>
          <w:highlight w:val="white"/>
        </w:rPr>
        <w:t>(2), 416–428. https://doi.org/10.1111/bcp.14996</w:t>
      </w:r>
    </w:p>
    <w:p w14:paraId="167E7216"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Johnson, T. N., </w:t>
      </w:r>
      <w:proofErr w:type="spellStart"/>
      <w:r>
        <w:rPr>
          <w:rFonts w:ascii="Times New Roman" w:eastAsia="Times New Roman" w:hAnsi="Times New Roman" w:cs="Times New Roman"/>
          <w:color w:val="212121"/>
          <w:sz w:val="24"/>
          <w:szCs w:val="24"/>
          <w:highlight w:val="white"/>
        </w:rPr>
        <w:t>Abduljalil</w:t>
      </w:r>
      <w:proofErr w:type="spellEnd"/>
      <w:r>
        <w:rPr>
          <w:rFonts w:ascii="Times New Roman" w:eastAsia="Times New Roman" w:hAnsi="Times New Roman" w:cs="Times New Roman"/>
          <w:color w:val="212121"/>
          <w:sz w:val="24"/>
          <w:szCs w:val="24"/>
          <w:highlight w:val="white"/>
        </w:rPr>
        <w:t xml:space="preserve">, K., Nicolas, J. M., Muglia, P., </w:t>
      </w:r>
      <w:proofErr w:type="spellStart"/>
      <w:r>
        <w:rPr>
          <w:rFonts w:ascii="Times New Roman" w:eastAsia="Times New Roman" w:hAnsi="Times New Roman" w:cs="Times New Roman"/>
          <w:color w:val="212121"/>
          <w:sz w:val="24"/>
          <w:szCs w:val="24"/>
          <w:highlight w:val="white"/>
        </w:rPr>
        <w:t>Chanteux</w:t>
      </w:r>
      <w:proofErr w:type="spellEnd"/>
      <w:r>
        <w:rPr>
          <w:rFonts w:ascii="Times New Roman" w:eastAsia="Times New Roman" w:hAnsi="Times New Roman" w:cs="Times New Roman"/>
          <w:color w:val="212121"/>
          <w:sz w:val="24"/>
          <w:szCs w:val="24"/>
          <w:highlight w:val="white"/>
        </w:rPr>
        <w:t xml:space="preserve">, H., Nicolai, J., </w:t>
      </w:r>
      <w:proofErr w:type="spellStart"/>
      <w:r>
        <w:rPr>
          <w:rFonts w:ascii="Times New Roman" w:eastAsia="Times New Roman" w:hAnsi="Times New Roman" w:cs="Times New Roman"/>
          <w:color w:val="212121"/>
          <w:sz w:val="24"/>
          <w:szCs w:val="24"/>
          <w:highlight w:val="white"/>
        </w:rPr>
        <w:t>Gillent</w:t>
      </w:r>
      <w:proofErr w:type="spellEnd"/>
      <w:r>
        <w:rPr>
          <w:rFonts w:ascii="Times New Roman" w:eastAsia="Times New Roman" w:hAnsi="Times New Roman" w:cs="Times New Roman"/>
          <w:color w:val="212121"/>
          <w:sz w:val="24"/>
          <w:szCs w:val="24"/>
          <w:highlight w:val="white"/>
        </w:rPr>
        <w:t xml:space="preserve">, E., Cornet, M., &amp; Sciberras, D. (2021). Use of a physiologically based pharmacokinetic-pharmacodynamic model for initial dose prediction and escalation </w:t>
      </w:r>
      <w:r>
        <w:rPr>
          <w:rFonts w:ascii="Times New Roman" w:eastAsia="Times New Roman" w:hAnsi="Times New Roman" w:cs="Times New Roman"/>
          <w:color w:val="212121"/>
          <w:sz w:val="24"/>
          <w:szCs w:val="24"/>
          <w:highlight w:val="white"/>
        </w:rPr>
        <w:lastRenderedPageBreak/>
        <w:t xml:space="preserve">during a </w:t>
      </w:r>
      <w:proofErr w:type="spellStart"/>
      <w:r>
        <w:rPr>
          <w:rFonts w:ascii="Times New Roman" w:eastAsia="Times New Roman" w:hAnsi="Times New Roman" w:cs="Times New Roman"/>
          <w:color w:val="212121"/>
          <w:sz w:val="24"/>
          <w:szCs w:val="24"/>
          <w:highlight w:val="white"/>
        </w:rPr>
        <w:t>paediatric</w:t>
      </w:r>
      <w:proofErr w:type="spellEnd"/>
      <w:r>
        <w:rPr>
          <w:rFonts w:ascii="Times New Roman" w:eastAsia="Times New Roman" w:hAnsi="Times New Roman" w:cs="Times New Roman"/>
          <w:color w:val="212121"/>
          <w:sz w:val="24"/>
          <w:szCs w:val="24"/>
          <w:highlight w:val="white"/>
        </w:rPr>
        <w:t xml:space="preserve"> clinical trial. </w:t>
      </w:r>
      <w:r>
        <w:rPr>
          <w:rFonts w:ascii="Times New Roman" w:eastAsia="Times New Roman" w:hAnsi="Times New Roman" w:cs="Times New Roman"/>
          <w:i/>
          <w:color w:val="212121"/>
          <w:sz w:val="24"/>
          <w:szCs w:val="24"/>
          <w:highlight w:val="white"/>
        </w:rPr>
        <w:t>British journal of clinical pharmacology</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87</w:t>
      </w:r>
      <w:r>
        <w:rPr>
          <w:rFonts w:ascii="Times New Roman" w:eastAsia="Times New Roman" w:hAnsi="Times New Roman" w:cs="Times New Roman"/>
          <w:color w:val="212121"/>
          <w:sz w:val="24"/>
          <w:szCs w:val="24"/>
          <w:highlight w:val="white"/>
        </w:rPr>
        <w:t>(3), 1378–1389. https://doi.org/10.1111/bcp.14528</w:t>
      </w:r>
    </w:p>
    <w:p w14:paraId="0BEB7CBA" w14:textId="77777777" w:rsidR="00EA6F24" w:rsidRDefault="003D4D33">
      <w:pPr>
        <w:numPr>
          <w:ilvl w:val="0"/>
          <w:numId w:val="2"/>
        </w:numPr>
        <w:spacing w:after="0" w:line="360" w:lineRule="auto"/>
        <w:jc w:val="both"/>
        <w:rPr>
          <w:rFonts w:ascii="Times New Roman" w:eastAsia="Times New Roman" w:hAnsi="Times New Roman" w:cs="Times New Roman"/>
          <w:color w:val="212121"/>
          <w:highlight w:val="white"/>
        </w:rPr>
      </w:pPr>
      <w:r>
        <w:rPr>
          <w:rFonts w:ascii="Times New Roman" w:eastAsia="Times New Roman" w:hAnsi="Times New Roman" w:cs="Times New Roman"/>
          <w:color w:val="212121"/>
          <w:sz w:val="24"/>
          <w:szCs w:val="24"/>
          <w:highlight w:val="white"/>
        </w:rPr>
        <w:t xml:space="preserve"> European Medicines </w:t>
      </w:r>
      <w:proofErr w:type="gramStart"/>
      <w:r>
        <w:rPr>
          <w:rFonts w:ascii="Times New Roman" w:eastAsia="Times New Roman" w:hAnsi="Times New Roman" w:cs="Times New Roman"/>
          <w:color w:val="212121"/>
          <w:sz w:val="24"/>
          <w:szCs w:val="24"/>
          <w:highlight w:val="white"/>
        </w:rPr>
        <w:t>Agency .</w:t>
      </w:r>
      <w:proofErr w:type="gramEnd"/>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EMA Guideline on the Reporting of Physiologically Based Pharmacokinetic (PBPK) Modelling and Simulation</w:t>
      </w:r>
      <w:r>
        <w:rPr>
          <w:rFonts w:ascii="Times New Roman" w:eastAsia="Times New Roman" w:hAnsi="Times New Roman" w:cs="Times New Roman"/>
          <w:color w:val="212121"/>
          <w:sz w:val="24"/>
          <w:szCs w:val="24"/>
          <w:highlight w:val="white"/>
        </w:rPr>
        <w:t xml:space="preserve">. EMA/CHMP/458101/2016. London: European Medicines Agency; (2018). </w:t>
      </w:r>
    </w:p>
    <w:p w14:paraId="641CB107"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Chang, H. P., </w:t>
      </w:r>
      <w:proofErr w:type="spellStart"/>
      <w:r>
        <w:rPr>
          <w:rFonts w:ascii="Times New Roman" w:eastAsia="Times New Roman" w:hAnsi="Times New Roman" w:cs="Times New Roman"/>
          <w:color w:val="212121"/>
          <w:sz w:val="24"/>
          <w:szCs w:val="24"/>
          <w:highlight w:val="white"/>
        </w:rPr>
        <w:t>Shakhnovich</w:t>
      </w:r>
      <w:proofErr w:type="spellEnd"/>
      <w:r>
        <w:rPr>
          <w:rFonts w:ascii="Times New Roman" w:eastAsia="Times New Roman" w:hAnsi="Times New Roman" w:cs="Times New Roman"/>
          <w:color w:val="212121"/>
          <w:sz w:val="24"/>
          <w:szCs w:val="24"/>
          <w:highlight w:val="white"/>
        </w:rPr>
        <w:t xml:space="preserve">, V., </w:t>
      </w:r>
      <w:proofErr w:type="spellStart"/>
      <w:r>
        <w:rPr>
          <w:rFonts w:ascii="Times New Roman" w:eastAsia="Times New Roman" w:hAnsi="Times New Roman" w:cs="Times New Roman"/>
          <w:color w:val="212121"/>
          <w:sz w:val="24"/>
          <w:szCs w:val="24"/>
          <w:highlight w:val="white"/>
        </w:rPr>
        <w:t>Frymoyer</w:t>
      </w:r>
      <w:proofErr w:type="spellEnd"/>
      <w:r>
        <w:rPr>
          <w:rFonts w:ascii="Times New Roman" w:eastAsia="Times New Roman" w:hAnsi="Times New Roman" w:cs="Times New Roman"/>
          <w:color w:val="212121"/>
          <w:sz w:val="24"/>
          <w:szCs w:val="24"/>
          <w:highlight w:val="white"/>
        </w:rPr>
        <w:t xml:space="preserve">, A., Funk, R. S., Becker, M. L., Park, K. T., &amp; Shah, D. K. (2022). A population physiologically-based pharmacokinetic model to characterize antibody disposition in pediatrics and evaluation of the model using infliximab. </w:t>
      </w:r>
      <w:r>
        <w:rPr>
          <w:rFonts w:ascii="Times New Roman" w:eastAsia="Times New Roman" w:hAnsi="Times New Roman" w:cs="Times New Roman"/>
          <w:i/>
          <w:color w:val="212121"/>
          <w:sz w:val="24"/>
          <w:szCs w:val="24"/>
          <w:highlight w:val="white"/>
        </w:rPr>
        <w:t>British journal of clinical pharmacology</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88</w:t>
      </w:r>
      <w:r>
        <w:rPr>
          <w:rFonts w:ascii="Times New Roman" w:eastAsia="Times New Roman" w:hAnsi="Times New Roman" w:cs="Times New Roman"/>
          <w:color w:val="212121"/>
          <w:sz w:val="24"/>
          <w:szCs w:val="24"/>
          <w:highlight w:val="white"/>
        </w:rPr>
        <w:t>(1), 290–302. https://doi.org/10.1111/bcp.14963</w:t>
      </w:r>
    </w:p>
    <w:p w14:paraId="3BC041FE"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Johnson, T. N., Cleary, Y., Parrott, N., </w:t>
      </w:r>
      <w:proofErr w:type="spellStart"/>
      <w:r>
        <w:rPr>
          <w:rFonts w:ascii="Times New Roman" w:eastAsia="Times New Roman" w:hAnsi="Times New Roman" w:cs="Times New Roman"/>
          <w:color w:val="212121"/>
          <w:sz w:val="24"/>
          <w:szCs w:val="24"/>
          <w:highlight w:val="white"/>
        </w:rPr>
        <w:t>Reigner</w:t>
      </w:r>
      <w:proofErr w:type="spellEnd"/>
      <w:r>
        <w:rPr>
          <w:rFonts w:ascii="Times New Roman" w:eastAsia="Times New Roman" w:hAnsi="Times New Roman" w:cs="Times New Roman"/>
          <w:color w:val="212121"/>
          <w:sz w:val="24"/>
          <w:szCs w:val="24"/>
          <w:highlight w:val="white"/>
        </w:rPr>
        <w:t xml:space="preserve">, B., Smith, J. R., &amp; </w:t>
      </w:r>
      <w:proofErr w:type="spellStart"/>
      <w:r>
        <w:rPr>
          <w:rFonts w:ascii="Times New Roman" w:eastAsia="Times New Roman" w:hAnsi="Times New Roman" w:cs="Times New Roman"/>
          <w:color w:val="212121"/>
          <w:sz w:val="24"/>
          <w:szCs w:val="24"/>
          <w:highlight w:val="white"/>
        </w:rPr>
        <w:t>Toovey</w:t>
      </w:r>
      <w:proofErr w:type="spellEnd"/>
      <w:r>
        <w:rPr>
          <w:rFonts w:ascii="Times New Roman" w:eastAsia="Times New Roman" w:hAnsi="Times New Roman" w:cs="Times New Roman"/>
          <w:color w:val="212121"/>
          <w:sz w:val="24"/>
          <w:szCs w:val="24"/>
          <w:highlight w:val="white"/>
        </w:rPr>
        <w:t xml:space="preserve">, S. (2019). Development of a physiologically based pharmacokinetic model for mefloquine and its application alongside a clinical effectiveness model to select an optimal dose for prevention of malaria in young Caucasian children. </w:t>
      </w:r>
      <w:r>
        <w:rPr>
          <w:rFonts w:ascii="Times New Roman" w:eastAsia="Times New Roman" w:hAnsi="Times New Roman" w:cs="Times New Roman"/>
          <w:i/>
          <w:color w:val="212121"/>
          <w:sz w:val="24"/>
          <w:szCs w:val="24"/>
          <w:highlight w:val="white"/>
        </w:rPr>
        <w:t>British journal of clinical pharmacology</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85</w:t>
      </w:r>
      <w:r>
        <w:rPr>
          <w:rFonts w:ascii="Times New Roman" w:eastAsia="Times New Roman" w:hAnsi="Times New Roman" w:cs="Times New Roman"/>
          <w:color w:val="212121"/>
          <w:sz w:val="24"/>
          <w:szCs w:val="24"/>
          <w:highlight w:val="white"/>
        </w:rPr>
        <w:t>(1), 100–113. https://doi.org/10.1111/bcp.13764</w:t>
      </w:r>
    </w:p>
    <w:p w14:paraId="59B08F0E"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Zhao, P., Rowland, M., &amp; Huang, S. M. (2012). Best practice in the use of physiologically based pharmacokinetic modeling and simulation to address clinical pharmacology regulatory questions. </w:t>
      </w:r>
      <w:r>
        <w:rPr>
          <w:rFonts w:ascii="Times New Roman" w:eastAsia="Times New Roman" w:hAnsi="Times New Roman" w:cs="Times New Roman"/>
          <w:i/>
          <w:color w:val="212121"/>
          <w:sz w:val="24"/>
          <w:szCs w:val="24"/>
          <w:highlight w:val="white"/>
        </w:rPr>
        <w:t>Clinical pharmacology and therapeutics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92</w:t>
      </w:r>
      <w:r>
        <w:rPr>
          <w:rFonts w:ascii="Times New Roman" w:eastAsia="Times New Roman" w:hAnsi="Times New Roman" w:cs="Times New Roman"/>
          <w:color w:val="212121"/>
          <w:sz w:val="24"/>
          <w:szCs w:val="24"/>
          <w:highlight w:val="white"/>
        </w:rPr>
        <w:t>(1), 17–20. https://doi.org/10.1038/clpt.2012.68</w:t>
      </w:r>
    </w:p>
    <w:p w14:paraId="656CE77F"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Rasool, M. F., Khalil, F., &amp; </w:t>
      </w:r>
      <w:proofErr w:type="spellStart"/>
      <w:r>
        <w:rPr>
          <w:rFonts w:ascii="Times New Roman" w:eastAsia="Times New Roman" w:hAnsi="Times New Roman" w:cs="Times New Roman"/>
          <w:color w:val="212121"/>
          <w:sz w:val="24"/>
          <w:szCs w:val="24"/>
          <w:highlight w:val="white"/>
        </w:rPr>
        <w:t>Läer</w:t>
      </w:r>
      <w:proofErr w:type="spellEnd"/>
      <w:r>
        <w:rPr>
          <w:rFonts w:ascii="Times New Roman" w:eastAsia="Times New Roman" w:hAnsi="Times New Roman" w:cs="Times New Roman"/>
          <w:color w:val="212121"/>
          <w:sz w:val="24"/>
          <w:szCs w:val="24"/>
          <w:highlight w:val="white"/>
        </w:rPr>
        <w:t xml:space="preserve">, S. (2015). A physiologically based pharmacokinetic drug-disease model to predict carvedilol exposure in adult and </w:t>
      </w:r>
      <w:proofErr w:type="spellStart"/>
      <w:r>
        <w:rPr>
          <w:rFonts w:ascii="Times New Roman" w:eastAsia="Times New Roman" w:hAnsi="Times New Roman" w:cs="Times New Roman"/>
          <w:color w:val="212121"/>
          <w:sz w:val="24"/>
          <w:szCs w:val="24"/>
          <w:highlight w:val="white"/>
        </w:rPr>
        <w:t>paediatric</w:t>
      </w:r>
      <w:proofErr w:type="spellEnd"/>
      <w:r>
        <w:rPr>
          <w:rFonts w:ascii="Times New Roman" w:eastAsia="Times New Roman" w:hAnsi="Times New Roman" w:cs="Times New Roman"/>
          <w:color w:val="212121"/>
          <w:sz w:val="24"/>
          <w:szCs w:val="24"/>
          <w:highlight w:val="white"/>
        </w:rPr>
        <w:t xml:space="preserve"> heart failure patients by incorporating pathophysiological changes in hepatic and renal blood flows. </w:t>
      </w:r>
      <w:r>
        <w:rPr>
          <w:rFonts w:ascii="Times New Roman" w:eastAsia="Times New Roman" w:hAnsi="Times New Roman" w:cs="Times New Roman"/>
          <w:i/>
          <w:color w:val="212121"/>
          <w:sz w:val="24"/>
          <w:szCs w:val="24"/>
          <w:highlight w:val="white"/>
        </w:rPr>
        <w:t>Clinical pharmacokinetics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54</w:t>
      </w:r>
      <w:r>
        <w:rPr>
          <w:rFonts w:ascii="Times New Roman" w:eastAsia="Times New Roman" w:hAnsi="Times New Roman" w:cs="Times New Roman"/>
          <w:color w:val="212121"/>
          <w:sz w:val="24"/>
          <w:szCs w:val="24"/>
          <w:highlight w:val="white"/>
        </w:rPr>
        <w:t>(9), 943–962. https://doi.org/10.1007/s40262-015-0253-7</w:t>
      </w:r>
    </w:p>
    <w:p w14:paraId="1DF9E40E"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Khalil, F., &amp; </w:t>
      </w:r>
      <w:proofErr w:type="spellStart"/>
      <w:r>
        <w:rPr>
          <w:rFonts w:ascii="Times New Roman" w:eastAsia="Times New Roman" w:hAnsi="Times New Roman" w:cs="Times New Roman"/>
          <w:color w:val="212121"/>
          <w:sz w:val="24"/>
          <w:szCs w:val="24"/>
          <w:highlight w:val="white"/>
        </w:rPr>
        <w:t>Läer</w:t>
      </w:r>
      <w:proofErr w:type="spellEnd"/>
      <w:r>
        <w:rPr>
          <w:rFonts w:ascii="Times New Roman" w:eastAsia="Times New Roman" w:hAnsi="Times New Roman" w:cs="Times New Roman"/>
          <w:color w:val="212121"/>
          <w:sz w:val="24"/>
          <w:szCs w:val="24"/>
          <w:highlight w:val="white"/>
        </w:rPr>
        <w:t xml:space="preserve">, S. (2014). Physiologically based pharmacokinetic models in the prediction of oral drug exposure over the entire pediatric age range-sotalol as a model drug. </w:t>
      </w:r>
      <w:r>
        <w:rPr>
          <w:rFonts w:ascii="Times New Roman" w:eastAsia="Times New Roman" w:hAnsi="Times New Roman" w:cs="Times New Roman"/>
          <w:i/>
          <w:color w:val="212121"/>
          <w:sz w:val="24"/>
          <w:szCs w:val="24"/>
          <w:highlight w:val="white"/>
        </w:rPr>
        <w:t>The AAPS journal</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16</w:t>
      </w:r>
      <w:r>
        <w:rPr>
          <w:rFonts w:ascii="Times New Roman" w:eastAsia="Times New Roman" w:hAnsi="Times New Roman" w:cs="Times New Roman"/>
          <w:color w:val="212121"/>
          <w:sz w:val="24"/>
          <w:szCs w:val="24"/>
          <w:highlight w:val="white"/>
        </w:rPr>
        <w:t>(2), 226–239. https://doi.org/10.1208/s12248-013-9555-6</w:t>
      </w:r>
    </w:p>
    <w:p w14:paraId="16AEBCAA"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Peters, S. A., &amp; </w:t>
      </w:r>
      <w:proofErr w:type="spellStart"/>
      <w:r>
        <w:rPr>
          <w:rFonts w:ascii="Times New Roman" w:eastAsia="Times New Roman" w:hAnsi="Times New Roman" w:cs="Times New Roman"/>
          <w:color w:val="212121"/>
          <w:sz w:val="24"/>
          <w:szCs w:val="24"/>
          <w:highlight w:val="white"/>
        </w:rPr>
        <w:t>Dolgos</w:t>
      </w:r>
      <w:proofErr w:type="spellEnd"/>
      <w:r>
        <w:rPr>
          <w:rFonts w:ascii="Times New Roman" w:eastAsia="Times New Roman" w:hAnsi="Times New Roman" w:cs="Times New Roman"/>
          <w:color w:val="212121"/>
          <w:sz w:val="24"/>
          <w:szCs w:val="24"/>
          <w:highlight w:val="white"/>
        </w:rPr>
        <w:t xml:space="preserve">, H. (2019). Requirements to Establishing Confidence in Physiologically Based Pharmacokinetic (PBPK) Models and Overcoming Some of </w:t>
      </w:r>
      <w:r>
        <w:rPr>
          <w:rFonts w:ascii="Times New Roman" w:eastAsia="Times New Roman" w:hAnsi="Times New Roman" w:cs="Times New Roman"/>
          <w:color w:val="212121"/>
          <w:sz w:val="24"/>
          <w:szCs w:val="24"/>
          <w:highlight w:val="white"/>
        </w:rPr>
        <w:lastRenderedPageBreak/>
        <w:t xml:space="preserve">the Challenges to Meeting Them. </w:t>
      </w:r>
      <w:r>
        <w:rPr>
          <w:rFonts w:ascii="Times New Roman" w:eastAsia="Times New Roman" w:hAnsi="Times New Roman" w:cs="Times New Roman"/>
          <w:i/>
          <w:color w:val="212121"/>
          <w:sz w:val="24"/>
          <w:szCs w:val="24"/>
          <w:highlight w:val="white"/>
        </w:rPr>
        <w:t>Clinical pharmacokinetics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58</w:t>
      </w:r>
      <w:r>
        <w:rPr>
          <w:rFonts w:ascii="Times New Roman" w:eastAsia="Times New Roman" w:hAnsi="Times New Roman" w:cs="Times New Roman"/>
          <w:color w:val="212121"/>
          <w:sz w:val="24"/>
          <w:szCs w:val="24"/>
          <w:highlight w:val="white"/>
        </w:rPr>
        <w:t>(11), 1355–1371. https://doi.org/10.1007/s40262-019-00790-0</w:t>
      </w:r>
    </w:p>
    <w:p w14:paraId="4888757D"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Food and Drug Administration. (1998) Guidance for Industry: General Considerations for Pediatric Pharmacokinetic Studies for Drugs and Biological Products. Rockville, MD: FDA Center for Drug Evaluation and Research.</w:t>
      </w:r>
    </w:p>
    <w:p w14:paraId="36100AF0" w14:textId="77777777" w:rsidR="00EA6F24" w:rsidRDefault="003D4D33">
      <w:pPr>
        <w:numPr>
          <w:ilvl w:val="0"/>
          <w:numId w:val="2"/>
        </w:numPr>
        <w:spacing w:line="360" w:lineRule="auto"/>
        <w:jc w:val="both"/>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Temrikar</w:t>
      </w:r>
      <w:proofErr w:type="spellEnd"/>
      <w:r>
        <w:rPr>
          <w:rFonts w:ascii="Times New Roman" w:eastAsia="Times New Roman" w:hAnsi="Times New Roman" w:cs="Times New Roman"/>
          <w:sz w:val="24"/>
          <w:szCs w:val="24"/>
          <w:highlight w:val="white"/>
        </w:rPr>
        <w:t xml:space="preserve">, Z. H., </w:t>
      </w:r>
      <w:proofErr w:type="spellStart"/>
      <w:r>
        <w:rPr>
          <w:rFonts w:ascii="Times New Roman" w:eastAsia="Times New Roman" w:hAnsi="Times New Roman" w:cs="Times New Roman"/>
          <w:sz w:val="24"/>
          <w:szCs w:val="24"/>
          <w:highlight w:val="white"/>
        </w:rPr>
        <w:t>Suryawanshi</w:t>
      </w:r>
      <w:proofErr w:type="spellEnd"/>
      <w:r>
        <w:rPr>
          <w:rFonts w:ascii="Times New Roman" w:eastAsia="Times New Roman" w:hAnsi="Times New Roman" w:cs="Times New Roman"/>
          <w:sz w:val="24"/>
          <w:szCs w:val="24"/>
          <w:highlight w:val="white"/>
        </w:rPr>
        <w:t xml:space="preserve">, S., &amp; </w:t>
      </w:r>
      <w:proofErr w:type="spellStart"/>
      <w:r>
        <w:rPr>
          <w:rFonts w:ascii="Times New Roman" w:eastAsia="Times New Roman" w:hAnsi="Times New Roman" w:cs="Times New Roman"/>
          <w:sz w:val="24"/>
          <w:szCs w:val="24"/>
          <w:highlight w:val="white"/>
        </w:rPr>
        <w:t>Meibohm</w:t>
      </w:r>
      <w:proofErr w:type="spellEnd"/>
      <w:r>
        <w:rPr>
          <w:rFonts w:ascii="Times New Roman" w:eastAsia="Times New Roman" w:hAnsi="Times New Roman" w:cs="Times New Roman"/>
          <w:sz w:val="24"/>
          <w:szCs w:val="24"/>
          <w:highlight w:val="white"/>
        </w:rPr>
        <w:t xml:space="preserve">, B. (2020). Pharmacokinetics and Clinical Pharmacology of Monoclonal Antibodies in Pediatric Patients. </w:t>
      </w:r>
      <w:proofErr w:type="spellStart"/>
      <w:r>
        <w:rPr>
          <w:rFonts w:ascii="Times New Roman" w:eastAsia="Times New Roman" w:hAnsi="Times New Roman" w:cs="Times New Roman"/>
          <w:i/>
          <w:sz w:val="24"/>
          <w:szCs w:val="24"/>
          <w:highlight w:val="white"/>
        </w:rPr>
        <w:t>Paediatric</w:t>
      </w:r>
      <w:proofErr w:type="spellEnd"/>
      <w:r>
        <w:rPr>
          <w:rFonts w:ascii="Times New Roman" w:eastAsia="Times New Roman" w:hAnsi="Times New Roman" w:cs="Times New Roman"/>
          <w:i/>
          <w:sz w:val="24"/>
          <w:szCs w:val="24"/>
          <w:highlight w:val="white"/>
        </w:rPr>
        <w:t xml:space="preserve"> drugs</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22</w:t>
      </w:r>
      <w:r>
        <w:rPr>
          <w:rFonts w:ascii="Times New Roman" w:eastAsia="Times New Roman" w:hAnsi="Times New Roman" w:cs="Times New Roman"/>
          <w:sz w:val="24"/>
          <w:szCs w:val="24"/>
          <w:highlight w:val="white"/>
        </w:rPr>
        <w:t xml:space="preserve">(2), 199–216. </w:t>
      </w:r>
      <w:hyperlink r:id="rId11">
        <w:r>
          <w:rPr>
            <w:rFonts w:ascii="Times New Roman" w:eastAsia="Times New Roman" w:hAnsi="Times New Roman" w:cs="Times New Roman"/>
            <w:sz w:val="24"/>
            <w:szCs w:val="24"/>
            <w:highlight w:val="white"/>
          </w:rPr>
          <w:t>https://doi.org/10.1007/s40272-020-00382-7</w:t>
        </w:r>
      </w:hyperlink>
    </w:p>
    <w:p w14:paraId="20805A74"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Lando</w:t>
      </w:r>
      <w:proofErr w:type="spellEnd"/>
      <w:r>
        <w:rPr>
          <w:rFonts w:ascii="Times New Roman" w:eastAsia="Times New Roman" w:hAnsi="Times New Roman" w:cs="Times New Roman"/>
          <w:color w:val="212121"/>
          <w:sz w:val="24"/>
          <w:szCs w:val="24"/>
          <w:highlight w:val="white"/>
        </w:rPr>
        <w:t xml:space="preserve">, H. M., </w:t>
      </w:r>
      <w:proofErr w:type="spellStart"/>
      <w:r>
        <w:rPr>
          <w:rFonts w:ascii="Times New Roman" w:eastAsia="Times New Roman" w:hAnsi="Times New Roman" w:cs="Times New Roman"/>
          <w:color w:val="212121"/>
          <w:sz w:val="24"/>
          <w:szCs w:val="24"/>
          <w:highlight w:val="white"/>
        </w:rPr>
        <w:t>Alattar</w:t>
      </w:r>
      <w:proofErr w:type="spellEnd"/>
      <w:r>
        <w:rPr>
          <w:rFonts w:ascii="Times New Roman" w:eastAsia="Times New Roman" w:hAnsi="Times New Roman" w:cs="Times New Roman"/>
          <w:color w:val="212121"/>
          <w:sz w:val="24"/>
          <w:szCs w:val="24"/>
          <w:highlight w:val="white"/>
        </w:rPr>
        <w:t xml:space="preserve">, M., &amp; </w:t>
      </w:r>
      <w:proofErr w:type="spellStart"/>
      <w:r>
        <w:rPr>
          <w:rFonts w:ascii="Times New Roman" w:eastAsia="Times New Roman" w:hAnsi="Times New Roman" w:cs="Times New Roman"/>
          <w:color w:val="212121"/>
          <w:sz w:val="24"/>
          <w:szCs w:val="24"/>
          <w:highlight w:val="white"/>
        </w:rPr>
        <w:t>Dua</w:t>
      </w:r>
      <w:proofErr w:type="spellEnd"/>
      <w:r>
        <w:rPr>
          <w:rFonts w:ascii="Times New Roman" w:eastAsia="Times New Roman" w:hAnsi="Times New Roman" w:cs="Times New Roman"/>
          <w:color w:val="212121"/>
          <w:sz w:val="24"/>
          <w:szCs w:val="24"/>
          <w:highlight w:val="white"/>
        </w:rPr>
        <w:t xml:space="preserve">, A. P. (2012). Elevated amylase and lipase levels in patients using glucagonlike peptide-1 receptor agonists or dipeptidyl-peptidase-4 inhibitors in the outpatient setting. </w:t>
      </w:r>
      <w:r>
        <w:rPr>
          <w:rFonts w:ascii="Times New Roman" w:eastAsia="Times New Roman" w:hAnsi="Times New Roman" w:cs="Times New Roman"/>
          <w:i/>
          <w:color w:val="212121"/>
          <w:sz w:val="24"/>
          <w:szCs w:val="24"/>
          <w:highlight w:val="white"/>
        </w:rPr>
        <w:t xml:space="preserve">Endocrine </w:t>
      </w:r>
      <w:proofErr w:type="gramStart"/>
      <w:r>
        <w:rPr>
          <w:rFonts w:ascii="Times New Roman" w:eastAsia="Times New Roman" w:hAnsi="Times New Roman" w:cs="Times New Roman"/>
          <w:i/>
          <w:color w:val="212121"/>
          <w:sz w:val="24"/>
          <w:szCs w:val="24"/>
          <w:highlight w:val="white"/>
        </w:rPr>
        <w:t>practice :</w:t>
      </w:r>
      <w:proofErr w:type="gramEnd"/>
      <w:r>
        <w:rPr>
          <w:rFonts w:ascii="Times New Roman" w:eastAsia="Times New Roman" w:hAnsi="Times New Roman" w:cs="Times New Roman"/>
          <w:i/>
          <w:color w:val="212121"/>
          <w:sz w:val="24"/>
          <w:szCs w:val="24"/>
          <w:highlight w:val="white"/>
        </w:rPr>
        <w:t xml:space="preserve"> official journal of the American College of Endocrinology and the American Association of Clinical Endocrinologists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18</w:t>
      </w:r>
      <w:r>
        <w:rPr>
          <w:rFonts w:ascii="Times New Roman" w:eastAsia="Times New Roman" w:hAnsi="Times New Roman" w:cs="Times New Roman"/>
          <w:color w:val="212121"/>
          <w:sz w:val="24"/>
          <w:szCs w:val="24"/>
          <w:highlight w:val="white"/>
        </w:rPr>
        <w:t>(4), 472–477. https://doi.org/10.4158/EP11290.OR</w:t>
      </w:r>
    </w:p>
    <w:p w14:paraId="771ACFA1"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Smits, M. M., &amp; Van </w:t>
      </w:r>
      <w:proofErr w:type="spellStart"/>
      <w:r>
        <w:rPr>
          <w:rFonts w:ascii="Times New Roman" w:eastAsia="Times New Roman" w:hAnsi="Times New Roman" w:cs="Times New Roman"/>
          <w:color w:val="212121"/>
          <w:sz w:val="24"/>
          <w:szCs w:val="24"/>
          <w:highlight w:val="white"/>
        </w:rPr>
        <w:t>Raalte</w:t>
      </w:r>
      <w:proofErr w:type="spellEnd"/>
      <w:r>
        <w:rPr>
          <w:rFonts w:ascii="Times New Roman" w:eastAsia="Times New Roman" w:hAnsi="Times New Roman" w:cs="Times New Roman"/>
          <w:color w:val="212121"/>
          <w:sz w:val="24"/>
          <w:szCs w:val="24"/>
          <w:highlight w:val="white"/>
        </w:rPr>
        <w:t xml:space="preserve">, D. H. (2021). Safety of </w:t>
      </w:r>
      <w:proofErr w:type="spellStart"/>
      <w:r>
        <w:rPr>
          <w:rFonts w:ascii="Times New Roman" w:eastAsia="Times New Roman" w:hAnsi="Times New Roman" w:cs="Times New Roman"/>
          <w:color w:val="212121"/>
          <w:sz w:val="24"/>
          <w:szCs w:val="24"/>
          <w:highlight w:val="white"/>
        </w:rPr>
        <w:t>Semaglutide</w:t>
      </w:r>
      <w:proofErr w:type="spellEnd"/>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Frontiers in endocrinology</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12</w:t>
      </w:r>
      <w:r>
        <w:rPr>
          <w:rFonts w:ascii="Times New Roman" w:eastAsia="Times New Roman" w:hAnsi="Times New Roman" w:cs="Times New Roman"/>
          <w:color w:val="212121"/>
          <w:sz w:val="24"/>
          <w:szCs w:val="24"/>
          <w:highlight w:val="white"/>
        </w:rPr>
        <w:t>, 645563. https://doi.org/10.3389/fendo.2021.645563</w:t>
      </w:r>
    </w:p>
    <w:p w14:paraId="5A9C5C3B"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Davies, M., </w:t>
      </w:r>
      <w:proofErr w:type="spellStart"/>
      <w:r>
        <w:rPr>
          <w:rFonts w:ascii="Times New Roman" w:eastAsia="Times New Roman" w:hAnsi="Times New Roman" w:cs="Times New Roman"/>
          <w:color w:val="212121"/>
          <w:sz w:val="24"/>
          <w:szCs w:val="24"/>
          <w:highlight w:val="white"/>
        </w:rPr>
        <w:t>Pieber</w:t>
      </w:r>
      <w:proofErr w:type="spellEnd"/>
      <w:r>
        <w:rPr>
          <w:rFonts w:ascii="Times New Roman" w:eastAsia="Times New Roman" w:hAnsi="Times New Roman" w:cs="Times New Roman"/>
          <w:color w:val="212121"/>
          <w:sz w:val="24"/>
          <w:szCs w:val="24"/>
          <w:highlight w:val="white"/>
        </w:rPr>
        <w:t xml:space="preserve">, T. R., </w:t>
      </w:r>
      <w:proofErr w:type="spellStart"/>
      <w:r>
        <w:rPr>
          <w:rFonts w:ascii="Times New Roman" w:eastAsia="Times New Roman" w:hAnsi="Times New Roman" w:cs="Times New Roman"/>
          <w:color w:val="212121"/>
          <w:sz w:val="24"/>
          <w:szCs w:val="24"/>
          <w:highlight w:val="white"/>
        </w:rPr>
        <w:t>Hartoft</w:t>
      </w:r>
      <w:proofErr w:type="spellEnd"/>
      <w:r>
        <w:rPr>
          <w:rFonts w:ascii="Times New Roman" w:eastAsia="Times New Roman" w:hAnsi="Times New Roman" w:cs="Times New Roman"/>
          <w:color w:val="212121"/>
          <w:sz w:val="24"/>
          <w:szCs w:val="24"/>
          <w:highlight w:val="white"/>
        </w:rPr>
        <w:t xml:space="preserve">-Nielsen, M. L., Hansen, O. K. H., </w:t>
      </w:r>
      <w:proofErr w:type="spellStart"/>
      <w:r>
        <w:rPr>
          <w:rFonts w:ascii="Times New Roman" w:eastAsia="Times New Roman" w:hAnsi="Times New Roman" w:cs="Times New Roman"/>
          <w:color w:val="212121"/>
          <w:sz w:val="24"/>
          <w:szCs w:val="24"/>
          <w:highlight w:val="white"/>
        </w:rPr>
        <w:t>Jabbour</w:t>
      </w:r>
      <w:proofErr w:type="spellEnd"/>
      <w:r>
        <w:rPr>
          <w:rFonts w:ascii="Times New Roman" w:eastAsia="Times New Roman" w:hAnsi="Times New Roman" w:cs="Times New Roman"/>
          <w:color w:val="212121"/>
          <w:sz w:val="24"/>
          <w:szCs w:val="24"/>
          <w:highlight w:val="white"/>
        </w:rPr>
        <w:t xml:space="preserve">, S., &amp; Rosenstock, J. (2017). Effect of Oral </w:t>
      </w:r>
      <w:proofErr w:type="spellStart"/>
      <w:r>
        <w:rPr>
          <w:rFonts w:ascii="Times New Roman" w:eastAsia="Times New Roman" w:hAnsi="Times New Roman" w:cs="Times New Roman"/>
          <w:color w:val="212121"/>
          <w:sz w:val="24"/>
          <w:szCs w:val="24"/>
          <w:highlight w:val="white"/>
        </w:rPr>
        <w:t>Semaglutide</w:t>
      </w:r>
      <w:proofErr w:type="spellEnd"/>
      <w:r>
        <w:rPr>
          <w:rFonts w:ascii="Times New Roman" w:eastAsia="Times New Roman" w:hAnsi="Times New Roman" w:cs="Times New Roman"/>
          <w:color w:val="212121"/>
          <w:sz w:val="24"/>
          <w:szCs w:val="24"/>
          <w:highlight w:val="white"/>
        </w:rPr>
        <w:t xml:space="preserve"> Compared </w:t>
      </w:r>
      <w:proofErr w:type="gramStart"/>
      <w:r>
        <w:rPr>
          <w:rFonts w:ascii="Times New Roman" w:eastAsia="Times New Roman" w:hAnsi="Times New Roman" w:cs="Times New Roman"/>
          <w:color w:val="212121"/>
          <w:sz w:val="24"/>
          <w:szCs w:val="24"/>
          <w:highlight w:val="white"/>
        </w:rPr>
        <w:t>With</w:t>
      </w:r>
      <w:proofErr w:type="gramEnd"/>
      <w:r>
        <w:rPr>
          <w:rFonts w:ascii="Times New Roman" w:eastAsia="Times New Roman" w:hAnsi="Times New Roman" w:cs="Times New Roman"/>
          <w:color w:val="212121"/>
          <w:sz w:val="24"/>
          <w:szCs w:val="24"/>
          <w:highlight w:val="white"/>
        </w:rPr>
        <w:t xml:space="preserve"> Placebo and Subcutaneous </w:t>
      </w:r>
      <w:proofErr w:type="spellStart"/>
      <w:r>
        <w:rPr>
          <w:rFonts w:ascii="Times New Roman" w:eastAsia="Times New Roman" w:hAnsi="Times New Roman" w:cs="Times New Roman"/>
          <w:color w:val="212121"/>
          <w:sz w:val="24"/>
          <w:szCs w:val="24"/>
          <w:highlight w:val="white"/>
        </w:rPr>
        <w:t>Semaglutide</w:t>
      </w:r>
      <w:proofErr w:type="spellEnd"/>
      <w:r>
        <w:rPr>
          <w:rFonts w:ascii="Times New Roman" w:eastAsia="Times New Roman" w:hAnsi="Times New Roman" w:cs="Times New Roman"/>
          <w:color w:val="212121"/>
          <w:sz w:val="24"/>
          <w:szCs w:val="24"/>
          <w:highlight w:val="white"/>
        </w:rPr>
        <w:t xml:space="preserve"> on Glycemic Control in Patients With Type 2 Diabetes: A Randomized Clinical Trial. </w:t>
      </w:r>
      <w:r>
        <w:rPr>
          <w:rFonts w:ascii="Times New Roman" w:eastAsia="Times New Roman" w:hAnsi="Times New Roman" w:cs="Times New Roman"/>
          <w:i/>
          <w:color w:val="212121"/>
          <w:sz w:val="24"/>
          <w:szCs w:val="24"/>
          <w:highlight w:val="white"/>
        </w:rPr>
        <w:t>JAMA</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318</w:t>
      </w:r>
      <w:r>
        <w:rPr>
          <w:rFonts w:ascii="Times New Roman" w:eastAsia="Times New Roman" w:hAnsi="Times New Roman" w:cs="Times New Roman"/>
          <w:color w:val="212121"/>
          <w:sz w:val="24"/>
          <w:szCs w:val="24"/>
          <w:highlight w:val="white"/>
        </w:rPr>
        <w:t>(15), 1460–1470. https://doi.org/10.1001/jama.2017.14752</w:t>
      </w:r>
    </w:p>
    <w:p w14:paraId="3B8B304E"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Twig, G., Zucker, I., Afek, A., Cukierman-</w:t>
      </w:r>
      <w:proofErr w:type="spellStart"/>
      <w:r>
        <w:rPr>
          <w:rFonts w:ascii="Times New Roman" w:eastAsia="Times New Roman" w:hAnsi="Times New Roman" w:cs="Times New Roman"/>
          <w:color w:val="212121"/>
          <w:sz w:val="24"/>
          <w:szCs w:val="24"/>
          <w:highlight w:val="white"/>
        </w:rPr>
        <w:t>Yaffe</w:t>
      </w:r>
      <w:proofErr w:type="spellEnd"/>
      <w:r>
        <w:rPr>
          <w:rFonts w:ascii="Times New Roman" w:eastAsia="Times New Roman" w:hAnsi="Times New Roman" w:cs="Times New Roman"/>
          <w:color w:val="212121"/>
          <w:sz w:val="24"/>
          <w:szCs w:val="24"/>
          <w:highlight w:val="white"/>
        </w:rPr>
        <w:t xml:space="preserve">, T., </w:t>
      </w:r>
      <w:proofErr w:type="spellStart"/>
      <w:r>
        <w:rPr>
          <w:rFonts w:ascii="Times New Roman" w:eastAsia="Times New Roman" w:hAnsi="Times New Roman" w:cs="Times New Roman"/>
          <w:color w:val="212121"/>
          <w:sz w:val="24"/>
          <w:szCs w:val="24"/>
          <w:highlight w:val="white"/>
        </w:rPr>
        <w:t>Bendor</w:t>
      </w:r>
      <w:proofErr w:type="spellEnd"/>
      <w:r>
        <w:rPr>
          <w:rFonts w:ascii="Times New Roman" w:eastAsia="Times New Roman" w:hAnsi="Times New Roman" w:cs="Times New Roman"/>
          <w:color w:val="212121"/>
          <w:sz w:val="24"/>
          <w:szCs w:val="24"/>
          <w:highlight w:val="white"/>
        </w:rPr>
        <w:t xml:space="preserve">, C. D., </w:t>
      </w:r>
      <w:proofErr w:type="spellStart"/>
      <w:r>
        <w:rPr>
          <w:rFonts w:ascii="Times New Roman" w:eastAsia="Times New Roman" w:hAnsi="Times New Roman" w:cs="Times New Roman"/>
          <w:color w:val="212121"/>
          <w:sz w:val="24"/>
          <w:szCs w:val="24"/>
          <w:highlight w:val="white"/>
        </w:rPr>
        <w:t>Derazne</w:t>
      </w:r>
      <w:proofErr w:type="spellEnd"/>
      <w:r>
        <w:rPr>
          <w:rFonts w:ascii="Times New Roman" w:eastAsia="Times New Roman" w:hAnsi="Times New Roman" w:cs="Times New Roman"/>
          <w:color w:val="212121"/>
          <w:sz w:val="24"/>
          <w:szCs w:val="24"/>
          <w:highlight w:val="white"/>
        </w:rPr>
        <w:t xml:space="preserve">, E., </w:t>
      </w:r>
      <w:proofErr w:type="spellStart"/>
      <w:r>
        <w:rPr>
          <w:rFonts w:ascii="Times New Roman" w:eastAsia="Times New Roman" w:hAnsi="Times New Roman" w:cs="Times New Roman"/>
          <w:color w:val="212121"/>
          <w:sz w:val="24"/>
          <w:szCs w:val="24"/>
          <w:highlight w:val="white"/>
        </w:rPr>
        <w:t>Lutski</w:t>
      </w:r>
      <w:proofErr w:type="spellEnd"/>
      <w:r>
        <w:rPr>
          <w:rFonts w:ascii="Times New Roman" w:eastAsia="Times New Roman" w:hAnsi="Times New Roman" w:cs="Times New Roman"/>
          <w:color w:val="212121"/>
          <w:sz w:val="24"/>
          <w:szCs w:val="24"/>
          <w:highlight w:val="white"/>
        </w:rPr>
        <w:t xml:space="preserve">, M., </w:t>
      </w:r>
      <w:proofErr w:type="spellStart"/>
      <w:r>
        <w:rPr>
          <w:rFonts w:ascii="Times New Roman" w:eastAsia="Times New Roman" w:hAnsi="Times New Roman" w:cs="Times New Roman"/>
          <w:color w:val="212121"/>
          <w:sz w:val="24"/>
          <w:szCs w:val="24"/>
          <w:highlight w:val="white"/>
        </w:rPr>
        <w:t>Shohat</w:t>
      </w:r>
      <w:proofErr w:type="spellEnd"/>
      <w:r>
        <w:rPr>
          <w:rFonts w:ascii="Times New Roman" w:eastAsia="Times New Roman" w:hAnsi="Times New Roman" w:cs="Times New Roman"/>
          <w:color w:val="212121"/>
          <w:sz w:val="24"/>
          <w:szCs w:val="24"/>
          <w:highlight w:val="white"/>
        </w:rPr>
        <w:t xml:space="preserve">, T., </w:t>
      </w:r>
      <w:proofErr w:type="spellStart"/>
      <w:r>
        <w:rPr>
          <w:rFonts w:ascii="Times New Roman" w:eastAsia="Times New Roman" w:hAnsi="Times New Roman" w:cs="Times New Roman"/>
          <w:color w:val="212121"/>
          <w:sz w:val="24"/>
          <w:szCs w:val="24"/>
          <w:highlight w:val="white"/>
        </w:rPr>
        <w:t>Mosenzon</w:t>
      </w:r>
      <w:proofErr w:type="spellEnd"/>
      <w:r>
        <w:rPr>
          <w:rFonts w:ascii="Times New Roman" w:eastAsia="Times New Roman" w:hAnsi="Times New Roman" w:cs="Times New Roman"/>
          <w:color w:val="212121"/>
          <w:sz w:val="24"/>
          <w:szCs w:val="24"/>
          <w:highlight w:val="white"/>
        </w:rPr>
        <w:t xml:space="preserve">, O., </w:t>
      </w:r>
      <w:proofErr w:type="spellStart"/>
      <w:r>
        <w:rPr>
          <w:rFonts w:ascii="Times New Roman" w:eastAsia="Times New Roman" w:hAnsi="Times New Roman" w:cs="Times New Roman"/>
          <w:color w:val="212121"/>
          <w:sz w:val="24"/>
          <w:szCs w:val="24"/>
          <w:highlight w:val="white"/>
        </w:rPr>
        <w:t>Tzur</w:t>
      </w:r>
      <w:proofErr w:type="spellEnd"/>
      <w:r>
        <w:rPr>
          <w:rFonts w:ascii="Times New Roman" w:eastAsia="Times New Roman" w:hAnsi="Times New Roman" w:cs="Times New Roman"/>
          <w:color w:val="212121"/>
          <w:sz w:val="24"/>
          <w:szCs w:val="24"/>
          <w:highlight w:val="white"/>
        </w:rPr>
        <w:t xml:space="preserve">, D., </w:t>
      </w:r>
      <w:proofErr w:type="spellStart"/>
      <w:r>
        <w:rPr>
          <w:rFonts w:ascii="Times New Roman" w:eastAsia="Times New Roman" w:hAnsi="Times New Roman" w:cs="Times New Roman"/>
          <w:color w:val="212121"/>
          <w:sz w:val="24"/>
          <w:szCs w:val="24"/>
          <w:highlight w:val="white"/>
        </w:rPr>
        <w:t>Pinhas-Hamiel</w:t>
      </w:r>
      <w:proofErr w:type="spellEnd"/>
      <w:r>
        <w:rPr>
          <w:rFonts w:ascii="Times New Roman" w:eastAsia="Times New Roman" w:hAnsi="Times New Roman" w:cs="Times New Roman"/>
          <w:color w:val="212121"/>
          <w:sz w:val="24"/>
          <w:szCs w:val="24"/>
          <w:highlight w:val="white"/>
        </w:rPr>
        <w:t xml:space="preserve">, O., </w:t>
      </w:r>
      <w:proofErr w:type="spellStart"/>
      <w:r>
        <w:rPr>
          <w:rFonts w:ascii="Times New Roman" w:eastAsia="Times New Roman" w:hAnsi="Times New Roman" w:cs="Times New Roman"/>
          <w:color w:val="212121"/>
          <w:sz w:val="24"/>
          <w:szCs w:val="24"/>
          <w:highlight w:val="white"/>
        </w:rPr>
        <w:t>Tiosano</w:t>
      </w:r>
      <w:proofErr w:type="spellEnd"/>
      <w:r>
        <w:rPr>
          <w:rFonts w:ascii="Times New Roman" w:eastAsia="Times New Roman" w:hAnsi="Times New Roman" w:cs="Times New Roman"/>
          <w:color w:val="212121"/>
          <w:sz w:val="24"/>
          <w:szCs w:val="24"/>
          <w:highlight w:val="white"/>
        </w:rPr>
        <w:t xml:space="preserve">, S., Raz, I., Gerstein, H. C., &amp; Tirosh, A. (2020). Adolescent Obesity and Early-Onset Type 2 Diabetes. </w:t>
      </w:r>
      <w:r>
        <w:rPr>
          <w:rFonts w:ascii="Times New Roman" w:eastAsia="Times New Roman" w:hAnsi="Times New Roman" w:cs="Times New Roman"/>
          <w:i/>
          <w:color w:val="212121"/>
          <w:sz w:val="24"/>
          <w:szCs w:val="24"/>
          <w:highlight w:val="white"/>
        </w:rPr>
        <w:t>Diabetes care</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43</w:t>
      </w:r>
      <w:r>
        <w:rPr>
          <w:rFonts w:ascii="Times New Roman" w:eastAsia="Times New Roman" w:hAnsi="Times New Roman" w:cs="Times New Roman"/>
          <w:color w:val="212121"/>
          <w:sz w:val="24"/>
          <w:szCs w:val="24"/>
          <w:highlight w:val="white"/>
        </w:rPr>
        <w:t>(7), 1487–1495. https://doi.org/10.2337/dc19-1988</w:t>
      </w:r>
    </w:p>
    <w:p w14:paraId="65C8F740"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Bjerregaard</w:t>
      </w:r>
      <w:proofErr w:type="spellEnd"/>
      <w:r>
        <w:rPr>
          <w:rFonts w:ascii="Times New Roman" w:eastAsia="Times New Roman" w:hAnsi="Times New Roman" w:cs="Times New Roman"/>
          <w:color w:val="212121"/>
          <w:sz w:val="24"/>
          <w:szCs w:val="24"/>
          <w:highlight w:val="white"/>
        </w:rPr>
        <w:t xml:space="preserve">, L. G., Jensen, B. W., </w:t>
      </w:r>
      <w:proofErr w:type="spellStart"/>
      <w:r>
        <w:rPr>
          <w:rFonts w:ascii="Times New Roman" w:eastAsia="Times New Roman" w:hAnsi="Times New Roman" w:cs="Times New Roman"/>
          <w:color w:val="212121"/>
          <w:sz w:val="24"/>
          <w:szCs w:val="24"/>
          <w:highlight w:val="white"/>
        </w:rPr>
        <w:t>Ängquist</w:t>
      </w:r>
      <w:proofErr w:type="spellEnd"/>
      <w:r>
        <w:rPr>
          <w:rFonts w:ascii="Times New Roman" w:eastAsia="Times New Roman" w:hAnsi="Times New Roman" w:cs="Times New Roman"/>
          <w:color w:val="212121"/>
          <w:sz w:val="24"/>
          <w:szCs w:val="24"/>
          <w:highlight w:val="white"/>
        </w:rPr>
        <w:t xml:space="preserve">, L., Osler, M., </w:t>
      </w:r>
      <w:proofErr w:type="spellStart"/>
      <w:r>
        <w:rPr>
          <w:rFonts w:ascii="Times New Roman" w:eastAsia="Times New Roman" w:hAnsi="Times New Roman" w:cs="Times New Roman"/>
          <w:color w:val="212121"/>
          <w:sz w:val="24"/>
          <w:szCs w:val="24"/>
          <w:highlight w:val="white"/>
        </w:rPr>
        <w:t>Sørensen</w:t>
      </w:r>
      <w:proofErr w:type="spellEnd"/>
      <w:r>
        <w:rPr>
          <w:rFonts w:ascii="Times New Roman" w:eastAsia="Times New Roman" w:hAnsi="Times New Roman" w:cs="Times New Roman"/>
          <w:color w:val="212121"/>
          <w:sz w:val="24"/>
          <w:szCs w:val="24"/>
          <w:highlight w:val="white"/>
        </w:rPr>
        <w:t xml:space="preserve">, T. I. A., &amp; Baker, J. L. (2018). Change in Overweight from Childhood to Early Adulthood and Risk of Type 2 Diabetes. </w:t>
      </w:r>
      <w:r>
        <w:rPr>
          <w:rFonts w:ascii="Times New Roman" w:eastAsia="Times New Roman" w:hAnsi="Times New Roman" w:cs="Times New Roman"/>
          <w:i/>
          <w:color w:val="212121"/>
          <w:sz w:val="24"/>
          <w:szCs w:val="24"/>
          <w:highlight w:val="white"/>
        </w:rPr>
        <w:t>The New England journal of medicine</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378</w:t>
      </w:r>
      <w:r>
        <w:rPr>
          <w:rFonts w:ascii="Times New Roman" w:eastAsia="Times New Roman" w:hAnsi="Times New Roman" w:cs="Times New Roman"/>
          <w:color w:val="212121"/>
          <w:sz w:val="24"/>
          <w:szCs w:val="24"/>
          <w:highlight w:val="white"/>
        </w:rPr>
        <w:t>(14), 1302–1312. https://doi.org/10.1056/NEJMoa1713231</w:t>
      </w:r>
    </w:p>
    <w:p w14:paraId="69C24710"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lastRenderedPageBreak/>
        <w:t xml:space="preserve">Wei, G. S., </w:t>
      </w:r>
      <w:proofErr w:type="spellStart"/>
      <w:r>
        <w:rPr>
          <w:rFonts w:ascii="Times New Roman" w:eastAsia="Times New Roman" w:hAnsi="Times New Roman" w:cs="Times New Roman"/>
          <w:color w:val="212121"/>
          <w:sz w:val="24"/>
          <w:szCs w:val="24"/>
          <w:highlight w:val="white"/>
        </w:rPr>
        <w:t>Coady</w:t>
      </w:r>
      <w:proofErr w:type="spellEnd"/>
      <w:r>
        <w:rPr>
          <w:rFonts w:ascii="Times New Roman" w:eastAsia="Times New Roman" w:hAnsi="Times New Roman" w:cs="Times New Roman"/>
          <w:color w:val="212121"/>
          <w:sz w:val="24"/>
          <w:szCs w:val="24"/>
          <w:highlight w:val="white"/>
        </w:rPr>
        <w:t xml:space="preserve">, S. A., Reis, J. P., </w:t>
      </w:r>
      <w:proofErr w:type="spellStart"/>
      <w:r>
        <w:rPr>
          <w:rFonts w:ascii="Times New Roman" w:eastAsia="Times New Roman" w:hAnsi="Times New Roman" w:cs="Times New Roman"/>
          <w:color w:val="212121"/>
          <w:sz w:val="24"/>
          <w:szCs w:val="24"/>
          <w:highlight w:val="white"/>
        </w:rPr>
        <w:t>Carnethon</w:t>
      </w:r>
      <w:proofErr w:type="spellEnd"/>
      <w:r>
        <w:rPr>
          <w:rFonts w:ascii="Times New Roman" w:eastAsia="Times New Roman" w:hAnsi="Times New Roman" w:cs="Times New Roman"/>
          <w:color w:val="212121"/>
          <w:sz w:val="24"/>
          <w:szCs w:val="24"/>
          <w:highlight w:val="white"/>
        </w:rPr>
        <w:t xml:space="preserve">, M. R., Coresh, J., D'Agostino, R. B., Sr, Goff, D. C., Jr, Jacobs, D. R., Jr, Selvin, E., &amp; Fox, C. S. (2015). Duration and Degree of Weight Gain and Incident Diabetes in Younger Versus Middle-Aged Black and White Adults: ARIC, CARDIA, and the Framingham Heart Study. </w:t>
      </w:r>
      <w:r>
        <w:rPr>
          <w:rFonts w:ascii="Times New Roman" w:eastAsia="Times New Roman" w:hAnsi="Times New Roman" w:cs="Times New Roman"/>
          <w:i/>
          <w:color w:val="212121"/>
          <w:sz w:val="24"/>
          <w:szCs w:val="24"/>
          <w:highlight w:val="white"/>
        </w:rPr>
        <w:t>Diabetes care</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38</w:t>
      </w:r>
      <w:r>
        <w:rPr>
          <w:rFonts w:ascii="Times New Roman" w:eastAsia="Times New Roman" w:hAnsi="Times New Roman" w:cs="Times New Roman"/>
          <w:color w:val="212121"/>
          <w:sz w:val="24"/>
          <w:szCs w:val="24"/>
          <w:highlight w:val="white"/>
        </w:rPr>
        <w:t>(11), 2042–2049. https://doi.org/10.2337/dc14-2770</w:t>
      </w:r>
    </w:p>
    <w:p w14:paraId="5D2D1178"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Stokes, A., Collins, J. M., Grant, B. F., </w:t>
      </w:r>
      <w:proofErr w:type="spellStart"/>
      <w:r>
        <w:rPr>
          <w:rFonts w:ascii="Times New Roman" w:eastAsia="Times New Roman" w:hAnsi="Times New Roman" w:cs="Times New Roman"/>
          <w:color w:val="212121"/>
          <w:sz w:val="24"/>
          <w:szCs w:val="24"/>
          <w:highlight w:val="white"/>
        </w:rPr>
        <w:t>Scamuffa</w:t>
      </w:r>
      <w:proofErr w:type="spellEnd"/>
      <w:r>
        <w:rPr>
          <w:rFonts w:ascii="Times New Roman" w:eastAsia="Times New Roman" w:hAnsi="Times New Roman" w:cs="Times New Roman"/>
          <w:color w:val="212121"/>
          <w:sz w:val="24"/>
          <w:szCs w:val="24"/>
          <w:highlight w:val="white"/>
        </w:rPr>
        <w:t xml:space="preserve">, R. F., Hsiao, C. W., Johnston, S. S., Ammann, E. M., Manson, J. E., &amp; Preston, S. H. (2018). Obesity Progression Between Young Adulthood and Midlife and Incident Diabetes: A Retrospective Cohort Study of U.S. Adults. </w:t>
      </w:r>
      <w:r>
        <w:rPr>
          <w:rFonts w:ascii="Times New Roman" w:eastAsia="Times New Roman" w:hAnsi="Times New Roman" w:cs="Times New Roman"/>
          <w:i/>
          <w:color w:val="212121"/>
          <w:sz w:val="24"/>
          <w:szCs w:val="24"/>
          <w:highlight w:val="white"/>
        </w:rPr>
        <w:t>Diabetes care</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41</w:t>
      </w:r>
      <w:r>
        <w:rPr>
          <w:rFonts w:ascii="Times New Roman" w:eastAsia="Times New Roman" w:hAnsi="Times New Roman" w:cs="Times New Roman"/>
          <w:color w:val="212121"/>
          <w:sz w:val="24"/>
          <w:szCs w:val="24"/>
          <w:highlight w:val="white"/>
        </w:rPr>
        <w:t>(5), 1025–1031. https://doi.org/10.2337/dc17-2336</w:t>
      </w:r>
    </w:p>
    <w:p w14:paraId="25040E93" w14:textId="77777777" w:rsidR="00EA6F24" w:rsidRDefault="003D4D33">
      <w:pPr>
        <w:numPr>
          <w:ilvl w:val="0"/>
          <w:numId w:val="2"/>
        </w:numPr>
        <w:spacing w:after="0" w:line="360" w:lineRule="auto"/>
        <w:jc w:val="both"/>
        <w:rPr>
          <w:rFonts w:ascii="Times New Roman" w:eastAsia="Times New Roman" w:hAnsi="Times New Roman" w:cs="Times New Roman"/>
          <w:color w:val="212121"/>
          <w:highlight w:val="white"/>
        </w:rPr>
      </w:pPr>
      <w:r>
        <w:rPr>
          <w:rFonts w:ascii="Times New Roman" w:eastAsia="Times New Roman" w:hAnsi="Times New Roman" w:cs="Times New Roman"/>
          <w:color w:val="212121"/>
          <w:sz w:val="24"/>
          <w:szCs w:val="24"/>
          <w:highlight w:val="white"/>
        </w:rPr>
        <w:t xml:space="preserve">Petri, K. C. C., </w:t>
      </w:r>
      <w:proofErr w:type="spellStart"/>
      <w:r>
        <w:rPr>
          <w:rFonts w:ascii="Times New Roman" w:eastAsia="Times New Roman" w:hAnsi="Times New Roman" w:cs="Times New Roman"/>
          <w:color w:val="212121"/>
          <w:sz w:val="24"/>
          <w:szCs w:val="24"/>
          <w:highlight w:val="white"/>
        </w:rPr>
        <w:t>Ingwersen</w:t>
      </w:r>
      <w:proofErr w:type="spellEnd"/>
      <w:r>
        <w:rPr>
          <w:rFonts w:ascii="Times New Roman" w:eastAsia="Times New Roman" w:hAnsi="Times New Roman" w:cs="Times New Roman"/>
          <w:color w:val="212121"/>
          <w:sz w:val="24"/>
          <w:szCs w:val="24"/>
          <w:highlight w:val="white"/>
        </w:rPr>
        <w:t xml:space="preserve">, S. H., Flint, A., </w:t>
      </w:r>
      <w:proofErr w:type="spellStart"/>
      <w:r>
        <w:rPr>
          <w:rFonts w:ascii="Times New Roman" w:eastAsia="Times New Roman" w:hAnsi="Times New Roman" w:cs="Times New Roman"/>
          <w:color w:val="212121"/>
          <w:sz w:val="24"/>
          <w:szCs w:val="24"/>
          <w:highlight w:val="white"/>
        </w:rPr>
        <w:t>Zacho</w:t>
      </w:r>
      <w:proofErr w:type="spellEnd"/>
      <w:r>
        <w:rPr>
          <w:rFonts w:ascii="Times New Roman" w:eastAsia="Times New Roman" w:hAnsi="Times New Roman" w:cs="Times New Roman"/>
          <w:color w:val="212121"/>
          <w:sz w:val="24"/>
          <w:szCs w:val="24"/>
          <w:highlight w:val="white"/>
        </w:rPr>
        <w:t xml:space="preserve">, J., &amp; Overgaard, R. V. (2018). Exposure-response analysis for evaluation of </w:t>
      </w:r>
      <w:proofErr w:type="spellStart"/>
      <w:r>
        <w:rPr>
          <w:rFonts w:ascii="Times New Roman" w:eastAsia="Times New Roman" w:hAnsi="Times New Roman" w:cs="Times New Roman"/>
          <w:color w:val="212121"/>
          <w:sz w:val="24"/>
          <w:szCs w:val="24"/>
          <w:highlight w:val="white"/>
        </w:rPr>
        <w:t>semaglutide</w:t>
      </w:r>
      <w:proofErr w:type="spellEnd"/>
      <w:r>
        <w:rPr>
          <w:rFonts w:ascii="Times New Roman" w:eastAsia="Times New Roman" w:hAnsi="Times New Roman" w:cs="Times New Roman"/>
          <w:color w:val="212121"/>
          <w:sz w:val="24"/>
          <w:szCs w:val="24"/>
          <w:highlight w:val="white"/>
        </w:rPr>
        <w:t xml:space="preserve"> dose levels in type 2 diabetes. </w:t>
      </w:r>
      <w:r>
        <w:rPr>
          <w:rFonts w:ascii="Times New Roman" w:eastAsia="Times New Roman" w:hAnsi="Times New Roman" w:cs="Times New Roman"/>
          <w:i/>
          <w:color w:val="212121"/>
          <w:sz w:val="24"/>
          <w:szCs w:val="24"/>
          <w:highlight w:val="white"/>
        </w:rPr>
        <w:t>Diabetes, obesity &amp; metabolism</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20</w:t>
      </w:r>
      <w:r>
        <w:rPr>
          <w:rFonts w:ascii="Times New Roman" w:eastAsia="Times New Roman" w:hAnsi="Times New Roman" w:cs="Times New Roman"/>
          <w:color w:val="212121"/>
          <w:sz w:val="24"/>
          <w:szCs w:val="24"/>
          <w:highlight w:val="white"/>
        </w:rPr>
        <w:t>(9), 2238–2245. https://doi.org/10.1111/dom.13358</w:t>
      </w:r>
    </w:p>
    <w:p w14:paraId="27AFD90C"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proofErr w:type="spellStart"/>
      <w:r>
        <w:rPr>
          <w:rFonts w:ascii="Times New Roman" w:eastAsia="Times New Roman" w:hAnsi="Times New Roman" w:cs="Times New Roman"/>
          <w:color w:val="212121"/>
          <w:sz w:val="24"/>
          <w:szCs w:val="24"/>
          <w:highlight w:val="white"/>
        </w:rPr>
        <w:t>Ingwersen</w:t>
      </w:r>
      <w:proofErr w:type="spellEnd"/>
      <w:r>
        <w:rPr>
          <w:rFonts w:ascii="Times New Roman" w:eastAsia="Times New Roman" w:hAnsi="Times New Roman" w:cs="Times New Roman"/>
          <w:color w:val="212121"/>
          <w:sz w:val="24"/>
          <w:szCs w:val="24"/>
          <w:highlight w:val="white"/>
        </w:rPr>
        <w:t xml:space="preserve">, S. H., Khurana, M., </w:t>
      </w:r>
      <w:proofErr w:type="spellStart"/>
      <w:r>
        <w:rPr>
          <w:rFonts w:ascii="Times New Roman" w:eastAsia="Times New Roman" w:hAnsi="Times New Roman" w:cs="Times New Roman"/>
          <w:color w:val="212121"/>
          <w:sz w:val="24"/>
          <w:szCs w:val="24"/>
          <w:highlight w:val="white"/>
        </w:rPr>
        <w:t>Madabushi</w:t>
      </w:r>
      <w:proofErr w:type="spellEnd"/>
      <w:r>
        <w:rPr>
          <w:rFonts w:ascii="Times New Roman" w:eastAsia="Times New Roman" w:hAnsi="Times New Roman" w:cs="Times New Roman"/>
          <w:color w:val="212121"/>
          <w:sz w:val="24"/>
          <w:szCs w:val="24"/>
          <w:highlight w:val="white"/>
        </w:rPr>
        <w:t xml:space="preserve">, R., Watson, E., Jonker, D. M., Le </w:t>
      </w:r>
      <w:proofErr w:type="spellStart"/>
      <w:r>
        <w:rPr>
          <w:rFonts w:ascii="Times New Roman" w:eastAsia="Times New Roman" w:hAnsi="Times New Roman" w:cs="Times New Roman"/>
          <w:color w:val="212121"/>
          <w:sz w:val="24"/>
          <w:szCs w:val="24"/>
          <w:highlight w:val="white"/>
        </w:rPr>
        <w:t>Thi</w:t>
      </w:r>
      <w:proofErr w:type="spellEnd"/>
      <w:r>
        <w:rPr>
          <w:rFonts w:ascii="Times New Roman" w:eastAsia="Times New Roman" w:hAnsi="Times New Roman" w:cs="Times New Roman"/>
          <w:color w:val="212121"/>
          <w:sz w:val="24"/>
          <w:szCs w:val="24"/>
          <w:highlight w:val="white"/>
        </w:rPr>
        <w:t xml:space="preserve">, T. D., Jacobsen, L. V., &amp; </w:t>
      </w:r>
      <w:proofErr w:type="spellStart"/>
      <w:r>
        <w:rPr>
          <w:rFonts w:ascii="Times New Roman" w:eastAsia="Times New Roman" w:hAnsi="Times New Roman" w:cs="Times New Roman"/>
          <w:color w:val="212121"/>
          <w:sz w:val="24"/>
          <w:szCs w:val="24"/>
          <w:highlight w:val="white"/>
        </w:rPr>
        <w:t>Tornøe</w:t>
      </w:r>
      <w:proofErr w:type="spellEnd"/>
      <w:r>
        <w:rPr>
          <w:rFonts w:ascii="Times New Roman" w:eastAsia="Times New Roman" w:hAnsi="Times New Roman" w:cs="Times New Roman"/>
          <w:color w:val="212121"/>
          <w:sz w:val="24"/>
          <w:szCs w:val="24"/>
          <w:highlight w:val="white"/>
        </w:rPr>
        <w:t xml:space="preserve">, C. W. (2012). Dosing rationale for liraglutide in type 2 diabetes mellitus: a </w:t>
      </w:r>
      <w:proofErr w:type="spellStart"/>
      <w:r>
        <w:rPr>
          <w:rFonts w:ascii="Times New Roman" w:eastAsia="Times New Roman" w:hAnsi="Times New Roman" w:cs="Times New Roman"/>
          <w:color w:val="212121"/>
          <w:sz w:val="24"/>
          <w:szCs w:val="24"/>
          <w:highlight w:val="white"/>
        </w:rPr>
        <w:t>pharmacometric</w:t>
      </w:r>
      <w:proofErr w:type="spellEnd"/>
      <w:r>
        <w:rPr>
          <w:rFonts w:ascii="Times New Roman" w:eastAsia="Times New Roman" w:hAnsi="Times New Roman" w:cs="Times New Roman"/>
          <w:color w:val="212121"/>
          <w:sz w:val="24"/>
          <w:szCs w:val="24"/>
          <w:highlight w:val="white"/>
        </w:rPr>
        <w:t xml:space="preserve"> assessment. </w:t>
      </w:r>
      <w:r>
        <w:rPr>
          <w:rFonts w:ascii="Times New Roman" w:eastAsia="Times New Roman" w:hAnsi="Times New Roman" w:cs="Times New Roman"/>
          <w:i/>
          <w:color w:val="212121"/>
          <w:sz w:val="24"/>
          <w:szCs w:val="24"/>
          <w:highlight w:val="white"/>
        </w:rPr>
        <w:t>Journal of clinical pharmacology</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52</w:t>
      </w:r>
      <w:r>
        <w:rPr>
          <w:rFonts w:ascii="Times New Roman" w:eastAsia="Times New Roman" w:hAnsi="Times New Roman" w:cs="Times New Roman"/>
          <w:color w:val="212121"/>
          <w:sz w:val="24"/>
          <w:szCs w:val="24"/>
          <w:highlight w:val="white"/>
        </w:rPr>
        <w:t>(12), 1815–1823. https://doi.org/10.1177/0091270011430504</w:t>
      </w:r>
    </w:p>
    <w:p w14:paraId="20266B51" w14:textId="77777777" w:rsidR="00EA6F24" w:rsidRDefault="003D4D33">
      <w:pPr>
        <w:numPr>
          <w:ilvl w:val="0"/>
          <w:numId w:val="2"/>
        </w:numPr>
        <w:spacing w:after="0" w:line="360" w:lineRule="auto"/>
        <w:jc w:val="both"/>
        <w:rPr>
          <w:rFonts w:ascii="Times New Roman" w:eastAsia="Times New Roman" w:hAnsi="Times New Roman" w:cs="Times New Roman"/>
          <w:color w:val="212121"/>
          <w:highlight w:val="white"/>
        </w:rPr>
      </w:pPr>
      <w:r>
        <w:rPr>
          <w:rFonts w:ascii="Times New Roman" w:eastAsia="Times New Roman" w:hAnsi="Times New Roman" w:cs="Times New Roman"/>
          <w:color w:val="212121"/>
          <w:sz w:val="24"/>
          <w:szCs w:val="24"/>
          <w:highlight w:val="white"/>
        </w:rPr>
        <w:t xml:space="preserve">Overgaard, R. V., Petri, K. C., Jacobsen, L. V., &amp; Jensen, C. B. (2016). Liraglutide 3.0 mg for Weight Management: A Population Pharmacokinetic Analysis. </w:t>
      </w:r>
      <w:r>
        <w:rPr>
          <w:rFonts w:ascii="Times New Roman" w:eastAsia="Times New Roman" w:hAnsi="Times New Roman" w:cs="Times New Roman"/>
          <w:i/>
          <w:color w:val="212121"/>
          <w:sz w:val="24"/>
          <w:szCs w:val="24"/>
          <w:highlight w:val="white"/>
        </w:rPr>
        <w:t>Clinical pharmacokinetics</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55</w:t>
      </w:r>
      <w:r>
        <w:rPr>
          <w:rFonts w:ascii="Times New Roman" w:eastAsia="Times New Roman" w:hAnsi="Times New Roman" w:cs="Times New Roman"/>
          <w:color w:val="212121"/>
          <w:sz w:val="24"/>
          <w:szCs w:val="24"/>
          <w:highlight w:val="white"/>
        </w:rPr>
        <w:t>(11), 1413–1422. https://doi.org/10.1007/s40262-016-0410-7</w:t>
      </w:r>
    </w:p>
    <w:p w14:paraId="7CEFC09D"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Askar, R., Fredriksson, E., </w:t>
      </w:r>
      <w:proofErr w:type="spellStart"/>
      <w:r>
        <w:rPr>
          <w:rFonts w:ascii="Times New Roman" w:eastAsia="Times New Roman" w:hAnsi="Times New Roman" w:cs="Times New Roman"/>
          <w:color w:val="212121"/>
          <w:sz w:val="24"/>
          <w:szCs w:val="24"/>
          <w:highlight w:val="white"/>
        </w:rPr>
        <w:t>Manell</w:t>
      </w:r>
      <w:proofErr w:type="spellEnd"/>
      <w:r>
        <w:rPr>
          <w:rFonts w:ascii="Times New Roman" w:eastAsia="Times New Roman" w:hAnsi="Times New Roman" w:cs="Times New Roman"/>
          <w:color w:val="212121"/>
          <w:sz w:val="24"/>
          <w:szCs w:val="24"/>
          <w:highlight w:val="white"/>
        </w:rPr>
        <w:t xml:space="preserve">, E., </w:t>
      </w:r>
      <w:proofErr w:type="spellStart"/>
      <w:r>
        <w:rPr>
          <w:rFonts w:ascii="Times New Roman" w:eastAsia="Times New Roman" w:hAnsi="Times New Roman" w:cs="Times New Roman"/>
          <w:color w:val="212121"/>
          <w:sz w:val="24"/>
          <w:szCs w:val="24"/>
          <w:highlight w:val="white"/>
        </w:rPr>
        <w:t>Hedeland</w:t>
      </w:r>
      <w:proofErr w:type="spellEnd"/>
      <w:r>
        <w:rPr>
          <w:rFonts w:ascii="Times New Roman" w:eastAsia="Times New Roman" w:hAnsi="Times New Roman" w:cs="Times New Roman"/>
          <w:color w:val="212121"/>
          <w:sz w:val="24"/>
          <w:szCs w:val="24"/>
          <w:highlight w:val="white"/>
        </w:rPr>
        <w:t xml:space="preserve">, M., </w:t>
      </w:r>
      <w:proofErr w:type="spellStart"/>
      <w:r>
        <w:rPr>
          <w:rFonts w:ascii="Times New Roman" w:eastAsia="Times New Roman" w:hAnsi="Times New Roman" w:cs="Times New Roman"/>
          <w:color w:val="212121"/>
          <w:sz w:val="24"/>
          <w:szCs w:val="24"/>
          <w:highlight w:val="white"/>
        </w:rPr>
        <w:t>Bondesson</w:t>
      </w:r>
      <w:proofErr w:type="spellEnd"/>
      <w:r>
        <w:rPr>
          <w:rFonts w:ascii="Times New Roman" w:eastAsia="Times New Roman" w:hAnsi="Times New Roman" w:cs="Times New Roman"/>
          <w:color w:val="212121"/>
          <w:sz w:val="24"/>
          <w:szCs w:val="24"/>
          <w:highlight w:val="white"/>
        </w:rPr>
        <w:t xml:space="preserve">, U., Bate, S., </w:t>
      </w:r>
      <w:proofErr w:type="spellStart"/>
      <w:r>
        <w:rPr>
          <w:rFonts w:ascii="Times New Roman" w:eastAsia="Times New Roman" w:hAnsi="Times New Roman" w:cs="Times New Roman"/>
          <w:color w:val="212121"/>
          <w:sz w:val="24"/>
          <w:szCs w:val="24"/>
          <w:highlight w:val="white"/>
        </w:rPr>
        <w:t>Olsén</w:t>
      </w:r>
      <w:proofErr w:type="spellEnd"/>
      <w:r>
        <w:rPr>
          <w:rFonts w:ascii="Times New Roman" w:eastAsia="Times New Roman" w:hAnsi="Times New Roman" w:cs="Times New Roman"/>
          <w:color w:val="212121"/>
          <w:sz w:val="24"/>
          <w:szCs w:val="24"/>
          <w:highlight w:val="white"/>
        </w:rPr>
        <w:t xml:space="preserve">, L., &amp; </w:t>
      </w:r>
      <w:proofErr w:type="spellStart"/>
      <w:r>
        <w:rPr>
          <w:rFonts w:ascii="Times New Roman" w:eastAsia="Times New Roman" w:hAnsi="Times New Roman" w:cs="Times New Roman"/>
          <w:color w:val="212121"/>
          <w:sz w:val="24"/>
          <w:szCs w:val="24"/>
          <w:highlight w:val="white"/>
        </w:rPr>
        <w:t>Hedenqvist</w:t>
      </w:r>
      <w:proofErr w:type="spellEnd"/>
      <w:r>
        <w:rPr>
          <w:rFonts w:ascii="Times New Roman" w:eastAsia="Times New Roman" w:hAnsi="Times New Roman" w:cs="Times New Roman"/>
          <w:color w:val="212121"/>
          <w:sz w:val="24"/>
          <w:szCs w:val="24"/>
          <w:highlight w:val="white"/>
        </w:rPr>
        <w:t xml:space="preserve">, P. (2020). Bioavailability of subcutaneous and intramuscular administrated buprenorphine in New Zealand White rabbits. </w:t>
      </w:r>
      <w:r>
        <w:rPr>
          <w:rFonts w:ascii="Times New Roman" w:eastAsia="Times New Roman" w:hAnsi="Times New Roman" w:cs="Times New Roman"/>
          <w:i/>
          <w:color w:val="212121"/>
          <w:sz w:val="24"/>
          <w:szCs w:val="24"/>
          <w:highlight w:val="white"/>
        </w:rPr>
        <w:t>BMC veterinary research</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16</w:t>
      </w:r>
      <w:r>
        <w:rPr>
          <w:rFonts w:ascii="Times New Roman" w:eastAsia="Times New Roman" w:hAnsi="Times New Roman" w:cs="Times New Roman"/>
          <w:color w:val="212121"/>
          <w:sz w:val="24"/>
          <w:szCs w:val="24"/>
          <w:highlight w:val="white"/>
        </w:rPr>
        <w:t>(1), 436. https://doi.org/10.1186/s12917-020-02618-7</w:t>
      </w:r>
    </w:p>
    <w:p w14:paraId="14BD3E19" w14:textId="77777777"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May, M., Schindler, C., &amp; </w:t>
      </w:r>
      <w:proofErr w:type="spellStart"/>
      <w:r>
        <w:rPr>
          <w:rFonts w:ascii="Times New Roman" w:eastAsia="Times New Roman" w:hAnsi="Times New Roman" w:cs="Times New Roman"/>
          <w:color w:val="212121"/>
          <w:sz w:val="24"/>
          <w:szCs w:val="24"/>
          <w:highlight w:val="white"/>
        </w:rPr>
        <w:t>Engeli</w:t>
      </w:r>
      <w:proofErr w:type="spellEnd"/>
      <w:r>
        <w:rPr>
          <w:rFonts w:ascii="Times New Roman" w:eastAsia="Times New Roman" w:hAnsi="Times New Roman" w:cs="Times New Roman"/>
          <w:color w:val="212121"/>
          <w:sz w:val="24"/>
          <w:szCs w:val="24"/>
          <w:highlight w:val="white"/>
        </w:rPr>
        <w:t xml:space="preserve">, S. (2020). Modern pharmacological treatment of obese patients. </w:t>
      </w:r>
      <w:r>
        <w:rPr>
          <w:rFonts w:ascii="Times New Roman" w:eastAsia="Times New Roman" w:hAnsi="Times New Roman" w:cs="Times New Roman"/>
          <w:i/>
          <w:color w:val="212121"/>
          <w:sz w:val="24"/>
          <w:szCs w:val="24"/>
          <w:highlight w:val="white"/>
        </w:rPr>
        <w:t>Therapeutic advances in endocrinology and metabolism</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11</w:t>
      </w:r>
      <w:r>
        <w:rPr>
          <w:rFonts w:ascii="Times New Roman" w:eastAsia="Times New Roman" w:hAnsi="Times New Roman" w:cs="Times New Roman"/>
          <w:color w:val="212121"/>
          <w:sz w:val="24"/>
          <w:szCs w:val="24"/>
          <w:highlight w:val="white"/>
        </w:rPr>
        <w:t>, 2042018819897527. https://doi.org/10.1177/2042018819897527</w:t>
      </w:r>
    </w:p>
    <w:p w14:paraId="3B0410AF" w14:textId="2CEA7E7F" w:rsidR="00EA6F24" w:rsidRDefault="003D4D33">
      <w:pPr>
        <w:numPr>
          <w:ilvl w:val="0"/>
          <w:numId w:val="2"/>
        </w:numPr>
        <w:spacing w:after="0" w:line="360" w:lineRule="auto"/>
        <w:jc w:val="both"/>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t xml:space="preserve">Zuckerman, M., Greller, H. A., &amp; Babu, K. M. (2015). A Review of the Toxicologic Implications of Obesity. </w:t>
      </w:r>
      <w:r>
        <w:rPr>
          <w:rFonts w:ascii="Times New Roman" w:eastAsia="Times New Roman" w:hAnsi="Times New Roman" w:cs="Times New Roman"/>
          <w:i/>
          <w:color w:val="212121"/>
          <w:sz w:val="24"/>
          <w:szCs w:val="24"/>
          <w:highlight w:val="white"/>
        </w:rPr>
        <w:t xml:space="preserve">Journal of medical </w:t>
      </w:r>
      <w:proofErr w:type="gramStart"/>
      <w:r>
        <w:rPr>
          <w:rFonts w:ascii="Times New Roman" w:eastAsia="Times New Roman" w:hAnsi="Times New Roman" w:cs="Times New Roman"/>
          <w:i/>
          <w:color w:val="212121"/>
          <w:sz w:val="24"/>
          <w:szCs w:val="24"/>
          <w:highlight w:val="white"/>
        </w:rPr>
        <w:t>toxicology :</w:t>
      </w:r>
      <w:proofErr w:type="gramEnd"/>
      <w:r>
        <w:rPr>
          <w:rFonts w:ascii="Times New Roman" w:eastAsia="Times New Roman" w:hAnsi="Times New Roman" w:cs="Times New Roman"/>
          <w:i/>
          <w:color w:val="212121"/>
          <w:sz w:val="24"/>
          <w:szCs w:val="24"/>
          <w:highlight w:val="white"/>
        </w:rPr>
        <w:t xml:space="preserve"> official journal of the </w:t>
      </w:r>
      <w:r>
        <w:rPr>
          <w:rFonts w:ascii="Times New Roman" w:eastAsia="Times New Roman" w:hAnsi="Times New Roman" w:cs="Times New Roman"/>
          <w:i/>
          <w:color w:val="212121"/>
          <w:sz w:val="24"/>
          <w:szCs w:val="24"/>
          <w:highlight w:val="white"/>
        </w:rPr>
        <w:lastRenderedPageBreak/>
        <w:t>American College of Medical Toxicology</w:t>
      </w:r>
      <w:r>
        <w:rPr>
          <w:rFonts w:ascii="Times New Roman" w:eastAsia="Times New Roman" w:hAnsi="Times New Roman" w:cs="Times New Roman"/>
          <w:color w:val="212121"/>
          <w:sz w:val="24"/>
          <w:szCs w:val="24"/>
          <w:highlight w:val="white"/>
        </w:rPr>
        <w:t xml:space="preserve">, </w:t>
      </w:r>
      <w:r>
        <w:rPr>
          <w:rFonts w:ascii="Times New Roman" w:eastAsia="Times New Roman" w:hAnsi="Times New Roman" w:cs="Times New Roman"/>
          <w:i/>
          <w:color w:val="212121"/>
          <w:sz w:val="24"/>
          <w:szCs w:val="24"/>
          <w:highlight w:val="white"/>
        </w:rPr>
        <w:t>11</w:t>
      </w:r>
      <w:r>
        <w:rPr>
          <w:rFonts w:ascii="Times New Roman" w:eastAsia="Times New Roman" w:hAnsi="Times New Roman" w:cs="Times New Roman"/>
          <w:color w:val="212121"/>
          <w:sz w:val="24"/>
          <w:szCs w:val="24"/>
          <w:highlight w:val="white"/>
        </w:rPr>
        <w:t xml:space="preserve">(3), 342–354. </w:t>
      </w:r>
      <w:r w:rsidR="00BC4B34" w:rsidRPr="00BC4B34">
        <w:rPr>
          <w:rFonts w:ascii="Times New Roman" w:eastAsia="Times New Roman" w:hAnsi="Times New Roman" w:cs="Times New Roman"/>
          <w:color w:val="212121"/>
          <w:sz w:val="24"/>
          <w:szCs w:val="24"/>
          <w:highlight w:val="white"/>
        </w:rPr>
        <w:t>https://doi.org/10.1007/s13181-015-0488-6</w:t>
      </w:r>
    </w:p>
    <w:p w14:paraId="2B58F3FB" w14:textId="4B9205D1" w:rsidR="00BC4B34" w:rsidRDefault="00BC4B34" w:rsidP="00BC4B34">
      <w:pPr>
        <w:spacing w:after="0" w:line="360" w:lineRule="auto"/>
        <w:ind w:left="720"/>
        <w:jc w:val="both"/>
        <w:rPr>
          <w:rFonts w:ascii="Times New Roman" w:eastAsia="Times New Roman" w:hAnsi="Times New Roman" w:cs="Times New Roman"/>
          <w:color w:val="212121"/>
          <w:sz w:val="24"/>
          <w:szCs w:val="24"/>
          <w:highlight w:val="white"/>
        </w:rPr>
      </w:pPr>
    </w:p>
    <w:p w14:paraId="035DD582" w14:textId="41D482AA"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309264D9" w14:textId="77777777" w:rsidR="006B4C13" w:rsidRDefault="006B4C13" w:rsidP="006B4C13">
      <w:pPr>
        <w:spacing w:after="0" w:line="360" w:lineRule="auto"/>
        <w:jc w:val="both"/>
        <w:rPr>
          <w:rFonts w:ascii="Times New Roman" w:eastAsia="Times New Roman" w:hAnsi="Times New Roman" w:cs="Times New Roman"/>
          <w:color w:val="212121"/>
          <w:sz w:val="24"/>
          <w:szCs w:val="24"/>
          <w:highlight w:val="white"/>
        </w:rPr>
      </w:pPr>
    </w:p>
    <w:p w14:paraId="664E4271" w14:textId="68B82BF2" w:rsidR="006B4C13" w:rsidRPr="006B4C13" w:rsidRDefault="006B4C13" w:rsidP="006B4C13">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1.</w:t>
      </w:r>
      <w:r>
        <w:rPr>
          <w:rFonts w:ascii="Times New Roman" w:eastAsia="Times New Roman" w:hAnsi="Times New Roman" w:cs="Times New Roman"/>
          <w:sz w:val="24"/>
          <w:szCs w:val="24"/>
        </w:rPr>
        <w:t xml:space="preserve"> Input parameters </w:t>
      </w:r>
      <w:r>
        <w:rPr>
          <w:rFonts w:ascii="Times New Roman" w:eastAsia="Times New Roman" w:hAnsi="Times New Roman" w:cs="Times New Roman"/>
          <w:color w:val="131413"/>
          <w:sz w:val="24"/>
          <w:szCs w:val="24"/>
        </w:rPr>
        <w:t xml:space="preserve">used to build the PBPK model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intravenous and subcutaneous injection in adults (Sema-1 model).</w:t>
      </w:r>
    </w:p>
    <w:tbl>
      <w:tblPr>
        <w:tblStyle w:val="SombreamentoClaro1"/>
        <w:tblW w:w="8789" w:type="dxa"/>
        <w:tblInd w:w="5" w:type="dxa"/>
        <w:tblBorders>
          <w:insideH w:val="single" w:sz="4" w:space="0" w:color="auto"/>
        </w:tblBorders>
        <w:tblLayout w:type="fixed"/>
        <w:tblLook w:val="04A0" w:firstRow="1" w:lastRow="0" w:firstColumn="1" w:lastColumn="0" w:noHBand="0" w:noVBand="1"/>
      </w:tblPr>
      <w:tblGrid>
        <w:gridCol w:w="4254"/>
        <w:gridCol w:w="2458"/>
        <w:gridCol w:w="2077"/>
      </w:tblGrid>
      <w:tr w:rsidR="006B4C13" w14:paraId="2BD68815" w14:textId="77777777" w:rsidTr="0054375A">
        <w:trPr>
          <w:cnfStyle w:val="100000000000" w:firstRow="1" w:lastRow="0" w:firstColumn="0" w:lastColumn="0" w:oddVBand="0" w:evenVBand="0" w:oddHBand="0"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4254" w:type="dxa"/>
            <w:tcBorders>
              <w:top w:val="none" w:sz="0" w:space="0" w:color="auto"/>
              <w:left w:val="none" w:sz="0" w:space="0" w:color="auto"/>
              <w:bottom w:val="none" w:sz="0" w:space="0" w:color="auto"/>
              <w:right w:val="none" w:sz="0" w:space="0" w:color="auto"/>
            </w:tcBorders>
          </w:tcPr>
          <w:p w14:paraId="2F07DB4D"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Parameter</w:t>
            </w:r>
          </w:p>
        </w:tc>
        <w:tc>
          <w:tcPr>
            <w:tcW w:w="2458" w:type="dxa"/>
            <w:tcBorders>
              <w:top w:val="none" w:sz="0" w:space="0" w:color="auto"/>
              <w:left w:val="none" w:sz="0" w:space="0" w:color="auto"/>
              <w:bottom w:val="none" w:sz="0" w:space="0" w:color="auto"/>
              <w:right w:val="none" w:sz="0" w:space="0" w:color="auto"/>
            </w:tcBorders>
          </w:tcPr>
          <w:p w14:paraId="5B74DB95" w14:textId="77777777" w:rsidR="006B4C13" w:rsidRDefault="006B4C13" w:rsidP="005437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Value</w:t>
            </w:r>
          </w:p>
        </w:tc>
        <w:tc>
          <w:tcPr>
            <w:tcW w:w="2077" w:type="dxa"/>
            <w:tcBorders>
              <w:top w:val="none" w:sz="0" w:space="0" w:color="auto"/>
              <w:left w:val="none" w:sz="0" w:space="0" w:color="auto"/>
              <w:bottom w:val="none" w:sz="0" w:space="0" w:color="auto"/>
              <w:right w:val="none" w:sz="0" w:space="0" w:color="auto"/>
            </w:tcBorders>
          </w:tcPr>
          <w:p w14:paraId="2D18CF54" w14:textId="77777777" w:rsidR="006B4C13" w:rsidRDefault="006B4C13" w:rsidP="0054375A">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Source</w:t>
            </w:r>
          </w:p>
        </w:tc>
      </w:tr>
      <w:tr w:rsidR="006B4C13" w14:paraId="7A770EAC" w14:textId="77777777" w:rsidTr="0054375A">
        <w:trPr>
          <w:trHeight w:val="357"/>
        </w:trPr>
        <w:tc>
          <w:tcPr>
            <w:cnfStyle w:val="001000000000" w:firstRow="0" w:lastRow="0" w:firstColumn="1" w:lastColumn="0" w:oddVBand="0" w:evenVBand="0" w:oddHBand="0" w:evenHBand="0" w:firstRowFirstColumn="0" w:firstRowLastColumn="0" w:lastRowFirstColumn="0" w:lastRowLastColumn="0"/>
            <w:tcW w:w="4254" w:type="dxa"/>
          </w:tcPr>
          <w:p w14:paraId="602F5ACE"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Dosage Form</w:t>
            </w:r>
          </w:p>
        </w:tc>
        <w:tc>
          <w:tcPr>
            <w:tcW w:w="2458" w:type="dxa"/>
          </w:tcPr>
          <w:p w14:paraId="13BB6E20"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Intravenous (bolus)/ subcutaneous (SQ): solution</w:t>
            </w:r>
          </w:p>
        </w:tc>
        <w:tc>
          <w:tcPr>
            <w:tcW w:w="2077" w:type="dxa"/>
          </w:tcPr>
          <w:p w14:paraId="187C7A93"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w:t>
            </w:r>
          </w:p>
        </w:tc>
      </w:tr>
      <w:tr w:rsidR="006B4C13" w14:paraId="21F55E07" w14:textId="77777777" w:rsidTr="0054375A">
        <w:trPr>
          <w:trHeight w:val="357"/>
        </w:trPr>
        <w:tc>
          <w:tcPr>
            <w:cnfStyle w:val="001000000000" w:firstRow="0" w:lastRow="0" w:firstColumn="1" w:lastColumn="0" w:oddVBand="0" w:evenVBand="0" w:oddHBand="0" w:evenHBand="0" w:firstRowFirstColumn="0" w:firstRowLastColumn="0" w:lastRowFirstColumn="0" w:lastRowLastColumn="0"/>
            <w:tcW w:w="4254" w:type="dxa"/>
          </w:tcPr>
          <w:p w14:paraId="447AE24E"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Dose volume (mL)</w:t>
            </w:r>
          </w:p>
        </w:tc>
        <w:tc>
          <w:tcPr>
            <w:tcW w:w="2458" w:type="dxa"/>
          </w:tcPr>
          <w:p w14:paraId="3948B40F"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0.37 (SQ)</w:t>
            </w:r>
          </w:p>
        </w:tc>
        <w:tc>
          <w:tcPr>
            <w:tcW w:w="2077" w:type="dxa"/>
          </w:tcPr>
          <w:p w14:paraId="3530889A"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[8]</w:t>
            </w:r>
          </w:p>
        </w:tc>
      </w:tr>
      <w:tr w:rsidR="006B4C13" w14:paraId="6C107B89" w14:textId="77777777" w:rsidTr="0054375A">
        <w:trPr>
          <w:trHeight w:val="357"/>
        </w:trPr>
        <w:tc>
          <w:tcPr>
            <w:cnfStyle w:val="001000000000" w:firstRow="0" w:lastRow="0" w:firstColumn="1" w:lastColumn="0" w:oddVBand="0" w:evenVBand="0" w:oddHBand="0" w:evenHBand="0" w:firstRowFirstColumn="0" w:firstRowLastColumn="0" w:lastRowFirstColumn="0" w:lastRowLastColumn="0"/>
            <w:tcW w:w="4254" w:type="dxa"/>
          </w:tcPr>
          <w:p w14:paraId="5D250377"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Single Dose (mg)</w:t>
            </w:r>
          </w:p>
        </w:tc>
        <w:tc>
          <w:tcPr>
            <w:tcW w:w="2458" w:type="dxa"/>
          </w:tcPr>
          <w:p w14:paraId="7002CCA9"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0.25 (IV)</w:t>
            </w:r>
          </w:p>
          <w:p w14:paraId="367266D5"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0.5 (SQ)</w:t>
            </w:r>
          </w:p>
        </w:tc>
        <w:tc>
          <w:tcPr>
            <w:tcW w:w="2077" w:type="dxa"/>
          </w:tcPr>
          <w:p w14:paraId="5DDFC189"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vertAlign w:val="superscript"/>
              </w:rPr>
            </w:pPr>
            <w:r>
              <w:rPr>
                <w:rFonts w:ascii="Times New Roman" w:eastAsia="Times New Roman" w:hAnsi="Times New Roman" w:cs="Times New Roman"/>
              </w:rPr>
              <w:t>[25, 30]</w:t>
            </w:r>
          </w:p>
        </w:tc>
      </w:tr>
      <w:tr w:rsidR="006B4C13" w14:paraId="1CC05BD2" w14:textId="77777777" w:rsidTr="0054375A">
        <w:trPr>
          <w:trHeight w:val="217"/>
        </w:trPr>
        <w:tc>
          <w:tcPr>
            <w:cnfStyle w:val="001000000000" w:firstRow="0" w:lastRow="0" w:firstColumn="1" w:lastColumn="0" w:oddVBand="0" w:evenVBand="0" w:oddHBand="0" w:evenHBand="0" w:firstRowFirstColumn="0" w:firstRowLastColumn="0" w:lastRowFirstColumn="0" w:lastRowLastColumn="0"/>
            <w:tcW w:w="4254" w:type="dxa"/>
          </w:tcPr>
          <w:p w14:paraId="4F601DA5"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Log P</w:t>
            </w:r>
          </w:p>
        </w:tc>
        <w:tc>
          <w:tcPr>
            <w:tcW w:w="2458" w:type="dxa"/>
          </w:tcPr>
          <w:p w14:paraId="355E2BEB"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-17</w:t>
            </w:r>
          </w:p>
        </w:tc>
        <w:tc>
          <w:tcPr>
            <w:tcW w:w="2077" w:type="dxa"/>
          </w:tcPr>
          <w:p w14:paraId="78C79C33"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[32]</w:t>
            </w:r>
          </w:p>
        </w:tc>
      </w:tr>
      <w:tr w:rsidR="006B4C13" w14:paraId="3F453AAB" w14:textId="77777777" w:rsidTr="0054375A">
        <w:trPr>
          <w:trHeight w:val="583"/>
        </w:trPr>
        <w:tc>
          <w:tcPr>
            <w:cnfStyle w:val="001000000000" w:firstRow="0" w:lastRow="0" w:firstColumn="1" w:lastColumn="0" w:oddVBand="0" w:evenVBand="0" w:oddHBand="0" w:evenHBand="0" w:firstRowFirstColumn="0" w:firstRowLastColumn="0" w:lastRowFirstColumn="0" w:lastRowLastColumn="0"/>
            <w:tcW w:w="4254" w:type="dxa"/>
          </w:tcPr>
          <w:p w14:paraId="1A8F548B" w14:textId="77777777" w:rsidR="006B4C13" w:rsidRDefault="006B4C13" w:rsidP="0054375A">
            <w:pPr>
              <w:rPr>
                <w:rFonts w:ascii="Times New Roman" w:eastAsia="Times New Roman" w:hAnsi="Times New Roman" w:cs="Times New Roman"/>
              </w:rPr>
            </w:pPr>
            <w:proofErr w:type="spellStart"/>
            <w:r>
              <w:rPr>
                <w:rFonts w:ascii="Times New Roman" w:eastAsia="Times New Roman" w:hAnsi="Times New Roman" w:cs="Times New Roman"/>
              </w:rPr>
              <w:t>pKa</w:t>
            </w:r>
            <w:proofErr w:type="spellEnd"/>
          </w:p>
          <w:p w14:paraId="07AB1664" w14:textId="77777777" w:rsidR="006B4C13" w:rsidRDefault="006B4C13" w:rsidP="0054375A">
            <w:pPr>
              <w:rPr>
                <w:rFonts w:ascii="Times New Roman" w:eastAsia="Times New Roman" w:hAnsi="Times New Roman" w:cs="Times New Roman"/>
              </w:rPr>
            </w:pPr>
          </w:p>
        </w:tc>
        <w:tc>
          <w:tcPr>
            <w:tcW w:w="2458" w:type="dxa"/>
          </w:tcPr>
          <w:p w14:paraId="4986AF27"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 xml:space="preserve">2.74 (acid) and </w:t>
            </w:r>
          </w:p>
          <w:p w14:paraId="4EFA472E"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12.26 (base)</w:t>
            </w:r>
          </w:p>
        </w:tc>
        <w:tc>
          <w:tcPr>
            <w:tcW w:w="2077" w:type="dxa"/>
          </w:tcPr>
          <w:p w14:paraId="72898BA5"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[33]</w:t>
            </w:r>
          </w:p>
          <w:p w14:paraId="21BF3447" w14:textId="77777777" w:rsidR="006B4C13" w:rsidRDefault="00A643FF"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hyperlink r:id="rId12">
              <w:r w:rsidR="006B4C13">
                <w:rPr>
                  <w:rFonts w:ascii="Times New Roman" w:eastAsia="Times New Roman" w:hAnsi="Times New Roman" w:cs="Times New Roman"/>
                </w:rPr>
                <w:t>Drug Bank (DB13928)</w:t>
              </w:r>
            </w:hyperlink>
          </w:p>
        </w:tc>
      </w:tr>
      <w:tr w:rsidR="006B4C13" w14:paraId="52AE68A2" w14:textId="77777777" w:rsidTr="0054375A">
        <w:trPr>
          <w:trHeight w:val="217"/>
        </w:trPr>
        <w:tc>
          <w:tcPr>
            <w:cnfStyle w:val="001000000000" w:firstRow="0" w:lastRow="0" w:firstColumn="1" w:lastColumn="0" w:oddVBand="0" w:evenVBand="0" w:oddHBand="0" w:evenHBand="0" w:firstRowFirstColumn="0" w:firstRowLastColumn="0" w:lastRowFirstColumn="0" w:lastRowLastColumn="0"/>
            <w:tcW w:w="4254" w:type="dxa"/>
          </w:tcPr>
          <w:p w14:paraId="5DE898C5"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Chemical formula</w:t>
            </w:r>
          </w:p>
        </w:tc>
        <w:tc>
          <w:tcPr>
            <w:tcW w:w="2458" w:type="dxa"/>
          </w:tcPr>
          <w:p w14:paraId="3F39B7ED"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C187H291N45O59</w:t>
            </w:r>
          </w:p>
        </w:tc>
        <w:tc>
          <w:tcPr>
            <w:tcW w:w="2077" w:type="dxa"/>
          </w:tcPr>
          <w:p w14:paraId="2451CA54"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 xml:space="preserve">[33] </w:t>
            </w:r>
          </w:p>
          <w:p w14:paraId="70CBBA13" w14:textId="77777777" w:rsidR="006B4C13" w:rsidRDefault="00A643FF"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hyperlink r:id="rId13">
              <w:r w:rsidR="006B4C13">
                <w:rPr>
                  <w:rFonts w:ascii="Times New Roman" w:eastAsia="Times New Roman" w:hAnsi="Times New Roman" w:cs="Times New Roman"/>
                </w:rPr>
                <w:t>Drug Bank (DB13928)</w:t>
              </w:r>
            </w:hyperlink>
          </w:p>
        </w:tc>
      </w:tr>
      <w:tr w:rsidR="006B4C13" w14:paraId="52082EAC" w14:textId="77777777" w:rsidTr="0054375A">
        <w:trPr>
          <w:trHeight w:val="450"/>
        </w:trPr>
        <w:tc>
          <w:tcPr>
            <w:cnfStyle w:val="001000000000" w:firstRow="0" w:lastRow="0" w:firstColumn="1" w:lastColumn="0" w:oddVBand="0" w:evenVBand="0" w:oddHBand="0" w:evenHBand="0" w:firstRowFirstColumn="0" w:firstRowLastColumn="0" w:lastRowFirstColumn="0" w:lastRowLastColumn="0"/>
            <w:tcW w:w="4254" w:type="dxa"/>
          </w:tcPr>
          <w:p w14:paraId="07F0E0E7"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Molecular weight (g/mol)</w:t>
            </w:r>
          </w:p>
        </w:tc>
        <w:tc>
          <w:tcPr>
            <w:tcW w:w="2458" w:type="dxa"/>
          </w:tcPr>
          <w:p w14:paraId="3EF0AD6C"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4113.64</w:t>
            </w:r>
          </w:p>
          <w:p w14:paraId="3239E838"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2077" w:type="dxa"/>
          </w:tcPr>
          <w:p w14:paraId="728E79F7"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[33]</w:t>
            </w:r>
          </w:p>
          <w:p w14:paraId="5EE9FFD3" w14:textId="77777777" w:rsidR="006B4C13" w:rsidRDefault="00A643FF"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hyperlink r:id="rId14">
              <w:r w:rsidR="006B4C13">
                <w:rPr>
                  <w:rFonts w:ascii="Times New Roman" w:eastAsia="Times New Roman" w:hAnsi="Times New Roman" w:cs="Times New Roman"/>
                </w:rPr>
                <w:t>Drug Bank (DB13928)</w:t>
              </w:r>
            </w:hyperlink>
          </w:p>
        </w:tc>
      </w:tr>
      <w:tr w:rsidR="006B4C13" w14:paraId="7B99D106" w14:textId="77777777" w:rsidTr="0054375A">
        <w:trPr>
          <w:trHeight w:val="217"/>
        </w:trPr>
        <w:tc>
          <w:tcPr>
            <w:cnfStyle w:val="001000000000" w:firstRow="0" w:lastRow="0" w:firstColumn="1" w:lastColumn="0" w:oddVBand="0" w:evenVBand="0" w:oddHBand="0" w:evenHBand="0" w:firstRowFirstColumn="0" w:firstRowLastColumn="0" w:lastRowFirstColumn="0" w:lastRowLastColumn="0"/>
            <w:tcW w:w="4254" w:type="dxa"/>
          </w:tcPr>
          <w:p w14:paraId="1EF36157"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Solubility(mg/mL)</w:t>
            </w:r>
          </w:p>
        </w:tc>
        <w:tc>
          <w:tcPr>
            <w:tcW w:w="2458" w:type="dxa"/>
          </w:tcPr>
          <w:p w14:paraId="79EA0CCF"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1.34 at pH: 7.4</w:t>
            </w:r>
          </w:p>
        </w:tc>
        <w:tc>
          <w:tcPr>
            <w:tcW w:w="2077" w:type="dxa"/>
          </w:tcPr>
          <w:p w14:paraId="22FA68F9"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[8]</w:t>
            </w:r>
          </w:p>
        </w:tc>
      </w:tr>
      <w:tr w:rsidR="006B4C13" w14:paraId="6696FEB1" w14:textId="77777777" w:rsidTr="0054375A">
        <w:trPr>
          <w:trHeight w:val="382"/>
        </w:trPr>
        <w:tc>
          <w:tcPr>
            <w:cnfStyle w:val="001000000000" w:firstRow="0" w:lastRow="0" w:firstColumn="1" w:lastColumn="0" w:oddVBand="0" w:evenVBand="0" w:oddHBand="0" w:evenHBand="0" w:firstRowFirstColumn="0" w:firstRowLastColumn="0" w:lastRowFirstColumn="0" w:lastRowLastColumn="0"/>
            <w:tcW w:w="4254" w:type="dxa"/>
          </w:tcPr>
          <w:p w14:paraId="56F4D8B3"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Human blood-to-plasma ratio (B/P)</w:t>
            </w:r>
          </w:p>
        </w:tc>
        <w:tc>
          <w:tcPr>
            <w:tcW w:w="2458" w:type="dxa"/>
          </w:tcPr>
          <w:p w14:paraId="0A2A3F3F"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0.55</w:t>
            </w:r>
          </w:p>
        </w:tc>
        <w:tc>
          <w:tcPr>
            <w:tcW w:w="2077" w:type="dxa"/>
          </w:tcPr>
          <w:p w14:paraId="11C8FCCD"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 xml:space="preserve"> [32]</w:t>
            </w:r>
          </w:p>
        </w:tc>
      </w:tr>
      <w:tr w:rsidR="006B4C13" w14:paraId="33C3384C" w14:textId="77777777" w:rsidTr="0054375A">
        <w:trPr>
          <w:trHeight w:val="304"/>
        </w:trPr>
        <w:tc>
          <w:tcPr>
            <w:cnfStyle w:val="001000000000" w:firstRow="0" w:lastRow="0" w:firstColumn="1" w:lastColumn="0" w:oddVBand="0" w:evenVBand="0" w:oddHBand="0" w:evenHBand="0" w:firstRowFirstColumn="0" w:firstRowLastColumn="0" w:lastRowFirstColumn="0" w:lastRowLastColumn="0"/>
            <w:tcW w:w="4254" w:type="dxa"/>
          </w:tcPr>
          <w:p w14:paraId="49B5AB4F"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Unbound percent in human plasma (%)</w:t>
            </w:r>
          </w:p>
        </w:tc>
        <w:tc>
          <w:tcPr>
            <w:tcW w:w="2458" w:type="dxa"/>
          </w:tcPr>
          <w:p w14:paraId="5979DBD3"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0.36</w:t>
            </w:r>
          </w:p>
        </w:tc>
        <w:tc>
          <w:tcPr>
            <w:tcW w:w="2077" w:type="dxa"/>
          </w:tcPr>
          <w:p w14:paraId="32F31D99" w14:textId="77777777" w:rsidR="006B4C13" w:rsidRDefault="006B4C13" w:rsidP="0054375A">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 xml:space="preserve">              [32]</w:t>
            </w:r>
          </w:p>
        </w:tc>
      </w:tr>
      <w:tr w:rsidR="006B4C13" w14:paraId="0555860F" w14:textId="77777777" w:rsidTr="0054375A">
        <w:trPr>
          <w:trHeight w:val="292"/>
        </w:trPr>
        <w:tc>
          <w:tcPr>
            <w:cnfStyle w:val="001000000000" w:firstRow="0" w:lastRow="0" w:firstColumn="1" w:lastColumn="0" w:oddVBand="0" w:evenVBand="0" w:oddHBand="0" w:evenHBand="0" w:firstRowFirstColumn="0" w:firstRowLastColumn="0" w:lastRowFirstColumn="0" w:lastRowLastColumn="0"/>
            <w:tcW w:w="4254" w:type="dxa"/>
          </w:tcPr>
          <w:p w14:paraId="63537A8C"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Clearance (CL/F) (L/h)</w:t>
            </w:r>
          </w:p>
        </w:tc>
        <w:tc>
          <w:tcPr>
            <w:tcW w:w="2458" w:type="dxa"/>
          </w:tcPr>
          <w:p w14:paraId="14913CE1"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0.041</w:t>
            </w:r>
          </w:p>
        </w:tc>
        <w:tc>
          <w:tcPr>
            <w:tcW w:w="2077" w:type="dxa"/>
          </w:tcPr>
          <w:p w14:paraId="22D94C6C"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rPr>
            </w:pPr>
            <w:proofErr w:type="spellStart"/>
            <w:r>
              <w:rPr>
                <w:rFonts w:ascii="Times New Roman" w:eastAsia="Times New Roman" w:hAnsi="Times New Roman" w:cs="Times New Roman"/>
              </w:rPr>
              <w:t>pKplus</w:t>
            </w:r>
            <w:proofErr w:type="spellEnd"/>
          </w:p>
        </w:tc>
      </w:tr>
      <w:tr w:rsidR="006B4C13" w14:paraId="2C6E6D99" w14:textId="77777777" w:rsidTr="0054375A">
        <w:trPr>
          <w:trHeight w:val="292"/>
        </w:trPr>
        <w:tc>
          <w:tcPr>
            <w:cnfStyle w:val="001000000000" w:firstRow="0" w:lastRow="0" w:firstColumn="1" w:lastColumn="0" w:oddVBand="0" w:evenVBand="0" w:oddHBand="0" w:evenHBand="0" w:firstRowFirstColumn="0" w:firstRowLastColumn="0" w:lastRowFirstColumn="0" w:lastRowLastColumn="0"/>
            <w:tcW w:w="4254" w:type="dxa"/>
          </w:tcPr>
          <w:p w14:paraId="3D04911E"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Steady-state volume of distribution (</w:t>
            </w:r>
            <w:proofErr w:type="spellStart"/>
            <w:r>
              <w:rPr>
                <w:rFonts w:ascii="Times New Roman" w:eastAsia="Times New Roman" w:hAnsi="Times New Roman" w:cs="Times New Roman"/>
              </w:rPr>
              <w:t>Vss</w:t>
            </w:r>
            <w:proofErr w:type="spellEnd"/>
            <w:r>
              <w:rPr>
                <w:rFonts w:ascii="Times New Roman" w:eastAsia="Times New Roman" w:hAnsi="Times New Roman" w:cs="Times New Roman"/>
              </w:rPr>
              <w:t>) (L)</w:t>
            </w:r>
          </w:p>
        </w:tc>
        <w:tc>
          <w:tcPr>
            <w:tcW w:w="2458" w:type="dxa"/>
          </w:tcPr>
          <w:p w14:paraId="733FF10E"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8.6</w:t>
            </w:r>
          </w:p>
        </w:tc>
        <w:tc>
          <w:tcPr>
            <w:tcW w:w="2077" w:type="dxa"/>
          </w:tcPr>
          <w:p w14:paraId="770F9906"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roofErr w:type="spellStart"/>
            <w:r>
              <w:rPr>
                <w:rFonts w:ascii="Times New Roman" w:eastAsia="Times New Roman" w:hAnsi="Times New Roman" w:cs="Times New Roman"/>
              </w:rPr>
              <w:t>pKplus</w:t>
            </w:r>
            <w:proofErr w:type="spellEnd"/>
          </w:p>
        </w:tc>
      </w:tr>
      <w:tr w:rsidR="006B4C13" w14:paraId="671CFC16" w14:textId="77777777" w:rsidTr="0054375A">
        <w:trPr>
          <w:trHeight w:val="292"/>
        </w:trPr>
        <w:tc>
          <w:tcPr>
            <w:cnfStyle w:val="001000000000" w:firstRow="0" w:lastRow="0" w:firstColumn="1" w:lastColumn="0" w:oddVBand="0" w:evenVBand="0" w:oddHBand="0" w:evenHBand="0" w:firstRowFirstColumn="0" w:firstRowLastColumn="0" w:lastRowFirstColumn="0" w:lastRowLastColumn="0"/>
            <w:tcW w:w="4254" w:type="dxa"/>
          </w:tcPr>
          <w:p w14:paraId="236F4825"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Half-life (t½) (h)</w:t>
            </w:r>
          </w:p>
        </w:tc>
        <w:tc>
          <w:tcPr>
            <w:tcW w:w="2458" w:type="dxa"/>
          </w:tcPr>
          <w:p w14:paraId="7F2F8ACE"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153</w:t>
            </w:r>
          </w:p>
        </w:tc>
        <w:tc>
          <w:tcPr>
            <w:tcW w:w="2077" w:type="dxa"/>
          </w:tcPr>
          <w:p w14:paraId="5DECF918"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roofErr w:type="spellStart"/>
            <w:r>
              <w:rPr>
                <w:rFonts w:ascii="Times New Roman" w:eastAsia="Times New Roman" w:hAnsi="Times New Roman" w:cs="Times New Roman"/>
              </w:rPr>
              <w:t>pKplus</w:t>
            </w:r>
            <w:proofErr w:type="spellEnd"/>
          </w:p>
        </w:tc>
      </w:tr>
      <w:tr w:rsidR="006B4C13" w14:paraId="299E668D" w14:textId="77777777" w:rsidTr="0054375A">
        <w:trPr>
          <w:trHeight w:val="217"/>
        </w:trPr>
        <w:tc>
          <w:tcPr>
            <w:cnfStyle w:val="001000000000" w:firstRow="0" w:lastRow="0" w:firstColumn="1" w:lastColumn="0" w:oddVBand="0" w:evenVBand="0" w:oddHBand="0" w:evenHBand="0" w:firstRowFirstColumn="0" w:firstRowLastColumn="0" w:lastRowFirstColumn="0" w:lastRowLastColumn="0"/>
            <w:tcW w:w="4254" w:type="dxa"/>
          </w:tcPr>
          <w:p w14:paraId="5DFFC72F"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Subcutaneous tissue / water partition coefficient</w:t>
            </w:r>
          </w:p>
        </w:tc>
        <w:tc>
          <w:tcPr>
            <w:tcW w:w="2458" w:type="dxa"/>
          </w:tcPr>
          <w:p w14:paraId="38894532"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176</w:t>
            </w:r>
          </w:p>
        </w:tc>
        <w:tc>
          <w:tcPr>
            <w:tcW w:w="2077" w:type="dxa"/>
          </w:tcPr>
          <w:p w14:paraId="053050F4"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roofErr w:type="spellStart"/>
            <w:r>
              <w:rPr>
                <w:rFonts w:ascii="Times New Roman" w:eastAsia="Times New Roman" w:hAnsi="Times New Roman" w:cs="Times New Roman"/>
              </w:rPr>
              <w:t>GastroPlus</w:t>
            </w:r>
            <w:proofErr w:type="spellEnd"/>
            <w:r>
              <w:rPr>
                <w:rFonts w:ascii="Times New Roman" w:eastAsia="Times New Roman" w:hAnsi="Times New Roman" w:cs="Times New Roman"/>
              </w:rPr>
              <w:t xml:space="preserve"> (Calculated)</w:t>
            </w:r>
          </w:p>
        </w:tc>
      </w:tr>
      <w:tr w:rsidR="006B4C13" w14:paraId="0FBE01F7" w14:textId="77777777" w:rsidTr="0054375A">
        <w:trPr>
          <w:trHeight w:val="217"/>
        </w:trPr>
        <w:tc>
          <w:tcPr>
            <w:cnfStyle w:val="001000000000" w:firstRow="0" w:lastRow="0" w:firstColumn="1" w:lastColumn="0" w:oddVBand="0" w:evenVBand="0" w:oddHBand="0" w:evenHBand="0" w:firstRowFirstColumn="0" w:firstRowLastColumn="0" w:lastRowFirstColumn="0" w:lastRowLastColumn="0"/>
            <w:tcW w:w="4254" w:type="dxa"/>
          </w:tcPr>
          <w:p w14:paraId="3CD0F4C2"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Adipose tissue thickness (microns)</w:t>
            </w:r>
          </w:p>
        </w:tc>
        <w:tc>
          <w:tcPr>
            <w:tcW w:w="2458" w:type="dxa"/>
          </w:tcPr>
          <w:p w14:paraId="374A7F88"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3538.7</w:t>
            </w:r>
          </w:p>
        </w:tc>
        <w:tc>
          <w:tcPr>
            <w:tcW w:w="2077" w:type="dxa"/>
          </w:tcPr>
          <w:p w14:paraId="400B6211"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Default (</w:t>
            </w:r>
            <w:proofErr w:type="spellStart"/>
            <w:r>
              <w:rPr>
                <w:rFonts w:ascii="Times New Roman" w:eastAsia="Times New Roman" w:hAnsi="Times New Roman" w:cs="Times New Roman"/>
              </w:rPr>
              <w:t>GastroPlus</w:t>
            </w:r>
            <w:proofErr w:type="spellEnd"/>
            <w:r>
              <w:rPr>
                <w:rFonts w:ascii="Times New Roman" w:eastAsia="Times New Roman" w:hAnsi="Times New Roman" w:cs="Times New Roman"/>
              </w:rPr>
              <w:t>)</w:t>
            </w:r>
          </w:p>
        </w:tc>
      </w:tr>
      <w:tr w:rsidR="006B4C13" w14:paraId="7B49CD8E" w14:textId="77777777" w:rsidTr="0054375A">
        <w:trPr>
          <w:trHeight w:val="217"/>
        </w:trPr>
        <w:tc>
          <w:tcPr>
            <w:cnfStyle w:val="001000000000" w:firstRow="0" w:lastRow="0" w:firstColumn="1" w:lastColumn="0" w:oddVBand="0" w:evenVBand="0" w:oddHBand="0" w:evenHBand="0" w:firstRowFirstColumn="0" w:firstRowLastColumn="0" w:lastRowFirstColumn="0" w:lastRowLastColumn="0"/>
            <w:tcW w:w="4254" w:type="dxa"/>
          </w:tcPr>
          <w:p w14:paraId="075E27C4"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 xml:space="preserve">Dosing region </w:t>
            </w:r>
          </w:p>
        </w:tc>
        <w:tc>
          <w:tcPr>
            <w:tcW w:w="2458" w:type="dxa"/>
          </w:tcPr>
          <w:p w14:paraId="4228452C"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Abdomen</w:t>
            </w:r>
          </w:p>
        </w:tc>
        <w:tc>
          <w:tcPr>
            <w:tcW w:w="2077" w:type="dxa"/>
          </w:tcPr>
          <w:p w14:paraId="1DF280F4"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w:t>
            </w:r>
          </w:p>
        </w:tc>
      </w:tr>
      <w:tr w:rsidR="006B4C13" w14:paraId="052C22A4" w14:textId="77777777" w:rsidTr="0054375A">
        <w:trPr>
          <w:trHeight w:val="214"/>
        </w:trPr>
        <w:tc>
          <w:tcPr>
            <w:cnfStyle w:val="001000000000" w:firstRow="0" w:lastRow="0" w:firstColumn="1" w:lastColumn="0" w:oddVBand="0" w:evenVBand="0" w:oddHBand="0" w:evenHBand="0" w:firstRowFirstColumn="0" w:firstRowLastColumn="0" w:lastRowFirstColumn="0" w:lastRowLastColumn="0"/>
            <w:tcW w:w="4254" w:type="dxa"/>
          </w:tcPr>
          <w:p w14:paraId="595FB446"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Subcutaneous adipose tissue blood flow (</w:t>
            </w:r>
            <w:proofErr w:type="spellStart"/>
            <w:r>
              <w:rPr>
                <w:rFonts w:ascii="Times New Roman" w:eastAsia="Times New Roman" w:hAnsi="Times New Roman" w:cs="Times New Roman"/>
              </w:rPr>
              <w:t>sATBF</w:t>
            </w:r>
            <w:proofErr w:type="spellEnd"/>
            <w:r>
              <w:rPr>
                <w:rFonts w:ascii="Times New Roman" w:eastAsia="Times New Roman" w:hAnsi="Times New Roman" w:cs="Times New Roman"/>
              </w:rPr>
              <w:t xml:space="preserve">) (mL/min/100g </w:t>
            </w:r>
            <w:proofErr w:type="spellStart"/>
            <w:r>
              <w:rPr>
                <w:rFonts w:ascii="Times New Roman" w:eastAsia="Times New Roman" w:hAnsi="Times New Roman" w:cs="Times New Roman"/>
              </w:rPr>
              <w:t>subQ</w:t>
            </w:r>
            <w:proofErr w:type="spellEnd"/>
            <w:r>
              <w:rPr>
                <w:rFonts w:ascii="Times New Roman" w:eastAsia="Times New Roman" w:hAnsi="Times New Roman" w:cs="Times New Roman"/>
              </w:rPr>
              <w:t>)</w:t>
            </w:r>
          </w:p>
        </w:tc>
        <w:tc>
          <w:tcPr>
            <w:tcW w:w="2458" w:type="dxa"/>
          </w:tcPr>
          <w:p w14:paraId="4793CCA7"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0.6</w:t>
            </w:r>
          </w:p>
          <w:p w14:paraId="0C1EF9BD"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2077" w:type="dxa"/>
          </w:tcPr>
          <w:p w14:paraId="1B5F7DB0"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Fitted</w:t>
            </w:r>
          </w:p>
          <w:p w14:paraId="39657AFE"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r w:rsidR="006B4C13" w14:paraId="222303EB" w14:textId="77777777" w:rsidTr="0054375A">
        <w:trPr>
          <w:trHeight w:val="214"/>
        </w:trPr>
        <w:tc>
          <w:tcPr>
            <w:cnfStyle w:val="001000000000" w:firstRow="0" w:lastRow="0" w:firstColumn="1" w:lastColumn="0" w:oddVBand="0" w:evenVBand="0" w:oddHBand="0" w:evenHBand="0" w:firstRowFirstColumn="0" w:firstRowLastColumn="0" w:lastRowFirstColumn="0" w:lastRowLastColumn="0"/>
            <w:tcW w:w="4254" w:type="dxa"/>
          </w:tcPr>
          <w:p w14:paraId="0939A22E" w14:textId="77777777" w:rsidR="006B4C13" w:rsidRDefault="006B4C13" w:rsidP="0054375A">
            <w:pPr>
              <w:rPr>
                <w:rFonts w:ascii="Times New Roman" w:eastAsia="Times New Roman" w:hAnsi="Times New Roman" w:cs="Times New Roman"/>
              </w:rPr>
            </w:pPr>
            <w:r>
              <w:rPr>
                <w:rFonts w:ascii="Times New Roman" w:eastAsia="Times New Roman" w:hAnsi="Times New Roman" w:cs="Times New Roman"/>
              </w:rPr>
              <w:t>Partition coefficient of the adipose tissue (</w:t>
            </w:r>
            <w:proofErr w:type="spellStart"/>
            <w:r>
              <w:rPr>
                <w:rFonts w:ascii="Times New Roman" w:eastAsia="Times New Roman" w:hAnsi="Times New Roman" w:cs="Times New Roman"/>
              </w:rPr>
              <w:t>Kp</w:t>
            </w:r>
            <w:proofErr w:type="spellEnd"/>
            <w:r>
              <w:rPr>
                <w:rFonts w:ascii="Times New Roman" w:eastAsia="Times New Roman" w:hAnsi="Times New Roman" w:cs="Times New Roman"/>
              </w:rPr>
              <w:t>)</w:t>
            </w:r>
          </w:p>
        </w:tc>
        <w:tc>
          <w:tcPr>
            <w:tcW w:w="2458" w:type="dxa"/>
          </w:tcPr>
          <w:p w14:paraId="030F85D2" w14:textId="77777777" w:rsidR="006B4C13" w:rsidRDefault="006B4C13" w:rsidP="0054375A">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1.76</w:t>
            </w:r>
          </w:p>
        </w:tc>
        <w:tc>
          <w:tcPr>
            <w:tcW w:w="2077" w:type="dxa"/>
          </w:tcPr>
          <w:p w14:paraId="058D8B3B" w14:textId="77777777" w:rsidR="006B4C13" w:rsidRDefault="006B4C13" w:rsidP="0054375A">
            <w:pPr>
              <w:tabs>
                <w:tab w:val="left" w:pos="5835"/>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Pr>
                <w:rFonts w:ascii="Times New Roman" w:eastAsia="Times New Roman" w:hAnsi="Times New Roman" w:cs="Times New Roman"/>
              </w:rPr>
              <w:t>Fitted</w:t>
            </w:r>
          </w:p>
        </w:tc>
      </w:tr>
    </w:tbl>
    <w:p w14:paraId="3E43184B" w14:textId="6F40742E"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16B5F86F" w14:textId="5E086734"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4A5C2522" w14:textId="7DCB672C" w:rsidR="006B4C13" w:rsidRDefault="006B4C13" w:rsidP="006B4C13">
      <w:pPr>
        <w:spacing w:after="0" w:line="360" w:lineRule="auto"/>
        <w:jc w:val="both"/>
        <w:rPr>
          <w:rFonts w:ascii="Times New Roman" w:eastAsia="Times New Roman" w:hAnsi="Times New Roman" w:cs="Times New Roman"/>
          <w:color w:val="212121"/>
          <w:sz w:val="24"/>
          <w:szCs w:val="24"/>
          <w:highlight w:val="white"/>
        </w:rPr>
      </w:pPr>
    </w:p>
    <w:p w14:paraId="7F41F3F9" w14:textId="2039945D" w:rsidR="006B4C13" w:rsidRDefault="006B4C13" w:rsidP="006B4C13">
      <w:pPr>
        <w:spacing w:after="0" w:line="360" w:lineRule="auto"/>
        <w:jc w:val="both"/>
        <w:rPr>
          <w:rFonts w:ascii="Times New Roman" w:eastAsia="Times New Roman" w:hAnsi="Times New Roman" w:cs="Times New Roman"/>
          <w:color w:val="212121"/>
          <w:sz w:val="24"/>
          <w:szCs w:val="24"/>
          <w:highlight w:val="white"/>
        </w:rPr>
      </w:pPr>
    </w:p>
    <w:p w14:paraId="5BFD85D5" w14:textId="28041240" w:rsidR="006B4C13" w:rsidRDefault="006B4C13" w:rsidP="006B4C13">
      <w:pPr>
        <w:spacing w:after="0" w:line="360" w:lineRule="auto"/>
        <w:jc w:val="both"/>
        <w:rPr>
          <w:rFonts w:ascii="Times New Roman" w:eastAsia="Times New Roman" w:hAnsi="Times New Roman" w:cs="Times New Roman"/>
          <w:color w:val="212121"/>
          <w:sz w:val="24"/>
          <w:szCs w:val="24"/>
          <w:highlight w:val="white"/>
        </w:rPr>
      </w:pPr>
    </w:p>
    <w:p w14:paraId="3F3CDADF" w14:textId="77777777" w:rsidR="006B4C13" w:rsidRDefault="006B4C13" w:rsidP="006B4C13">
      <w:pPr>
        <w:spacing w:after="0" w:line="360" w:lineRule="auto"/>
        <w:jc w:val="both"/>
        <w:rPr>
          <w:rFonts w:ascii="Times New Roman" w:eastAsia="Times New Roman" w:hAnsi="Times New Roman" w:cs="Times New Roman"/>
          <w:color w:val="212121"/>
          <w:sz w:val="24"/>
          <w:szCs w:val="24"/>
          <w:highlight w:val="white"/>
        </w:rPr>
      </w:pPr>
    </w:p>
    <w:p w14:paraId="5796840B" w14:textId="3190098E" w:rsidR="006B4C13" w:rsidRPr="006B4C13" w:rsidRDefault="006B4C13" w:rsidP="006B4C13">
      <w:pPr>
        <w:spacing w:before="240" w:after="240" w:line="360" w:lineRule="auto"/>
        <w:jc w:val="both"/>
        <w:rPr>
          <w:rFonts w:ascii="Times New Roman" w:eastAsia="Times New Roman" w:hAnsi="Times New Roman" w:cs="Times New Roman"/>
          <w:color w:val="131413"/>
          <w:sz w:val="24"/>
          <w:szCs w:val="24"/>
        </w:rPr>
      </w:pPr>
      <w:r>
        <w:rPr>
          <w:rFonts w:ascii="Times New Roman" w:eastAsia="Times New Roman" w:hAnsi="Times New Roman" w:cs="Times New Roman"/>
          <w:b/>
          <w:color w:val="131413"/>
          <w:sz w:val="24"/>
          <w:szCs w:val="24"/>
        </w:rPr>
        <w:t>Table 2</w:t>
      </w:r>
      <w:r>
        <w:rPr>
          <w:rFonts w:ascii="Times New Roman" w:eastAsia="Times New Roman" w:hAnsi="Times New Roman" w:cs="Times New Roman"/>
          <w:color w:val="131413"/>
          <w:sz w:val="24"/>
          <w:szCs w:val="24"/>
        </w:rPr>
        <w:t xml:space="preserve">. Characteristics of the population used for </w:t>
      </w:r>
      <w:proofErr w:type="spellStart"/>
      <w:r>
        <w:rPr>
          <w:rFonts w:ascii="Times New Roman" w:eastAsia="Times New Roman" w:hAnsi="Times New Roman" w:cs="Times New Roman"/>
          <w:color w:val="131413"/>
          <w:sz w:val="24"/>
          <w:szCs w:val="24"/>
        </w:rPr>
        <w:t>Semaglutide</w:t>
      </w:r>
      <w:proofErr w:type="spellEnd"/>
      <w:r>
        <w:rPr>
          <w:rFonts w:ascii="Times New Roman" w:eastAsia="Times New Roman" w:hAnsi="Times New Roman" w:cs="Times New Roman"/>
          <w:color w:val="131413"/>
          <w:sz w:val="24"/>
          <w:szCs w:val="24"/>
        </w:rPr>
        <w:t xml:space="preserve"> PBPK model development.</w:t>
      </w:r>
    </w:p>
    <w:tbl>
      <w:tblPr>
        <w:tblpPr w:leftFromText="141" w:rightFromText="141" w:vertAnchor="text" w:horzAnchor="margin" w:tblpXSpec="center" w:tblpY="101"/>
        <w:tblW w:w="9331" w:type="dxa"/>
        <w:tblBorders>
          <w:top w:val="single" w:sz="4" w:space="0" w:color="auto"/>
          <w:bottom w:val="single" w:sz="4" w:space="0" w:color="auto"/>
          <w:insideH w:val="single" w:sz="4" w:space="0" w:color="auto"/>
        </w:tblBorders>
        <w:tblCellMar>
          <w:left w:w="70" w:type="dxa"/>
          <w:right w:w="70" w:type="dxa"/>
        </w:tblCellMar>
        <w:tblLook w:val="0000" w:firstRow="0" w:lastRow="0" w:firstColumn="0" w:lastColumn="0" w:noHBand="0" w:noVBand="0"/>
      </w:tblPr>
      <w:tblGrid>
        <w:gridCol w:w="1216"/>
        <w:gridCol w:w="1094"/>
        <w:gridCol w:w="1082"/>
        <w:gridCol w:w="823"/>
        <w:gridCol w:w="844"/>
        <w:gridCol w:w="1083"/>
        <w:gridCol w:w="827"/>
        <w:gridCol w:w="1179"/>
        <w:gridCol w:w="1183"/>
      </w:tblGrid>
      <w:tr w:rsidR="006B4C13" w:rsidRPr="00791BD7" w14:paraId="4FA72B7E" w14:textId="77777777" w:rsidTr="0054375A">
        <w:trPr>
          <w:trHeight w:val="699"/>
        </w:trPr>
        <w:tc>
          <w:tcPr>
            <w:tcW w:w="1216" w:type="dxa"/>
          </w:tcPr>
          <w:p w14:paraId="59778E1B" w14:textId="77777777" w:rsidR="006B4C13" w:rsidRPr="00791BD7" w:rsidRDefault="006B4C13" w:rsidP="0054375A">
            <w:pPr>
              <w:jc w:val="center"/>
              <w:rPr>
                <w:rFonts w:ascii="Times New Roman" w:hAnsi="Times New Roman" w:cs="Times New Roman"/>
                <w:lang w:val="pt-BR" w:eastAsia="en-US"/>
              </w:rPr>
            </w:pPr>
          </w:p>
          <w:p w14:paraId="5A938071" w14:textId="77777777" w:rsidR="006B4C13" w:rsidRPr="00791BD7" w:rsidRDefault="006B4C13" w:rsidP="0054375A">
            <w:pPr>
              <w:jc w:val="center"/>
              <w:rPr>
                <w:rFonts w:ascii="Times New Roman" w:hAnsi="Times New Roman" w:cs="Times New Roman"/>
                <w:lang w:val="pt-BR" w:eastAsia="en-US"/>
              </w:rPr>
            </w:pPr>
            <w:proofErr w:type="spellStart"/>
            <w:r w:rsidRPr="00791BD7">
              <w:rPr>
                <w:rFonts w:ascii="Times New Roman" w:hAnsi="Times New Roman" w:cs="Times New Roman"/>
                <w:lang w:val="pt-BR" w:eastAsia="en-US"/>
              </w:rPr>
              <w:t>Population</w:t>
            </w:r>
            <w:proofErr w:type="spellEnd"/>
            <w:r w:rsidRPr="00791BD7">
              <w:rPr>
                <w:rFonts w:ascii="Times New Roman" w:hAnsi="Times New Roman" w:cs="Times New Roman"/>
                <w:lang w:val="pt-BR" w:eastAsia="en-US"/>
              </w:rPr>
              <w:t xml:space="preserve"> </w:t>
            </w:r>
          </w:p>
        </w:tc>
        <w:tc>
          <w:tcPr>
            <w:tcW w:w="1094" w:type="dxa"/>
          </w:tcPr>
          <w:p w14:paraId="67B358B3" w14:textId="77777777" w:rsidR="006B4C13" w:rsidRPr="00791BD7" w:rsidRDefault="006B4C13" w:rsidP="0054375A">
            <w:pPr>
              <w:jc w:val="center"/>
              <w:rPr>
                <w:rFonts w:ascii="Times New Roman" w:hAnsi="Times New Roman" w:cs="Times New Roman"/>
                <w:lang w:val="pt-BR" w:eastAsia="en-US"/>
              </w:rPr>
            </w:pPr>
            <w:proofErr w:type="spellStart"/>
            <w:r w:rsidRPr="00791BD7">
              <w:rPr>
                <w:rFonts w:ascii="Times New Roman" w:hAnsi="Times New Roman" w:cs="Times New Roman"/>
                <w:lang w:val="pt-BR" w:eastAsia="en-US"/>
              </w:rPr>
              <w:t>Population</w:t>
            </w:r>
            <w:proofErr w:type="spellEnd"/>
            <w:r w:rsidRPr="00791BD7">
              <w:rPr>
                <w:rFonts w:ascii="Times New Roman" w:hAnsi="Times New Roman" w:cs="Times New Roman"/>
                <w:lang w:val="pt-BR" w:eastAsia="en-US"/>
              </w:rPr>
              <w:t xml:space="preserve"> </w:t>
            </w:r>
            <w:proofErr w:type="spellStart"/>
            <w:r w:rsidRPr="00791BD7">
              <w:rPr>
                <w:rFonts w:ascii="Times New Roman" w:hAnsi="Times New Roman" w:cs="Times New Roman"/>
                <w:lang w:val="pt-BR" w:eastAsia="en-US"/>
              </w:rPr>
              <w:t>Size</w:t>
            </w:r>
            <w:proofErr w:type="spellEnd"/>
            <w:r w:rsidRPr="00791BD7">
              <w:rPr>
                <w:rFonts w:ascii="Times New Roman" w:hAnsi="Times New Roman" w:cs="Times New Roman"/>
                <w:lang w:val="pt-BR" w:eastAsia="en-US"/>
              </w:rPr>
              <w:t xml:space="preserve"> (n)</w:t>
            </w:r>
          </w:p>
        </w:tc>
        <w:tc>
          <w:tcPr>
            <w:tcW w:w="1082" w:type="dxa"/>
          </w:tcPr>
          <w:p w14:paraId="665EA936" w14:textId="77777777" w:rsidR="006B4C13" w:rsidRPr="00791BD7" w:rsidRDefault="006B4C13" w:rsidP="0054375A">
            <w:pPr>
              <w:jc w:val="center"/>
              <w:rPr>
                <w:rFonts w:ascii="Times New Roman" w:hAnsi="Times New Roman" w:cs="Times New Roman"/>
                <w:lang w:val="pt-BR" w:eastAsia="en-US"/>
              </w:rPr>
            </w:pPr>
            <w:proofErr w:type="spellStart"/>
            <w:r w:rsidRPr="00791BD7">
              <w:rPr>
                <w:rFonts w:ascii="Times New Roman" w:hAnsi="Times New Roman" w:cs="Times New Roman"/>
                <w:lang w:val="pt-BR" w:eastAsia="en-US"/>
              </w:rPr>
              <w:t>Proportion</w:t>
            </w:r>
            <w:proofErr w:type="spellEnd"/>
            <w:r w:rsidRPr="00791BD7">
              <w:rPr>
                <w:rFonts w:ascii="Times New Roman" w:hAnsi="Times New Roman" w:cs="Times New Roman"/>
                <w:lang w:val="pt-BR" w:eastAsia="en-US"/>
              </w:rPr>
              <w:t xml:space="preserve"> </w:t>
            </w:r>
            <w:proofErr w:type="spellStart"/>
            <w:r w:rsidRPr="00791BD7">
              <w:rPr>
                <w:rFonts w:ascii="Times New Roman" w:hAnsi="Times New Roman" w:cs="Times New Roman"/>
                <w:lang w:val="pt-BR" w:eastAsia="en-US"/>
              </w:rPr>
              <w:t>of</w:t>
            </w:r>
            <w:proofErr w:type="spellEnd"/>
            <w:r w:rsidRPr="00791BD7">
              <w:rPr>
                <w:rFonts w:ascii="Times New Roman" w:hAnsi="Times New Roman" w:cs="Times New Roman"/>
                <w:lang w:val="pt-BR" w:eastAsia="en-US"/>
              </w:rPr>
              <w:t xml:space="preserve"> </w:t>
            </w:r>
            <w:proofErr w:type="spellStart"/>
            <w:r w:rsidRPr="00791BD7">
              <w:rPr>
                <w:rFonts w:ascii="Times New Roman" w:hAnsi="Times New Roman" w:cs="Times New Roman"/>
                <w:lang w:val="pt-BR" w:eastAsia="en-US"/>
              </w:rPr>
              <w:t>female</w:t>
            </w:r>
            <w:proofErr w:type="spellEnd"/>
            <w:r w:rsidRPr="00791BD7">
              <w:rPr>
                <w:rFonts w:ascii="Times New Roman" w:hAnsi="Times New Roman" w:cs="Times New Roman"/>
                <w:lang w:val="pt-BR" w:eastAsia="en-US"/>
              </w:rPr>
              <w:t xml:space="preserve"> (%)</w:t>
            </w:r>
          </w:p>
        </w:tc>
        <w:tc>
          <w:tcPr>
            <w:tcW w:w="823" w:type="dxa"/>
          </w:tcPr>
          <w:p w14:paraId="588E62D1"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Age</w:t>
            </w:r>
          </w:p>
          <w:p w14:paraId="6971E2D6"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w:t>
            </w:r>
            <w:proofErr w:type="spellStart"/>
            <w:r w:rsidRPr="00791BD7">
              <w:rPr>
                <w:rFonts w:ascii="Times New Roman" w:hAnsi="Times New Roman" w:cs="Times New Roman"/>
                <w:lang w:val="pt-BR" w:eastAsia="en-US"/>
              </w:rPr>
              <w:t>years</w:t>
            </w:r>
            <w:proofErr w:type="spellEnd"/>
            <w:r w:rsidRPr="00791BD7">
              <w:rPr>
                <w:rFonts w:ascii="Times New Roman" w:hAnsi="Times New Roman" w:cs="Times New Roman"/>
                <w:lang w:val="pt-BR" w:eastAsia="en-US"/>
              </w:rPr>
              <w:t>)</w:t>
            </w:r>
          </w:p>
        </w:tc>
        <w:tc>
          <w:tcPr>
            <w:tcW w:w="844" w:type="dxa"/>
          </w:tcPr>
          <w:p w14:paraId="51180FB2" w14:textId="77777777" w:rsidR="006B4C13" w:rsidRPr="00791BD7" w:rsidRDefault="006B4C13" w:rsidP="0054375A">
            <w:pPr>
              <w:autoSpaceDE w:val="0"/>
              <w:autoSpaceDN w:val="0"/>
              <w:adjustRightInd w:val="0"/>
              <w:spacing w:after="0" w:line="240" w:lineRule="auto"/>
              <w:jc w:val="center"/>
              <w:rPr>
                <w:rFonts w:ascii="Times New Roman" w:hAnsi="Times New Roman" w:cs="Times New Roman"/>
                <w:lang w:val="pt-BR" w:eastAsia="en-US"/>
              </w:rPr>
            </w:pPr>
          </w:p>
          <w:p w14:paraId="231F0558" w14:textId="77777777" w:rsidR="006B4C13" w:rsidRPr="00791BD7" w:rsidRDefault="006B4C13" w:rsidP="0054375A">
            <w:pPr>
              <w:autoSpaceDE w:val="0"/>
              <w:autoSpaceDN w:val="0"/>
              <w:adjustRightInd w:val="0"/>
              <w:spacing w:after="0" w:line="240" w:lineRule="auto"/>
              <w:jc w:val="center"/>
              <w:rPr>
                <w:rFonts w:ascii="Times New Roman" w:hAnsi="Times New Roman" w:cs="Times New Roman"/>
                <w:lang w:val="pt-BR" w:eastAsia="en-US"/>
              </w:rPr>
            </w:pPr>
            <w:r w:rsidRPr="00791BD7">
              <w:rPr>
                <w:rFonts w:ascii="Times New Roman" w:hAnsi="Times New Roman" w:cs="Times New Roman"/>
                <w:lang w:val="pt-BR" w:eastAsia="en-US"/>
              </w:rPr>
              <w:t>BMI</w:t>
            </w:r>
          </w:p>
          <w:p w14:paraId="781CC719" w14:textId="77777777" w:rsidR="006B4C13" w:rsidRPr="00791BD7" w:rsidRDefault="006B4C13" w:rsidP="0054375A">
            <w:pPr>
              <w:autoSpaceDE w:val="0"/>
              <w:autoSpaceDN w:val="0"/>
              <w:adjustRightInd w:val="0"/>
              <w:spacing w:after="0" w:line="240" w:lineRule="auto"/>
              <w:jc w:val="center"/>
              <w:rPr>
                <w:rFonts w:ascii="Times New Roman" w:hAnsi="Times New Roman" w:cs="Times New Roman"/>
                <w:lang w:val="pt-BR" w:eastAsia="en-US"/>
              </w:rPr>
            </w:pPr>
            <w:r w:rsidRPr="00791BD7">
              <w:rPr>
                <w:rFonts w:ascii="Times New Roman" w:hAnsi="Times New Roman" w:cs="Times New Roman"/>
                <w:lang w:val="pt-BR" w:eastAsia="en-US"/>
              </w:rPr>
              <w:t>(kg/m²)</w:t>
            </w:r>
          </w:p>
        </w:tc>
        <w:tc>
          <w:tcPr>
            <w:tcW w:w="1083" w:type="dxa"/>
          </w:tcPr>
          <w:p w14:paraId="030F0AE3" w14:textId="77777777" w:rsidR="006B4C13" w:rsidRPr="00791BD7" w:rsidRDefault="006B4C13" w:rsidP="0054375A">
            <w:pPr>
              <w:autoSpaceDE w:val="0"/>
              <w:autoSpaceDN w:val="0"/>
              <w:adjustRightInd w:val="0"/>
              <w:spacing w:after="0" w:line="240" w:lineRule="auto"/>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Body </w:t>
            </w:r>
            <w:proofErr w:type="spellStart"/>
            <w:r w:rsidRPr="00791BD7">
              <w:rPr>
                <w:rFonts w:ascii="Times New Roman" w:hAnsi="Times New Roman" w:cs="Times New Roman"/>
                <w:lang w:val="pt-BR" w:eastAsia="en-US"/>
              </w:rPr>
              <w:t>Weight</w:t>
            </w:r>
            <w:proofErr w:type="spellEnd"/>
            <w:r w:rsidRPr="00791BD7">
              <w:rPr>
                <w:rFonts w:ascii="Times New Roman" w:hAnsi="Times New Roman" w:cs="Times New Roman"/>
                <w:lang w:val="pt-BR" w:eastAsia="en-US"/>
              </w:rPr>
              <w:t xml:space="preserve"> (Kg)</w:t>
            </w:r>
          </w:p>
        </w:tc>
        <w:tc>
          <w:tcPr>
            <w:tcW w:w="827" w:type="dxa"/>
          </w:tcPr>
          <w:p w14:paraId="7321633B" w14:textId="77777777" w:rsidR="006B4C13" w:rsidRPr="00791BD7" w:rsidRDefault="006B4C13" w:rsidP="0054375A">
            <w:pPr>
              <w:autoSpaceDE w:val="0"/>
              <w:autoSpaceDN w:val="0"/>
              <w:adjustRightInd w:val="0"/>
              <w:spacing w:after="0" w:line="240" w:lineRule="auto"/>
              <w:jc w:val="center"/>
              <w:rPr>
                <w:rFonts w:ascii="Times New Roman" w:hAnsi="Times New Roman" w:cs="Times New Roman"/>
                <w:lang w:val="pt-BR" w:eastAsia="en-US"/>
              </w:rPr>
            </w:pPr>
          </w:p>
          <w:p w14:paraId="62E8B430" w14:textId="77777777" w:rsidR="006B4C13" w:rsidRPr="00791BD7" w:rsidRDefault="006B4C13" w:rsidP="0054375A">
            <w:pPr>
              <w:autoSpaceDE w:val="0"/>
              <w:autoSpaceDN w:val="0"/>
              <w:adjustRightInd w:val="0"/>
              <w:spacing w:after="0" w:line="240" w:lineRule="auto"/>
              <w:rPr>
                <w:rFonts w:ascii="Times New Roman" w:hAnsi="Times New Roman" w:cs="Times New Roman"/>
                <w:lang w:val="pt-BR" w:eastAsia="en-US"/>
              </w:rPr>
            </w:pPr>
            <w:r w:rsidRPr="00791BD7">
              <w:rPr>
                <w:rFonts w:ascii="Times New Roman" w:hAnsi="Times New Roman" w:cs="Times New Roman"/>
                <w:lang w:val="pt-BR" w:eastAsia="en-US"/>
              </w:rPr>
              <w:t xml:space="preserve">   Dose</w:t>
            </w:r>
          </w:p>
          <w:p w14:paraId="1455799F" w14:textId="77777777" w:rsidR="006B4C13" w:rsidRPr="00791BD7" w:rsidRDefault="006B4C13" w:rsidP="0054375A">
            <w:pPr>
              <w:autoSpaceDE w:val="0"/>
              <w:autoSpaceDN w:val="0"/>
              <w:adjustRightInd w:val="0"/>
              <w:spacing w:after="0" w:line="240" w:lineRule="auto"/>
              <w:jc w:val="center"/>
              <w:rPr>
                <w:rFonts w:ascii="Times New Roman" w:hAnsi="Times New Roman" w:cs="Times New Roman"/>
                <w:lang w:val="pt-BR" w:eastAsia="en-US"/>
              </w:rPr>
            </w:pPr>
            <w:r w:rsidRPr="00791BD7">
              <w:rPr>
                <w:rFonts w:ascii="Times New Roman" w:hAnsi="Times New Roman" w:cs="Times New Roman"/>
                <w:lang w:val="pt-BR" w:eastAsia="en-US"/>
              </w:rPr>
              <w:t>(mg)</w:t>
            </w:r>
          </w:p>
          <w:p w14:paraId="2E27769F" w14:textId="77777777" w:rsidR="006B4C13" w:rsidRPr="00791BD7" w:rsidRDefault="006B4C13" w:rsidP="0054375A">
            <w:pPr>
              <w:jc w:val="center"/>
              <w:rPr>
                <w:rFonts w:ascii="Times New Roman" w:hAnsi="Times New Roman" w:cs="Times New Roman"/>
                <w:lang w:val="pt-BR" w:eastAsia="en-US"/>
              </w:rPr>
            </w:pPr>
          </w:p>
        </w:tc>
        <w:tc>
          <w:tcPr>
            <w:tcW w:w="1179" w:type="dxa"/>
          </w:tcPr>
          <w:p w14:paraId="3AFE6B88" w14:textId="77777777" w:rsidR="006B4C13" w:rsidRPr="00791BD7" w:rsidRDefault="006B4C13" w:rsidP="0054375A">
            <w:pPr>
              <w:rPr>
                <w:rFonts w:ascii="Times New Roman" w:hAnsi="Times New Roman" w:cs="Times New Roman"/>
                <w:lang w:val="pt-BR" w:eastAsia="en-US"/>
              </w:rPr>
            </w:pPr>
          </w:p>
          <w:p w14:paraId="4D701BF8" w14:textId="77777777" w:rsidR="006B4C13" w:rsidRPr="00791BD7" w:rsidRDefault="006B4C13" w:rsidP="0054375A">
            <w:pPr>
              <w:rPr>
                <w:rFonts w:ascii="Times New Roman" w:hAnsi="Times New Roman" w:cs="Times New Roman"/>
                <w:lang w:val="pt-BR" w:eastAsia="en-US"/>
              </w:rPr>
            </w:pPr>
            <w:proofErr w:type="spellStart"/>
            <w:r w:rsidRPr="00791BD7">
              <w:rPr>
                <w:rFonts w:ascii="Times New Roman" w:hAnsi="Times New Roman" w:cs="Times New Roman"/>
                <w:lang w:val="pt-BR" w:eastAsia="en-US"/>
              </w:rPr>
              <w:t>Application</w:t>
            </w:r>
            <w:proofErr w:type="spellEnd"/>
          </w:p>
        </w:tc>
        <w:tc>
          <w:tcPr>
            <w:tcW w:w="1183" w:type="dxa"/>
          </w:tcPr>
          <w:p w14:paraId="60EDD195" w14:textId="77777777" w:rsidR="006B4C13" w:rsidRPr="00791BD7" w:rsidRDefault="006B4C13" w:rsidP="0054375A">
            <w:pPr>
              <w:jc w:val="center"/>
              <w:rPr>
                <w:rFonts w:ascii="Times New Roman" w:hAnsi="Times New Roman" w:cs="Times New Roman"/>
                <w:lang w:val="pt-BR" w:eastAsia="en-US"/>
              </w:rPr>
            </w:pPr>
          </w:p>
          <w:p w14:paraId="1E8E2ED4" w14:textId="77777777" w:rsidR="006B4C13" w:rsidRPr="00791BD7" w:rsidRDefault="006B4C13" w:rsidP="0054375A">
            <w:pPr>
              <w:jc w:val="center"/>
              <w:rPr>
                <w:rFonts w:ascii="Times New Roman" w:hAnsi="Times New Roman" w:cs="Times New Roman"/>
                <w:lang w:val="pt-BR" w:eastAsia="en-US"/>
              </w:rPr>
            </w:pPr>
            <w:proofErr w:type="spellStart"/>
            <w:r w:rsidRPr="00791BD7">
              <w:rPr>
                <w:rFonts w:ascii="Times New Roman" w:hAnsi="Times New Roman" w:cs="Times New Roman"/>
                <w:lang w:val="pt-BR" w:eastAsia="en-US"/>
              </w:rPr>
              <w:t>References</w:t>
            </w:r>
            <w:proofErr w:type="spellEnd"/>
          </w:p>
        </w:tc>
      </w:tr>
      <w:tr w:rsidR="006B4C13" w:rsidRPr="00791BD7" w14:paraId="46210E45" w14:textId="77777777" w:rsidTr="0054375A">
        <w:trPr>
          <w:trHeight w:val="701"/>
        </w:trPr>
        <w:tc>
          <w:tcPr>
            <w:tcW w:w="1216" w:type="dxa"/>
          </w:tcPr>
          <w:p w14:paraId="5B3C6E9E" w14:textId="77777777" w:rsidR="006B4C13" w:rsidRPr="00791BD7" w:rsidRDefault="006B4C13" w:rsidP="0054375A">
            <w:pPr>
              <w:jc w:val="center"/>
              <w:rPr>
                <w:rFonts w:ascii="Times New Roman" w:hAnsi="Times New Roman" w:cs="Times New Roman"/>
                <w:lang w:val="pt-BR" w:eastAsia="en-US"/>
              </w:rPr>
            </w:pPr>
            <w:proofErr w:type="spellStart"/>
            <w:r w:rsidRPr="00791BD7">
              <w:rPr>
                <w:rFonts w:ascii="Times New Roman" w:hAnsi="Times New Roman" w:cs="Times New Roman"/>
                <w:lang w:val="pt-BR" w:eastAsia="en-US"/>
              </w:rPr>
              <w:t>European</w:t>
            </w:r>
            <w:proofErr w:type="spellEnd"/>
          </w:p>
        </w:tc>
        <w:tc>
          <w:tcPr>
            <w:tcW w:w="1094" w:type="dxa"/>
          </w:tcPr>
          <w:p w14:paraId="386C882E"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7</w:t>
            </w:r>
          </w:p>
        </w:tc>
        <w:tc>
          <w:tcPr>
            <w:tcW w:w="1082" w:type="dxa"/>
          </w:tcPr>
          <w:p w14:paraId="36B10BF4"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0</w:t>
            </w:r>
          </w:p>
        </w:tc>
        <w:tc>
          <w:tcPr>
            <w:tcW w:w="823" w:type="dxa"/>
          </w:tcPr>
          <w:p w14:paraId="41244ECE"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48-64</w:t>
            </w:r>
          </w:p>
        </w:tc>
        <w:tc>
          <w:tcPr>
            <w:tcW w:w="844" w:type="dxa"/>
          </w:tcPr>
          <w:p w14:paraId="28F01366"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21.7-29.7</w:t>
            </w:r>
          </w:p>
        </w:tc>
        <w:tc>
          <w:tcPr>
            <w:tcW w:w="1083" w:type="dxa"/>
          </w:tcPr>
          <w:p w14:paraId="1D24EC60"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62.6 - 107.3</w:t>
            </w:r>
          </w:p>
        </w:tc>
        <w:tc>
          <w:tcPr>
            <w:tcW w:w="827" w:type="dxa"/>
          </w:tcPr>
          <w:p w14:paraId="2C8CDAD2"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0.5</w:t>
            </w:r>
          </w:p>
        </w:tc>
        <w:tc>
          <w:tcPr>
            <w:tcW w:w="1179" w:type="dxa"/>
          </w:tcPr>
          <w:p w14:paraId="32B369C1"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Single </w:t>
            </w:r>
            <w:proofErr w:type="spellStart"/>
            <w:r w:rsidRPr="00791BD7">
              <w:rPr>
                <w:rFonts w:ascii="Times New Roman" w:hAnsi="Times New Roman" w:cs="Times New Roman"/>
                <w:lang w:val="pt-BR" w:eastAsia="en-US"/>
              </w:rPr>
              <w:t>s.c</w:t>
            </w:r>
            <w:proofErr w:type="spellEnd"/>
            <w:r w:rsidRPr="00791BD7">
              <w:rPr>
                <w:rFonts w:ascii="Times New Roman" w:hAnsi="Times New Roman" w:cs="Times New Roman"/>
                <w:lang w:val="pt-BR" w:eastAsia="en-US"/>
              </w:rPr>
              <w:t xml:space="preserve">    dose</w:t>
            </w:r>
          </w:p>
        </w:tc>
        <w:tc>
          <w:tcPr>
            <w:tcW w:w="1183" w:type="dxa"/>
          </w:tcPr>
          <w:p w14:paraId="27ECE52F" w14:textId="77777777" w:rsidR="006B4C13" w:rsidRPr="00791BD7" w:rsidRDefault="006B4C13" w:rsidP="0054375A">
            <w:pPr>
              <w:jc w:val="center"/>
              <w:rPr>
                <w:rFonts w:ascii="Times New Roman" w:hAnsi="Times New Roman" w:cs="Times New Roman"/>
                <w:lang w:val="pt-BR" w:eastAsia="en-US"/>
              </w:rPr>
            </w:pPr>
            <w:r>
              <w:rPr>
                <w:rFonts w:ascii="Times New Roman" w:hAnsi="Times New Roman" w:cs="Times New Roman"/>
                <w:lang w:val="pt-BR" w:eastAsia="en-US"/>
              </w:rPr>
              <w:t>[25]</w:t>
            </w:r>
          </w:p>
        </w:tc>
      </w:tr>
      <w:tr w:rsidR="006B4C13" w:rsidRPr="00791BD7" w14:paraId="7D8C9C2E" w14:textId="77777777" w:rsidTr="0054375A">
        <w:trPr>
          <w:trHeight w:val="598"/>
        </w:trPr>
        <w:tc>
          <w:tcPr>
            <w:tcW w:w="1216" w:type="dxa"/>
          </w:tcPr>
          <w:p w14:paraId="7D2D50DE"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American</w:t>
            </w:r>
          </w:p>
        </w:tc>
        <w:tc>
          <w:tcPr>
            <w:tcW w:w="1094" w:type="dxa"/>
          </w:tcPr>
          <w:p w14:paraId="4E8452C1"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14</w:t>
            </w:r>
          </w:p>
        </w:tc>
        <w:tc>
          <w:tcPr>
            <w:tcW w:w="1082" w:type="dxa"/>
          </w:tcPr>
          <w:p w14:paraId="45678490"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40</w:t>
            </w:r>
          </w:p>
        </w:tc>
        <w:tc>
          <w:tcPr>
            <w:tcW w:w="823" w:type="dxa"/>
          </w:tcPr>
          <w:p w14:paraId="2F5568F9"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45-63</w:t>
            </w:r>
          </w:p>
        </w:tc>
        <w:tc>
          <w:tcPr>
            <w:tcW w:w="844" w:type="dxa"/>
          </w:tcPr>
          <w:p w14:paraId="7AA8D811"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25.1-33.3</w:t>
            </w:r>
          </w:p>
        </w:tc>
        <w:tc>
          <w:tcPr>
            <w:tcW w:w="1083" w:type="dxa"/>
          </w:tcPr>
          <w:p w14:paraId="3A760C8C"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65.8 - 104</w:t>
            </w:r>
          </w:p>
        </w:tc>
        <w:tc>
          <w:tcPr>
            <w:tcW w:w="827" w:type="dxa"/>
          </w:tcPr>
          <w:p w14:paraId="5DCC20D0"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0.5</w:t>
            </w:r>
          </w:p>
        </w:tc>
        <w:tc>
          <w:tcPr>
            <w:tcW w:w="1179" w:type="dxa"/>
          </w:tcPr>
          <w:p w14:paraId="7B13B01D"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Single </w:t>
            </w:r>
            <w:proofErr w:type="spellStart"/>
            <w:r w:rsidRPr="00791BD7">
              <w:rPr>
                <w:rFonts w:ascii="Times New Roman" w:hAnsi="Times New Roman" w:cs="Times New Roman"/>
                <w:lang w:val="pt-BR" w:eastAsia="en-US"/>
              </w:rPr>
              <w:t>s.c</w:t>
            </w:r>
            <w:proofErr w:type="spellEnd"/>
            <w:r w:rsidRPr="00791BD7">
              <w:rPr>
                <w:rFonts w:ascii="Times New Roman" w:hAnsi="Times New Roman" w:cs="Times New Roman"/>
                <w:lang w:val="pt-BR" w:eastAsia="en-US"/>
              </w:rPr>
              <w:t xml:space="preserve">    dose</w:t>
            </w:r>
          </w:p>
        </w:tc>
        <w:tc>
          <w:tcPr>
            <w:tcW w:w="1183" w:type="dxa"/>
          </w:tcPr>
          <w:p w14:paraId="3D583F99" w14:textId="77777777" w:rsidR="006B4C13" w:rsidRPr="00791BD7" w:rsidRDefault="006B4C13" w:rsidP="0054375A">
            <w:pPr>
              <w:jc w:val="center"/>
              <w:rPr>
                <w:rFonts w:ascii="Times New Roman" w:hAnsi="Times New Roman" w:cs="Times New Roman"/>
                <w:lang w:val="pt-BR" w:eastAsia="en-US"/>
              </w:rPr>
            </w:pPr>
            <w:r>
              <w:rPr>
                <w:rFonts w:ascii="Times New Roman" w:hAnsi="Times New Roman" w:cs="Times New Roman"/>
                <w:lang w:val="pt-BR" w:eastAsia="en-US"/>
              </w:rPr>
              <w:t>[31]</w:t>
            </w:r>
          </w:p>
        </w:tc>
      </w:tr>
      <w:tr w:rsidR="006B4C13" w:rsidRPr="00791BD7" w14:paraId="1EB06010" w14:textId="77777777" w:rsidTr="0054375A">
        <w:trPr>
          <w:trHeight w:val="409"/>
        </w:trPr>
        <w:tc>
          <w:tcPr>
            <w:tcW w:w="1216" w:type="dxa"/>
          </w:tcPr>
          <w:p w14:paraId="16509B7B" w14:textId="77777777" w:rsidR="006B4C13" w:rsidRPr="00791BD7" w:rsidRDefault="006B4C13" w:rsidP="0054375A">
            <w:pPr>
              <w:jc w:val="center"/>
              <w:rPr>
                <w:rFonts w:ascii="Times New Roman" w:hAnsi="Times New Roman" w:cs="Times New Roman"/>
                <w:lang w:val="pt-BR" w:eastAsia="en-US"/>
              </w:rPr>
            </w:pPr>
            <w:proofErr w:type="spellStart"/>
            <w:r w:rsidRPr="00791BD7">
              <w:rPr>
                <w:rFonts w:ascii="Times New Roman" w:hAnsi="Times New Roman" w:cs="Times New Roman"/>
                <w:lang w:val="pt-BR" w:eastAsia="en-US"/>
              </w:rPr>
              <w:t>European</w:t>
            </w:r>
            <w:proofErr w:type="spellEnd"/>
          </w:p>
        </w:tc>
        <w:tc>
          <w:tcPr>
            <w:tcW w:w="1094" w:type="dxa"/>
          </w:tcPr>
          <w:p w14:paraId="2D698072"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28</w:t>
            </w:r>
          </w:p>
        </w:tc>
        <w:tc>
          <w:tcPr>
            <w:tcW w:w="1082" w:type="dxa"/>
          </w:tcPr>
          <w:p w14:paraId="4371692F"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50</w:t>
            </w:r>
          </w:p>
        </w:tc>
        <w:tc>
          <w:tcPr>
            <w:tcW w:w="823" w:type="dxa"/>
          </w:tcPr>
          <w:p w14:paraId="70DD0CC2"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18-55</w:t>
            </w:r>
          </w:p>
        </w:tc>
        <w:tc>
          <w:tcPr>
            <w:tcW w:w="844" w:type="dxa"/>
          </w:tcPr>
          <w:p w14:paraId="6B3F62C3"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18.5-30</w:t>
            </w:r>
          </w:p>
        </w:tc>
        <w:tc>
          <w:tcPr>
            <w:tcW w:w="1083" w:type="dxa"/>
          </w:tcPr>
          <w:p w14:paraId="79BCCF71"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w:t>
            </w:r>
          </w:p>
        </w:tc>
        <w:tc>
          <w:tcPr>
            <w:tcW w:w="827" w:type="dxa"/>
          </w:tcPr>
          <w:p w14:paraId="5B6F24F3"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0.5</w:t>
            </w:r>
          </w:p>
        </w:tc>
        <w:tc>
          <w:tcPr>
            <w:tcW w:w="1179" w:type="dxa"/>
          </w:tcPr>
          <w:p w14:paraId="51E964B4"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Single </w:t>
            </w:r>
            <w:proofErr w:type="spellStart"/>
            <w:r w:rsidRPr="00791BD7">
              <w:rPr>
                <w:rFonts w:ascii="Times New Roman" w:hAnsi="Times New Roman" w:cs="Times New Roman"/>
                <w:lang w:val="pt-BR" w:eastAsia="en-US"/>
              </w:rPr>
              <w:t>s.c</w:t>
            </w:r>
            <w:proofErr w:type="spellEnd"/>
            <w:r w:rsidRPr="00791BD7">
              <w:rPr>
                <w:rFonts w:ascii="Times New Roman" w:hAnsi="Times New Roman" w:cs="Times New Roman"/>
                <w:lang w:val="pt-BR" w:eastAsia="en-US"/>
              </w:rPr>
              <w:t xml:space="preserve">    dose</w:t>
            </w:r>
          </w:p>
        </w:tc>
        <w:tc>
          <w:tcPr>
            <w:tcW w:w="1183" w:type="dxa"/>
          </w:tcPr>
          <w:p w14:paraId="01C932D9"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NN9535-4010</w:t>
            </w:r>
            <w:r>
              <w:rPr>
                <w:rFonts w:ascii="Times New Roman" w:hAnsi="Times New Roman" w:cs="Times New Roman"/>
                <w:lang w:val="pt-BR" w:eastAsia="en-US"/>
              </w:rPr>
              <w:t xml:space="preserve"> [24]</w:t>
            </w:r>
          </w:p>
        </w:tc>
      </w:tr>
      <w:tr w:rsidR="006B4C13" w:rsidRPr="00791BD7" w14:paraId="7457F133" w14:textId="77777777" w:rsidTr="0054375A">
        <w:trPr>
          <w:trHeight w:val="491"/>
        </w:trPr>
        <w:tc>
          <w:tcPr>
            <w:tcW w:w="1216" w:type="dxa"/>
          </w:tcPr>
          <w:p w14:paraId="6F620640" w14:textId="77777777" w:rsidR="006B4C13" w:rsidRPr="00791BD7" w:rsidRDefault="006B4C13" w:rsidP="0054375A">
            <w:pPr>
              <w:jc w:val="center"/>
              <w:rPr>
                <w:rFonts w:ascii="Times New Roman" w:hAnsi="Times New Roman" w:cs="Times New Roman"/>
                <w:lang w:val="pt-BR" w:eastAsia="en-US"/>
              </w:rPr>
            </w:pPr>
            <w:proofErr w:type="spellStart"/>
            <w:r w:rsidRPr="00791BD7">
              <w:rPr>
                <w:rFonts w:ascii="Times New Roman" w:hAnsi="Times New Roman" w:cs="Times New Roman"/>
                <w:lang w:val="pt-BR" w:eastAsia="en-US"/>
              </w:rPr>
              <w:t>Children</w:t>
            </w:r>
            <w:proofErr w:type="spellEnd"/>
          </w:p>
        </w:tc>
        <w:tc>
          <w:tcPr>
            <w:tcW w:w="1094" w:type="dxa"/>
          </w:tcPr>
          <w:p w14:paraId="1E96BE30"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100</w:t>
            </w:r>
          </w:p>
        </w:tc>
        <w:tc>
          <w:tcPr>
            <w:tcW w:w="1082" w:type="dxa"/>
          </w:tcPr>
          <w:p w14:paraId="180AF182"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50</w:t>
            </w:r>
          </w:p>
        </w:tc>
        <w:tc>
          <w:tcPr>
            <w:tcW w:w="823" w:type="dxa"/>
          </w:tcPr>
          <w:p w14:paraId="76DFD94C"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10-12</w:t>
            </w:r>
          </w:p>
        </w:tc>
        <w:tc>
          <w:tcPr>
            <w:tcW w:w="844" w:type="dxa"/>
          </w:tcPr>
          <w:p w14:paraId="04A026FC"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15-20</w:t>
            </w:r>
          </w:p>
        </w:tc>
        <w:tc>
          <w:tcPr>
            <w:tcW w:w="1083" w:type="dxa"/>
          </w:tcPr>
          <w:p w14:paraId="0F043418"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24-42</w:t>
            </w:r>
          </w:p>
        </w:tc>
        <w:tc>
          <w:tcPr>
            <w:tcW w:w="827" w:type="dxa"/>
          </w:tcPr>
          <w:p w14:paraId="2F4F2615"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0.5</w:t>
            </w:r>
          </w:p>
        </w:tc>
        <w:tc>
          <w:tcPr>
            <w:tcW w:w="1179" w:type="dxa"/>
          </w:tcPr>
          <w:p w14:paraId="0A74B14C"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Single </w:t>
            </w:r>
            <w:proofErr w:type="spellStart"/>
            <w:r w:rsidRPr="00791BD7">
              <w:rPr>
                <w:rFonts w:ascii="Times New Roman" w:hAnsi="Times New Roman" w:cs="Times New Roman"/>
                <w:lang w:val="pt-BR" w:eastAsia="en-US"/>
              </w:rPr>
              <w:t>s.c</w:t>
            </w:r>
            <w:proofErr w:type="spellEnd"/>
            <w:r w:rsidRPr="00791BD7">
              <w:rPr>
                <w:rFonts w:ascii="Times New Roman" w:hAnsi="Times New Roman" w:cs="Times New Roman"/>
                <w:lang w:val="pt-BR" w:eastAsia="en-US"/>
              </w:rPr>
              <w:t xml:space="preserve">    dose</w:t>
            </w:r>
          </w:p>
        </w:tc>
        <w:tc>
          <w:tcPr>
            <w:tcW w:w="1183" w:type="dxa"/>
          </w:tcPr>
          <w:p w14:paraId="39C276E5"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w:t>
            </w:r>
          </w:p>
        </w:tc>
      </w:tr>
      <w:tr w:rsidR="006B4C13" w:rsidRPr="00791BD7" w14:paraId="5358B417" w14:textId="77777777" w:rsidTr="0054375A">
        <w:trPr>
          <w:trHeight w:val="491"/>
        </w:trPr>
        <w:tc>
          <w:tcPr>
            <w:tcW w:w="1216" w:type="dxa"/>
          </w:tcPr>
          <w:p w14:paraId="6CCD32B4" w14:textId="77777777" w:rsidR="006B4C13" w:rsidRPr="00791BD7" w:rsidRDefault="006B4C13" w:rsidP="0054375A">
            <w:pPr>
              <w:jc w:val="center"/>
              <w:rPr>
                <w:rFonts w:ascii="Times New Roman" w:hAnsi="Times New Roman" w:cs="Times New Roman"/>
                <w:lang w:val="pt-BR" w:eastAsia="en-US"/>
              </w:rPr>
            </w:pPr>
            <w:proofErr w:type="spellStart"/>
            <w:r w:rsidRPr="00791BD7">
              <w:rPr>
                <w:rFonts w:ascii="Times New Roman" w:hAnsi="Times New Roman" w:cs="Times New Roman"/>
                <w:lang w:val="pt-BR" w:eastAsia="en-US"/>
              </w:rPr>
              <w:t>Children</w:t>
            </w:r>
            <w:proofErr w:type="spellEnd"/>
          </w:p>
        </w:tc>
        <w:tc>
          <w:tcPr>
            <w:tcW w:w="1094" w:type="dxa"/>
          </w:tcPr>
          <w:p w14:paraId="171F02ED"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100</w:t>
            </w:r>
          </w:p>
        </w:tc>
        <w:tc>
          <w:tcPr>
            <w:tcW w:w="1082" w:type="dxa"/>
          </w:tcPr>
          <w:p w14:paraId="1BC0085B"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50</w:t>
            </w:r>
          </w:p>
        </w:tc>
        <w:tc>
          <w:tcPr>
            <w:tcW w:w="823" w:type="dxa"/>
          </w:tcPr>
          <w:p w14:paraId="310D3EC3"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10-12</w:t>
            </w:r>
          </w:p>
        </w:tc>
        <w:tc>
          <w:tcPr>
            <w:tcW w:w="844" w:type="dxa"/>
          </w:tcPr>
          <w:p w14:paraId="642D7F0D"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23-26</w:t>
            </w:r>
          </w:p>
        </w:tc>
        <w:tc>
          <w:tcPr>
            <w:tcW w:w="1083" w:type="dxa"/>
          </w:tcPr>
          <w:p w14:paraId="4070091D"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55-65</w:t>
            </w:r>
          </w:p>
        </w:tc>
        <w:tc>
          <w:tcPr>
            <w:tcW w:w="827" w:type="dxa"/>
          </w:tcPr>
          <w:p w14:paraId="251A6CE3"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0.5</w:t>
            </w:r>
          </w:p>
        </w:tc>
        <w:tc>
          <w:tcPr>
            <w:tcW w:w="1179" w:type="dxa"/>
          </w:tcPr>
          <w:p w14:paraId="01D001A8"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Single </w:t>
            </w:r>
            <w:proofErr w:type="spellStart"/>
            <w:r w:rsidRPr="00791BD7">
              <w:rPr>
                <w:rFonts w:ascii="Times New Roman" w:hAnsi="Times New Roman" w:cs="Times New Roman"/>
                <w:lang w:val="pt-BR" w:eastAsia="en-US"/>
              </w:rPr>
              <w:t>s.c</w:t>
            </w:r>
            <w:proofErr w:type="spellEnd"/>
            <w:r w:rsidRPr="00791BD7">
              <w:rPr>
                <w:rFonts w:ascii="Times New Roman" w:hAnsi="Times New Roman" w:cs="Times New Roman"/>
                <w:lang w:val="pt-BR" w:eastAsia="en-US"/>
              </w:rPr>
              <w:t xml:space="preserve">    dose</w:t>
            </w:r>
          </w:p>
        </w:tc>
        <w:tc>
          <w:tcPr>
            <w:tcW w:w="1183" w:type="dxa"/>
          </w:tcPr>
          <w:p w14:paraId="23DC3E8F"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w:t>
            </w:r>
          </w:p>
        </w:tc>
      </w:tr>
      <w:tr w:rsidR="006B4C13" w:rsidRPr="00791BD7" w14:paraId="68206588" w14:textId="77777777" w:rsidTr="0054375A">
        <w:trPr>
          <w:trHeight w:val="399"/>
        </w:trPr>
        <w:tc>
          <w:tcPr>
            <w:tcW w:w="1216" w:type="dxa"/>
          </w:tcPr>
          <w:p w14:paraId="0D01B36B"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Early </w:t>
            </w:r>
            <w:proofErr w:type="spellStart"/>
            <w:r w:rsidRPr="00791BD7">
              <w:rPr>
                <w:rFonts w:ascii="Times New Roman" w:hAnsi="Times New Roman" w:cs="Times New Roman"/>
                <w:lang w:val="pt-BR" w:eastAsia="en-US"/>
              </w:rPr>
              <w:t>adolescents</w:t>
            </w:r>
            <w:proofErr w:type="spellEnd"/>
          </w:p>
        </w:tc>
        <w:tc>
          <w:tcPr>
            <w:tcW w:w="1094" w:type="dxa"/>
          </w:tcPr>
          <w:p w14:paraId="154CDA47"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100</w:t>
            </w:r>
          </w:p>
        </w:tc>
        <w:tc>
          <w:tcPr>
            <w:tcW w:w="1082" w:type="dxa"/>
          </w:tcPr>
          <w:p w14:paraId="405E976E"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50</w:t>
            </w:r>
          </w:p>
        </w:tc>
        <w:tc>
          <w:tcPr>
            <w:tcW w:w="823" w:type="dxa"/>
          </w:tcPr>
          <w:p w14:paraId="07E4354D"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13-14</w:t>
            </w:r>
          </w:p>
        </w:tc>
        <w:tc>
          <w:tcPr>
            <w:tcW w:w="844" w:type="dxa"/>
          </w:tcPr>
          <w:p w14:paraId="58DD7262"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15-23</w:t>
            </w:r>
          </w:p>
        </w:tc>
        <w:tc>
          <w:tcPr>
            <w:tcW w:w="1083" w:type="dxa"/>
          </w:tcPr>
          <w:p w14:paraId="427A0845"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48-60</w:t>
            </w:r>
          </w:p>
        </w:tc>
        <w:tc>
          <w:tcPr>
            <w:tcW w:w="827" w:type="dxa"/>
          </w:tcPr>
          <w:p w14:paraId="5E9C23C5"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0.5</w:t>
            </w:r>
          </w:p>
        </w:tc>
        <w:tc>
          <w:tcPr>
            <w:tcW w:w="1179" w:type="dxa"/>
          </w:tcPr>
          <w:p w14:paraId="27151B34"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Single </w:t>
            </w:r>
            <w:proofErr w:type="spellStart"/>
            <w:r w:rsidRPr="00791BD7">
              <w:rPr>
                <w:rFonts w:ascii="Times New Roman" w:hAnsi="Times New Roman" w:cs="Times New Roman"/>
                <w:lang w:val="pt-BR" w:eastAsia="en-US"/>
              </w:rPr>
              <w:t>s.c</w:t>
            </w:r>
            <w:proofErr w:type="spellEnd"/>
            <w:r w:rsidRPr="00791BD7">
              <w:rPr>
                <w:rFonts w:ascii="Times New Roman" w:hAnsi="Times New Roman" w:cs="Times New Roman"/>
                <w:lang w:val="pt-BR" w:eastAsia="en-US"/>
              </w:rPr>
              <w:t xml:space="preserve">    dose</w:t>
            </w:r>
          </w:p>
        </w:tc>
        <w:tc>
          <w:tcPr>
            <w:tcW w:w="1183" w:type="dxa"/>
          </w:tcPr>
          <w:p w14:paraId="6FC15D2C"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w:t>
            </w:r>
          </w:p>
        </w:tc>
      </w:tr>
      <w:tr w:rsidR="006B4C13" w:rsidRPr="00791BD7" w14:paraId="3D0CF108" w14:textId="77777777" w:rsidTr="0054375A">
        <w:trPr>
          <w:trHeight w:val="399"/>
        </w:trPr>
        <w:tc>
          <w:tcPr>
            <w:tcW w:w="1216" w:type="dxa"/>
          </w:tcPr>
          <w:p w14:paraId="3DE3F8AF"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Early </w:t>
            </w:r>
            <w:proofErr w:type="spellStart"/>
            <w:r w:rsidRPr="00791BD7">
              <w:rPr>
                <w:rFonts w:ascii="Times New Roman" w:hAnsi="Times New Roman" w:cs="Times New Roman"/>
                <w:lang w:val="pt-BR" w:eastAsia="en-US"/>
              </w:rPr>
              <w:t>adolescents</w:t>
            </w:r>
            <w:proofErr w:type="spellEnd"/>
          </w:p>
        </w:tc>
        <w:tc>
          <w:tcPr>
            <w:tcW w:w="1094" w:type="dxa"/>
          </w:tcPr>
          <w:p w14:paraId="6DC82917"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100</w:t>
            </w:r>
          </w:p>
        </w:tc>
        <w:tc>
          <w:tcPr>
            <w:tcW w:w="1082" w:type="dxa"/>
          </w:tcPr>
          <w:p w14:paraId="32DD3731"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50</w:t>
            </w:r>
          </w:p>
        </w:tc>
        <w:tc>
          <w:tcPr>
            <w:tcW w:w="823" w:type="dxa"/>
          </w:tcPr>
          <w:p w14:paraId="6B9B1290"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13-14</w:t>
            </w:r>
          </w:p>
        </w:tc>
        <w:tc>
          <w:tcPr>
            <w:tcW w:w="844" w:type="dxa"/>
          </w:tcPr>
          <w:p w14:paraId="37240E42"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26-28</w:t>
            </w:r>
          </w:p>
        </w:tc>
        <w:tc>
          <w:tcPr>
            <w:tcW w:w="1083" w:type="dxa"/>
          </w:tcPr>
          <w:p w14:paraId="7D43BBD6"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70-76</w:t>
            </w:r>
          </w:p>
        </w:tc>
        <w:tc>
          <w:tcPr>
            <w:tcW w:w="827" w:type="dxa"/>
          </w:tcPr>
          <w:p w14:paraId="2A89F3FC" w14:textId="77777777" w:rsidR="006B4C13" w:rsidRPr="00791BD7" w:rsidRDefault="006B4C13" w:rsidP="0054375A">
            <w:pPr>
              <w:jc w:val="center"/>
              <w:rPr>
                <w:rFonts w:cs="Times New Roman"/>
                <w:lang w:val="pt-BR" w:eastAsia="en-US"/>
              </w:rPr>
            </w:pPr>
            <w:r w:rsidRPr="00791BD7">
              <w:rPr>
                <w:rFonts w:ascii="Times New Roman" w:hAnsi="Times New Roman" w:cs="Times New Roman"/>
                <w:lang w:val="pt-BR" w:eastAsia="en-US"/>
              </w:rPr>
              <w:t>0.5</w:t>
            </w:r>
          </w:p>
        </w:tc>
        <w:tc>
          <w:tcPr>
            <w:tcW w:w="1179" w:type="dxa"/>
          </w:tcPr>
          <w:p w14:paraId="0961CC1D"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Single </w:t>
            </w:r>
            <w:proofErr w:type="spellStart"/>
            <w:r w:rsidRPr="00791BD7">
              <w:rPr>
                <w:rFonts w:ascii="Times New Roman" w:hAnsi="Times New Roman" w:cs="Times New Roman"/>
                <w:lang w:val="pt-BR" w:eastAsia="en-US"/>
              </w:rPr>
              <w:t>s.c</w:t>
            </w:r>
            <w:proofErr w:type="spellEnd"/>
            <w:r w:rsidRPr="00791BD7">
              <w:rPr>
                <w:rFonts w:ascii="Times New Roman" w:hAnsi="Times New Roman" w:cs="Times New Roman"/>
                <w:lang w:val="pt-BR" w:eastAsia="en-US"/>
              </w:rPr>
              <w:t xml:space="preserve">    dose</w:t>
            </w:r>
          </w:p>
        </w:tc>
        <w:tc>
          <w:tcPr>
            <w:tcW w:w="1183" w:type="dxa"/>
          </w:tcPr>
          <w:p w14:paraId="07E0258B"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w:t>
            </w:r>
          </w:p>
        </w:tc>
      </w:tr>
      <w:tr w:rsidR="006B4C13" w:rsidRPr="00791BD7" w14:paraId="2B6BBD19" w14:textId="77777777" w:rsidTr="0054375A">
        <w:trPr>
          <w:trHeight w:val="414"/>
        </w:trPr>
        <w:tc>
          <w:tcPr>
            <w:tcW w:w="1216" w:type="dxa"/>
          </w:tcPr>
          <w:p w14:paraId="348787D7" w14:textId="77777777" w:rsidR="006B4C13" w:rsidRPr="00791BD7" w:rsidRDefault="006B4C13" w:rsidP="0054375A">
            <w:pPr>
              <w:jc w:val="center"/>
              <w:rPr>
                <w:rFonts w:ascii="Times New Roman" w:hAnsi="Times New Roman" w:cs="Times New Roman"/>
                <w:lang w:val="pt-BR" w:eastAsia="en-US"/>
              </w:rPr>
            </w:pPr>
            <w:proofErr w:type="spellStart"/>
            <w:r w:rsidRPr="00791BD7">
              <w:rPr>
                <w:rFonts w:ascii="Times New Roman" w:hAnsi="Times New Roman" w:cs="Times New Roman"/>
                <w:lang w:val="pt-BR" w:eastAsia="en-US"/>
              </w:rPr>
              <w:t>Adolescents</w:t>
            </w:r>
            <w:proofErr w:type="spellEnd"/>
          </w:p>
        </w:tc>
        <w:tc>
          <w:tcPr>
            <w:tcW w:w="1094" w:type="dxa"/>
          </w:tcPr>
          <w:p w14:paraId="4E7304F8"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100</w:t>
            </w:r>
          </w:p>
        </w:tc>
        <w:tc>
          <w:tcPr>
            <w:tcW w:w="1082" w:type="dxa"/>
          </w:tcPr>
          <w:p w14:paraId="2D926AF9"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50</w:t>
            </w:r>
          </w:p>
        </w:tc>
        <w:tc>
          <w:tcPr>
            <w:tcW w:w="823" w:type="dxa"/>
          </w:tcPr>
          <w:p w14:paraId="651E93DE"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15-17</w:t>
            </w:r>
          </w:p>
        </w:tc>
        <w:tc>
          <w:tcPr>
            <w:tcW w:w="844" w:type="dxa"/>
          </w:tcPr>
          <w:p w14:paraId="611B9B71"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18-24</w:t>
            </w:r>
          </w:p>
        </w:tc>
        <w:tc>
          <w:tcPr>
            <w:tcW w:w="1083" w:type="dxa"/>
          </w:tcPr>
          <w:p w14:paraId="7B271830"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53-70</w:t>
            </w:r>
          </w:p>
        </w:tc>
        <w:tc>
          <w:tcPr>
            <w:tcW w:w="827" w:type="dxa"/>
          </w:tcPr>
          <w:p w14:paraId="25D7D6FC"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0.5</w:t>
            </w:r>
          </w:p>
        </w:tc>
        <w:tc>
          <w:tcPr>
            <w:tcW w:w="1179" w:type="dxa"/>
          </w:tcPr>
          <w:p w14:paraId="645F4A9A"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Single </w:t>
            </w:r>
            <w:proofErr w:type="spellStart"/>
            <w:r w:rsidRPr="00791BD7">
              <w:rPr>
                <w:rFonts w:ascii="Times New Roman" w:hAnsi="Times New Roman" w:cs="Times New Roman"/>
                <w:lang w:val="pt-BR" w:eastAsia="en-US"/>
              </w:rPr>
              <w:t>s.c</w:t>
            </w:r>
            <w:proofErr w:type="spellEnd"/>
            <w:r w:rsidRPr="00791BD7">
              <w:rPr>
                <w:rFonts w:ascii="Times New Roman" w:hAnsi="Times New Roman" w:cs="Times New Roman"/>
                <w:lang w:val="pt-BR" w:eastAsia="en-US"/>
              </w:rPr>
              <w:t xml:space="preserve">    dose</w:t>
            </w:r>
          </w:p>
        </w:tc>
        <w:tc>
          <w:tcPr>
            <w:tcW w:w="1183" w:type="dxa"/>
          </w:tcPr>
          <w:p w14:paraId="36BDD39B"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w:t>
            </w:r>
          </w:p>
        </w:tc>
      </w:tr>
      <w:tr w:rsidR="006B4C13" w:rsidRPr="00791BD7" w14:paraId="0ECEDD3D" w14:textId="77777777" w:rsidTr="0054375A">
        <w:trPr>
          <w:trHeight w:val="414"/>
        </w:trPr>
        <w:tc>
          <w:tcPr>
            <w:tcW w:w="1216" w:type="dxa"/>
          </w:tcPr>
          <w:p w14:paraId="5F422F1D" w14:textId="77777777" w:rsidR="006B4C13" w:rsidRPr="00791BD7" w:rsidRDefault="006B4C13" w:rsidP="0054375A">
            <w:pPr>
              <w:jc w:val="center"/>
              <w:rPr>
                <w:rFonts w:ascii="Times New Roman" w:hAnsi="Times New Roman" w:cs="Times New Roman"/>
                <w:lang w:val="pt-BR" w:eastAsia="en-US"/>
              </w:rPr>
            </w:pPr>
            <w:proofErr w:type="spellStart"/>
            <w:r w:rsidRPr="00791BD7">
              <w:rPr>
                <w:rFonts w:ascii="Times New Roman" w:hAnsi="Times New Roman" w:cs="Times New Roman"/>
                <w:lang w:val="pt-BR" w:eastAsia="en-US"/>
              </w:rPr>
              <w:t>Adolescents</w:t>
            </w:r>
            <w:proofErr w:type="spellEnd"/>
          </w:p>
        </w:tc>
        <w:tc>
          <w:tcPr>
            <w:tcW w:w="1094" w:type="dxa"/>
          </w:tcPr>
          <w:p w14:paraId="09164CDF"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100</w:t>
            </w:r>
          </w:p>
        </w:tc>
        <w:tc>
          <w:tcPr>
            <w:tcW w:w="1082" w:type="dxa"/>
          </w:tcPr>
          <w:p w14:paraId="378FB89D"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50</w:t>
            </w:r>
          </w:p>
        </w:tc>
        <w:tc>
          <w:tcPr>
            <w:tcW w:w="823" w:type="dxa"/>
          </w:tcPr>
          <w:p w14:paraId="1FAA4251"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15-17</w:t>
            </w:r>
          </w:p>
        </w:tc>
        <w:tc>
          <w:tcPr>
            <w:tcW w:w="844" w:type="dxa"/>
          </w:tcPr>
          <w:p w14:paraId="61BEEAC0"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26-30</w:t>
            </w:r>
          </w:p>
        </w:tc>
        <w:tc>
          <w:tcPr>
            <w:tcW w:w="1083" w:type="dxa"/>
          </w:tcPr>
          <w:p w14:paraId="7440B2F8"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80-105</w:t>
            </w:r>
          </w:p>
        </w:tc>
        <w:tc>
          <w:tcPr>
            <w:tcW w:w="827" w:type="dxa"/>
          </w:tcPr>
          <w:p w14:paraId="711ED185"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0.5</w:t>
            </w:r>
          </w:p>
        </w:tc>
        <w:tc>
          <w:tcPr>
            <w:tcW w:w="1179" w:type="dxa"/>
          </w:tcPr>
          <w:p w14:paraId="4658DE37"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 xml:space="preserve">Single </w:t>
            </w:r>
            <w:proofErr w:type="spellStart"/>
            <w:r w:rsidRPr="00791BD7">
              <w:rPr>
                <w:rFonts w:ascii="Times New Roman" w:hAnsi="Times New Roman" w:cs="Times New Roman"/>
                <w:lang w:val="pt-BR" w:eastAsia="en-US"/>
              </w:rPr>
              <w:t>s.c</w:t>
            </w:r>
            <w:proofErr w:type="spellEnd"/>
            <w:r w:rsidRPr="00791BD7">
              <w:rPr>
                <w:rFonts w:ascii="Times New Roman" w:hAnsi="Times New Roman" w:cs="Times New Roman"/>
                <w:lang w:val="pt-BR" w:eastAsia="en-US"/>
              </w:rPr>
              <w:t xml:space="preserve">    dose</w:t>
            </w:r>
          </w:p>
        </w:tc>
        <w:tc>
          <w:tcPr>
            <w:tcW w:w="1183" w:type="dxa"/>
          </w:tcPr>
          <w:p w14:paraId="5A51CA68" w14:textId="77777777" w:rsidR="006B4C13" w:rsidRPr="00791BD7" w:rsidRDefault="006B4C13" w:rsidP="0054375A">
            <w:pPr>
              <w:jc w:val="center"/>
              <w:rPr>
                <w:rFonts w:ascii="Times New Roman" w:hAnsi="Times New Roman" w:cs="Times New Roman"/>
                <w:lang w:val="pt-BR" w:eastAsia="en-US"/>
              </w:rPr>
            </w:pPr>
            <w:r w:rsidRPr="00791BD7">
              <w:rPr>
                <w:rFonts w:ascii="Times New Roman" w:hAnsi="Times New Roman" w:cs="Times New Roman"/>
                <w:lang w:val="pt-BR" w:eastAsia="en-US"/>
              </w:rPr>
              <w:t>-</w:t>
            </w:r>
          </w:p>
        </w:tc>
      </w:tr>
    </w:tbl>
    <w:p w14:paraId="223FDD2B" w14:textId="2657F0E5"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16C14F58" w14:textId="1CA56AA4"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10F8CFF3" w14:textId="344E63DC"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3E59CCCF" w14:textId="1612EB88"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6EE27B13" w14:textId="01986A5D"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4F3518F9" w14:textId="77777777"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53E96736" w14:textId="3C296320"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1270F74E" w14:textId="67821744" w:rsidR="006B4C13" w:rsidRPr="006B4C13" w:rsidRDefault="006B4C13" w:rsidP="006B4C13">
      <w:pPr>
        <w:spacing w:before="3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Table 3. </w:t>
      </w:r>
      <w:r>
        <w:rPr>
          <w:rFonts w:ascii="Times New Roman" w:eastAsia="Times New Roman" w:hAnsi="Times New Roman" w:cs="Times New Roman"/>
          <w:sz w:val="24"/>
          <w:szCs w:val="24"/>
        </w:rPr>
        <w:t xml:space="preserve">Mean simulated values for liver and kidney organ volumes, hematocrit, cardiac output (CO), and glomerular filtration rate (GFR) for the virtual populations of adults and pediatrics with healthy and obese body weight. </w:t>
      </w:r>
    </w:p>
    <w:tbl>
      <w:tblPr>
        <w:tblStyle w:val="SombreamentoClaro2"/>
        <w:tblW w:w="8839" w:type="dxa"/>
        <w:tblBorders>
          <w:insideH w:val="single" w:sz="4" w:space="0" w:color="auto"/>
        </w:tblBorders>
        <w:tblLayout w:type="fixed"/>
        <w:tblLook w:val="0600" w:firstRow="0" w:lastRow="0" w:firstColumn="0" w:lastColumn="0" w:noHBand="1" w:noVBand="1"/>
      </w:tblPr>
      <w:tblGrid>
        <w:gridCol w:w="1552"/>
        <w:gridCol w:w="1483"/>
        <w:gridCol w:w="1560"/>
        <w:gridCol w:w="1444"/>
        <w:gridCol w:w="1444"/>
        <w:gridCol w:w="1356"/>
      </w:tblGrid>
      <w:tr w:rsidR="006B4C13" w14:paraId="70815E76" w14:textId="77777777" w:rsidTr="006B4C13">
        <w:trPr>
          <w:trHeight w:val="837"/>
        </w:trPr>
        <w:tc>
          <w:tcPr>
            <w:tcW w:w="1552" w:type="dxa"/>
          </w:tcPr>
          <w:p w14:paraId="18BA5B8D"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Population</w:t>
            </w:r>
          </w:p>
          <w:p w14:paraId="4056E3A0"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(Years-old)</w:t>
            </w:r>
          </w:p>
        </w:tc>
        <w:tc>
          <w:tcPr>
            <w:tcW w:w="1483" w:type="dxa"/>
          </w:tcPr>
          <w:p w14:paraId="60673BD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Body Weight</w:t>
            </w:r>
          </w:p>
        </w:tc>
        <w:tc>
          <w:tcPr>
            <w:tcW w:w="1560" w:type="dxa"/>
          </w:tcPr>
          <w:p w14:paraId="736F1186"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Hematocrit (L/L)</w:t>
            </w:r>
          </w:p>
        </w:tc>
        <w:tc>
          <w:tcPr>
            <w:tcW w:w="1444" w:type="dxa"/>
          </w:tcPr>
          <w:p w14:paraId="070035E6"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Liver Volume (L)</w:t>
            </w:r>
          </w:p>
        </w:tc>
        <w:tc>
          <w:tcPr>
            <w:tcW w:w="1444" w:type="dxa"/>
          </w:tcPr>
          <w:p w14:paraId="2E20618B"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Kidney Volume (L)</w:t>
            </w:r>
          </w:p>
        </w:tc>
        <w:tc>
          <w:tcPr>
            <w:tcW w:w="1356" w:type="dxa"/>
          </w:tcPr>
          <w:p w14:paraId="2B4AD2AF" w14:textId="77777777" w:rsidR="006B4C13" w:rsidRPr="006634EA" w:rsidRDefault="006B4C13" w:rsidP="0054375A">
            <w:pPr>
              <w:spacing w:line="256" w:lineRule="auto"/>
              <w:jc w:val="center"/>
              <w:rPr>
                <w:rFonts w:ascii="Times New Roman" w:eastAsia="Times New Roman" w:hAnsi="Times New Roman" w:cs="Times New Roman"/>
              </w:rPr>
            </w:pPr>
            <w:proofErr w:type="gramStart"/>
            <w:r w:rsidRPr="006634EA">
              <w:rPr>
                <w:rFonts w:ascii="Times New Roman" w:eastAsia="Times New Roman" w:hAnsi="Times New Roman" w:cs="Times New Roman"/>
              </w:rPr>
              <w:t>CO  (</w:t>
            </w:r>
            <w:proofErr w:type="gramEnd"/>
            <w:r w:rsidRPr="006634EA">
              <w:rPr>
                <w:rFonts w:ascii="Times New Roman" w:eastAsia="Times New Roman" w:hAnsi="Times New Roman" w:cs="Times New Roman"/>
              </w:rPr>
              <w:t>L/min)</w:t>
            </w:r>
          </w:p>
        </w:tc>
      </w:tr>
      <w:tr w:rsidR="006B4C13" w14:paraId="50D4A26E" w14:textId="77777777" w:rsidTr="0054375A">
        <w:trPr>
          <w:trHeight w:val="458"/>
        </w:trPr>
        <w:tc>
          <w:tcPr>
            <w:tcW w:w="1552" w:type="dxa"/>
          </w:tcPr>
          <w:p w14:paraId="2E11BB5F"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56</w:t>
            </w:r>
          </w:p>
        </w:tc>
        <w:tc>
          <w:tcPr>
            <w:tcW w:w="1483" w:type="dxa"/>
          </w:tcPr>
          <w:p w14:paraId="794DF191"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Healthy</w:t>
            </w:r>
          </w:p>
        </w:tc>
        <w:tc>
          <w:tcPr>
            <w:tcW w:w="1560" w:type="dxa"/>
          </w:tcPr>
          <w:p w14:paraId="3E394182"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0.45</w:t>
            </w:r>
          </w:p>
        </w:tc>
        <w:tc>
          <w:tcPr>
            <w:tcW w:w="1444" w:type="dxa"/>
          </w:tcPr>
          <w:p w14:paraId="3592FF8E"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1405.2</w:t>
            </w:r>
          </w:p>
        </w:tc>
        <w:tc>
          <w:tcPr>
            <w:tcW w:w="1444" w:type="dxa"/>
          </w:tcPr>
          <w:p w14:paraId="6362B091"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236.56</w:t>
            </w:r>
          </w:p>
        </w:tc>
        <w:tc>
          <w:tcPr>
            <w:tcW w:w="1356" w:type="dxa"/>
          </w:tcPr>
          <w:p w14:paraId="5C1C9D8A"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5.4</w:t>
            </w:r>
          </w:p>
        </w:tc>
      </w:tr>
      <w:tr w:rsidR="006B4C13" w14:paraId="42E14C11" w14:textId="77777777" w:rsidTr="006B4C13">
        <w:trPr>
          <w:trHeight w:val="406"/>
        </w:trPr>
        <w:tc>
          <w:tcPr>
            <w:tcW w:w="1552" w:type="dxa"/>
          </w:tcPr>
          <w:p w14:paraId="08683400"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10</w:t>
            </w:r>
          </w:p>
        </w:tc>
        <w:tc>
          <w:tcPr>
            <w:tcW w:w="1483" w:type="dxa"/>
          </w:tcPr>
          <w:p w14:paraId="209F95E8"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Healthy</w:t>
            </w:r>
          </w:p>
        </w:tc>
        <w:tc>
          <w:tcPr>
            <w:tcW w:w="1560" w:type="dxa"/>
          </w:tcPr>
          <w:p w14:paraId="254697B6"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0.43</w:t>
            </w:r>
          </w:p>
        </w:tc>
        <w:tc>
          <w:tcPr>
            <w:tcW w:w="1444" w:type="dxa"/>
          </w:tcPr>
          <w:p w14:paraId="2036DDF6"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634.41</w:t>
            </w:r>
          </w:p>
        </w:tc>
        <w:tc>
          <w:tcPr>
            <w:tcW w:w="1444" w:type="dxa"/>
          </w:tcPr>
          <w:p w14:paraId="73EDECB9"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113.38</w:t>
            </w:r>
          </w:p>
        </w:tc>
        <w:tc>
          <w:tcPr>
            <w:tcW w:w="1356" w:type="dxa"/>
          </w:tcPr>
          <w:p w14:paraId="099F648E"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2.6</w:t>
            </w:r>
          </w:p>
        </w:tc>
      </w:tr>
      <w:tr w:rsidR="006B4C13" w14:paraId="3B5E94CB" w14:textId="77777777" w:rsidTr="0054375A">
        <w:trPr>
          <w:trHeight w:val="458"/>
        </w:trPr>
        <w:tc>
          <w:tcPr>
            <w:tcW w:w="1552" w:type="dxa"/>
          </w:tcPr>
          <w:p w14:paraId="582FEFA8"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10</w:t>
            </w:r>
          </w:p>
        </w:tc>
        <w:tc>
          <w:tcPr>
            <w:tcW w:w="1483" w:type="dxa"/>
          </w:tcPr>
          <w:p w14:paraId="4209E4CF"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Obese</w:t>
            </w:r>
          </w:p>
        </w:tc>
        <w:tc>
          <w:tcPr>
            <w:tcW w:w="1560" w:type="dxa"/>
          </w:tcPr>
          <w:p w14:paraId="109BBECE"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0.43</w:t>
            </w:r>
          </w:p>
        </w:tc>
        <w:tc>
          <w:tcPr>
            <w:tcW w:w="1444" w:type="dxa"/>
          </w:tcPr>
          <w:p w14:paraId="41F3A400"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932.96</w:t>
            </w:r>
          </w:p>
        </w:tc>
        <w:tc>
          <w:tcPr>
            <w:tcW w:w="1444" w:type="dxa"/>
          </w:tcPr>
          <w:p w14:paraId="3AE7728F"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166.73</w:t>
            </w:r>
          </w:p>
        </w:tc>
        <w:tc>
          <w:tcPr>
            <w:tcW w:w="1356" w:type="dxa"/>
          </w:tcPr>
          <w:p w14:paraId="5C22BAA1"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4.4</w:t>
            </w:r>
          </w:p>
        </w:tc>
      </w:tr>
      <w:tr w:rsidR="006B4C13" w14:paraId="25EAF0C2" w14:textId="77777777" w:rsidTr="0054375A">
        <w:trPr>
          <w:trHeight w:val="458"/>
        </w:trPr>
        <w:tc>
          <w:tcPr>
            <w:tcW w:w="1552" w:type="dxa"/>
          </w:tcPr>
          <w:p w14:paraId="367F1593"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11</w:t>
            </w:r>
          </w:p>
        </w:tc>
        <w:tc>
          <w:tcPr>
            <w:tcW w:w="1483" w:type="dxa"/>
          </w:tcPr>
          <w:p w14:paraId="446B7C79"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Healthy</w:t>
            </w:r>
          </w:p>
        </w:tc>
        <w:tc>
          <w:tcPr>
            <w:tcW w:w="1560" w:type="dxa"/>
          </w:tcPr>
          <w:p w14:paraId="6A930027"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0.44</w:t>
            </w:r>
          </w:p>
        </w:tc>
        <w:tc>
          <w:tcPr>
            <w:tcW w:w="1444" w:type="dxa"/>
          </w:tcPr>
          <w:p w14:paraId="2479BBF9"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845.454</w:t>
            </w:r>
          </w:p>
        </w:tc>
        <w:tc>
          <w:tcPr>
            <w:tcW w:w="1444" w:type="dxa"/>
          </w:tcPr>
          <w:p w14:paraId="6D2D1732"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114.124</w:t>
            </w:r>
          </w:p>
        </w:tc>
        <w:tc>
          <w:tcPr>
            <w:tcW w:w="1356" w:type="dxa"/>
          </w:tcPr>
          <w:p w14:paraId="75DFCDE6"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3.5</w:t>
            </w:r>
          </w:p>
        </w:tc>
      </w:tr>
      <w:tr w:rsidR="006B4C13" w14:paraId="67E2DBC0" w14:textId="77777777" w:rsidTr="0054375A">
        <w:trPr>
          <w:trHeight w:val="458"/>
        </w:trPr>
        <w:tc>
          <w:tcPr>
            <w:tcW w:w="1552" w:type="dxa"/>
          </w:tcPr>
          <w:p w14:paraId="41231439"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11</w:t>
            </w:r>
          </w:p>
        </w:tc>
        <w:tc>
          <w:tcPr>
            <w:tcW w:w="1483" w:type="dxa"/>
          </w:tcPr>
          <w:p w14:paraId="79CBAF10"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Obese</w:t>
            </w:r>
          </w:p>
        </w:tc>
        <w:tc>
          <w:tcPr>
            <w:tcW w:w="1560" w:type="dxa"/>
          </w:tcPr>
          <w:p w14:paraId="1607E948"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0.44</w:t>
            </w:r>
          </w:p>
        </w:tc>
        <w:tc>
          <w:tcPr>
            <w:tcW w:w="1444" w:type="dxa"/>
          </w:tcPr>
          <w:p w14:paraId="488D3B5C"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1014.28</w:t>
            </w:r>
          </w:p>
        </w:tc>
        <w:tc>
          <w:tcPr>
            <w:tcW w:w="1444" w:type="dxa"/>
          </w:tcPr>
          <w:p w14:paraId="6D2B07D8"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179.338</w:t>
            </w:r>
          </w:p>
        </w:tc>
        <w:tc>
          <w:tcPr>
            <w:tcW w:w="1356" w:type="dxa"/>
          </w:tcPr>
          <w:p w14:paraId="26D8D7FD"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4.7</w:t>
            </w:r>
          </w:p>
        </w:tc>
      </w:tr>
      <w:tr w:rsidR="006B4C13" w14:paraId="47D6AE4E" w14:textId="77777777" w:rsidTr="0054375A">
        <w:trPr>
          <w:trHeight w:val="458"/>
        </w:trPr>
        <w:tc>
          <w:tcPr>
            <w:tcW w:w="1552" w:type="dxa"/>
          </w:tcPr>
          <w:p w14:paraId="05154299"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12</w:t>
            </w:r>
          </w:p>
        </w:tc>
        <w:tc>
          <w:tcPr>
            <w:tcW w:w="1483" w:type="dxa"/>
          </w:tcPr>
          <w:p w14:paraId="1BA8A600"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Healthy</w:t>
            </w:r>
          </w:p>
        </w:tc>
        <w:tc>
          <w:tcPr>
            <w:tcW w:w="1560" w:type="dxa"/>
          </w:tcPr>
          <w:p w14:paraId="2FF50D3E"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0.44</w:t>
            </w:r>
          </w:p>
        </w:tc>
        <w:tc>
          <w:tcPr>
            <w:tcW w:w="1444" w:type="dxa"/>
          </w:tcPr>
          <w:p w14:paraId="6709C2B0"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704.794</w:t>
            </w:r>
          </w:p>
        </w:tc>
        <w:tc>
          <w:tcPr>
            <w:tcW w:w="1444" w:type="dxa"/>
          </w:tcPr>
          <w:p w14:paraId="7C7EB87E"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123.75</w:t>
            </w:r>
          </w:p>
        </w:tc>
        <w:tc>
          <w:tcPr>
            <w:tcW w:w="1356" w:type="dxa"/>
          </w:tcPr>
          <w:p w14:paraId="2478C2D2"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3.7</w:t>
            </w:r>
          </w:p>
        </w:tc>
      </w:tr>
      <w:tr w:rsidR="006B4C13" w14:paraId="2EAE43B8" w14:textId="77777777" w:rsidTr="0054375A">
        <w:trPr>
          <w:trHeight w:val="458"/>
        </w:trPr>
        <w:tc>
          <w:tcPr>
            <w:tcW w:w="1552" w:type="dxa"/>
          </w:tcPr>
          <w:p w14:paraId="11E9D323"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12</w:t>
            </w:r>
          </w:p>
        </w:tc>
        <w:tc>
          <w:tcPr>
            <w:tcW w:w="1483" w:type="dxa"/>
          </w:tcPr>
          <w:p w14:paraId="52558F4D"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Obese</w:t>
            </w:r>
          </w:p>
        </w:tc>
        <w:tc>
          <w:tcPr>
            <w:tcW w:w="1560" w:type="dxa"/>
          </w:tcPr>
          <w:p w14:paraId="37674F8B"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0.44</w:t>
            </w:r>
          </w:p>
        </w:tc>
        <w:tc>
          <w:tcPr>
            <w:tcW w:w="1444" w:type="dxa"/>
          </w:tcPr>
          <w:p w14:paraId="116367C8"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1112.83</w:t>
            </w:r>
          </w:p>
        </w:tc>
        <w:tc>
          <w:tcPr>
            <w:tcW w:w="1444" w:type="dxa"/>
          </w:tcPr>
          <w:p w14:paraId="2D9126CB"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195.394</w:t>
            </w:r>
          </w:p>
        </w:tc>
        <w:tc>
          <w:tcPr>
            <w:tcW w:w="1356" w:type="dxa"/>
          </w:tcPr>
          <w:p w14:paraId="348A09FF"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4.9</w:t>
            </w:r>
          </w:p>
        </w:tc>
      </w:tr>
      <w:tr w:rsidR="006B4C13" w14:paraId="441ABFA3" w14:textId="77777777" w:rsidTr="0054375A">
        <w:trPr>
          <w:trHeight w:val="458"/>
        </w:trPr>
        <w:tc>
          <w:tcPr>
            <w:tcW w:w="1552" w:type="dxa"/>
          </w:tcPr>
          <w:p w14:paraId="6E68B9A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13</w:t>
            </w:r>
          </w:p>
        </w:tc>
        <w:tc>
          <w:tcPr>
            <w:tcW w:w="1483" w:type="dxa"/>
          </w:tcPr>
          <w:p w14:paraId="42A6B393"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Healthy</w:t>
            </w:r>
          </w:p>
        </w:tc>
        <w:tc>
          <w:tcPr>
            <w:tcW w:w="1560" w:type="dxa"/>
          </w:tcPr>
          <w:p w14:paraId="1043F6EE"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0.44</w:t>
            </w:r>
          </w:p>
        </w:tc>
        <w:tc>
          <w:tcPr>
            <w:tcW w:w="1444" w:type="dxa"/>
          </w:tcPr>
          <w:p w14:paraId="1A64CADA"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861.485</w:t>
            </w:r>
          </w:p>
        </w:tc>
        <w:tc>
          <w:tcPr>
            <w:tcW w:w="1444" w:type="dxa"/>
          </w:tcPr>
          <w:p w14:paraId="27C6BE20"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148.69</w:t>
            </w:r>
          </w:p>
        </w:tc>
        <w:tc>
          <w:tcPr>
            <w:tcW w:w="1356" w:type="dxa"/>
          </w:tcPr>
          <w:p w14:paraId="0E789C8F"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4.5</w:t>
            </w:r>
          </w:p>
        </w:tc>
      </w:tr>
      <w:tr w:rsidR="006B4C13" w14:paraId="6DC3607E" w14:textId="77777777" w:rsidTr="0054375A">
        <w:trPr>
          <w:trHeight w:val="458"/>
        </w:trPr>
        <w:tc>
          <w:tcPr>
            <w:tcW w:w="1552" w:type="dxa"/>
          </w:tcPr>
          <w:p w14:paraId="5136B811"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13</w:t>
            </w:r>
          </w:p>
        </w:tc>
        <w:tc>
          <w:tcPr>
            <w:tcW w:w="1483" w:type="dxa"/>
          </w:tcPr>
          <w:p w14:paraId="3B403493"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Obese</w:t>
            </w:r>
          </w:p>
        </w:tc>
        <w:tc>
          <w:tcPr>
            <w:tcW w:w="1560" w:type="dxa"/>
          </w:tcPr>
          <w:p w14:paraId="292DC16C"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0.44</w:t>
            </w:r>
          </w:p>
        </w:tc>
        <w:tc>
          <w:tcPr>
            <w:tcW w:w="1444" w:type="dxa"/>
          </w:tcPr>
          <w:p w14:paraId="5B6213CA"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1263.51</w:t>
            </w:r>
          </w:p>
        </w:tc>
        <w:tc>
          <w:tcPr>
            <w:tcW w:w="1444" w:type="dxa"/>
          </w:tcPr>
          <w:p w14:paraId="5C9E1821"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218.078</w:t>
            </w:r>
          </w:p>
        </w:tc>
        <w:tc>
          <w:tcPr>
            <w:tcW w:w="1356" w:type="dxa"/>
          </w:tcPr>
          <w:p w14:paraId="38108B79"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5.4</w:t>
            </w:r>
          </w:p>
        </w:tc>
      </w:tr>
      <w:tr w:rsidR="006B4C13" w14:paraId="00F40A57" w14:textId="77777777" w:rsidTr="0054375A">
        <w:trPr>
          <w:trHeight w:val="458"/>
        </w:trPr>
        <w:tc>
          <w:tcPr>
            <w:tcW w:w="1552" w:type="dxa"/>
          </w:tcPr>
          <w:p w14:paraId="7B59C32C"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14</w:t>
            </w:r>
          </w:p>
        </w:tc>
        <w:tc>
          <w:tcPr>
            <w:tcW w:w="1483" w:type="dxa"/>
          </w:tcPr>
          <w:p w14:paraId="3DA16380"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Healthy</w:t>
            </w:r>
          </w:p>
        </w:tc>
        <w:tc>
          <w:tcPr>
            <w:tcW w:w="1560" w:type="dxa"/>
          </w:tcPr>
          <w:p w14:paraId="7372EA5B"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0.45</w:t>
            </w:r>
          </w:p>
        </w:tc>
        <w:tc>
          <w:tcPr>
            <w:tcW w:w="1444" w:type="dxa"/>
          </w:tcPr>
          <w:p w14:paraId="1A95A27E"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938.063</w:t>
            </w:r>
          </w:p>
        </w:tc>
        <w:tc>
          <w:tcPr>
            <w:tcW w:w="1444" w:type="dxa"/>
          </w:tcPr>
          <w:p w14:paraId="798771F2"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165.983</w:t>
            </w:r>
          </w:p>
        </w:tc>
        <w:tc>
          <w:tcPr>
            <w:tcW w:w="1356" w:type="dxa"/>
          </w:tcPr>
          <w:p w14:paraId="5C2B374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4.8</w:t>
            </w:r>
          </w:p>
        </w:tc>
      </w:tr>
      <w:tr w:rsidR="006B4C13" w14:paraId="38AA19F9" w14:textId="77777777" w:rsidTr="0054375A">
        <w:trPr>
          <w:trHeight w:val="458"/>
        </w:trPr>
        <w:tc>
          <w:tcPr>
            <w:tcW w:w="1552" w:type="dxa"/>
          </w:tcPr>
          <w:p w14:paraId="2D3D6EE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14</w:t>
            </w:r>
          </w:p>
        </w:tc>
        <w:tc>
          <w:tcPr>
            <w:tcW w:w="1483" w:type="dxa"/>
          </w:tcPr>
          <w:p w14:paraId="28D3FF0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Obese</w:t>
            </w:r>
          </w:p>
        </w:tc>
        <w:tc>
          <w:tcPr>
            <w:tcW w:w="1560" w:type="dxa"/>
          </w:tcPr>
          <w:p w14:paraId="67EB07CB"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0.45</w:t>
            </w:r>
          </w:p>
        </w:tc>
        <w:tc>
          <w:tcPr>
            <w:tcW w:w="1444" w:type="dxa"/>
          </w:tcPr>
          <w:p w14:paraId="3E96D5F1"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1355.98</w:t>
            </w:r>
          </w:p>
        </w:tc>
        <w:tc>
          <w:tcPr>
            <w:tcW w:w="1444" w:type="dxa"/>
          </w:tcPr>
          <w:p w14:paraId="3B9A62F5"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239.931</w:t>
            </w:r>
          </w:p>
        </w:tc>
        <w:tc>
          <w:tcPr>
            <w:tcW w:w="1356" w:type="dxa"/>
          </w:tcPr>
          <w:p w14:paraId="2CD313C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5.5</w:t>
            </w:r>
          </w:p>
        </w:tc>
      </w:tr>
      <w:tr w:rsidR="006B4C13" w14:paraId="08527C8A" w14:textId="77777777" w:rsidTr="0054375A">
        <w:trPr>
          <w:trHeight w:val="458"/>
        </w:trPr>
        <w:tc>
          <w:tcPr>
            <w:tcW w:w="1552" w:type="dxa"/>
          </w:tcPr>
          <w:p w14:paraId="70B3422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15</w:t>
            </w:r>
          </w:p>
        </w:tc>
        <w:tc>
          <w:tcPr>
            <w:tcW w:w="1483" w:type="dxa"/>
          </w:tcPr>
          <w:p w14:paraId="27FD535E"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Healthy</w:t>
            </w:r>
          </w:p>
        </w:tc>
        <w:tc>
          <w:tcPr>
            <w:tcW w:w="1560" w:type="dxa"/>
          </w:tcPr>
          <w:p w14:paraId="3C74136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0.45</w:t>
            </w:r>
          </w:p>
        </w:tc>
        <w:tc>
          <w:tcPr>
            <w:tcW w:w="1444" w:type="dxa"/>
          </w:tcPr>
          <w:p w14:paraId="4C18BFCA"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995.495</w:t>
            </w:r>
          </w:p>
        </w:tc>
        <w:tc>
          <w:tcPr>
            <w:tcW w:w="1444" w:type="dxa"/>
          </w:tcPr>
          <w:p w14:paraId="6C8287C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181.594</w:t>
            </w:r>
          </w:p>
        </w:tc>
        <w:tc>
          <w:tcPr>
            <w:tcW w:w="1356" w:type="dxa"/>
          </w:tcPr>
          <w:p w14:paraId="669F4CCF"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5.4</w:t>
            </w:r>
          </w:p>
        </w:tc>
      </w:tr>
      <w:tr w:rsidR="006B4C13" w14:paraId="78EB9D80" w14:textId="77777777" w:rsidTr="0054375A">
        <w:trPr>
          <w:trHeight w:val="458"/>
        </w:trPr>
        <w:tc>
          <w:tcPr>
            <w:tcW w:w="1552" w:type="dxa"/>
          </w:tcPr>
          <w:p w14:paraId="5F807DB7"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15</w:t>
            </w:r>
          </w:p>
        </w:tc>
        <w:tc>
          <w:tcPr>
            <w:tcW w:w="1483" w:type="dxa"/>
          </w:tcPr>
          <w:p w14:paraId="5F63CF89"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Obese</w:t>
            </w:r>
          </w:p>
        </w:tc>
        <w:tc>
          <w:tcPr>
            <w:tcW w:w="1560" w:type="dxa"/>
          </w:tcPr>
          <w:p w14:paraId="131DB6DB"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0.45</w:t>
            </w:r>
          </w:p>
        </w:tc>
        <w:tc>
          <w:tcPr>
            <w:tcW w:w="1444" w:type="dxa"/>
          </w:tcPr>
          <w:p w14:paraId="75FC9B3D"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1423.75</w:t>
            </w:r>
          </w:p>
        </w:tc>
        <w:tc>
          <w:tcPr>
            <w:tcW w:w="1444" w:type="dxa"/>
          </w:tcPr>
          <w:p w14:paraId="76DC6F63"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259.714</w:t>
            </w:r>
          </w:p>
        </w:tc>
        <w:tc>
          <w:tcPr>
            <w:tcW w:w="1356" w:type="dxa"/>
          </w:tcPr>
          <w:p w14:paraId="01AA2F77"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6.9</w:t>
            </w:r>
          </w:p>
        </w:tc>
      </w:tr>
      <w:tr w:rsidR="006B4C13" w14:paraId="5D51723F" w14:textId="77777777" w:rsidTr="0054375A">
        <w:trPr>
          <w:trHeight w:val="378"/>
        </w:trPr>
        <w:tc>
          <w:tcPr>
            <w:tcW w:w="1552" w:type="dxa"/>
          </w:tcPr>
          <w:p w14:paraId="02063D5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16</w:t>
            </w:r>
          </w:p>
        </w:tc>
        <w:tc>
          <w:tcPr>
            <w:tcW w:w="1483" w:type="dxa"/>
          </w:tcPr>
          <w:p w14:paraId="446B67E7"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Healthy</w:t>
            </w:r>
          </w:p>
        </w:tc>
        <w:tc>
          <w:tcPr>
            <w:tcW w:w="1560" w:type="dxa"/>
          </w:tcPr>
          <w:p w14:paraId="677DDF16"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0.45</w:t>
            </w:r>
          </w:p>
        </w:tc>
        <w:tc>
          <w:tcPr>
            <w:tcW w:w="1444" w:type="dxa"/>
          </w:tcPr>
          <w:p w14:paraId="62E43B7D"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1072.07</w:t>
            </w:r>
          </w:p>
        </w:tc>
        <w:tc>
          <w:tcPr>
            <w:tcW w:w="1444" w:type="dxa"/>
          </w:tcPr>
          <w:p w14:paraId="68CB04D9"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201.726</w:t>
            </w:r>
          </w:p>
        </w:tc>
        <w:tc>
          <w:tcPr>
            <w:tcW w:w="1356" w:type="dxa"/>
          </w:tcPr>
          <w:p w14:paraId="4F85DBE3"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5.4</w:t>
            </w:r>
          </w:p>
        </w:tc>
      </w:tr>
      <w:tr w:rsidR="006B4C13" w14:paraId="2163CBBB" w14:textId="77777777" w:rsidTr="0054375A">
        <w:trPr>
          <w:trHeight w:val="458"/>
        </w:trPr>
        <w:tc>
          <w:tcPr>
            <w:tcW w:w="1552" w:type="dxa"/>
          </w:tcPr>
          <w:p w14:paraId="1898D27A"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16</w:t>
            </w:r>
          </w:p>
        </w:tc>
        <w:tc>
          <w:tcPr>
            <w:tcW w:w="1483" w:type="dxa"/>
          </w:tcPr>
          <w:p w14:paraId="39CF41E7"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Obese</w:t>
            </w:r>
          </w:p>
        </w:tc>
        <w:tc>
          <w:tcPr>
            <w:tcW w:w="1560" w:type="dxa"/>
          </w:tcPr>
          <w:p w14:paraId="5F1FFB81"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0.45</w:t>
            </w:r>
          </w:p>
        </w:tc>
        <w:tc>
          <w:tcPr>
            <w:tcW w:w="1444" w:type="dxa"/>
          </w:tcPr>
          <w:p w14:paraId="690073BB"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1479.08</w:t>
            </w:r>
          </w:p>
        </w:tc>
        <w:tc>
          <w:tcPr>
            <w:tcW w:w="1444" w:type="dxa"/>
          </w:tcPr>
          <w:p w14:paraId="5164AE0A"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278.309</w:t>
            </w:r>
          </w:p>
        </w:tc>
        <w:tc>
          <w:tcPr>
            <w:tcW w:w="1356" w:type="dxa"/>
          </w:tcPr>
          <w:p w14:paraId="1E759F0F"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7.0</w:t>
            </w:r>
          </w:p>
        </w:tc>
      </w:tr>
      <w:tr w:rsidR="006B4C13" w14:paraId="1A96AD58" w14:textId="77777777" w:rsidTr="0054375A">
        <w:trPr>
          <w:trHeight w:val="458"/>
        </w:trPr>
        <w:tc>
          <w:tcPr>
            <w:tcW w:w="1552" w:type="dxa"/>
          </w:tcPr>
          <w:p w14:paraId="0C8B9124"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17</w:t>
            </w:r>
          </w:p>
        </w:tc>
        <w:tc>
          <w:tcPr>
            <w:tcW w:w="1483" w:type="dxa"/>
          </w:tcPr>
          <w:p w14:paraId="614BBB23"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Healthy</w:t>
            </w:r>
          </w:p>
        </w:tc>
        <w:tc>
          <w:tcPr>
            <w:tcW w:w="1560" w:type="dxa"/>
          </w:tcPr>
          <w:p w14:paraId="31571C3C"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0.45</w:t>
            </w:r>
          </w:p>
        </w:tc>
        <w:tc>
          <w:tcPr>
            <w:tcW w:w="1444" w:type="dxa"/>
          </w:tcPr>
          <w:p w14:paraId="75E30090"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1148.65</w:t>
            </w:r>
          </w:p>
        </w:tc>
        <w:tc>
          <w:tcPr>
            <w:tcW w:w="1444" w:type="dxa"/>
          </w:tcPr>
          <w:p w14:paraId="20997B31"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222.171</w:t>
            </w:r>
          </w:p>
        </w:tc>
        <w:tc>
          <w:tcPr>
            <w:tcW w:w="1356" w:type="dxa"/>
          </w:tcPr>
          <w:p w14:paraId="3B17C96A"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5.5</w:t>
            </w:r>
          </w:p>
        </w:tc>
      </w:tr>
      <w:tr w:rsidR="006B4C13" w14:paraId="356B7671" w14:textId="77777777" w:rsidTr="0054375A">
        <w:trPr>
          <w:trHeight w:val="458"/>
        </w:trPr>
        <w:tc>
          <w:tcPr>
            <w:tcW w:w="1552" w:type="dxa"/>
          </w:tcPr>
          <w:p w14:paraId="2184C789"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17</w:t>
            </w:r>
          </w:p>
        </w:tc>
        <w:tc>
          <w:tcPr>
            <w:tcW w:w="1483" w:type="dxa"/>
          </w:tcPr>
          <w:p w14:paraId="7DE79FF1"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Obese</w:t>
            </w:r>
          </w:p>
        </w:tc>
        <w:tc>
          <w:tcPr>
            <w:tcW w:w="1560" w:type="dxa"/>
          </w:tcPr>
          <w:p w14:paraId="39EFE433"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0.45</w:t>
            </w:r>
          </w:p>
        </w:tc>
        <w:tc>
          <w:tcPr>
            <w:tcW w:w="1444" w:type="dxa"/>
          </w:tcPr>
          <w:p w14:paraId="431257E9"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1523.66</w:t>
            </w:r>
          </w:p>
        </w:tc>
        <w:tc>
          <w:tcPr>
            <w:tcW w:w="1444" w:type="dxa"/>
          </w:tcPr>
          <w:p w14:paraId="31C36840"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294.71</w:t>
            </w:r>
          </w:p>
        </w:tc>
        <w:tc>
          <w:tcPr>
            <w:tcW w:w="1356" w:type="dxa"/>
          </w:tcPr>
          <w:p w14:paraId="30833A97" w14:textId="77777777" w:rsidR="006B4C13" w:rsidRPr="006634EA" w:rsidRDefault="006B4C13" w:rsidP="0054375A">
            <w:pPr>
              <w:spacing w:line="256" w:lineRule="auto"/>
              <w:jc w:val="center"/>
              <w:rPr>
                <w:rFonts w:ascii="Times New Roman" w:eastAsia="Times New Roman" w:hAnsi="Times New Roman" w:cs="Times New Roman"/>
              </w:rPr>
            </w:pPr>
            <w:r w:rsidRPr="006634EA">
              <w:rPr>
                <w:rFonts w:ascii="Times New Roman" w:eastAsia="Times New Roman" w:hAnsi="Times New Roman" w:cs="Times New Roman"/>
              </w:rPr>
              <w:t>7.3</w:t>
            </w:r>
          </w:p>
        </w:tc>
      </w:tr>
    </w:tbl>
    <w:p w14:paraId="4FE88480" w14:textId="7FB8862F"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6500A80B" w14:textId="653B8848"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37E82DA4" w14:textId="612BAD3D"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63A1F3FF" w14:textId="571A5A9F"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29136F90" w14:textId="1D22B8DC"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581A85B8" w14:textId="5F0B21B7"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1956FEFA" w14:textId="4843FBC8" w:rsidR="006B4C13" w:rsidRPr="006B4C13" w:rsidRDefault="006B4C13" w:rsidP="006B4C13">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Table 4. </w:t>
      </w:r>
      <w:r>
        <w:rPr>
          <w:rFonts w:ascii="Times New Roman" w:eastAsia="Times New Roman" w:hAnsi="Times New Roman" w:cs="Times New Roman"/>
          <w:sz w:val="24"/>
          <w:szCs w:val="24"/>
        </w:rPr>
        <w:t xml:space="preserve">PBPK Sema-1 performance evaluation comparing predicted and observed pharmacokinetic parameters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after intravenous (bolus) dose of 0.25 mg in healthy adults.</w:t>
      </w:r>
    </w:p>
    <w:tbl>
      <w:tblPr>
        <w:tblStyle w:val="af2"/>
        <w:tblW w:w="10305" w:type="dxa"/>
        <w:jc w:val="center"/>
        <w:tblInd w:w="0" w:type="dxa"/>
        <w:tblLayout w:type="fixed"/>
        <w:tblLook w:val="0600" w:firstRow="0" w:lastRow="0" w:firstColumn="0" w:lastColumn="0" w:noHBand="1" w:noVBand="1"/>
      </w:tblPr>
      <w:tblGrid>
        <w:gridCol w:w="885"/>
        <w:gridCol w:w="960"/>
        <w:gridCol w:w="750"/>
        <w:gridCol w:w="795"/>
        <w:gridCol w:w="735"/>
        <w:gridCol w:w="720"/>
        <w:gridCol w:w="855"/>
        <w:gridCol w:w="1065"/>
        <w:gridCol w:w="1125"/>
        <w:gridCol w:w="1200"/>
        <w:gridCol w:w="1215"/>
      </w:tblGrid>
      <w:tr w:rsidR="006B4C13" w14:paraId="42BCAAD7" w14:textId="77777777" w:rsidTr="006B4C13">
        <w:trPr>
          <w:trHeight w:val="689"/>
          <w:jc w:val="center"/>
        </w:trPr>
        <w:tc>
          <w:tcPr>
            <w:tcW w:w="885"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0A932E1"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3611B37C"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601F7C67"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32F46BE3"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Single IV dose</w:t>
            </w:r>
          </w:p>
          <w:p w14:paraId="65DBAF97"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(mg)</w:t>
            </w:r>
          </w:p>
        </w:tc>
        <w:tc>
          <w:tcPr>
            <w:tcW w:w="2505"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37EC22AD"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78FB131F" w14:textId="77777777" w:rsidR="006B4C13" w:rsidRDefault="006B4C13" w:rsidP="0054375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Cmax</w:t>
            </w:r>
            <w:proofErr w:type="spellEnd"/>
            <w:r>
              <w:rPr>
                <w:rFonts w:ascii="Times New Roman" w:eastAsia="Times New Roman" w:hAnsi="Times New Roman" w:cs="Times New Roman"/>
                <w:sz w:val="20"/>
                <w:szCs w:val="20"/>
              </w:rPr>
              <w:t xml:space="preserve"> (µg/mL)</w:t>
            </w:r>
          </w:p>
        </w:tc>
        <w:tc>
          <w:tcPr>
            <w:tcW w:w="2310"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53198904"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15AA48EE"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AUC</w:t>
            </w:r>
            <w:r>
              <w:rPr>
                <w:rFonts w:ascii="Times New Roman" w:eastAsia="Times New Roman" w:hAnsi="Times New Roman" w:cs="Times New Roman"/>
                <w:sz w:val="20"/>
                <w:szCs w:val="20"/>
                <w:vertAlign w:val="subscript"/>
              </w:rPr>
              <w:t xml:space="preserve">0-t </w:t>
            </w:r>
            <w:r>
              <w:rPr>
                <w:rFonts w:ascii="Times New Roman" w:eastAsia="Times New Roman" w:hAnsi="Times New Roman" w:cs="Times New Roman"/>
                <w:sz w:val="20"/>
                <w:szCs w:val="20"/>
              </w:rPr>
              <w:t>(µg-h/mL)</w:t>
            </w:r>
          </w:p>
        </w:tc>
        <w:tc>
          <w:tcPr>
            <w:tcW w:w="3390" w:type="dxa"/>
            <w:gridSpan w:val="3"/>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40BC8A35"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1C0EF27E"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AUC</w:t>
            </w:r>
            <w:r>
              <w:rPr>
                <w:rFonts w:ascii="Times New Roman" w:eastAsia="Times New Roman" w:hAnsi="Times New Roman" w:cs="Times New Roman"/>
                <w:sz w:val="20"/>
                <w:szCs w:val="20"/>
                <w:vertAlign w:val="subscript"/>
              </w:rPr>
              <w:t xml:space="preserve">0-inf </w:t>
            </w:r>
            <w:r>
              <w:rPr>
                <w:rFonts w:ascii="Times New Roman" w:eastAsia="Times New Roman" w:hAnsi="Times New Roman" w:cs="Times New Roman"/>
                <w:sz w:val="20"/>
                <w:szCs w:val="20"/>
              </w:rPr>
              <w:t>(µg-h/mL)</w:t>
            </w:r>
          </w:p>
        </w:tc>
        <w:tc>
          <w:tcPr>
            <w:tcW w:w="1215"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4797A15"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434D34D8"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03F12BAC"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562519DC"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685DE57C"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7539BAB5"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References</w:t>
            </w:r>
          </w:p>
        </w:tc>
      </w:tr>
      <w:tr w:rsidR="006B4C13" w14:paraId="1D75FD8C" w14:textId="77777777" w:rsidTr="006B4C13">
        <w:trPr>
          <w:trHeight w:val="322"/>
          <w:jc w:val="center"/>
        </w:trPr>
        <w:tc>
          <w:tcPr>
            <w:tcW w:w="885" w:type="dxa"/>
            <w:vMerge/>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AF2C1F6" w14:textId="77777777" w:rsidR="006B4C13" w:rsidRDefault="006B4C13" w:rsidP="0054375A">
            <w:pPr>
              <w:widowControl w:val="0"/>
              <w:spacing w:after="0" w:line="276" w:lineRule="auto"/>
              <w:rPr>
                <w:rFonts w:ascii="Times New Roman" w:eastAsia="Times New Roman" w:hAnsi="Times New Roman" w:cs="Times New Roman"/>
                <w:sz w:val="18"/>
                <w:szCs w:val="18"/>
              </w:rPr>
            </w:pPr>
          </w:p>
        </w:tc>
        <w:tc>
          <w:tcPr>
            <w:tcW w:w="96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2E07DBA0"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Observed</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E815A1E"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Predicted</w:t>
            </w:r>
          </w:p>
        </w:tc>
        <w:tc>
          <w:tcPr>
            <w:tcW w:w="7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36B3EAA"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044FCCB7"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Mean</w:t>
            </w:r>
          </w:p>
          <w:p w14:paraId="046D2A80"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w:t>
            </w:r>
          </w:p>
          <w:p w14:paraId="6B0435CE" w14:textId="77777777" w:rsidR="006B4C13" w:rsidRDefault="006B4C13" w:rsidP="0054375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Obs</w:t>
            </w:r>
            <w:proofErr w:type="spellEnd"/>
            <w:r>
              <w:rPr>
                <w:rFonts w:ascii="Times New Roman" w:eastAsia="Times New Roman" w:hAnsi="Times New Roman" w:cs="Times New Roman"/>
                <w:sz w:val="20"/>
                <w:szCs w:val="20"/>
              </w:rPr>
              <w:t>/</w:t>
            </w:r>
          </w:p>
          <w:p w14:paraId="1B9120B7"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Pred</w:t>
            </w:r>
          </w:p>
        </w:tc>
        <w:tc>
          <w:tcPr>
            <w:tcW w:w="73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29A0D024"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Observed</w:t>
            </w:r>
          </w:p>
        </w:tc>
        <w:tc>
          <w:tcPr>
            <w:tcW w:w="72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195DCFBE"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Predicted</w:t>
            </w:r>
          </w:p>
        </w:tc>
        <w:tc>
          <w:tcPr>
            <w:tcW w:w="8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EF77D9F"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379B0F2F"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Mean</w:t>
            </w:r>
          </w:p>
          <w:p w14:paraId="52A2506B"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w:t>
            </w:r>
          </w:p>
          <w:p w14:paraId="37F40A9D" w14:textId="77777777" w:rsidR="006B4C13" w:rsidRDefault="006B4C13" w:rsidP="0054375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Obs</w:t>
            </w:r>
            <w:proofErr w:type="spellEnd"/>
            <w:r>
              <w:rPr>
                <w:rFonts w:ascii="Times New Roman" w:eastAsia="Times New Roman" w:hAnsi="Times New Roman" w:cs="Times New Roman"/>
                <w:sz w:val="20"/>
                <w:szCs w:val="20"/>
              </w:rPr>
              <w:t>/Pred</w:t>
            </w:r>
          </w:p>
        </w:tc>
        <w:tc>
          <w:tcPr>
            <w:tcW w:w="106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2847F889"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Observed</w:t>
            </w:r>
          </w:p>
        </w:tc>
        <w:tc>
          <w:tcPr>
            <w:tcW w:w="1125"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14:paraId="6C166EE4"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Predicted</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33A919D7" w14:textId="77777777" w:rsidR="006B4C13" w:rsidRDefault="006B4C13" w:rsidP="0054375A">
            <w:pPr>
              <w:spacing w:after="0" w:line="240" w:lineRule="auto"/>
              <w:jc w:val="center"/>
              <w:rPr>
                <w:rFonts w:ascii="Times New Roman" w:eastAsia="Times New Roman" w:hAnsi="Times New Roman" w:cs="Times New Roman"/>
                <w:sz w:val="20"/>
                <w:szCs w:val="20"/>
              </w:rPr>
            </w:pPr>
          </w:p>
          <w:p w14:paraId="79510E11"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Mean</w:t>
            </w:r>
          </w:p>
          <w:p w14:paraId="35958E86"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Ratio</w:t>
            </w:r>
          </w:p>
          <w:p w14:paraId="45897755" w14:textId="77777777" w:rsidR="006B4C13" w:rsidRDefault="006B4C13" w:rsidP="0054375A">
            <w:pPr>
              <w:spacing w:after="0" w:line="240" w:lineRule="auto"/>
              <w:jc w:val="cente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Obs</w:t>
            </w:r>
            <w:proofErr w:type="spellEnd"/>
            <w:r>
              <w:rPr>
                <w:rFonts w:ascii="Times New Roman" w:eastAsia="Times New Roman" w:hAnsi="Times New Roman" w:cs="Times New Roman"/>
                <w:sz w:val="20"/>
                <w:szCs w:val="20"/>
              </w:rPr>
              <w:t>/Pred</w:t>
            </w:r>
          </w:p>
        </w:tc>
        <w:tc>
          <w:tcPr>
            <w:tcW w:w="1215" w:type="dxa"/>
            <w:vMerge/>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5B3CAC0" w14:textId="77777777" w:rsidR="006B4C13" w:rsidRDefault="006B4C13" w:rsidP="0054375A">
            <w:pPr>
              <w:widowControl w:val="0"/>
              <w:spacing w:after="0" w:line="276" w:lineRule="auto"/>
              <w:rPr>
                <w:rFonts w:ascii="Times New Roman" w:eastAsia="Times New Roman" w:hAnsi="Times New Roman" w:cs="Times New Roman"/>
                <w:sz w:val="18"/>
                <w:szCs w:val="18"/>
              </w:rPr>
            </w:pPr>
          </w:p>
        </w:tc>
      </w:tr>
      <w:tr w:rsidR="006B4C13" w14:paraId="139D3C1C" w14:textId="77777777" w:rsidTr="006B4C13">
        <w:trPr>
          <w:trHeight w:val="531"/>
          <w:jc w:val="center"/>
        </w:trPr>
        <w:tc>
          <w:tcPr>
            <w:tcW w:w="8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28C9683"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0.25</w:t>
            </w:r>
          </w:p>
        </w:tc>
        <w:tc>
          <w:tcPr>
            <w:tcW w:w="9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676F155"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0.082</w:t>
            </w:r>
          </w:p>
        </w:tc>
        <w:tc>
          <w:tcPr>
            <w:tcW w:w="7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C155099"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0.102</w:t>
            </w:r>
          </w:p>
        </w:tc>
        <w:tc>
          <w:tcPr>
            <w:tcW w:w="79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68C1EE32"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0.80</w:t>
            </w:r>
          </w:p>
        </w:tc>
        <w:tc>
          <w:tcPr>
            <w:tcW w:w="7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2DBF497"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8.77</w:t>
            </w:r>
          </w:p>
        </w:tc>
        <w:tc>
          <w:tcPr>
            <w:tcW w:w="7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B432B6E"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6.4</w:t>
            </w:r>
          </w:p>
        </w:tc>
        <w:tc>
          <w:tcPr>
            <w:tcW w:w="8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AE60E6D"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1.37</w:t>
            </w:r>
          </w:p>
        </w:tc>
        <w:tc>
          <w:tcPr>
            <w:tcW w:w="106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6C441FD"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11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224714E"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B1BBAD6"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1.21</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1DBAD88" w14:textId="77777777" w:rsidR="006B4C13" w:rsidRDefault="006B4C13" w:rsidP="0054375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r>
    </w:tbl>
    <w:p w14:paraId="7748D891" w14:textId="129B5AA3"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6CF0EB44" w14:textId="717E778D"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1BBD5323" w14:textId="492B2361"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16F92CE3" w14:textId="703BC279"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3FA09D22" w14:textId="0FB900E3"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4763CEA5" w14:textId="5AFB6309"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79133AF7" w14:textId="71CA08BE"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6EBE5A54" w14:textId="179C4BB8"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6211876A" w14:textId="5584E8D7"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66E55931" w14:textId="079BABE2"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7A1DB2F9" w14:textId="6067EB4C"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6D867EF7" w14:textId="771E9C9D" w:rsidR="006B4C13" w:rsidRDefault="006B4C13">
      <w:pPr>
        <w:rPr>
          <w:rFonts w:ascii="Times New Roman" w:eastAsia="Times New Roman" w:hAnsi="Times New Roman" w:cs="Times New Roman"/>
          <w:color w:val="212121"/>
          <w:sz w:val="24"/>
          <w:szCs w:val="24"/>
          <w:highlight w:val="white"/>
        </w:rPr>
      </w:pPr>
      <w:r>
        <w:rPr>
          <w:rFonts w:ascii="Times New Roman" w:eastAsia="Times New Roman" w:hAnsi="Times New Roman" w:cs="Times New Roman"/>
          <w:color w:val="212121"/>
          <w:sz w:val="24"/>
          <w:szCs w:val="24"/>
          <w:highlight w:val="white"/>
        </w:rPr>
        <w:br w:type="page"/>
      </w:r>
    </w:p>
    <w:p w14:paraId="7480FD7F" w14:textId="77777777"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sectPr w:rsidR="006B4C13">
          <w:headerReference w:type="default" r:id="rId15"/>
          <w:footerReference w:type="default" r:id="rId16"/>
          <w:pgSz w:w="12240" w:h="15840"/>
          <w:pgMar w:top="1417" w:right="1700" w:bottom="1417" w:left="1700" w:header="708" w:footer="708" w:gutter="0"/>
          <w:cols w:space="720"/>
        </w:sectPr>
      </w:pPr>
    </w:p>
    <w:tbl>
      <w:tblPr>
        <w:tblpPr w:leftFromText="141" w:rightFromText="141" w:horzAnchor="margin" w:tblpXSpec="center" w:tblpY="1840"/>
        <w:tblW w:w="5677" w:type="pct"/>
        <w:tblLayout w:type="fixed"/>
        <w:tblCellMar>
          <w:left w:w="0" w:type="dxa"/>
          <w:right w:w="0" w:type="dxa"/>
        </w:tblCellMar>
        <w:tblLook w:val="0600" w:firstRow="0" w:lastRow="0" w:firstColumn="0" w:lastColumn="0" w:noHBand="1" w:noVBand="1"/>
      </w:tblPr>
      <w:tblGrid>
        <w:gridCol w:w="742"/>
        <w:gridCol w:w="716"/>
        <w:gridCol w:w="749"/>
        <w:gridCol w:w="690"/>
        <w:gridCol w:w="749"/>
        <w:gridCol w:w="749"/>
        <w:gridCol w:w="743"/>
        <w:gridCol w:w="793"/>
        <w:gridCol w:w="658"/>
        <w:gridCol w:w="835"/>
        <w:gridCol w:w="655"/>
        <w:gridCol w:w="658"/>
        <w:gridCol w:w="749"/>
        <w:gridCol w:w="899"/>
        <w:gridCol w:w="687"/>
        <w:gridCol w:w="690"/>
        <w:gridCol w:w="655"/>
        <w:gridCol w:w="625"/>
        <w:gridCol w:w="658"/>
        <w:gridCol w:w="1044"/>
      </w:tblGrid>
      <w:tr w:rsidR="006B4C13" w:rsidRPr="00791BD7" w14:paraId="1337AD73" w14:textId="77777777" w:rsidTr="006B4C13">
        <w:trPr>
          <w:trHeight w:val="689"/>
        </w:trPr>
        <w:tc>
          <w:tcPr>
            <w:tcW w:w="252" w:type="pct"/>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89DAF0"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2AA0EEF3"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7AFB97DF"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20FE3DAD"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 xml:space="preserve">Single </w:t>
            </w:r>
            <w:proofErr w:type="spellStart"/>
            <w:r w:rsidRPr="00791BD7">
              <w:rPr>
                <w:rFonts w:ascii="Times New Roman" w:eastAsia="Times New Roman" w:hAnsi="Times New Roman" w:cs="Times New Roman"/>
                <w:color w:val="000000"/>
                <w:kern w:val="24"/>
                <w:sz w:val="18"/>
                <w:szCs w:val="18"/>
                <w:lang w:val="pt-BR"/>
              </w:rPr>
              <w:t>s.c</w:t>
            </w:r>
            <w:proofErr w:type="spellEnd"/>
            <w:r w:rsidRPr="00791BD7">
              <w:rPr>
                <w:rFonts w:ascii="Times New Roman" w:eastAsia="Times New Roman" w:hAnsi="Times New Roman" w:cs="Times New Roman"/>
                <w:color w:val="000000"/>
                <w:kern w:val="24"/>
                <w:sz w:val="18"/>
                <w:szCs w:val="18"/>
                <w:lang w:val="pt-BR"/>
              </w:rPr>
              <w:t xml:space="preserve"> dose</w:t>
            </w:r>
          </w:p>
          <w:p w14:paraId="5490CC78"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(mg)</w:t>
            </w:r>
          </w:p>
        </w:tc>
        <w:tc>
          <w:tcPr>
            <w:tcW w:w="1491" w:type="pct"/>
            <w:gridSpan w:val="6"/>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2010164"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0B9F4574"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Cmax</w:t>
            </w:r>
            <w:proofErr w:type="spellEnd"/>
            <w:r w:rsidRPr="00791BD7">
              <w:rPr>
                <w:rFonts w:ascii="Times New Roman" w:eastAsia="Times New Roman" w:hAnsi="Times New Roman" w:cs="Times New Roman"/>
                <w:color w:val="000000"/>
                <w:kern w:val="24"/>
                <w:sz w:val="18"/>
                <w:szCs w:val="18"/>
                <w:lang w:val="pt-BR"/>
              </w:rPr>
              <w:t xml:space="preserve"> (µg/</w:t>
            </w:r>
            <w:proofErr w:type="spellStart"/>
            <w:r w:rsidRPr="00791BD7">
              <w:rPr>
                <w:rFonts w:ascii="Times New Roman" w:eastAsia="Times New Roman" w:hAnsi="Times New Roman" w:cs="Times New Roman"/>
                <w:color w:val="000000"/>
                <w:kern w:val="24"/>
                <w:sz w:val="18"/>
                <w:szCs w:val="18"/>
                <w:lang w:val="pt-BR"/>
              </w:rPr>
              <w:t>mL</w:t>
            </w:r>
            <w:proofErr w:type="spellEnd"/>
            <w:r w:rsidRPr="00791BD7">
              <w:rPr>
                <w:rFonts w:ascii="Times New Roman" w:eastAsia="Times New Roman" w:hAnsi="Times New Roman" w:cs="Times New Roman"/>
                <w:color w:val="000000"/>
                <w:kern w:val="24"/>
                <w:sz w:val="18"/>
                <w:szCs w:val="18"/>
                <w:lang w:val="pt-BR"/>
              </w:rPr>
              <w:t>)</w:t>
            </w:r>
          </w:p>
        </w:tc>
        <w:tc>
          <w:tcPr>
            <w:tcW w:w="1474" w:type="pct"/>
            <w:gridSpan w:val="6"/>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8382ABC"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1DCC65F6"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Tmax</w:t>
            </w:r>
            <w:proofErr w:type="spellEnd"/>
            <w:r w:rsidRPr="00791BD7">
              <w:rPr>
                <w:rFonts w:ascii="Times New Roman" w:eastAsia="Times New Roman" w:hAnsi="Times New Roman" w:cs="Times New Roman"/>
                <w:color w:val="000000"/>
                <w:kern w:val="24"/>
                <w:sz w:val="18"/>
                <w:szCs w:val="18"/>
                <w:lang w:val="pt-BR"/>
              </w:rPr>
              <w:t xml:space="preserve"> (h)</w:t>
            </w:r>
          </w:p>
        </w:tc>
        <w:tc>
          <w:tcPr>
            <w:tcW w:w="1429" w:type="pct"/>
            <w:gridSpan w:val="6"/>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57044FD"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7F1387B5"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AUC</w:t>
            </w:r>
            <w:r w:rsidRPr="00791BD7">
              <w:rPr>
                <w:rFonts w:ascii="Times New Roman" w:eastAsia="Times New Roman" w:hAnsi="Times New Roman" w:cs="Times New Roman"/>
                <w:color w:val="000000"/>
                <w:kern w:val="24"/>
                <w:position w:val="-7"/>
                <w:sz w:val="18"/>
                <w:szCs w:val="18"/>
                <w:vertAlign w:val="subscript"/>
                <w:lang w:val="pt-BR"/>
              </w:rPr>
              <w:t xml:space="preserve">0-t </w:t>
            </w:r>
            <w:r w:rsidRPr="00791BD7">
              <w:rPr>
                <w:rFonts w:ascii="Times New Roman" w:eastAsia="Times New Roman" w:hAnsi="Times New Roman" w:cs="Times New Roman"/>
                <w:color w:val="000000"/>
                <w:kern w:val="24"/>
                <w:sz w:val="18"/>
                <w:szCs w:val="18"/>
                <w:lang w:val="pt-BR"/>
              </w:rPr>
              <w:t>(µg-h/</w:t>
            </w:r>
            <w:proofErr w:type="spellStart"/>
            <w:r w:rsidRPr="00791BD7">
              <w:rPr>
                <w:rFonts w:ascii="Times New Roman" w:eastAsia="Times New Roman" w:hAnsi="Times New Roman" w:cs="Times New Roman"/>
                <w:color w:val="000000"/>
                <w:kern w:val="24"/>
                <w:sz w:val="18"/>
                <w:szCs w:val="18"/>
                <w:lang w:val="pt-BR"/>
              </w:rPr>
              <w:t>mL</w:t>
            </w:r>
            <w:proofErr w:type="spellEnd"/>
            <w:r w:rsidRPr="00791BD7">
              <w:rPr>
                <w:rFonts w:ascii="Times New Roman" w:eastAsia="Times New Roman" w:hAnsi="Times New Roman" w:cs="Times New Roman"/>
                <w:color w:val="000000"/>
                <w:kern w:val="24"/>
                <w:sz w:val="18"/>
                <w:szCs w:val="18"/>
                <w:lang w:val="pt-BR"/>
              </w:rPr>
              <w:t>)</w:t>
            </w:r>
          </w:p>
        </w:tc>
        <w:tc>
          <w:tcPr>
            <w:tcW w:w="354" w:type="pct"/>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B4A16E1"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545C6D69"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78DE2D68"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7E80EDEE"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3334CD1B"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0BAD5237"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References</w:t>
            </w:r>
            <w:proofErr w:type="spellEnd"/>
          </w:p>
        </w:tc>
      </w:tr>
      <w:tr w:rsidR="006B4C13" w:rsidRPr="00791BD7" w14:paraId="6A52F18C" w14:textId="77777777" w:rsidTr="006B4C13">
        <w:trPr>
          <w:trHeight w:val="322"/>
        </w:trPr>
        <w:tc>
          <w:tcPr>
            <w:tcW w:w="252" w:type="pct"/>
            <w:vMerge/>
            <w:tcBorders>
              <w:top w:val="single" w:sz="8" w:space="0" w:color="000000"/>
              <w:left w:val="single" w:sz="8" w:space="0" w:color="000000"/>
              <w:bottom w:val="single" w:sz="8" w:space="0" w:color="000000"/>
              <w:right w:val="single" w:sz="8" w:space="0" w:color="000000"/>
            </w:tcBorders>
            <w:vAlign w:val="center"/>
            <w:hideMark/>
          </w:tcPr>
          <w:p w14:paraId="5A05C15C" w14:textId="77777777" w:rsidR="006B4C13" w:rsidRPr="00791BD7" w:rsidRDefault="006B4C13" w:rsidP="006B4C13">
            <w:pPr>
              <w:jc w:val="center"/>
              <w:rPr>
                <w:rFonts w:ascii="Times New Roman" w:hAnsi="Times New Roman" w:cs="Times New Roman"/>
                <w:sz w:val="18"/>
                <w:szCs w:val="18"/>
                <w:lang w:val="pt-BR" w:eastAsia="en-US"/>
              </w:rPr>
            </w:pPr>
          </w:p>
        </w:tc>
        <w:tc>
          <w:tcPr>
            <w:tcW w:w="497"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9D7C32F"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Observed</w:t>
            </w:r>
            <w:proofErr w:type="spellEnd"/>
          </w:p>
        </w:tc>
        <w:tc>
          <w:tcPr>
            <w:tcW w:w="742" w:type="pct"/>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567B6F8"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Predicted</w:t>
            </w:r>
            <w:proofErr w:type="spellEnd"/>
          </w:p>
        </w:tc>
        <w:tc>
          <w:tcPr>
            <w:tcW w:w="252" w:type="pct"/>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E31A38"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51718CD1"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Mean</w:t>
            </w:r>
            <w:proofErr w:type="spellEnd"/>
          </w:p>
          <w:p w14:paraId="0C3409CB"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Ratio</w:t>
            </w:r>
            <w:proofErr w:type="spellEnd"/>
          </w:p>
          <w:p w14:paraId="43685862"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roofErr w:type="spellStart"/>
            <w:r w:rsidRPr="00791BD7">
              <w:rPr>
                <w:rFonts w:ascii="Times New Roman" w:eastAsia="Times New Roman" w:hAnsi="Times New Roman" w:cs="Times New Roman"/>
                <w:color w:val="000000"/>
                <w:kern w:val="24"/>
                <w:sz w:val="18"/>
                <w:szCs w:val="18"/>
                <w:lang w:val="pt-BR"/>
              </w:rPr>
              <w:t>Obs</w:t>
            </w:r>
            <w:proofErr w:type="spellEnd"/>
            <w:r w:rsidRPr="00791BD7">
              <w:rPr>
                <w:rFonts w:ascii="Times New Roman" w:eastAsia="Times New Roman" w:hAnsi="Times New Roman" w:cs="Times New Roman"/>
                <w:color w:val="000000"/>
                <w:kern w:val="24"/>
                <w:sz w:val="18"/>
                <w:szCs w:val="18"/>
                <w:lang w:val="pt-BR"/>
              </w:rPr>
              <w:t>/</w:t>
            </w:r>
          </w:p>
          <w:p w14:paraId="151384D1"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Pred</w:t>
            </w:r>
            <w:proofErr w:type="spellEnd"/>
          </w:p>
        </w:tc>
        <w:tc>
          <w:tcPr>
            <w:tcW w:w="492"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8DAF7E8"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Observed</w:t>
            </w:r>
            <w:proofErr w:type="spellEnd"/>
          </w:p>
        </w:tc>
        <w:tc>
          <w:tcPr>
            <w:tcW w:w="728" w:type="pct"/>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36538AC"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Predicted</w:t>
            </w:r>
            <w:proofErr w:type="spellEnd"/>
          </w:p>
        </w:tc>
        <w:tc>
          <w:tcPr>
            <w:tcW w:w="254" w:type="pct"/>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D3C23EF"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573B4EA1"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Mean</w:t>
            </w:r>
            <w:proofErr w:type="spellEnd"/>
          </w:p>
          <w:p w14:paraId="19446948"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Ratio</w:t>
            </w:r>
            <w:proofErr w:type="spellEnd"/>
          </w:p>
          <w:p w14:paraId="7087AD1F"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roofErr w:type="spellStart"/>
            <w:r w:rsidRPr="00791BD7">
              <w:rPr>
                <w:rFonts w:ascii="Times New Roman" w:eastAsia="Times New Roman" w:hAnsi="Times New Roman" w:cs="Times New Roman"/>
                <w:color w:val="000000"/>
                <w:kern w:val="24"/>
                <w:sz w:val="18"/>
                <w:szCs w:val="18"/>
                <w:lang w:val="pt-BR"/>
              </w:rPr>
              <w:t>Obs</w:t>
            </w:r>
            <w:proofErr w:type="spellEnd"/>
            <w:r w:rsidRPr="00791BD7">
              <w:rPr>
                <w:rFonts w:ascii="Times New Roman" w:eastAsia="Times New Roman" w:hAnsi="Times New Roman" w:cs="Times New Roman"/>
                <w:color w:val="000000"/>
                <w:kern w:val="24"/>
                <w:sz w:val="18"/>
                <w:szCs w:val="18"/>
                <w:lang w:val="pt-BR"/>
              </w:rPr>
              <w:t>/</w:t>
            </w:r>
          </w:p>
          <w:p w14:paraId="2009606C"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Pred</w:t>
            </w:r>
            <w:proofErr w:type="spellEnd"/>
          </w:p>
        </w:tc>
        <w:tc>
          <w:tcPr>
            <w:tcW w:w="538"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2C4C0E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Observed</w:t>
            </w:r>
            <w:proofErr w:type="spellEnd"/>
          </w:p>
        </w:tc>
        <w:tc>
          <w:tcPr>
            <w:tcW w:w="668" w:type="pct"/>
            <w:gridSpan w:val="3"/>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12994E4"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Predicted</w:t>
            </w:r>
            <w:proofErr w:type="spellEnd"/>
          </w:p>
        </w:tc>
        <w:tc>
          <w:tcPr>
            <w:tcW w:w="223" w:type="pct"/>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341DE65" w14:textId="77777777" w:rsidR="006B4C13" w:rsidRPr="00791BD7" w:rsidRDefault="006B4C13" w:rsidP="006B4C13">
            <w:pPr>
              <w:spacing w:after="0" w:line="240" w:lineRule="auto"/>
              <w:jc w:val="center"/>
              <w:rPr>
                <w:rFonts w:ascii="Times New Roman" w:eastAsia="Times New Roman" w:hAnsi="Times New Roman" w:cs="Times New Roman"/>
                <w:color w:val="000000"/>
                <w:kern w:val="24"/>
                <w:sz w:val="18"/>
                <w:szCs w:val="18"/>
                <w:lang w:val="pt-BR"/>
              </w:rPr>
            </w:pPr>
          </w:p>
          <w:p w14:paraId="70FDB45C"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Mean</w:t>
            </w:r>
            <w:proofErr w:type="spellEnd"/>
          </w:p>
          <w:p w14:paraId="4FFD2E4C"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Ratio</w:t>
            </w:r>
            <w:proofErr w:type="spellEnd"/>
          </w:p>
          <w:p w14:paraId="3EE603A2"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Obs</w:t>
            </w:r>
            <w:proofErr w:type="spellEnd"/>
            <w:r w:rsidRPr="00791BD7">
              <w:rPr>
                <w:rFonts w:ascii="Times New Roman" w:eastAsia="Times New Roman" w:hAnsi="Times New Roman" w:cs="Times New Roman"/>
                <w:color w:val="000000"/>
                <w:kern w:val="24"/>
                <w:sz w:val="18"/>
                <w:szCs w:val="18"/>
                <w:lang w:val="pt-BR"/>
              </w:rPr>
              <w:t>/</w:t>
            </w:r>
            <w:proofErr w:type="spellStart"/>
            <w:r w:rsidRPr="00791BD7">
              <w:rPr>
                <w:rFonts w:ascii="Times New Roman" w:eastAsia="Times New Roman" w:hAnsi="Times New Roman" w:cs="Times New Roman"/>
                <w:color w:val="000000"/>
                <w:kern w:val="24"/>
                <w:sz w:val="18"/>
                <w:szCs w:val="18"/>
                <w:lang w:val="pt-BR"/>
              </w:rPr>
              <w:t>Pred</w:t>
            </w:r>
            <w:proofErr w:type="spellEnd"/>
          </w:p>
        </w:tc>
        <w:tc>
          <w:tcPr>
            <w:tcW w:w="354" w:type="pct"/>
            <w:vMerge/>
            <w:tcBorders>
              <w:top w:val="single" w:sz="8" w:space="0" w:color="000000"/>
              <w:left w:val="single" w:sz="8" w:space="0" w:color="000000"/>
              <w:bottom w:val="single" w:sz="8" w:space="0" w:color="000000"/>
              <w:right w:val="single" w:sz="8" w:space="0" w:color="000000"/>
            </w:tcBorders>
            <w:vAlign w:val="center"/>
            <w:hideMark/>
          </w:tcPr>
          <w:p w14:paraId="19263884" w14:textId="77777777" w:rsidR="006B4C13" w:rsidRPr="00791BD7" w:rsidRDefault="006B4C13" w:rsidP="006B4C13">
            <w:pPr>
              <w:jc w:val="center"/>
              <w:rPr>
                <w:rFonts w:ascii="Times New Roman" w:hAnsi="Times New Roman" w:cs="Times New Roman"/>
                <w:sz w:val="18"/>
                <w:szCs w:val="18"/>
                <w:lang w:val="pt-BR" w:eastAsia="en-US"/>
              </w:rPr>
            </w:pPr>
          </w:p>
        </w:tc>
      </w:tr>
      <w:tr w:rsidR="006B4C13" w:rsidRPr="00791BD7" w14:paraId="47E81078" w14:textId="77777777" w:rsidTr="006B4C13">
        <w:trPr>
          <w:trHeight w:val="698"/>
        </w:trPr>
        <w:tc>
          <w:tcPr>
            <w:tcW w:w="252" w:type="pct"/>
            <w:vMerge/>
            <w:tcBorders>
              <w:top w:val="single" w:sz="8" w:space="0" w:color="000000"/>
              <w:left w:val="single" w:sz="8" w:space="0" w:color="000000"/>
              <w:bottom w:val="single" w:sz="8" w:space="0" w:color="000000"/>
              <w:right w:val="single" w:sz="8" w:space="0" w:color="000000"/>
            </w:tcBorders>
            <w:vAlign w:val="center"/>
            <w:hideMark/>
          </w:tcPr>
          <w:p w14:paraId="0B0980A6" w14:textId="77777777" w:rsidR="006B4C13" w:rsidRPr="00791BD7" w:rsidRDefault="006B4C13" w:rsidP="006B4C13">
            <w:pPr>
              <w:jc w:val="center"/>
              <w:rPr>
                <w:rFonts w:ascii="Times New Roman" w:hAnsi="Times New Roman" w:cs="Times New Roman"/>
                <w:sz w:val="18"/>
                <w:szCs w:val="18"/>
                <w:lang w:val="pt-BR" w:eastAsia="en-US"/>
              </w:rPr>
            </w:pPr>
          </w:p>
        </w:tc>
        <w:tc>
          <w:tcPr>
            <w:tcW w:w="24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990C4B"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Mean</w:t>
            </w:r>
            <w:proofErr w:type="spellEnd"/>
            <w:r w:rsidRPr="00791BD7">
              <w:rPr>
                <w:rFonts w:ascii="Times New Roman" w:eastAsia="Times New Roman" w:hAnsi="Times New Roman" w:cs="Times New Roman"/>
                <w:color w:val="000000"/>
                <w:kern w:val="24"/>
                <w:sz w:val="18"/>
                <w:szCs w:val="18"/>
                <w:lang w:val="pt-BR"/>
              </w:rPr>
              <w:t xml:space="preserve"> (CV %)</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8793E43"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Min-Max</w:t>
            </w:r>
          </w:p>
        </w:tc>
        <w:tc>
          <w:tcPr>
            <w:tcW w:w="23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E565FD7"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Mean</w:t>
            </w:r>
            <w:proofErr w:type="spellEnd"/>
            <w:r w:rsidRPr="00791BD7">
              <w:rPr>
                <w:rFonts w:ascii="Times New Roman" w:eastAsia="Times New Roman" w:hAnsi="Times New Roman" w:cs="Times New Roman"/>
                <w:color w:val="000000"/>
                <w:kern w:val="24"/>
                <w:sz w:val="18"/>
                <w:szCs w:val="18"/>
                <w:lang w:val="pt-BR"/>
              </w:rPr>
              <w:t xml:space="preserve"> (CV %)</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2A78A3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Min-Max</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06ECC15"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90 % Cl</w:t>
            </w:r>
          </w:p>
        </w:tc>
        <w:tc>
          <w:tcPr>
            <w:tcW w:w="252" w:type="pct"/>
            <w:vMerge/>
            <w:tcBorders>
              <w:top w:val="single" w:sz="8" w:space="0" w:color="000000"/>
              <w:left w:val="single" w:sz="8" w:space="0" w:color="000000"/>
              <w:bottom w:val="single" w:sz="8" w:space="0" w:color="000000"/>
              <w:right w:val="single" w:sz="8" w:space="0" w:color="000000"/>
            </w:tcBorders>
            <w:vAlign w:val="center"/>
            <w:hideMark/>
          </w:tcPr>
          <w:p w14:paraId="55980297" w14:textId="77777777" w:rsidR="006B4C13" w:rsidRPr="00791BD7" w:rsidRDefault="006B4C13" w:rsidP="006B4C13">
            <w:pPr>
              <w:jc w:val="center"/>
              <w:rPr>
                <w:rFonts w:ascii="Times New Roman" w:hAnsi="Times New Roman" w:cs="Times New Roman"/>
                <w:sz w:val="18"/>
                <w:szCs w:val="18"/>
                <w:lang w:val="pt-BR" w:eastAsia="en-US"/>
              </w:rPr>
            </w:pPr>
          </w:p>
        </w:tc>
        <w:tc>
          <w:tcPr>
            <w:tcW w:w="269"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A84734"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Mean</w:t>
            </w:r>
            <w:proofErr w:type="spellEnd"/>
            <w:r w:rsidRPr="00791BD7">
              <w:rPr>
                <w:rFonts w:ascii="Times New Roman" w:eastAsia="Times New Roman" w:hAnsi="Times New Roman" w:cs="Times New Roman"/>
                <w:color w:val="000000"/>
                <w:kern w:val="24"/>
                <w:sz w:val="18"/>
                <w:szCs w:val="18"/>
                <w:lang w:val="pt-BR"/>
              </w:rPr>
              <w:t xml:space="preserve"> (CV %)</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9C06265"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Min-Max</w:t>
            </w:r>
          </w:p>
        </w:tc>
        <w:tc>
          <w:tcPr>
            <w:tcW w:w="28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48B81A0"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Mean</w:t>
            </w:r>
            <w:proofErr w:type="spellEnd"/>
            <w:r w:rsidRPr="00791BD7">
              <w:rPr>
                <w:rFonts w:ascii="Times New Roman" w:eastAsia="Times New Roman" w:hAnsi="Times New Roman" w:cs="Times New Roman"/>
                <w:color w:val="000000"/>
                <w:kern w:val="24"/>
                <w:sz w:val="18"/>
                <w:szCs w:val="18"/>
                <w:lang w:val="pt-BR"/>
              </w:rPr>
              <w:t xml:space="preserve"> (CV %)</w:t>
            </w:r>
          </w:p>
        </w:tc>
        <w:tc>
          <w:tcPr>
            <w:tcW w:w="22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F8B52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Min-Max</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E4ABE2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90 % Cl</w:t>
            </w:r>
          </w:p>
        </w:tc>
        <w:tc>
          <w:tcPr>
            <w:tcW w:w="254" w:type="pct"/>
            <w:vMerge/>
            <w:tcBorders>
              <w:top w:val="single" w:sz="8" w:space="0" w:color="000000"/>
              <w:left w:val="single" w:sz="8" w:space="0" w:color="000000"/>
              <w:bottom w:val="single" w:sz="8" w:space="0" w:color="000000"/>
              <w:right w:val="single" w:sz="8" w:space="0" w:color="000000"/>
            </w:tcBorders>
            <w:vAlign w:val="center"/>
            <w:hideMark/>
          </w:tcPr>
          <w:p w14:paraId="646E03AF" w14:textId="77777777" w:rsidR="006B4C13" w:rsidRPr="00791BD7" w:rsidRDefault="006B4C13" w:rsidP="006B4C13">
            <w:pPr>
              <w:jc w:val="center"/>
              <w:rPr>
                <w:rFonts w:ascii="Times New Roman" w:hAnsi="Times New Roman" w:cs="Times New Roman"/>
                <w:sz w:val="18"/>
                <w:szCs w:val="18"/>
                <w:lang w:val="pt-BR" w:eastAsia="en-US"/>
              </w:rPr>
            </w:pPr>
          </w:p>
        </w:tc>
        <w:tc>
          <w:tcPr>
            <w:tcW w:w="30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B9033C7"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Mean</w:t>
            </w:r>
            <w:proofErr w:type="spellEnd"/>
            <w:r w:rsidRPr="00791BD7">
              <w:rPr>
                <w:rFonts w:ascii="Times New Roman" w:eastAsia="Times New Roman" w:hAnsi="Times New Roman" w:cs="Times New Roman"/>
                <w:color w:val="000000"/>
                <w:kern w:val="24"/>
                <w:sz w:val="18"/>
                <w:szCs w:val="18"/>
                <w:lang w:val="pt-BR"/>
              </w:rPr>
              <w:t xml:space="preserve"> (CV %)</w:t>
            </w:r>
          </w:p>
        </w:tc>
        <w:tc>
          <w:tcPr>
            <w:tcW w:w="23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61F4604"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Min-Max</w:t>
            </w:r>
          </w:p>
        </w:tc>
        <w:tc>
          <w:tcPr>
            <w:tcW w:w="23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8CDD082"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proofErr w:type="spellStart"/>
            <w:r w:rsidRPr="00791BD7">
              <w:rPr>
                <w:rFonts w:ascii="Times New Roman" w:eastAsia="Times New Roman" w:hAnsi="Times New Roman" w:cs="Times New Roman"/>
                <w:color w:val="000000"/>
                <w:kern w:val="24"/>
                <w:sz w:val="18"/>
                <w:szCs w:val="18"/>
                <w:lang w:val="pt-BR"/>
              </w:rPr>
              <w:t>Mean</w:t>
            </w:r>
            <w:proofErr w:type="spellEnd"/>
            <w:r w:rsidRPr="00791BD7">
              <w:rPr>
                <w:rFonts w:ascii="Times New Roman" w:eastAsia="Times New Roman" w:hAnsi="Times New Roman" w:cs="Times New Roman"/>
                <w:color w:val="000000"/>
                <w:kern w:val="24"/>
                <w:sz w:val="18"/>
                <w:szCs w:val="18"/>
                <w:lang w:val="pt-BR"/>
              </w:rPr>
              <w:t xml:space="preserve"> (CV %)</w:t>
            </w:r>
          </w:p>
        </w:tc>
        <w:tc>
          <w:tcPr>
            <w:tcW w:w="22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AC4E8E4"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Min-Max</w:t>
            </w:r>
          </w:p>
        </w:tc>
        <w:tc>
          <w:tcPr>
            <w:tcW w:w="21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F272841"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90 % Cl</w:t>
            </w:r>
          </w:p>
        </w:tc>
        <w:tc>
          <w:tcPr>
            <w:tcW w:w="223" w:type="pct"/>
            <w:vMerge/>
            <w:tcBorders>
              <w:top w:val="single" w:sz="8" w:space="0" w:color="000000"/>
              <w:left w:val="single" w:sz="8" w:space="0" w:color="000000"/>
              <w:bottom w:val="single" w:sz="8" w:space="0" w:color="000000"/>
              <w:right w:val="single" w:sz="8" w:space="0" w:color="000000"/>
            </w:tcBorders>
            <w:vAlign w:val="center"/>
            <w:hideMark/>
          </w:tcPr>
          <w:p w14:paraId="6C400CA5" w14:textId="77777777" w:rsidR="006B4C13" w:rsidRPr="00791BD7" w:rsidRDefault="006B4C13" w:rsidP="006B4C13">
            <w:pPr>
              <w:jc w:val="center"/>
              <w:rPr>
                <w:rFonts w:ascii="Times New Roman" w:hAnsi="Times New Roman" w:cs="Times New Roman"/>
                <w:sz w:val="18"/>
                <w:szCs w:val="18"/>
                <w:lang w:val="pt-BR" w:eastAsia="en-US"/>
              </w:rPr>
            </w:pPr>
          </w:p>
        </w:tc>
        <w:tc>
          <w:tcPr>
            <w:tcW w:w="354" w:type="pct"/>
            <w:vMerge/>
            <w:tcBorders>
              <w:top w:val="single" w:sz="8" w:space="0" w:color="000000"/>
              <w:left w:val="single" w:sz="8" w:space="0" w:color="000000"/>
              <w:bottom w:val="single" w:sz="8" w:space="0" w:color="000000"/>
              <w:right w:val="single" w:sz="8" w:space="0" w:color="000000"/>
            </w:tcBorders>
            <w:vAlign w:val="center"/>
            <w:hideMark/>
          </w:tcPr>
          <w:p w14:paraId="7031F745" w14:textId="77777777" w:rsidR="006B4C13" w:rsidRPr="00791BD7" w:rsidRDefault="006B4C13" w:rsidP="006B4C13">
            <w:pPr>
              <w:jc w:val="center"/>
              <w:rPr>
                <w:rFonts w:ascii="Times New Roman" w:hAnsi="Times New Roman" w:cs="Times New Roman"/>
                <w:sz w:val="18"/>
                <w:szCs w:val="18"/>
                <w:lang w:val="pt-BR" w:eastAsia="en-US"/>
              </w:rPr>
            </w:pPr>
          </w:p>
        </w:tc>
      </w:tr>
      <w:tr w:rsidR="006B4C13" w:rsidRPr="00791BD7" w14:paraId="23B2D89F" w14:textId="77777777" w:rsidTr="006B4C13">
        <w:trPr>
          <w:trHeight w:val="531"/>
        </w:trPr>
        <w:tc>
          <w:tcPr>
            <w:tcW w:w="25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CCCB5EB"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0.5</w:t>
            </w:r>
          </w:p>
        </w:tc>
        <w:tc>
          <w:tcPr>
            <w:tcW w:w="24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46BC88B"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 xml:space="preserve">0.045 </w:t>
            </w:r>
            <w:proofErr w:type="gramStart"/>
            <w:r w:rsidRPr="00791BD7">
              <w:rPr>
                <w:rFonts w:ascii="Times New Roman" w:eastAsia="Times New Roman" w:hAnsi="Times New Roman" w:cs="Times New Roman"/>
                <w:color w:val="000000"/>
                <w:kern w:val="24"/>
                <w:sz w:val="18"/>
                <w:szCs w:val="18"/>
                <w:lang w:val="pt-BR"/>
              </w:rPr>
              <w:t xml:space="preserve">   (</w:t>
            </w:r>
            <w:proofErr w:type="gramEnd"/>
            <w:r w:rsidRPr="00791BD7">
              <w:rPr>
                <w:rFonts w:ascii="Times New Roman" w:eastAsia="Times New Roman" w:hAnsi="Times New Roman" w:cs="Times New Roman"/>
                <w:color w:val="000000"/>
                <w:kern w:val="24"/>
                <w:sz w:val="18"/>
                <w:szCs w:val="18"/>
                <w:lang w:val="pt-BR"/>
              </w:rPr>
              <w:t>18.2)</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5F963F8"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0.034-0.051</w:t>
            </w:r>
          </w:p>
        </w:tc>
        <w:tc>
          <w:tcPr>
            <w:tcW w:w="23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B7D1B60"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0.045 (14)</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9901C80"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0.036-0.056</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8A22041"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0.041-0.050</w:t>
            </w:r>
          </w:p>
        </w:tc>
        <w:tc>
          <w:tcPr>
            <w:tcW w:w="25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BC61EF"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0.99</w:t>
            </w:r>
          </w:p>
        </w:tc>
        <w:tc>
          <w:tcPr>
            <w:tcW w:w="269"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C0605A3"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56</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1302C7"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w:t>
            </w:r>
          </w:p>
        </w:tc>
        <w:tc>
          <w:tcPr>
            <w:tcW w:w="28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A5E477D"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30.4 (14)</w:t>
            </w:r>
          </w:p>
        </w:tc>
        <w:tc>
          <w:tcPr>
            <w:tcW w:w="22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E94CE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24-37</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A38AA49"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27.2-33.7</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AE9A755"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1.84</w:t>
            </w:r>
          </w:p>
        </w:tc>
        <w:tc>
          <w:tcPr>
            <w:tcW w:w="30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0C5489D"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12.58 (12)</w:t>
            </w:r>
          </w:p>
        </w:tc>
        <w:tc>
          <w:tcPr>
            <w:tcW w:w="23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B7F75B1"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11.1-14.1</w:t>
            </w:r>
          </w:p>
        </w:tc>
        <w:tc>
          <w:tcPr>
            <w:tcW w:w="23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3D2EC27"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11.35 (18)</w:t>
            </w:r>
          </w:p>
        </w:tc>
        <w:tc>
          <w:tcPr>
            <w:tcW w:w="22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BA80BC"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7.9-15.5</w:t>
            </w:r>
          </w:p>
        </w:tc>
        <w:tc>
          <w:tcPr>
            <w:tcW w:w="21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6E9B424"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9.75-13.6</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B0AF0D"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1.11</w:t>
            </w:r>
          </w:p>
        </w:tc>
        <w:tc>
          <w:tcPr>
            <w:tcW w:w="3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B388E2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Pr>
                <w:rFonts w:ascii="Times New Roman" w:eastAsia="Times New Roman" w:hAnsi="Times New Roman" w:cs="Times New Roman"/>
                <w:color w:val="000000"/>
                <w:kern w:val="24"/>
                <w:sz w:val="18"/>
                <w:szCs w:val="18"/>
                <w:lang w:val="pt-BR"/>
              </w:rPr>
              <w:t>[25]</w:t>
            </w:r>
          </w:p>
        </w:tc>
      </w:tr>
      <w:tr w:rsidR="006B4C13" w:rsidRPr="00791BD7" w14:paraId="46DB8823" w14:textId="77777777" w:rsidTr="006B4C13">
        <w:trPr>
          <w:trHeight w:val="668"/>
        </w:trPr>
        <w:tc>
          <w:tcPr>
            <w:tcW w:w="25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2D0CCD"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0.5</w:t>
            </w:r>
          </w:p>
        </w:tc>
        <w:tc>
          <w:tcPr>
            <w:tcW w:w="24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E50E16D"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0.042 (35)</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E4DAFB"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0.028-0.057</w:t>
            </w:r>
          </w:p>
        </w:tc>
        <w:tc>
          <w:tcPr>
            <w:tcW w:w="23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9B1947E"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0.044</w:t>
            </w:r>
            <w:proofErr w:type="gramStart"/>
            <w:r w:rsidRPr="00791BD7">
              <w:rPr>
                <w:rFonts w:ascii="Times New Roman" w:eastAsia="Times New Roman" w:hAnsi="Times New Roman" w:cs="Times New Roman"/>
                <w:color w:val="000000"/>
                <w:kern w:val="24"/>
                <w:sz w:val="18"/>
                <w:szCs w:val="18"/>
                <w:lang w:val="pt-BR"/>
              </w:rPr>
              <w:t xml:space="preserve">   (</w:t>
            </w:r>
            <w:proofErr w:type="gramEnd"/>
            <w:r w:rsidRPr="00791BD7">
              <w:rPr>
                <w:rFonts w:ascii="Times New Roman" w:eastAsia="Times New Roman" w:hAnsi="Times New Roman" w:cs="Times New Roman"/>
                <w:color w:val="000000"/>
                <w:kern w:val="24"/>
                <w:sz w:val="18"/>
                <w:szCs w:val="18"/>
                <w:lang w:val="pt-BR"/>
              </w:rPr>
              <w:t>15)</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C9A804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0.032-0.058</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E385A8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0.040-0.047</w:t>
            </w:r>
          </w:p>
        </w:tc>
        <w:tc>
          <w:tcPr>
            <w:tcW w:w="25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2F6612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0.95</w:t>
            </w:r>
          </w:p>
        </w:tc>
        <w:tc>
          <w:tcPr>
            <w:tcW w:w="269"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0FA33A4"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24 (8.6)</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99BFAF0"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20.6-27.38</w:t>
            </w:r>
          </w:p>
        </w:tc>
        <w:tc>
          <w:tcPr>
            <w:tcW w:w="28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FF6AA4B"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30.42 (14)</w:t>
            </w:r>
          </w:p>
        </w:tc>
        <w:tc>
          <w:tcPr>
            <w:tcW w:w="22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4EFE8AC"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24-38.5</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2BDD7C4"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28.1-32.3</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80B4669"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0.79</w:t>
            </w:r>
          </w:p>
        </w:tc>
        <w:tc>
          <w:tcPr>
            <w:tcW w:w="30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398D335"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10.7 (27)</w:t>
            </w:r>
          </w:p>
        </w:tc>
        <w:tc>
          <w:tcPr>
            <w:tcW w:w="23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8EB606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7.8-13.59</w:t>
            </w:r>
          </w:p>
        </w:tc>
        <w:tc>
          <w:tcPr>
            <w:tcW w:w="23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8DE72E9"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11.28 (25)</w:t>
            </w:r>
          </w:p>
        </w:tc>
        <w:tc>
          <w:tcPr>
            <w:tcW w:w="22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8EB3B86"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6.4-16.3</w:t>
            </w:r>
          </w:p>
        </w:tc>
        <w:tc>
          <w:tcPr>
            <w:tcW w:w="21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574638"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9.65-13.0</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62D9136"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0.95</w:t>
            </w:r>
          </w:p>
        </w:tc>
        <w:tc>
          <w:tcPr>
            <w:tcW w:w="3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D28874D"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Pr>
                <w:rFonts w:ascii="Times New Roman" w:eastAsia="Times New Roman" w:hAnsi="Times New Roman" w:cs="Times New Roman"/>
                <w:color w:val="000000"/>
                <w:kern w:val="24"/>
                <w:sz w:val="18"/>
                <w:szCs w:val="18"/>
                <w:lang w:val="pt-BR"/>
              </w:rPr>
              <w:t>[31]</w:t>
            </w:r>
          </w:p>
        </w:tc>
      </w:tr>
      <w:tr w:rsidR="006B4C13" w:rsidRPr="00791BD7" w14:paraId="0C6FBB1A" w14:textId="77777777" w:rsidTr="006B4C13">
        <w:trPr>
          <w:trHeight w:val="978"/>
        </w:trPr>
        <w:tc>
          <w:tcPr>
            <w:tcW w:w="25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F028798"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0.5</w:t>
            </w:r>
          </w:p>
        </w:tc>
        <w:tc>
          <w:tcPr>
            <w:tcW w:w="24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F18CD1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0.047</w:t>
            </w:r>
          </w:p>
          <w:p w14:paraId="05813418"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(18.9)</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8B8216F"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0.038-0.056</w:t>
            </w:r>
          </w:p>
        </w:tc>
        <w:tc>
          <w:tcPr>
            <w:tcW w:w="23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AE77950"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0.051 (14)</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25D1AB"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0.040-0.067</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EE984A2"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0.050-0.54</w:t>
            </w:r>
          </w:p>
        </w:tc>
        <w:tc>
          <w:tcPr>
            <w:tcW w:w="25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F9209E6"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0.92</w:t>
            </w:r>
          </w:p>
        </w:tc>
        <w:tc>
          <w:tcPr>
            <w:tcW w:w="269"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092AE99"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95.62</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40E898"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24-121</w:t>
            </w:r>
          </w:p>
        </w:tc>
        <w:tc>
          <w:tcPr>
            <w:tcW w:w="28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327CDDD"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30 (11)</w:t>
            </w:r>
          </w:p>
        </w:tc>
        <w:tc>
          <w:tcPr>
            <w:tcW w:w="22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9114511"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24,7-38.8</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6937658" w14:textId="77777777" w:rsidR="006B4C13" w:rsidRPr="00791BD7" w:rsidRDefault="006B4C13" w:rsidP="006B4C13">
            <w:pPr>
              <w:spacing w:after="0" w:line="240" w:lineRule="auto"/>
              <w:jc w:val="center"/>
              <w:textAlignment w:val="top"/>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28.4-30.6</w:t>
            </w:r>
          </w:p>
        </w:tc>
        <w:tc>
          <w:tcPr>
            <w:tcW w:w="2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22FDE4B"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3</w:t>
            </w:r>
          </w:p>
        </w:tc>
        <w:tc>
          <w:tcPr>
            <w:tcW w:w="30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16FB24B"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14.08 (24)</w:t>
            </w:r>
          </w:p>
        </w:tc>
        <w:tc>
          <w:tcPr>
            <w:tcW w:w="23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517D949"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10.7-17.45</w:t>
            </w:r>
          </w:p>
        </w:tc>
        <w:tc>
          <w:tcPr>
            <w:tcW w:w="23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EF7B10A"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11.8 (29)</w:t>
            </w:r>
          </w:p>
        </w:tc>
        <w:tc>
          <w:tcPr>
            <w:tcW w:w="22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F4FBF92"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6.10-19.5</w:t>
            </w:r>
          </w:p>
        </w:tc>
        <w:tc>
          <w:tcPr>
            <w:tcW w:w="212"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175364F"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10.70-12.90</w:t>
            </w:r>
          </w:p>
        </w:tc>
        <w:tc>
          <w:tcPr>
            <w:tcW w:w="223"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8B12840"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sidRPr="00791BD7">
              <w:rPr>
                <w:rFonts w:ascii="Times New Roman" w:eastAsia="Times New Roman" w:hAnsi="Times New Roman" w:cs="Times New Roman"/>
                <w:color w:val="000000"/>
                <w:kern w:val="24"/>
                <w:sz w:val="18"/>
                <w:szCs w:val="18"/>
                <w:lang w:val="pt-BR"/>
              </w:rPr>
              <w:t>1.19</w:t>
            </w:r>
          </w:p>
        </w:tc>
        <w:tc>
          <w:tcPr>
            <w:tcW w:w="354"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F61F7E4" w14:textId="77777777" w:rsidR="006B4C13" w:rsidRPr="00791BD7" w:rsidRDefault="006B4C13" w:rsidP="006B4C13">
            <w:pPr>
              <w:spacing w:after="0" w:line="240" w:lineRule="auto"/>
              <w:jc w:val="center"/>
              <w:rPr>
                <w:rFonts w:ascii="Times New Roman" w:eastAsia="Times New Roman" w:hAnsi="Times New Roman" w:cs="Times New Roman"/>
                <w:sz w:val="18"/>
                <w:szCs w:val="18"/>
                <w:lang w:val="pt-BR"/>
              </w:rPr>
            </w:pPr>
            <w:r>
              <w:rPr>
                <w:rFonts w:ascii="Times New Roman" w:eastAsia="Times New Roman" w:hAnsi="Times New Roman" w:cs="Times New Roman"/>
                <w:color w:val="000000"/>
                <w:kern w:val="24"/>
                <w:sz w:val="18"/>
                <w:szCs w:val="18"/>
                <w:lang w:val="pt-BR"/>
              </w:rPr>
              <w:t xml:space="preserve">[24] </w:t>
            </w:r>
            <w:r w:rsidRPr="00791BD7">
              <w:rPr>
                <w:rFonts w:ascii="Times New Roman" w:eastAsia="Times New Roman" w:hAnsi="Times New Roman" w:cs="Times New Roman"/>
                <w:color w:val="000000"/>
                <w:kern w:val="24"/>
                <w:sz w:val="18"/>
                <w:szCs w:val="18"/>
                <w:lang w:val="pt-BR"/>
              </w:rPr>
              <w:t>(NN9535-4010)</w:t>
            </w:r>
          </w:p>
        </w:tc>
      </w:tr>
    </w:tbl>
    <w:p w14:paraId="6C6B382E" w14:textId="77777777"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31B7E6D1" w14:textId="77777777" w:rsidR="006B4C13" w:rsidRDefault="006B4C13" w:rsidP="00BC4B34">
      <w:pPr>
        <w:spacing w:after="0" w:line="360" w:lineRule="auto"/>
        <w:ind w:left="720"/>
        <w:jc w:val="both"/>
        <w:rPr>
          <w:rFonts w:ascii="Times New Roman" w:eastAsia="Times New Roman" w:hAnsi="Times New Roman" w:cs="Times New Roman"/>
          <w:color w:val="212121"/>
          <w:sz w:val="24"/>
          <w:szCs w:val="24"/>
          <w:highlight w:val="white"/>
        </w:rPr>
      </w:pPr>
    </w:p>
    <w:p w14:paraId="2807D86F" w14:textId="77777777" w:rsidR="006B4C13" w:rsidRDefault="006B4C13" w:rsidP="006B4C13">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Table 5. </w:t>
      </w:r>
      <w:r>
        <w:rPr>
          <w:rFonts w:ascii="Times New Roman" w:eastAsia="Times New Roman" w:hAnsi="Times New Roman" w:cs="Times New Roman"/>
          <w:sz w:val="24"/>
          <w:szCs w:val="24"/>
        </w:rPr>
        <w:t xml:space="preserve">PBPK Sema-1 performance evaluation comparing predicted and observed pharmacokinetic parameters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after subcutaneous injection in healthy adults.</w:t>
      </w:r>
    </w:p>
    <w:p w14:paraId="13A5471F" w14:textId="77777777" w:rsidR="006B4C13" w:rsidRDefault="006B4C13" w:rsidP="00BC4B34">
      <w:pPr>
        <w:shd w:val="clear" w:color="auto" w:fill="FFFFFF"/>
        <w:spacing w:before="100" w:beforeAutospacing="1" w:after="100" w:afterAutospacing="1" w:line="240" w:lineRule="auto"/>
        <w:ind w:left="720"/>
        <w:rPr>
          <w:rFonts w:ascii="Open Sans" w:eastAsia="Times New Roman" w:hAnsi="Open Sans" w:cs="Open Sans"/>
          <w:b/>
          <w:bCs/>
          <w:color w:val="1C1D1E"/>
          <w:sz w:val="21"/>
          <w:szCs w:val="21"/>
          <w:highlight w:val="yellow"/>
          <w:lang w:val="pt-BR"/>
        </w:rPr>
      </w:pPr>
    </w:p>
    <w:p w14:paraId="7070876A" w14:textId="39F27AE0" w:rsidR="006B4C13" w:rsidRDefault="006B4C13" w:rsidP="00BC4B34">
      <w:pPr>
        <w:shd w:val="clear" w:color="auto" w:fill="FFFFFF"/>
        <w:spacing w:before="100" w:beforeAutospacing="1" w:after="100" w:afterAutospacing="1" w:line="240" w:lineRule="auto"/>
        <w:ind w:left="720"/>
        <w:rPr>
          <w:rFonts w:ascii="Open Sans" w:eastAsia="Times New Roman" w:hAnsi="Open Sans" w:cs="Open Sans"/>
          <w:b/>
          <w:bCs/>
          <w:color w:val="1C1D1E"/>
          <w:sz w:val="21"/>
          <w:szCs w:val="21"/>
          <w:highlight w:val="yellow"/>
          <w:lang w:val="pt-BR"/>
        </w:rPr>
      </w:pPr>
    </w:p>
    <w:p w14:paraId="2660B8DF" w14:textId="67A10027" w:rsidR="006B4C13" w:rsidRDefault="006B4C13" w:rsidP="00BC4B34">
      <w:pPr>
        <w:shd w:val="clear" w:color="auto" w:fill="FFFFFF"/>
        <w:spacing w:before="100" w:beforeAutospacing="1" w:after="100" w:afterAutospacing="1" w:line="240" w:lineRule="auto"/>
        <w:ind w:left="720"/>
        <w:rPr>
          <w:rFonts w:ascii="Open Sans" w:eastAsia="Times New Roman" w:hAnsi="Open Sans" w:cs="Open Sans"/>
          <w:b/>
          <w:bCs/>
          <w:color w:val="1C1D1E"/>
          <w:sz w:val="21"/>
          <w:szCs w:val="21"/>
          <w:highlight w:val="yellow"/>
          <w:lang w:val="pt-BR"/>
        </w:rPr>
      </w:pPr>
    </w:p>
    <w:p w14:paraId="430BE239" w14:textId="77777777" w:rsidR="006B4C13" w:rsidRDefault="006B4C13" w:rsidP="006B4C13">
      <w:pPr>
        <w:shd w:val="clear" w:color="auto" w:fill="FFFFFF"/>
        <w:spacing w:before="100" w:beforeAutospacing="1" w:after="100" w:afterAutospacing="1" w:line="240" w:lineRule="auto"/>
        <w:rPr>
          <w:rFonts w:ascii="Open Sans" w:eastAsia="Times New Roman" w:hAnsi="Open Sans" w:cs="Open Sans"/>
          <w:b/>
          <w:bCs/>
          <w:color w:val="1C1D1E"/>
          <w:sz w:val="21"/>
          <w:szCs w:val="21"/>
          <w:highlight w:val="yellow"/>
          <w:lang w:val="pt-BR"/>
        </w:rPr>
        <w:sectPr w:rsidR="006B4C13" w:rsidSect="006B4C13">
          <w:pgSz w:w="15840" w:h="12240" w:orient="landscape"/>
          <w:pgMar w:top="1700" w:right="1417" w:bottom="1700" w:left="1417" w:header="708" w:footer="708" w:gutter="0"/>
          <w:cols w:space="720"/>
          <w:docGrid w:linePitch="299"/>
        </w:sectPr>
      </w:pPr>
    </w:p>
    <w:p w14:paraId="754B5270" w14:textId="1A87CDA9" w:rsidR="00BC4B34" w:rsidRPr="00BC4B34" w:rsidRDefault="005C43B8" w:rsidP="005C43B8">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Table 6. </w:t>
      </w:r>
      <w:r>
        <w:rPr>
          <w:rFonts w:ascii="Times New Roman" w:eastAsia="Times New Roman" w:hAnsi="Times New Roman" w:cs="Times New Roman"/>
          <w:sz w:val="24"/>
          <w:szCs w:val="24"/>
        </w:rPr>
        <w:t xml:space="preserve">Predicted pharmacokinetic parameters for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after SC injection, in children aged 10 to 17 years with normal and obese body weights.</w:t>
      </w:r>
    </w:p>
    <w:tbl>
      <w:tblPr>
        <w:tblStyle w:val="SombreamentoClaro2"/>
        <w:tblW w:w="9498" w:type="dxa"/>
        <w:tblBorders>
          <w:insideH w:val="single" w:sz="4" w:space="0" w:color="auto"/>
          <w:insideV w:val="single" w:sz="4" w:space="0" w:color="auto"/>
        </w:tblBorders>
        <w:tblLayout w:type="fixed"/>
        <w:tblLook w:val="0600" w:firstRow="0" w:lastRow="0" w:firstColumn="0" w:lastColumn="0" w:noHBand="1" w:noVBand="1"/>
      </w:tblPr>
      <w:tblGrid>
        <w:gridCol w:w="851"/>
        <w:gridCol w:w="992"/>
        <w:gridCol w:w="1097"/>
        <w:gridCol w:w="840"/>
        <w:gridCol w:w="780"/>
        <w:gridCol w:w="827"/>
        <w:gridCol w:w="898"/>
        <w:gridCol w:w="735"/>
        <w:gridCol w:w="840"/>
        <w:gridCol w:w="840"/>
        <w:gridCol w:w="798"/>
      </w:tblGrid>
      <w:tr w:rsidR="005C43B8" w:rsidRPr="005C43B8" w14:paraId="35DBA865" w14:textId="77777777" w:rsidTr="005C43B8">
        <w:trPr>
          <w:trHeight w:val="705"/>
        </w:trPr>
        <w:tc>
          <w:tcPr>
            <w:tcW w:w="1843" w:type="dxa"/>
            <w:gridSpan w:val="2"/>
          </w:tcPr>
          <w:p w14:paraId="313CB93D"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Pediatric Virtual Population</w:t>
            </w:r>
          </w:p>
        </w:tc>
        <w:tc>
          <w:tcPr>
            <w:tcW w:w="7655" w:type="dxa"/>
            <w:gridSpan w:val="9"/>
          </w:tcPr>
          <w:p w14:paraId="019B175B"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Pharmacokinetic Parameters</w:t>
            </w:r>
          </w:p>
        </w:tc>
      </w:tr>
      <w:tr w:rsidR="005C43B8" w:rsidRPr="005C43B8" w14:paraId="0F5AEB22" w14:textId="77777777" w:rsidTr="005C43B8">
        <w:trPr>
          <w:trHeight w:val="1040"/>
        </w:trPr>
        <w:tc>
          <w:tcPr>
            <w:tcW w:w="851" w:type="dxa"/>
            <w:vMerge w:val="restart"/>
          </w:tcPr>
          <w:p w14:paraId="46D7F63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p w14:paraId="660DAB3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p w14:paraId="356F4EC1"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Age</w:t>
            </w:r>
          </w:p>
        </w:tc>
        <w:tc>
          <w:tcPr>
            <w:tcW w:w="992" w:type="dxa"/>
            <w:vMerge w:val="restart"/>
          </w:tcPr>
          <w:p w14:paraId="0A2D04CE" w14:textId="77777777" w:rsidR="005C43B8" w:rsidRPr="005C43B8" w:rsidRDefault="005C43B8" w:rsidP="0054375A">
            <w:pPr>
              <w:spacing w:line="256" w:lineRule="auto"/>
              <w:jc w:val="both"/>
              <w:rPr>
                <w:rFonts w:ascii="Times New Roman" w:eastAsia="Times New Roman" w:hAnsi="Times New Roman" w:cs="Times New Roman"/>
              </w:rPr>
            </w:pPr>
            <w:r w:rsidRPr="005C43B8">
              <w:rPr>
                <w:rFonts w:ascii="Times New Roman" w:eastAsia="Times New Roman" w:hAnsi="Times New Roman" w:cs="Times New Roman"/>
              </w:rPr>
              <w:t xml:space="preserve"> </w:t>
            </w:r>
          </w:p>
          <w:p w14:paraId="7C1DF945" w14:textId="77777777" w:rsidR="005C43B8" w:rsidRPr="005C43B8" w:rsidRDefault="005C43B8" w:rsidP="0054375A">
            <w:pPr>
              <w:spacing w:line="256" w:lineRule="auto"/>
              <w:jc w:val="both"/>
              <w:rPr>
                <w:rFonts w:ascii="Times New Roman" w:eastAsia="Times New Roman" w:hAnsi="Times New Roman" w:cs="Times New Roman"/>
              </w:rPr>
            </w:pPr>
            <w:r w:rsidRPr="005C43B8">
              <w:rPr>
                <w:rFonts w:ascii="Times New Roman" w:eastAsia="Times New Roman" w:hAnsi="Times New Roman" w:cs="Times New Roman"/>
              </w:rPr>
              <w:t xml:space="preserve"> </w:t>
            </w:r>
          </w:p>
          <w:p w14:paraId="24F0D33D"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Body Weight</w:t>
            </w:r>
          </w:p>
        </w:tc>
        <w:tc>
          <w:tcPr>
            <w:tcW w:w="2717" w:type="dxa"/>
            <w:gridSpan w:val="3"/>
          </w:tcPr>
          <w:p w14:paraId="7AAB26B1" w14:textId="77777777" w:rsidR="00E6622B" w:rsidRDefault="00E6622B" w:rsidP="0054375A">
            <w:pPr>
              <w:spacing w:line="256" w:lineRule="auto"/>
              <w:jc w:val="center"/>
              <w:rPr>
                <w:rFonts w:ascii="Times New Roman" w:eastAsia="Times New Roman" w:hAnsi="Times New Roman" w:cs="Times New Roman"/>
              </w:rPr>
            </w:pPr>
          </w:p>
          <w:p w14:paraId="45E498B6" w14:textId="44B54F2C" w:rsidR="005C43B8" w:rsidRPr="005C43B8" w:rsidRDefault="005C43B8" w:rsidP="0054375A">
            <w:pPr>
              <w:spacing w:line="256" w:lineRule="auto"/>
              <w:jc w:val="center"/>
              <w:rPr>
                <w:rFonts w:ascii="Times New Roman" w:eastAsia="Times New Roman" w:hAnsi="Times New Roman" w:cs="Times New Roman"/>
              </w:rPr>
            </w:pPr>
            <w:proofErr w:type="spellStart"/>
            <w:r w:rsidRPr="005C43B8">
              <w:rPr>
                <w:rFonts w:ascii="Times New Roman" w:eastAsia="Times New Roman" w:hAnsi="Times New Roman" w:cs="Times New Roman"/>
              </w:rPr>
              <w:t>Cmax</w:t>
            </w:r>
            <w:proofErr w:type="spellEnd"/>
          </w:p>
          <w:p w14:paraId="6DC357E1"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(µg/mL)</w:t>
            </w:r>
          </w:p>
        </w:tc>
        <w:tc>
          <w:tcPr>
            <w:tcW w:w="2460" w:type="dxa"/>
            <w:gridSpan w:val="3"/>
          </w:tcPr>
          <w:p w14:paraId="5DB194E2" w14:textId="77777777" w:rsidR="00E6622B" w:rsidRDefault="00E6622B" w:rsidP="0054375A">
            <w:pPr>
              <w:spacing w:line="256" w:lineRule="auto"/>
              <w:jc w:val="center"/>
              <w:rPr>
                <w:rFonts w:ascii="Times New Roman" w:eastAsia="Times New Roman" w:hAnsi="Times New Roman" w:cs="Times New Roman"/>
              </w:rPr>
            </w:pPr>
          </w:p>
          <w:p w14:paraId="7A0F43CD" w14:textId="12F86118" w:rsidR="005C43B8" w:rsidRPr="005C43B8" w:rsidRDefault="005C43B8" w:rsidP="0054375A">
            <w:pPr>
              <w:spacing w:line="256" w:lineRule="auto"/>
              <w:jc w:val="center"/>
              <w:rPr>
                <w:rFonts w:ascii="Times New Roman" w:eastAsia="Times New Roman" w:hAnsi="Times New Roman" w:cs="Times New Roman"/>
              </w:rPr>
            </w:pPr>
            <w:proofErr w:type="spellStart"/>
            <w:r w:rsidRPr="005C43B8">
              <w:rPr>
                <w:rFonts w:ascii="Times New Roman" w:eastAsia="Times New Roman" w:hAnsi="Times New Roman" w:cs="Times New Roman"/>
              </w:rPr>
              <w:t>Tmax</w:t>
            </w:r>
            <w:proofErr w:type="spellEnd"/>
            <w:r w:rsidRPr="005C43B8">
              <w:rPr>
                <w:rFonts w:ascii="Times New Roman" w:eastAsia="Times New Roman" w:hAnsi="Times New Roman" w:cs="Times New Roman"/>
              </w:rPr>
              <w:t xml:space="preserve"> (h)</w:t>
            </w:r>
          </w:p>
        </w:tc>
        <w:tc>
          <w:tcPr>
            <w:tcW w:w="2478" w:type="dxa"/>
            <w:gridSpan w:val="3"/>
          </w:tcPr>
          <w:p w14:paraId="01B9B614" w14:textId="77777777" w:rsidR="00E6622B" w:rsidRDefault="00E6622B" w:rsidP="0054375A">
            <w:pPr>
              <w:spacing w:line="256" w:lineRule="auto"/>
              <w:jc w:val="center"/>
              <w:rPr>
                <w:rFonts w:ascii="Times New Roman" w:eastAsia="Times New Roman" w:hAnsi="Times New Roman" w:cs="Times New Roman"/>
              </w:rPr>
            </w:pPr>
          </w:p>
          <w:p w14:paraId="36A9136C" w14:textId="00A980AA"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AUC 0-t (µg-h/mL)</w:t>
            </w:r>
          </w:p>
        </w:tc>
      </w:tr>
      <w:tr w:rsidR="005C43B8" w:rsidRPr="005C43B8" w14:paraId="0B1EB6E2" w14:textId="77777777" w:rsidTr="00E6622B">
        <w:trPr>
          <w:trHeight w:val="768"/>
        </w:trPr>
        <w:tc>
          <w:tcPr>
            <w:tcW w:w="851" w:type="dxa"/>
            <w:vMerge/>
          </w:tcPr>
          <w:p w14:paraId="2DFB231C" w14:textId="77777777" w:rsidR="005C43B8" w:rsidRPr="005C43B8" w:rsidRDefault="005C43B8" w:rsidP="0054375A">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992" w:type="dxa"/>
            <w:vMerge/>
          </w:tcPr>
          <w:p w14:paraId="167EC603" w14:textId="77777777" w:rsidR="005C43B8" w:rsidRPr="005C43B8" w:rsidRDefault="005C43B8" w:rsidP="0054375A">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097" w:type="dxa"/>
          </w:tcPr>
          <w:p w14:paraId="187F169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Mean</w:t>
            </w:r>
          </w:p>
          <w:p w14:paraId="5E926CDB"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(CV %)</w:t>
            </w:r>
          </w:p>
          <w:p w14:paraId="3266EAC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31495FE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Min-</w:t>
            </w:r>
          </w:p>
          <w:p w14:paraId="66F1270A"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Max</w:t>
            </w:r>
          </w:p>
          <w:p w14:paraId="4C7389B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80" w:type="dxa"/>
          </w:tcPr>
          <w:p w14:paraId="07771E9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90 % Cl</w:t>
            </w:r>
          </w:p>
          <w:p w14:paraId="7FDCD93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27" w:type="dxa"/>
          </w:tcPr>
          <w:p w14:paraId="5686482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Mean</w:t>
            </w:r>
          </w:p>
          <w:p w14:paraId="788B0876"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(CV %)</w:t>
            </w:r>
          </w:p>
          <w:p w14:paraId="08D0803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98" w:type="dxa"/>
          </w:tcPr>
          <w:p w14:paraId="41D3A6C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Min-</w:t>
            </w:r>
          </w:p>
          <w:p w14:paraId="6FB30B1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Max</w:t>
            </w:r>
          </w:p>
          <w:p w14:paraId="42BD84E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35" w:type="dxa"/>
          </w:tcPr>
          <w:p w14:paraId="7B9FEB5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90 % Cl</w:t>
            </w:r>
          </w:p>
          <w:p w14:paraId="4113E0D0"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32A46999"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Mean</w:t>
            </w:r>
          </w:p>
          <w:p w14:paraId="6873EAD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(CV %)</w:t>
            </w:r>
          </w:p>
          <w:p w14:paraId="42055F9F"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633239F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Min-</w:t>
            </w:r>
          </w:p>
          <w:p w14:paraId="18E6A57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Max</w:t>
            </w:r>
          </w:p>
          <w:p w14:paraId="63661C1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98" w:type="dxa"/>
          </w:tcPr>
          <w:p w14:paraId="5F51A7F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90 % Cl</w:t>
            </w:r>
          </w:p>
          <w:p w14:paraId="5AA51B8C"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r>
      <w:tr w:rsidR="005C43B8" w:rsidRPr="005C43B8" w14:paraId="00C76162" w14:textId="77777777" w:rsidTr="005C43B8">
        <w:trPr>
          <w:trHeight w:val="1100"/>
        </w:trPr>
        <w:tc>
          <w:tcPr>
            <w:tcW w:w="851" w:type="dxa"/>
          </w:tcPr>
          <w:p w14:paraId="345ABA9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10-12</w:t>
            </w:r>
          </w:p>
        </w:tc>
        <w:tc>
          <w:tcPr>
            <w:tcW w:w="992" w:type="dxa"/>
          </w:tcPr>
          <w:p w14:paraId="17B51F6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Healthy</w:t>
            </w:r>
          </w:p>
        </w:tc>
        <w:tc>
          <w:tcPr>
            <w:tcW w:w="1097" w:type="dxa"/>
          </w:tcPr>
          <w:p w14:paraId="1A837A02"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0.076 (18)</w:t>
            </w:r>
          </w:p>
        </w:tc>
        <w:tc>
          <w:tcPr>
            <w:tcW w:w="840" w:type="dxa"/>
          </w:tcPr>
          <w:p w14:paraId="40EC574C"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0.050-0.12</w:t>
            </w:r>
          </w:p>
        </w:tc>
        <w:tc>
          <w:tcPr>
            <w:tcW w:w="780" w:type="dxa"/>
          </w:tcPr>
          <w:p w14:paraId="45DDDDC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0.073-0.077</w:t>
            </w:r>
          </w:p>
        </w:tc>
        <w:tc>
          <w:tcPr>
            <w:tcW w:w="827" w:type="dxa"/>
          </w:tcPr>
          <w:p w14:paraId="6B919C4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25 (14)</w:t>
            </w:r>
          </w:p>
        </w:tc>
        <w:tc>
          <w:tcPr>
            <w:tcW w:w="898" w:type="dxa"/>
          </w:tcPr>
          <w:p w14:paraId="4C24C46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19-38</w:t>
            </w:r>
          </w:p>
        </w:tc>
        <w:tc>
          <w:tcPr>
            <w:tcW w:w="735" w:type="dxa"/>
          </w:tcPr>
          <w:p w14:paraId="398F8C3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24.5-25.6</w:t>
            </w:r>
          </w:p>
        </w:tc>
        <w:tc>
          <w:tcPr>
            <w:tcW w:w="840" w:type="dxa"/>
          </w:tcPr>
          <w:p w14:paraId="530404C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11.55 (32)</w:t>
            </w:r>
          </w:p>
        </w:tc>
        <w:tc>
          <w:tcPr>
            <w:tcW w:w="840" w:type="dxa"/>
          </w:tcPr>
          <w:p w14:paraId="5C3859D3"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4.90-23.0</w:t>
            </w:r>
          </w:p>
        </w:tc>
        <w:tc>
          <w:tcPr>
            <w:tcW w:w="798" w:type="dxa"/>
          </w:tcPr>
          <w:p w14:paraId="78DAE670"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11.09-12.20</w:t>
            </w:r>
          </w:p>
        </w:tc>
      </w:tr>
      <w:tr w:rsidR="005C43B8" w:rsidRPr="005C43B8" w14:paraId="310DC6FD" w14:textId="77777777" w:rsidTr="005C43B8">
        <w:trPr>
          <w:trHeight w:val="1295"/>
        </w:trPr>
        <w:tc>
          <w:tcPr>
            <w:tcW w:w="851" w:type="dxa"/>
          </w:tcPr>
          <w:p w14:paraId="7BEFA87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10-12</w:t>
            </w:r>
          </w:p>
        </w:tc>
        <w:tc>
          <w:tcPr>
            <w:tcW w:w="992" w:type="dxa"/>
          </w:tcPr>
          <w:p w14:paraId="341EE27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Obese</w:t>
            </w:r>
          </w:p>
        </w:tc>
        <w:tc>
          <w:tcPr>
            <w:tcW w:w="1097" w:type="dxa"/>
          </w:tcPr>
          <w:p w14:paraId="4A90B424" w14:textId="77777777" w:rsid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0.041</w:t>
            </w:r>
          </w:p>
          <w:p w14:paraId="1FE25FDF" w14:textId="134EA15A"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(11)</w:t>
            </w:r>
          </w:p>
        </w:tc>
        <w:tc>
          <w:tcPr>
            <w:tcW w:w="840" w:type="dxa"/>
          </w:tcPr>
          <w:p w14:paraId="4A84BEC9"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0.031-0.053</w:t>
            </w:r>
          </w:p>
        </w:tc>
        <w:tc>
          <w:tcPr>
            <w:tcW w:w="780" w:type="dxa"/>
          </w:tcPr>
          <w:p w14:paraId="6197F78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0.041-0.042</w:t>
            </w:r>
          </w:p>
        </w:tc>
        <w:tc>
          <w:tcPr>
            <w:tcW w:w="827" w:type="dxa"/>
          </w:tcPr>
          <w:p w14:paraId="1DFF5C4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31.3 (13)</w:t>
            </w:r>
          </w:p>
        </w:tc>
        <w:tc>
          <w:tcPr>
            <w:tcW w:w="898" w:type="dxa"/>
          </w:tcPr>
          <w:p w14:paraId="68838A52"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24-43</w:t>
            </w:r>
          </w:p>
        </w:tc>
        <w:tc>
          <w:tcPr>
            <w:tcW w:w="735" w:type="dxa"/>
          </w:tcPr>
          <w:p w14:paraId="195E620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30.6-32</w:t>
            </w:r>
          </w:p>
        </w:tc>
        <w:tc>
          <w:tcPr>
            <w:tcW w:w="840" w:type="dxa"/>
          </w:tcPr>
          <w:p w14:paraId="54E3722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11.6 (29)</w:t>
            </w:r>
          </w:p>
        </w:tc>
        <w:tc>
          <w:tcPr>
            <w:tcW w:w="840" w:type="dxa"/>
          </w:tcPr>
          <w:p w14:paraId="349ED9D9"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6.7-18.9</w:t>
            </w:r>
          </w:p>
        </w:tc>
        <w:tc>
          <w:tcPr>
            <w:tcW w:w="798" w:type="dxa"/>
          </w:tcPr>
          <w:p w14:paraId="4D181C9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10.06-11.14</w:t>
            </w:r>
          </w:p>
        </w:tc>
      </w:tr>
      <w:tr w:rsidR="005C43B8" w:rsidRPr="005C43B8" w14:paraId="11C52302" w14:textId="77777777" w:rsidTr="005C43B8">
        <w:trPr>
          <w:trHeight w:val="1370"/>
        </w:trPr>
        <w:tc>
          <w:tcPr>
            <w:tcW w:w="851" w:type="dxa"/>
          </w:tcPr>
          <w:p w14:paraId="7897B49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13-14</w:t>
            </w:r>
          </w:p>
        </w:tc>
        <w:tc>
          <w:tcPr>
            <w:tcW w:w="992" w:type="dxa"/>
          </w:tcPr>
          <w:p w14:paraId="6EF81F81"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Healthy</w:t>
            </w:r>
          </w:p>
        </w:tc>
        <w:tc>
          <w:tcPr>
            <w:tcW w:w="1097" w:type="dxa"/>
          </w:tcPr>
          <w:p w14:paraId="3FDD947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0.085 (10)</w:t>
            </w:r>
          </w:p>
          <w:p w14:paraId="32959C22"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3093845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0.063-0.11</w:t>
            </w:r>
          </w:p>
          <w:p w14:paraId="2648DC1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80" w:type="dxa"/>
          </w:tcPr>
          <w:p w14:paraId="54303A11"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0.084-0.086</w:t>
            </w:r>
          </w:p>
          <w:p w14:paraId="5930849A"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27" w:type="dxa"/>
          </w:tcPr>
          <w:p w14:paraId="355BED66"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25 (13)</w:t>
            </w:r>
          </w:p>
          <w:p w14:paraId="22AF39A6"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98" w:type="dxa"/>
          </w:tcPr>
          <w:p w14:paraId="374355B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17.4-33.4</w:t>
            </w:r>
          </w:p>
          <w:p w14:paraId="2D3D3BF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35" w:type="dxa"/>
          </w:tcPr>
          <w:p w14:paraId="2131E8F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25-26</w:t>
            </w:r>
          </w:p>
          <w:p w14:paraId="12C41A9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083CBCD2"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11.97 (29)</w:t>
            </w:r>
          </w:p>
          <w:p w14:paraId="1D246CFA"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19757E80"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5.26-21.22</w:t>
            </w:r>
          </w:p>
          <w:p w14:paraId="4B82B982"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98" w:type="dxa"/>
          </w:tcPr>
          <w:p w14:paraId="7113953A"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11.4-12.5</w:t>
            </w:r>
          </w:p>
          <w:p w14:paraId="1750CC9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r>
      <w:tr w:rsidR="005C43B8" w:rsidRPr="005C43B8" w14:paraId="6B058A7C" w14:textId="77777777" w:rsidTr="005C43B8">
        <w:trPr>
          <w:trHeight w:val="1280"/>
        </w:trPr>
        <w:tc>
          <w:tcPr>
            <w:tcW w:w="851" w:type="dxa"/>
          </w:tcPr>
          <w:p w14:paraId="52DCC40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13-14</w:t>
            </w:r>
          </w:p>
        </w:tc>
        <w:tc>
          <w:tcPr>
            <w:tcW w:w="992" w:type="dxa"/>
          </w:tcPr>
          <w:p w14:paraId="7A58A172"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Obese</w:t>
            </w:r>
          </w:p>
        </w:tc>
        <w:tc>
          <w:tcPr>
            <w:tcW w:w="1097" w:type="dxa"/>
          </w:tcPr>
          <w:p w14:paraId="35368402"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0.036 (12)</w:t>
            </w:r>
          </w:p>
          <w:p w14:paraId="0773024B"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622BA83F"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0.028-0.048</w:t>
            </w:r>
          </w:p>
          <w:p w14:paraId="3FE27126"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80" w:type="dxa"/>
          </w:tcPr>
          <w:p w14:paraId="6D1B86BC"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0.036-0.037</w:t>
            </w:r>
          </w:p>
          <w:p w14:paraId="540CC28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27" w:type="dxa"/>
          </w:tcPr>
          <w:p w14:paraId="088F5BA2"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33 (11.6)</w:t>
            </w:r>
          </w:p>
          <w:p w14:paraId="7EBB1E3B"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98" w:type="dxa"/>
          </w:tcPr>
          <w:p w14:paraId="6B83A91A"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25-42</w:t>
            </w:r>
          </w:p>
          <w:p w14:paraId="34FB4B66"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35" w:type="dxa"/>
          </w:tcPr>
          <w:p w14:paraId="278852C3"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32-33</w:t>
            </w:r>
          </w:p>
          <w:p w14:paraId="33DBB9FD"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0F7AECC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10.74 (22.4)</w:t>
            </w:r>
          </w:p>
          <w:p w14:paraId="79D9C41C"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32456D1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6.0-20.4</w:t>
            </w:r>
          </w:p>
          <w:p w14:paraId="2C77F6FC"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98" w:type="dxa"/>
          </w:tcPr>
          <w:p w14:paraId="114AE84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10.3-11.1</w:t>
            </w:r>
          </w:p>
          <w:p w14:paraId="01BDD79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r>
      <w:tr w:rsidR="005C43B8" w:rsidRPr="005C43B8" w14:paraId="17EC6747" w14:textId="77777777" w:rsidTr="005C43B8">
        <w:trPr>
          <w:trHeight w:val="1280"/>
        </w:trPr>
        <w:tc>
          <w:tcPr>
            <w:tcW w:w="851" w:type="dxa"/>
          </w:tcPr>
          <w:p w14:paraId="4E9E98D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15-17</w:t>
            </w:r>
          </w:p>
        </w:tc>
        <w:tc>
          <w:tcPr>
            <w:tcW w:w="992" w:type="dxa"/>
          </w:tcPr>
          <w:p w14:paraId="3559EF6F"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Healthy</w:t>
            </w:r>
          </w:p>
        </w:tc>
        <w:tc>
          <w:tcPr>
            <w:tcW w:w="1097" w:type="dxa"/>
          </w:tcPr>
          <w:p w14:paraId="564336CF"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0.043 (12)</w:t>
            </w:r>
          </w:p>
          <w:p w14:paraId="6B9A99F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25114863"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0.032-0.058</w:t>
            </w:r>
          </w:p>
          <w:p w14:paraId="2312C586"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80" w:type="dxa"/>
          </w:tcPr>
          <w:p w14:paraId="22306B11"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0.042-0.044</w:t>
            </w:r>
          </w:p>
          <w:p w14:paraId="3688264C"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27" w:type="dxa"/>
          </w:tcPr>
          <w:p w14:paraId="2031F12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30 (13)</w:t>
            </w:r>
          </w:p>
          <w:p w14:paraId="36FD19D8"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98" w:type="dxa"/>
          </w:tcPr>
          <w:p w14:paraId="26D5418C"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23.3-43.8</w:t>
            </w:r>
          </w:p>
          <w:p w14:paraId="5E4055AC"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35" w:type="dxa"/>
          </w:tcPr>
          <w:p w14:paraId="6523A211"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30-31</w:t>
            </w:r>
          </w:p>
          <w:p w14:paraId="230D4650"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4F4F2043"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10.54 (28)</w:t>
            </w:r>
          </w:p>
          <w:p w14:paraId="299582D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67C8ECB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5.7-20.0</w:t>
            </w:r>
          </w:p>
          <w:p w14:paraId="222DD8F6"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98" w:type="dxa"/>
          </w:tcPr>
          <w:p w14:paraId="53E91CD9"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10.0-11.0</w:t>
            </w:r>
          </w:p>
          <w:p w14:paraId="3104959D"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r>
      <w:tr w:rsidR="005C43B8" w:rsidRPr="005C43B8" w14:paraId="59DD1FC1" w14:textId="77777777" w:rsidTr="005C43B8">
        <w:trPr>
          <w:trHeight w:val="1385"/>
        </w:trPr>
        <w:tc>
          <w:tcPr>
            <w:tcW w:w="851" w:type="dxa"/>
          </w:tcPr>
          <w:p w14:paraId="6342CDF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15-17</w:t>
            </w:r>
          </w:p>
        </w:tc>
        <w:tc>
          <w:tcPr>
            <w:tcW w:w="992" w:type="dxa"/>
          </w:tcPr>
          <w:p w14:paraId="14E40E91"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Obese</w:t>
            </w:r>
          </w:p>
        </w:tc>
        <w:tc>
          <w:tcPr>
            <w:tcW w:w="1097" w:type="dxa"/>
          </w:tcPr>
          <w:p w14:paraId="0C0F8CFF"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0.029 (12)</w:t>
            </w:r>
          </w:p>
          <w:p w14:paraId="4BA0CE9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7321E99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0.022-0.037</w:t>
            </w:r>
          </w:p>
          <w:p w14:paraId="770B4049"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80" w:type="dxa"/>
          </w:tcPr>
          <w:p w14:paraId="05AE293C"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0.029-0.030</w:t>
            </w:r>
          </w:p>
          <w:p w14:paraId="057087E4"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27" w:type="dxa"/>
          </w:tcPr>
          <w:p w14:paraId="4919E5EF"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35 (13)</w:t>
            </w:r>
          </w:p>
          <w:p w14:paraId="0196CCD5"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98" w:type="dxa"/>
          </w:tcPr>
          <w:p w14:paraId="113CB40A"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25.6-45</w:t>
            </w:r>
          </w:p>
          <w:p w14:paraId="60D3A100"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35" w:type="dxa"/>
          </w:tcPr>
          <w:p w14:paraId="31D45946"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34-35</w:t>
            </w:r>
          </w:p>
          <w:p w14:paraId="3A71B38A"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37017832"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9.96 (21)</w:t>
            </w:r>
          </w:p>
          <w:p w14:paraId="4E6CDF72"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840" w:type="dxa"/>
          </w:tcPr>
          <w:p w14:paraId="41C4E49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5.25-16.02</w:t>
            </w:r>
          </w:p>
          <w:p w14:paraId="398350D3"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c>
          <w:tcPr>
            <w:tcW w:w="798" w:type="dxa"/>
          </w:tcPr>
          <w:p w14:paraId="7DC076CE"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9.38-10.10</w:t>
            </w:r>
          </w:p>
          <w:p w14:paraId="5B9AB9F7" w14:textId="77777777" w:rsidR="005C43B8" w:rsidRPr="005C43B8" w:rsidRDefault="005C43B8" w:rsidP="0054375A">
            <w:pPr>
              <w:spacing w:line="256" w:lineRule="auto"/>
              <w:jc w:val="center"/>
              <w:rPr>
                <w:rFonts w:ascii="Times New Roman" w:eastAsia="Times New Roman" w:hAnsi="Times New Roman" w:cs="Times New Roman"/>
              </w:rPr>
            </w:pPr>
            <w:r w:rsidRPr="005C43B8">
              <w:rPr>
                <w:rFonts w:ascii="Times New Roman" w:eastAsia="Times New Roman" w:hAnsi="Times New Roman" w:cs="Times New Roman"/>
              </w:rPr>
              <w:t xml:space="preserve"> </w:t>
            </w:r>
          </w:p>
        </w:tc>
      </w:tr>
    </w:tbl>
    <w:p w14:paraId="3D94C1EC" w14:textId="77777777" w:rsidR="00BC4B34" w:rsidRDefault="00BC4B34" w:rsidP="00BC4B34">
      <w:pPr>
        <w:spacing w:after="0" w:line="360" w:lineRule="auto"/>
        <w:ind w:left="720"/>
        <w:jc w:val="both"/>
        <w:rPr>
          <w:rFonts w:ascii="Times New Roman" w:eastAsia="Times New Roman" w:hAnsi="Times New Roman" w:cs="Times New Roman"/>
          <w:color w:val="212121"/>
          <w:sz w:val="24"/>
          <w:szCs w:val="24"/>
          <w:highlight w:val="white"/>
        </w:rPr>
      </w:pPr>
    </w:p>
    <w:p w14:paraId="2600EDFB" w14:textId="77777777" w:rsidR="00EA6F24" w:rsidRDefault="00EA6F24">
      <w:pPr>
        <w:spacing w:after="0" w:line="360" w:lineRule="auto"/>
        <w:ind w:left="720"/>
        <w:jc w:val="both"/>
        <w:rPr>
          <w:rFonts w:ascii="Times New Roman" w:eastAsia="Times New Roman" w:hAnsi="Times New Roman" w:cs="Times New Roman"/>
          <w:color w:val="212121"/>
          <w:sz w:val="24"/>
          <w:szCs w:val="24"/>
          <w:highlight w:val="white"/>
        </w:rPr>
      </w:pPr>
    </w:p>
    <w:p w14:paraId="0CB678F3" w14:textId="77777777" w:rsidR="00EA6F24" w:rsidRDefault="00EA6F24">
      <w:pPr>
        <w:spacing w:line="360" w:lineRule="auto"/>
        <w:jc w:val="both"/>
        <w:rPr>
          <w:rFonts w:ascii="Times New Roman" w:eastAsia="Times New Roman" w:hAnsi="Times New Roman" w:cs="Times New Roman"/>
          <w:sz w:val="24"/>
          <w:szCs w:val="24"/>
          <w:highlight w:val="white"/>
        </w:rPr>
      </w:pPr>
    </w:p>
    <w:p w14:paraId="4E416171" w14:textId="7D3A2AEE" w:rsidR="00BF2088" w:rsidRDefault="00BF2088" w:rsidP="00BF2088">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Figure 1. </w:t>
      </w:r>
      <w:r>
        <w:rPr>
          <w:rFonts w:ascii="Times New Roman" w:eastAsia="Times New Roman" w:hAnsi="Times New Roman" w:cs="Times New Roman"/>
          <w:sz w:val="24"/>
          <w:szCs w:val="24"/>
        </w:rPr>
        <w:t xml:space="preserve">Adult and pediatric modeling workflow. IV: intravenous, SC: subcutaneous, </w:t>
      </w:r>
      <w:proofErr w:type="spellStart"/>
      <w:r>
        <w:rPr>
          <w:rFonts w:ascii="Times New Roman" w:eastAsia="Times New Roman" w:hAnsi="Times New Roman" w:cs="Times New Roman"/>
          <w:sz w:val="24"/>
          <w:szCs w:val="24"/>
        </w:rPr>
        <w:t>sATBF</w:t>
      </w:r>
      <w:proofErr w:type="spellEnd"/>
      <w:r>
        <w:rPr>
          <w:rFonts w:ascii="Times New Roman" w:eastAsia="Times New Roman" w:hAnsi="Times New Roman" w:cs="Times New Roman"/>
          <w:sz w:val="24"/>
          <w:szCs w:val="24"/>
        </w:rPr>
        <w:t xml:space="preserve">: SC adipose tissue blood flow, </w:t>
      </w:r>
      <w:proofErr w:type="spellStart"/>
      <w:r>
        <w:rPr>
          <w:rFonts w:ascii="Times New Roman" w:eastAsia="Times New Roman" w:hAnsi="Times New Roman" w:cs="Times New Roman"/>
          <w:sz w:val="24"/>
          <w:szCs w:val="24"/>
        </w:rPr>
        <w:t>Kp</w:t>
      </w:r>
      <w:proofErr w:type="spellEnd"/>
      <w:r>
        <w:rPr>
          <w:rFonts w:ascii="Times New Roman" w:eastAsia="Times New Roman" w:hAnsi="Times New Roman" w:cs="Times New Roman"/>
          <w:sz w:val="24"/>
          <w:szCs w:val="24"/>
        </w:rPr>
        <w:t>: partition coefficient of adipose tissue.</w:t>
      </w:r>
    </w:p>
    <w:p w14:paraId="5088F2D0" w14:textId="77777777" w:rsidR="00BF2088" w:rsidRDefault="00BF2088" w:rsidP="00BF2088">
      <w:pPr>
        <w:spacing w:before="340" w:line="360" w:lineRule="auto"/>
        <w:jc w:val="both"/>
      </w:pPr>
      <w:r>
        <w:rPr>
          <w:rFonts w:ascii="Times New Roman" w:eastAsia="Times New Roman" w:hAnsi="Times New Roman" w:cs="Times New Roman"/>
          <w:b/>
          <w:sz w:val="24"/>
          <w:szCs w:val="24"/>
        </w:rPr>
        <w:t xml:space="preserve">Figure 2. </w:t>
      </w:r>
      <w:r>
        <w:rPr>
          <w:rFonts w:ascii="Times New Roman" w:eastAsia="Times New Roman" w:hAnsi="Times New Roman" w:cs="Times New Roman"/>
          <w:sz w:val="24"/>
          <w:szCs w:val="24"/>
        </w:rPr>
        <w:t xml:space="preserve">Comparison of predicted (continuous line) and observed (circles) plasma concentration-time profiles of a single intravenous (bolus) dose of 0.25 mg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in healthy adult men.</w:t>
      </w:r>
    </w:p>
    <w:p w14:paraId="3B8DF8A7" w14:textId="66895457" w:rsidR="00BF2088" w:rsidRDefault="00BF2088" w:rsidP="00BF2088">
      <w:pPr>
        <w:spacing w:before="240" w:after="240" w:line="360" w:lineRule="auto"/>
        <w:jc w:val="both"/>
        <w:rPr>
          <w:rFonts w:ascii="Times New Roman" w:eastAsia="Times New Roman" w:hAnsi="Times New Roman" w:cs="Times New Roman"/>
          <w:sz w:val="24"/>
          <w:szCs w:val="24"/>
        </w:rPr>
      </w:pPr>
      <w:r w:rsidRPr="00BF2088">
        <w:rPr>
          <w:rFonts w:ascii="Times New Roman" w:eastAsia="Times New Roman" w:hAnsi="Times New Roman" w:cs="Times New Roman"/>
          <w:b/>
          <w:bCs/>
          <w:sz w:val="24"/>
          <w:szCs w:val="24"/>
        </w:rPr>
        <w:t>Figure 3</w:t>
      </w:r>
      <w:r w:rsidRPr="00BF2088">
        <w:rPr>
          <w:rFonts w:ascii="Times New Roman" w:eastAsia="Times New Roman" w:hAnsi="Times New Roman" w:cs="Times New Roman"/>
          <w:sz w:val="24"/>
          <w:szCs w:val="24"/>
        </w:rPr>
        <w:t>. Tridimensional Parameter Sensitivity Analysis (PSA) of the effect of subcutaneous adipose tissue blood flow (</w:t>
      </w:r>
      <w:proofErr w:type="spellStart"/>
      <w:r w:rsidRPr="00BF2088">
        <w:rPr>
          <w:rFonts w:ascii="Times New Roman" w:eastAsia="Times New Roman" w:hAnsi="Times New Roman" w:cs="Times New Roman"/>
          <w:sz w:val="24"/>
          <w:szCs w:val="24"/>
        </w:rPr>
        <w:t>sATBF</w:t>
      </w:r>
      <w:proofErr w:type="spellEnd"/>
      <w:r w:rsidRPr="00BF2088">
        <w:rPr>
          <w:rFonts w:ascii="Times New Roman" w:eastAsia="Times New Roman" w:hAnsi="Times New Roman" w:cs="Times New Roman"/>
          <w:sz w:val="24"/>
          <w:szCs w:val="24"/>
        </w:rPr>
        <w:t>) and partition coefficient of adipose tissue (</w:t>
      </w:r>
      <w:proofErr w:type="spellStart"/>
      <w:r w:rsidRPr="00BF2088">
        <w:rPr>
          <w:rFonts w:ascii="Times New Roman" w:eastAsia="Times New Roman" w:hAnsi="Times New Roman" w:cs="Times New Roman"/>
          <w:sz w:val="24"/>
          <w:szCs w:val="24"/>
        </w:rPr>
        <w:t>Kp</w:t>
      </w:r>
      <w:proofErr w:type="spellEnd"/>
      <w:r w:rsidRPr="00BF2088">
        <w:rPr>
          <w:rFonts w:ascii="Times New Roman" w:eastAsia="Times New Roman" w:hAnsi="Times New Roman" w:cs="Times New Roman"/>
          <w:sz w:val="24"/>
          <w:szCs w:val="24"/>
        </w:rPr>
        <w:t xml:space="preserve">) on </w:t>
      </w:r>
      <w:proofErr w:type="spellStart"/>
      <w:r w:rsidRPr="00BF2088">
        <w:rPr>
          <w:rFonts w:ascii="Times New Roman" w:eastAsia="Times New Roman" w:hAnsi="Times New Roman" w:cs="Times New Roman"/>
          <w:sz w:val="24"/>
          <w:szCs w:val="24"/>
        </w:rPr>
        <w:t>Tmax</w:t>
      </w:r>
      <w:proofErr w:type="spellEnd"/>
      <w:r w:rsidRPr="00BF2088">
        <w:rPr>
          <w:rFonts w:ascii="Times New Roman" w:eastAsia="Times New Roman" w:hAnsi="Times New Roman" w:cs="Times New Roman"/>
          <w:sz w:val="24"/>
          <w:szCs w:val="24"/>
        </w:rPr>
        <w:t xml:space="preserve"> values.</w:t>
      </w:r>
    </w:p>
    <w:p w14:paraId="3245D6CA" w14:textId="76904775" w:rsidR="00BF2088" w:rsidRPr="00BF2088" w:rsidRDefault="00BF2088" w:rsidP="00BF2088">
      <w:pPr>
        <w:spacing w:line="360" w:lineRule="auto"/>
        <w:jc w:val="both"/>
        <w:rPr>
          <w:rFonts w:ascii="Times New Roman" w:eastAsia="Times New Roman" w:hAnsi="Times New Roman" w:cs="Times New Roman"/>
          <w:sz w:val="24"/>
          <w:szCs w:val="24"/>
        </w:rPr>
      </w:pPr>
      <w:r w:rsidRPr="00BF2088">
        <w:rPr>
          <w:rFonts w:ascii="Times New Roman" w:eastAsia="Times New Roman" w:hAnsi="Times New Roman" w:cs="Times New Roman"/>
          <w:b/>
          <w:bCs/>
          <w:sz w:val="24"/>
          <w:szCs w:val="24"/>
        </w:rPr>
        <w:t>Figure 4</w:t>
      </w:r>
      <w:r w:rsidRPr="00BF2088">
        <w:rPr>
          <w:rFonts w:ascii="Times New Roman" w:eastAsia="Times New Roman" w:hAnsi="Times New Roman" w:cs="Times New Roman"/>
          <w:sz w:val="24"/>
          <w:szCs w:val="24"/>
        </w:rPr>
        <w:t xml:space="preserve">. Comparison of predicted (continuous line) and observed (circles) plasma concentration-time profiles of a single dose SC injection of 0.5 mg </w:t>
      </w:r>
      <w:proofErr w:type="spellStart"/>
      <w:r w:rsidRPr="00BF2088">
        <w:rPr>
          <w:rFonts w:ascii="Times New Roman" w:eastAsia="Times New Roman" w:hAnsi="Times New Roman" w:cs="Times New Roman"/>
          <w:sz w:val="24"/>
          <w:szCs w:val="24"/>
        </w:rPr>
        <w:t>semaglutide</w:t>
      </w:r>
      <w:proofErr w:type="spellEnd"/>
      <w:r w:rsidRPr="00BF2088">
        <w:rPr>
          <w:rFonts w:ascii="Times New Roman" w:eastAsia="Times New Roman" w:hAnsi="Times New Roman" w:cs="Times New Roman"/>
          <w:sz w:val="24"/>
          <w:szCs w:val="24"/>
        </w:rPr>
        <w:t>, in healthy adult men. (</w:t>
      </w:r>
      <w:r w:rsidRPr="00BF2088">
        <w:rPr>
          <w:rFonts w:ascii="Times New Roman" w:eastAsia="Times New Roman" w:hAnsi="Times New Roman" w:cs="Times New Roman"/>
          <w:b/>
          <w:bCs/>
          <w:sz w:val="24"/>
          <w:szCs w:val="24"/>
        </w:rPr>
        <w:t>A</w:t>
      </w:r>
      <w:r w:rsidRPr="00BF2088">
        <w:rPr>
          <w:rFonts w:ascii="Times New Roman" w:eastAsia="Times New Roman" w:hAnsi="Times New Roman" w:cs="Times New Roman"/>
          <w:sz w:val="24"/>
          <w:szCs w:val="24"/>
        </w:rPr>
        <w:t>) Simulation using default values for SC adipose tissue blood flow (</w:t>
      </w:r>
      <w:proofErr w:type="spellStart"/>
      <w:r w:rsidRPr="00BF2088">
        <w:rPr>
          <w:rFonts w:ascii="Times New Roman" w:eastAsia="Times New Roman" w:hAnsi="Times New Roman" w:cs="Times New Roman"/>
          <w:sz w:val="24"/>
          <w:szCs w:val="24"/>
        </w:rPr>
        <w:t>sATBF</w:t>
      </w:r>
      <w:proofErr w:type="spellEnd"/>
      <w:r w:rsidRPr="00BF2088">
        <w:rPr>
          <w:rFonts w:ascii="Times New Roman" w:eastAsia="Times New Roman" w:hAnsi="Times New Roman" w:cs="Times New Roman"/>
          <w:sz w:val="24"/>
          <w:szCs w:val="24"/>
        </w:rPr>
        <w:t>) and partition coefficient of adipose tissue, i.e., 3.77 mL/min/100g and 0.06, respectively and (</w:t>
      </w:r>
      <w:r w:rsidRPr="00BF2088">
        <w:rPr>
          <w:rFonts w:ascii="Times New Roman" w:eastAsia="Times New Roman" w:hAnsi="Times New Roman" w:cs="Times New Roman"/>
          <w:b/>
          <w:bCs/>
          <w:sz w:val="24"/>
          <w:szCs w:val="24"/>
        </w:rPr>
        <w:t>B</w:t>
      </w:r>
      <w:r w:rsidRPr="00BF2088">
        <w:rPr>
          <w:rFonts w:ascii="Times New Roman" w:eastAsia="Times New Roman" w:hAnsi="Times New Roman" w:cs="Times New Roman"/>
          <w:sz w:val="24"/>
          <w:szCs w:val="24"/>
        </w:rPr>
        <w:t>) Adjusted conditions, i.e., 0.6 mL/min/100g and 1.76, respectively.</w:t>
      </w:r>
    </w:p>
    <w:p w14:paraId="5F9AC5D4" w14:textId="6D1237BE" w:rsidR="00BF2088" w:rsidRDefault="00BF2088" w:rsidP="00BF2088">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Figure 5. </w:t>
      </w:r>
      <w:r>
        <w:rPr>
          <w:rFonts w:ascii="Times New Roman" w:eastAsia="Times New Roman" w:hAnsi="Times New Roman" w:cs="Times New Roman"/>
          <w:sz w:val="24"/>
          <w:szCs w:val="24"/>
        </w:rPr>
        <w:t>Model performance verification with clinical studies: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xml:space="preserve">) Jensen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2017, (</w:t>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xml:space="preserve">) Marbury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2017 and (</w:t>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NN9535-4010. Simulated (</w:t>
      </w:r>
      <w:r>
        <w:rPr>
          <w:rFonts w:ascii="Times New Roman" w:eastAsia="Times New Roman" w:hAnsi="Times New Roman" w:cs="Times New Roman"/>
          <w:i/>
          <w:sz w:val="24"/>
          <w:szCs w:val="24"/>
        </w:rPr>
        <w:t>black line</w:t>
      </w:r>
      <w:r>
        <w:rPr>
          <w:rFonts w:ascii="Times New Roman" w:eastAsia="Times New Roman" w:hAnsi="Times New Roman" w:cs="Times New Roman"/>
          <w:sz w:val="24"/>
          <w:szCs w:val="24"/>
        </w:rPr>
        <w:t>) and observed data (</w:t>
      </w:r>
      <w:r>
        <w:rPr>
          <w:rFonts w:ascii="Times New Roman" w:eastAsia="Times New Roman" w:hAnsi="Times New Roman" w:cs="Times New Roman"/>
          <w:i/>
          <w:sz w:val="24"/>
          <w:szCs w:val="24"/>
        </w:rPr>
        <w:t>points</w:t>
      </w:r>
      <w:r>
        <w:rPr>
          <w:rFonts w:ascii="Times New Roman" w:eastAsia="Times New Roman" w:hAnsi="Times New Roman" w:cs="Times New Roman"/>
          <w:sz w:val="24"/>
          <w:szCs w:val="24"/>
        </w:rPr>
        <w:t xml:space="preserve">) mean plasma concentration–time profile after a single 0.5 mg SC dose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The predicted plasma concentration time profile is shown as a solid line. The shaded green regions are the 90% model prediction interval.</w:t>
      </w:r>
      <w:r>
        <w:rPr>
          <w:rFonts w:ascii="Times New Roman" w:eastAsia="Times New Roman" w:hAnsi="Times New Roman" w:cs="Times New Roman"/>
          <w:b/>
          <w:sz w:val="24"/>
          <w:szCs w:val="24"/>
        </w:rPr>
        <w:t xml:space="preserve"> </w:t>
      </w:r>
    </w:p>
    <w:p w14:paraId="3E1EDCC0" w14:textId="77777777" w:rsidR="00BF2088" w:rsidRDefault="00BF2088" w:rsidP="00BF2088">
      <w:pPr>
        <w:widowControl w:val="0"/>
        <w:spacing w:line="360" w:lineRule="auto"/>
        <w:jc w:val="both"/>
        <w:rPr>
          <w:rFonts w:ascii="Times New Roman" w:eastAsia="Times New Roman" w:hAnsi="Times New Roman" w:cs="Times New Roman"/>
          <w:sz w:val="24"/>
          <w:szCs w:val="24"/>
        </w:rPr>
        <w:sectPr w:rsidR="00BF2088">
          <w:pgSz w:w="12240" w:h="15840"/>
          <w:pgMar w:top="1417" w:right="1700" w:bottom="1417" w:left="1700" w:header="708" w:footer="708" w:gutter="0"/>
          <w:cols w:space="720"/>
        </w:sectPr>
      </w:pPr>
      <w:r>
        <w:rPr>
          <w:rFonts w:ascii="Times New Roman" w:eastAsia="Times New Roman" w:hAnsi="Times New Roman" w:cs="Times New Roman"/>
          <w:b/>
          <w:sz w:val="24"/>
          <w:szCs w:val="24"/>
        </w:rPr>
        <w:t xml:space="preserve">Figure 6. </w:t>
      </w:r>
      <w:r>
        <w:rPr>
          <w:rFonts w:ascii="Times New Roman" w:eastAsia="Times New Roman" w:hAnsi="Times New Roman" w:cs="Times New Roman"/>
          <w:sz w:val="24"/>
          <w:szCs w:val="24"/>
        </w:rPr>
        <w:t xml:space="preserve">Mean pharmacokinetic parameters and CVs% predicted after a single SC 0.5 mg dose for the virtual pediatric population of 10-12 years old in blue, 13-14 in purple, and 15-17 years old in green. Reference adult values range at 0.5 mg single SC dose, such as 0.028–0.056 µg/mL for </w:t>
      </w:r>
      <w:proofErr w:type="spellStart"/>
      <w:r>
        <w:rPr>
          <w:rFonts w:ascii="Times New Roman" w:eastAsia="Times New Roman" w:hAnsi="Times New Roman" w:cs="Times New Roman"/>
          <w:sz w:val="24"/>
          <w:szCs w:val="24"/>
        </w:rPr>
        <w:t>Cmax</w:t>
      </w:r>
      <w:proofErr w:type="spellEnd"/>
      <w:r>
        <w:rPr>
          <w:rFonts w:ascii="Times New Roman" w:eastAsia="Times New Roman" w:hAnsi="Times New Roman" w:cs="Times New Roman"/>
          <w:sz w:val="24"/>
          <w:szCs w:val="24"/>
        </w:rPr>
        <w:t>, 7.8–17.45 µ</w:t>
      </w:r>
      <w:proofErr w:type="spellStart"/>
      <w:r>
        <w:rPr>
          <w:rFonts w:ascii="Times New Roman" w:eastAsia="Times New Roman" w:hAnsi="Times New Roman" w:cs="Times New Roman"/>
          <w:sz w:val="24"/>
          <w:szCs w:val="24"/>
        </w:rPr>
        <w:t>g.h</w:t>
      </w:r>
      <w:proofErr w:type="spellEnd"/>
      <w:r>
        <w:rPr>
          <w:rFonts w:ascii="Times New Roman" w:eastAsia="Times New Roman" w:hAnsi="Times New Roman" w:cs="Times New Roman"/>
          <w:sz w:val="24"/>
          <w:szCs w:val="24"/>
        </w:rPr>
        <w:t xml:space="preserve">/mL for AUC0–inf, and 24-122h for </w:t>
      </w:r>
      <w:proofErr w:type="spellStart"/>
      <w:r>
        <w:rPr>
          <w:rFonts w:ascii="Times New Roman" w:eastAsia="Times New Roman" w:hAnsi="Times New Roman" w:cs="Times New Roman"/>
          <w:sz w:val="24"/>
          <w:szCs w:val="24"/>
        </w:rPr>
        <w:t>Tmax</w:t>
      </w:r>
      <w:proofErr w:type="spellEnd"/>
      <w:r>
        <w:rPr>
          <w:rFonts w:ascii="Times New Roman" w:eastAsia="Times New Roman" w:hAnsi="Times New Roman" w:cs="Times New Roman"/>
          <w:sz w:val="24"/>
          <w:szCs w:val="24"/>
        </w:rPr>
        <w:t>, are represented as dotted lines.</w:t>
      </w:r>
    </w:p>
    <w:p w14:paraId="49FC4B38" w14:textId="77777777" w:rsidR="00BF2088" w:rsidRDefault="00BF2088" w:rsidP="00BF2088">
      <w:pPr>
        <w:widowControl w:val="0"/>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Figure 7. </w:t>
      </w:r>
      <w:r>
        <w:rPr>
          <w:rFonts w:ascii="Times New Roman" w:eastAsia="Times New Roman" w:hAnsi="Times New Roman" w:cs="Times New Roman"/>
          <w:sz w:val="24"/>
          <w:szCs w:val="24"/>
        </w:rPr>
        <w:t xml:space="preserve">Mean simulated plasma concentrations profiles of </w:t>
      </w:r>
      <w:proofErr w:type="spellStart"/>
      <w:r>
        <w:rPr>
          <w:rFonts w:ascii="Times New Roman" w:eastAsia="Times New Roman" w:hAnsi="Times New Roman" w:cs="Times New Roman"/>
          <w:sz w:val="24"/>
          <w:szCs w:val="24"/>
        </w:rPr>
        <w:t>semaglutide</w:t>
      </w:r>
      <w:proofErr w:type="spellEnd"/>
      <w:r>
        <w:rPr>
          <w:rFonts w:ascii="Times New Roman" w:eastAsia="Times New Roman" w:hAnsi="Times New Roman" w:cs="Times New Roman"/>
          <w:sz w:val="24"/>
          <w:szCs w:val="24"/>
        </w:rPr>
        <w:t xml:space="preserve"> (black line), following an SC injection of a single 0.5 mg dose for (</w:t>
      </w:r>
      <w:r>
        <w:rPr>
          <w:rFonts w:ascii="Times New Roman" w:eastAsia="Times New Roman" w:hAnsi="Times New Roman" w:cs="Times New Roman"/>
          <w:b/>
          <w:sz w:val="24"/>
          <w:szCs w:val="24"/>
        </w:rPr>
        <w:t>A</w:t>
      </w:r>
      <w:r>
        <w:rPr>
          <w:rFonts w:ascii="Times New Roman" w:eastAsia="Times New Roman" w:hAnsi="Times New Roman" w:cs="Times New Roman"/>
          <w:sz w:val="24"/>
          <w:szCs w:val="24"/>
        </w:rPr>
        <w:t>) 10-12, (</w:t>
      </w:r>
      <w:r>
        <w:rPr>
          <w:rFonts w:ascii="Times New Roman" w:eastAsia="Times New Roman" w:hAnsi="Times New Roman" w:cs="Times New Roman"/>
          <w:b/>
          <w:sz w:val="24"/>
          <w:szCs w:val="24"/>
        </w:rPr>
        <w:t>B</w:t>
      </w:r>
      <w:r>
        <w:rPr>
          <w:rFonts w:ascii="Times New Roman" w:eastAsia="Times New Roman" w:hAnsi="Times New Roman" w:cs="Times New Roman"/>
          <w:sz w:val="24"/>
          <w:szCs w:val="24"/>
        </w:rPr>
        <w:t>) 13-14, and (</w:t>
      </w:r>
      <w:r>
        <w:rPr>
          <w:rFonts w:ascii="Times New Roman" w:eastAsia="Times New Roman" w:hAnsi="Times New Roman" w:cs="Times New Roman"/>
          <w:b/>
          <w:sz w:val="24"/>
          <w:szCs w:val="24"/>
        </w:rPr>
        <w:t>C</w:t>
      </w:r>
      <w:r>
        <w:rPr>
          <w:rFonts w:ascii="Times New Roman" w:eastAsia="Times New Roman" w:hAnsi="Times New Roman" w:cs="Times New Roman"/>
          <w:sz w:val="24"/>
          <w:szCs w:val="24"/>
        </w:rPr>
        <w:t>) 15-17 years old pediatric population with normal average body weights (left) and obese body weights (right), and observed experimental data in healthy adults (pink dots). The shaded green regions are the 90% model prediction interval.</w:t>
      </w:r>
    </w:p>
    <w:p w14:paraId="6EF1678F" w14:textId="77777777" w:rsidR="00BF2088" w:rsidRDefault="00BF2088" w:rsidP="00BF2088">
      <w:pPr>
        <w:spacing w:line="360" w:lineRule="auto"/>
        <w:jc w:val="both"/>
        <w:rPr>
          <w:rFonts w:ascii="Times New Roman" w:eastAsia="Times New Roman" w:hAnsi="Times New Roman" w:cs="Times New Roman"/>
          <w:b/>
          <w:sz w:val="24"/>
          <w:szCs w:val="24"/>
        </w:rPr>
      </w:pPr>
    </w:p>
    <w:p w14:paraId="4FA4401D" w14:textId="77777777" w:rsidR="00BF2088" w:rsidRDefault="00BF2088" w:rsidP="00BF2088">
      <w:pPr>
        <w:spacing w:line="240" w:lineRule="auto"/>
        <w:jc w:val="both"/>
        <w:rPr>
          <w:rFonts w:ascii="Times New Roman" w:eastAsia="Times New Roman" w:hAnsi="Times New Roman" w:cs="Times New Roman"/>
          <w:b/>
          <w:sz w:val="24"/>
          <w:szCs w:val="24"/>
        </w:rPr>
      </w:pPr>
    </w:p>
    <w:p w14:paraId="3D75887D" w14:textId="77777777" w:rsidR="00BF2088" w:rsidRDefault="00BF2088" w:rsidP="00BF2088">
      <w:pPr>
        <w:spacing w:before="240" w:after="240" w:line="360" w:lineRule="auto"/>
        <w:jc w:val="both"/>
        <w:rPr>
          <w:rFonts w:ascii="Times New Roman" w:eastAsia="Times New Roman" w:hAnsi="Times New Roman" w:cs="Times New Roman"/>
          <w:sz w:val="24"/>
          <w:szCs w:val="24"/>
        </w:rPr>
      </w:pPr>
    </w:p>
    <w:p w14:paraId="4073F5EA" w14:textId="77777777" w:rsidR="00EA6F24" w:rsidRDefault="00EA6F24">
      <w:pPr>
        <w:jc w:val="center"/>
        <w:rPr>
          <w:rFonts w:ascii="Arial" w:eastAsia="Arial" w:hAnsi="Arial" w:cs="Arial"/>
          <w:b/>
          <w:color w:val="222222"/>
        </w:rPr>
      </w:pPr>
    </w:p>
    <w:sectPr w:rsidR="00EA6F24" w:rsidSect="006B4C13">
      <w:pgSz w:w="12240" w:h="15840"/>
      <w:pgMar w:top="1417" w:right="1700" w:bottom="1417" w:left="1700"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BE4EB" w14:textId="77777777" w:rsidR="008433F0" w:rsidRDefault="003D4D33">
      <w:pPr>
        <w:spacing w:after="0" w:line="240" w:lineRule="auto"/>
      </w:pPr>
      <w:r>
        <w:separator/>
      </w:r>
    </w:p>
  </w:endnote>
  <w:endnote w:type="continuationSeparator" w:id="0">
    <w:p w14:paraId="33F0B4AC" w14:textId="77777777" w:rsidR="008433F0" w:rsidRDefault="003D4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E0AE2" w14:textId="5DA21A3E" w:rsidR="00EA6F24" w:rsidRDefault="00EA6F24"/>
  <w:p w14:paraId="2ED5B54F" w14:textId="77777777" w:rsidR="006B4C13" w:rsidRDefault="006B4C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9D934" w14:textId="77777777" w:rsidR="008433F0" w:rsidRDefault="003D4D33">
      <w:pPr>
        <w:spacing w:after="0" w:line="240" w:lineRule="auto"/>
      </w:pPr>
      <w:r>
        <w:separator/>
      </w:r>
    </w:p>
  </w:footnote>
  <w:footnote w:type="continuationSeparator" w:id="0">
    <w:p w14:paraId="1FE2AD92" w14:textId="77777777" w:rsidR="008433F0" w:rsidRDefault="003D4D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FC4A" w14:textId="77777777" w:rsidR="00EA6F24" w:rsidRDefault="00EA6F24">
    <w:pPr>
      <w:spacing w:line="360" w:lineRule="auto"/>
      <w:jc w:val="both"/>
      <w:rPr>
        <w:rFonts w:ascii="Times New Roman" w:eastAsia="Times New Roman" w:hAnsi="Times New Roman" w:cs="Times New Roman"/>
        <w:sz w:val="24"/>
        <w:szCs w:val="24"/>
      </w:rPr>
    </w:pPr>
  </w:p>
  <w:p w14:paraId="4B058A82" w14:textId="77777777" w:rsidR="00EA6F24" w:rsidRDefault="00EA6F24">
    <w:pPr>
      <w:spacing w:line="360" w:lineRule="auto"/>
      <w:jc w:val="both"/>
      <w:rPr>
        <w:rFonts w:ascii="Times New Roman" w:eastAsia="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C7A5E"/>
    <w:multiLevelType w:val="multilevel"/>
    <w:tmpl w:val="5882FCC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775249B"/>
    <w:multiLevelType w:val="multilevel"/>
    <w:tmpl w:val="064AB70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2D555C2E"/>
    <w:multiLevelType w:val="multilevel"/>
    <w:tmpl w:val="2F7AA7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4B978ED"/>
    <w:multiLevelType w:val="multilevel"/>
    <w:tmpl w:val="CC2E8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A7E5891"/>
    <w:multiLevelType w:val="multilevel"/>
    <w:tmpl w:val="18802B1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 w15:restartNumberingAfterBreak="0">
    <w:nsid w:val="68D2066B"/>
    <w:multiLevelType w:val="multilevel"/>
    <w:tmpl w:val="DB307A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57523458">
    <w:abstractNumId w:val="5"/>
  </w:num>
  <w:num w:numId="2" w16cid:durableId="160125194">
    <w:abstractNumId w:val="2"/>
  </w:num>
  <w:num w:numId="3" w16cid:durableId="717362507">
    <w:abstractNumId w:val="3"/>
  </w:num>
  <w:num w:numId="4" w16cid:durableId="383605872">
    <w:abstractNumId w:val="4"/>
  </w:num>
  <w:num w:numId="5" w16cid:durableId="644892430">
    <w:abstractNumId w:val="1"/>
  </w:num>
  <w:num w:numId="6" w16cid:durableId="921641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F24"/>
    <w:rsid w:val="001B4800"/>
    <w:rsid w:val="001B4AED"/>
    <w:rsid w:val="00360501"/>
    <w:rsid w:val="003D2A18"/>
    <w:rsid w:val="003D4D33"/>
    <w:rsid w:val="00422DE6"/>
    <w:rsid w:val="004F661F"/>
    <w:rsid w:val="005C43B8"/>
    <w:rsid w:val="005D2CA5"/>
    <w:rsid w:val="006B4C13"/>
    <w:rsid w:val="007170B3"/>
    <w:rsid w:val="00723BBE"/>
    <w:rsid w:val="00791BD7"/>
    <w:rsid w:val="008433F0"/>
    <w:rsid w:val="00A643FF"/>
    <w:rsid w:val="00BC4B34"/>
    <w:rsid w:val="00BF2088"/>
    <w:rsid w:val="00D23387"/>
    <w:rsid w:val="00E54839"/>
    <w:rsid w:val="00E6622B"/>
    <w:rsid w:val="00EA6F24"/>
    <w:rsid w:val="00F7434F"/>
    <w:rsid w:val="00FC60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FE5A3"/>
  <w15:docId w15:val="{3F4F03BB-F3E9-4AA4-94BD-129E2FF9A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SombreamentoClaro1">
    <w:name w:val="Sombreamento Claro1"/>
    <w:basedOn w:val="Tabelanormal"/>
    <w:uiPriority w:val="60"/>
    <w:rsid w:val="00DA21F0"/>
    <w:pPr>
      <w:spacing w:after="0" w:line="240" w:lineRule="auto"/>
    </w:pPr>
    <w:rPr>
      <w:color w:val="000000" w:themeColor="text1" w:themeShade="BF"/>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style>
  <w:style w:type="table" w:customStyle="1" w:styleId="SombreamentoClaro2">
    <w:name w:val="Sombreamento Claro2"/>
    <w:basedOn w:val="Tabelanormal"/>
    <w:uiPriority w:val="60"/>
    <w:rsid w:val="00024C9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bealho">
    <w:name w:val="header"/>
    <w:basedOn w:val="Normal"/>
    <w:link w:val="CabealhoChar"/>
    <w:uiPriority w:val="99"/>
    <w:unhideWhenUsed/>
    <w:rsid w:val="001A19B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A19B3"/>
  </w:style>
  <w:style w:type="paragraph" w:styleId="Rodap">
    <w:name w:val="footer"/>
    <w:basedOn w:val="Normal"/>
    <w:link w:val="RodapChar"/>
    <w:uiPriority w:val="99"/>
    <w:unhideWhenUsed/>
    <w:rsid w:val="001A19B3"/>
    <w:pPr>
      <w:tabs>
        <w:tab w:val="center" w:pos="4252"/>
        <w:tab w:val="right" w:pos="8504"/>
      </w:tabs>
      <w:spacing w:after="0" w:line="240" w:lineRule="auto"/>
    </w:pPr>
  </w:style>
  <w:style w:type="character" w:customStyle="1" w:styleId="RodapChar">
    <w:name w:val="Rodapé Char"/>
    <w:basedOn w:val="Fontepargpadro"/>
    <w:link w:val="Rodap"/>
    <w:uiPriority w:val="99"/>
    <w:rsid w:val="001A19B3"/>
  </w:style>
  <w:style w:type="character" w:styleId="Hyperlink">
    <w:name w:val="Hyperlink"/>
    <w:basedOn w:val="Fontepargpadro"/>
    <w:uiPriority w:val="99"/>
    <w:unhideWhenUsed/>
    <w:rsid w:val="000E617A"/>
    <w:rPr>
      <w:color w:val="0000FF"/>
      <w:u w:val="single"/>
    </w:rPr>
  </w:style>
  <w:style w:type="character" w:customStyle="1" w:styleId="MenoPendente1">
    <w:name w:val="Menção Pendente1"/>
    <w:basedOn w:val="Fontepargpadro"/>
    <w:uiPriority w:val="99"/>
    <w:semiHidden/>
    <w:unhideWhenUsed/>
    <w:rsid w:val="000E617A"/>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pPr>
      <w:spacing w:after="0" w:line="240" w:lineRule="auto"/>
    </w:pPr>
    <w:rPr>
      <w:color w:val="000000"/>
    </w:rPr>
    <w:tblPr>
      <w:tblStyleRowBandSize w:val="1"/>
      <w:tblStyleColBandSize w:val="1"/>
      <w:tblCellMar>
        <w:left w:w="108" w:type="dxa"/>
        <w:right w:w="108" w:type="dxa"/>
      </w:tblCellMar>
    </w:tblPr>
    <w:tblStylePr w:type="firstRow">
      <w:pPr>
        <w:spacing w:before="0" w:after="0" w:line="240" w:lineRule="auto"/>
      </w:pPr>
      <w:rPr>
        <w:b/>
      </w:rPr>
    </w:tblStylePr>
    <w:tblStylePr w:type="lastRow">
      <w:pPr>
        <w:spacing w:before="0" w:after="0" w:line="240" w:lineRule="auto"/>
      </w:pPr>
      <w:rPr>
        <w:b/>
      </w:rPr>
    </w:tblStylePr>
    <w:tblStylePr w:type="firstCol">
      <w:rPr>
        <w:b/>
      </w:rPr>
    </w:tblStylePr>
    <w:tblStylePr w:type="lastCol">
      <w:rPr>
        <w:b/>
      </w:rPr>
    </w:tblStylePr>
    <w:tblStylePr w:type="band1Vert">
      <w:tblPr/>
      <w:tcPr>
        <w:shd w:val="clear" w:color="auto" w:fill="C0C0C0"/>
      </w:tcPr>
    </w:tblStylePr>
    <w:tblStylePr w:type="band1Horz">
      <w:tblPr/>
      <w:tcPr>
        <w:shd w:val="clear" w:color="auto" w:fill="C0C0C0"/>
      </w:tcPr>
    </w:tblStylePr>
  </w:style>
  <w:style w:type="table" w:customStyle="1" w:styleId="a0">
    <w:basedOn w:val="TableNormal2"/>
    <w:pPr>
      <w:spacing w:after="0" w:line="240" w:lineRule="auto"/>
    </w:pPr>
    <w:rPr>
      <w:color w:val="000000"/>
    </w:rPr>
    <w:tblPr>
      <w:tblStyleRowBandSize w:val="1"/>
      <w:tblStyleColBandSize w:val="1"/>
      <w:tblCellMar>
        <w:left w:w="108" w:type="dxa"/>
        <w:right w:w="108"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style>
  <w:style w:type="table" w:customStyle="1" w:styleId="a1">
    <w:basedOn w:val="TableNormal2"/>
    <w:pPr>
      <w:spacing w:after="0" w:line="240" w:lineRule="auto"/>
    </w:pPr>
    <w:rPr>
      <w:color w:val="000000"/>
    </w:rPr>
    <w:tblPr>
      <w:tblStyleRowBandSize w:val="1"/>
      <w:tblStyleColBandSize w:val="1"/>
      <w:tblCellMar>
        <w:left w:w="108" w:type="dxa"/>
        <w:right w:w="108"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style>
  <w:style w:type="table" w:customStyle="1" w:styleId="a2">
    <w:basedOn w:val="TableNormal2"/>
    <w:pPr>
      <w:spacing w:after="0" w:line="240" w:lineRule="auto"/>
    </w:pPr>
    <w:rPr>
      <w:color w:val="000000"/>
    </w:rPr>
    <w:tblPr>
      <w:tblStyleRowBandSize w:val="1"/>
      <w:tblStyleColBandSize w:val="1"/>
      <w:tblCellMar>
        <w:left w:w="108" w:type="dxa"/>
        <w:right w:w="108"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style>
  <w:style w:type="table" w:customStyle="1" w:styleId="a3">
    <w:basedOn w:val="TableNormal2"/>
    <w:pPr>
      <w:spacing w:after="0" w:line="240" w:lineRule="auto"/>
    </w:pPr>
    <w:rPr>
      <w:color w:val="000000"/>
    </w:rPr>
    <w:tblPr>
      <w:tblStyleRowBandSize w:val="1"/>
      <w:tblStyleColBandSize w:val="1"/>
      <w:tblCellMar>
        <w:left w:w="108" w:type="dxa"/>
        <w:right w:w="108"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4">
    <w:basedOn w:val="TableNormal2"/>
    <w:pPr>
      <w:spacing w:after="0" w:line="240" w:lineRule="auto"/>
    </w:pPr>
    <w:rPr>
      <w:color w:val="000000"/>
    </w:rPr>
    <w:tblPr>
      <w:tblStyleRowBandSize w:val="1"/>
      <w:tblStyleColBandSize w:val="1"/>
      <w:tblCellMar>
        <w:left w:w="108" w:type="dxa"/>
        <w:right w:w="108"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style>
  <w:style w:type="table" w:customStyle="1" w:styleId="a5">
    <w:basedOn w:val="TableNormal2"/>
    <w:pPr>
      <w:spacing w:after="0" w:line="240" w:lineRule="auto"/>
    </w:pPr>
    <w:rPr>
      <w:color w:val="000000"/>
    </w:rPr>
    <w:tblPr>
      <w:tblStyleRowBandSize w:val="1"/>
      <w:tblStyleColBandSize w:val="1"/>
      <w:tblCellMar>
        <w:left w:w="108" w:type="dxa"/>
        <w:right w:w="108"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6">
    <w:basedOn w:val="TableNormal2"/>
    <w:tblPr>
      <w:tblStyleRowBandSize w:val="1"/>
      <w:tblStyleColBandSize w:val="1"/>
      <w:tblCellMar>
        <w:left w:w="115" w:type="dxa"/>
        <w:right w:w="115" w:type="dxa"/>
      </w:tblCellMar>
    </w:tblPr>
  </w:style>
  <w:style w:type="table" w:customStyle="1" w:styleId="a7">
    <w:basedOn w:val="TableNormal2"/>
    <w:tblPr>
      <w:tblStyleRowBandSize w:val="1"/>
      <w:tblStyleColBandSize w:val="1"/>
      <w:tblCellMar>
        <w:left w:w="115" w:type="dxa"/>
        <w:right w:w="115" w:type="dxa"/>
      </w:tblCellMar>
    </w:tblPr>
  </w:style>
  <w:style w:type="table" w:customStyle="1" w:styleId="a8">
    <w:basedOn w:val="TableNormal2"/>
    <w:tblPr>
      <w:tblStyleRowBandSize w:val="1"/>
      <w:tblStyleColBandSize w:val="1"/>
      <w:tblCellMar>
        <w:top w:w="100" w:type="dxa"/>
        <w:left w:w="100" w:type="dxa"/>
        <w:bottom w:w="100" w:type="dxa"/>
        <w:right w:w="100" w:type="dxa"/>
      </w:tblCellMar>
    </w:tblPr>
  </w:style>
  <w:style w:type="table" w:customStyle="1" w:styleId="a9">
    <w:basedOn w:val="TableNormal2"/>
    <w:tblPr>
      <w:tblStyleRowBandSize w:val="1"/>
      <w:tblStyleColBandSize w:val="1"/>
      <w:tblCellMar>
        <w:top w:w="100" w:type="dxa"/>
        <w:left w:w="100" w:type="dxa"/>
        <w:bottom w:w="100" w:type="dxa"/>
        <w:right w:w="100" w:type="dxa"/>
      </w:tblCellMar>
    </w:tblPr>
  </w:style>
  <w:style w:type="table" w:customStyle="1" w:styleId="aa">
    <w:basedOn w:val="TableNormal2"/>
    <w:pPr>
      <w:spacing w:after="0" w:line="240" w:lineRule="auto"/>
    </w:pPr>
    <w:rPr>
      <w:color w:val="000000"/>
    </w:rPr>
    <w:tblPr>
      <w:tblStyleRowBandSize w:val="1"/>
      <w:tblStyleColBandSize w:val="1"/>
      <w:tblCellMar>
        <w:top w:w="100" w:type="dxa"/>
        <w:left w:w="100" w:type="dxa"/>
        <w:bottom w:w="100" w:type="dxa"/>
        <w:right w:w="100" w:type="dxa"/>
      </w:tblCellMar>
    </w:tblPr>
    <w:tblStylePr w:type="firstRow">
      <w:pPr>
        <w:spacing w:before="0" w:after="0" w:line="240" w:lineRule="auto"/>
      </w:pPr>
      <w:rPr>
        <w:b/>
      </w:rPr>
    </w:tblStylePr>
    <w:tblStylePr w:type="lastRow">
      <w:pPr>
        <w:spacing w:before="0" w:after="0" w:line="240" w:lineRule="auto"/>
      </w:pPr>
      <w:rPr>
        <w:b/>
      </w:rPr>
    </w:tblStylePr>
    <w:tblStylePr w:type="firstCol">
      <w:rPr>
        <w:b/>
      </w:rPr>
    </w:tblStylePr>
    <w:tblStylePr w:type="lastCol">
      <w:rPr>
        <w:b/>
      </w:rPr>
    </w:tblStylePr>
    <w:tblStylePr w:type="band1Vert">
      <w:tblPr/>
      <w:tcPr>
        <w:shd w:val="clear" w:color="auto" w:fill="C0C0C0"/>
      </w:tcPr>
    </w:tblStylePr>
    <w:tblStylePr w:type="band1Horz">
      <w:tblPr/>
      <w:tcPr>
        <w:shd w:val="clear" w:color="auto" w:fill="C0C0C0"/>
      </w:tcPr>
    </w:tblStylePr>
  </w:style>
  <w:style w:type="table" w:customStyle="1" w:styleId="ab">
    <w:basedOn w:val="TableNormal2"/>
    <w:pPr>
      <w:spacing w:after="0" w:line="240" w:lineRule="auto"/>
    </w:pPr>
    <w:rPr>
      <w:color w:val="000000"/>
    </w:rPr>
    <w:tblPr>
      <w:tblStyleRowBandSize w:val="1"/>
      <w:tblStyleColBandSize w:val="1"/>
      <w:tblCellMar>
        <w:top w:w="100" w:type="dxa"/>
        <w:left w:w="100" w:type="dxa"/>
        <w:bottom w:w="100" w:type="dxa"/>
        <w:right w:w="100"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style>
  <w:style w:type="table" w:customStyle="1" w:styleId="ac">
    <w:basedOn w:val="TableNormal2"/>
    <w:pPr>
      <w:spacing w:after="0" w:line="240" w:lineRule="auto"/>
    </w:pPr>
    <w:rPr>
      <w:color w:val="000000"/>
    </w:rPr>
    <w:tblPr>
      <w:tblStyleRowBandSize w:val="1"/>
      <w:tblStyleColBandSize w:val="1"/>
      <w:tblCellMar>
        <w:top w:w="100" w:type="dxa"/>
        <w:left w:w="100" w:type="dxa"/>
        <w:bottom w:w="100" w:type="dxa"/>
        <w:right w:w="100" w:type="dxa"/>
      </w:tblCellMar>
    </w:tblPr>
    <w:tblStylePr w:type="fir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rPr>
      <w:tblPr/>
      <w:tcPr>
        <w:tcBorders>
          <w:top w:val="single" w:sz="8" w:space="0" w:color="000000"/>
          <w:left w:val="nil"/>
          <w:bottom w:val="single" w:sz="8" w:space="0" w:color="000000"/>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C0C0C0"/>
      </w:tcPr>
    </w:tblStylePr>
  </w:style>
  <w:style w:type="table" w:customStyle="1" w:styleId="ad">
    <w:basedOn w:val="TableNormal2"/>
    <w:tblPr>
      <w:tblStyleRowBandSize w:val="1"/>
      <w:tblStyleColBandSize w:val="1"/>
      <w:tblCellMar>
        <w:top w:w="100" w:type="dxa"/>
        <w:left w:w="100" w:type="dxa"/>
        <w:bottom w:w="100" w:type="dxa"/>
        <w:right w:w="100" w:type="dxa"/>
      </w:tblCellMar>
    </w:tblPr>
  </w:style>
  <w:style w:type="character" w:styleId="Nmerodelinha">
    <w:name w:val="line number"/>
    <w:basedOn w:val="Fontepargpadro"/>
    <w:uiPriority w:val="99"/>
    <w:semiHidden/>
    <w:unhideWhenUsed/>
    <w:rsid w:val="00210F34"/>
  </w:style>
  <w:style w:type="table" w:customStyle="1" w:styleId="ae">
    <w:basedOn w:val="TableNormal1"/>
    <w:pPr>
      <w:spacing w:after="0" w:line="240" w:lineRule="auto"/>
    </w:pPr>
    <w:rPr>
      <w:color w:val="000000"/>
    </w:rPr>
    <w:tblPr>
      <w:tblStyleRowBandSize w:val="1"/>
      <w:tblStyleColBandSize w:val="1"/>
      <w:tblCellMar>
        <w:top w:w="100" w:type="dxa"/>
        <w:left w:w="100" w:type="dxa"/>
        <w:bottom w:w="100" w:type="dxa"/>
        <w:right w:w="100" w:type="dxa"/>
      </w:tblCellMar>
    </w:tblPr>
    <w:tblStylePr w:type="firstRow">
      <w:pPr>
        <w:spacing w:before="0" w:after="0" w:line="240" w:lineRule="auto"/>
      </w:pPr>
      <w:rPr>
        <w:b/>
      </w:rPr>
    </w:tblStylePr>
    <w:tblStylePr w:type="lastRow">
      <w:pPr>
        <w:spacing w:before="0" w:after="0" w:line="240" w:lineRule="auto"/>
      </w:pPr>
      <w:rPr>
        <w:b/>
      </w:rPr>
    </w:tblStylePr>
    <w:tblStylePr w:type="firstCol">
      <w:rPr>
        <w:b/>
      </w:rPr>
    </w:tblStylePr>
    <w:tblStylePr w:type="lastCol">
      <w:rPr>
        <w:b/>
      </w:rPr>
    </w:tblStylePr>
    <w:tblStylePr w:type="band1Vert">
      <w:tblPr/>
      <w:tcPr>
        <w:shd w:val="clear" w:color="auto" w:fill="C0C0C0"/>
      </w:tcPr>
    </w:tblStylePr>
    <w:tblStylePr w:type="band1Horz">
      <w:tblPr/>
      <w:tcPr>
        <w:shd w:val="clear" w:color="auto" w:fill="C0C0C0"/>
      </w:tcPr>
    </w:tblStylePr>
  </w:style>
  <w:style w:type="table" w:customStyle="1" w:styleId="af">
    <w:basedOn w:val="TableNormal1"/>
    <w:pPr>
      <w:spacing w:after="0" w:line="240" w:lineRule="auto"/>
    </w:pPr>
    <w:rPr>
      <w:color w:val="000000"/>
    </w:rPr>
    <w:tblPr>
      <w:tblStyleRowBandSize w:val="1"/>
      <w:tblStyleColBandSize w:val="1"/>
      <w:tblCellMar>
        <w:top w:w="100" w:type="dxa"/>
        <w:left w:w="100" w:type="dxa"/>
        <w:bottom w:w="100" w:type="dxa"/>
        <w:right w:w="100" w:type="dxa"/>
      </w:tblCellMar>
    </w:tblPr>
  </w:style>
  <w:style w:type="table" w:customStyle="1" w:styleId="af0">
    <w:basedOn w:val="TableNormal1"/>
    <w:pPr>
      <w:spacing w:after="0" w:line="240" w:lineRule="auto"/>
    </w:pPr>
    <w:rPr>
      <w:color w:val="000000"/>
    </w:rPr>
    <w:tblPr>
      <w:tblStyleRowBandSize w:val="1"/>
      <w:tblStyleColBandSize w:val="1"/>
      <w:tblCellMar>
        <w:top w:w="100" w:type="dxa"/>
        <w:left w:w="100" w:type="dxa"/>
        <w:bottom w:w="100" w:type="dxa"/>
        <w:right w:w="100" w:type="dxa"/>
      </w:tblCellMar>
    </w:tblPr>
    <w:tblStylePr w:type="firstRow">
      <w:pPr>
        <w:spacing w:before="0" w:after="0" w:line="240" w:lineRule="auto"/>
      </w:pPr>
      <w:rPr>
        <w:b/>
      </w:rPr>
    </w:tblStylePr>
    <w:tblStylePr w:type="lastRow">
      <w:pPr>
        <w:spacing w:before="0" w:after="0" w:line="240" w:lineRule="auto"/>
      </w:pPr>
      <w:rPr>
        <w:b/>
      </w:rPr>
    </w:tblStylePr>
    <w:tblStylePr w:type="firstCol">
      <w:rPr>
        <w:b/>
      </w:rPr>
    </w:tblStylePr>
    <w:tblStylePr w:type="lastCol">
      <w:rPr>
        <w:b/>
      </w:rPr>
    </w:tblStylePr>
    <w:tblStylePr w:type="band1Vert">
      <w:tblPr/>
      <w:tcPr>
        <w:shd w:val="clear" w:color="auto" w:fill="C0C0C0"/>
      </w:tcPr>
    </w:tblStylePr>
    <w:tblStylePr w:type="band1Horz">
      <w:tblPr/>
      <w:tcPr>
        <w:shd w:val="clear" w:color="auto" w:fill="C0C0C0"/>
      </w:tcPr>
    </w:tblStyle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character" w:styleId="MenoPendente">
    <w:name w:val="Unresolved Mention"/>
    <w:basedOn w:val="Fontepargpadro"/>
    <w:uiPriority w:val="99"/>
    <w:semiHidden/>
    <w:unhideWhenUsed/>
    <w:rsid w:val="007170B3"/>
    <w:rPr>
      <w:color w:val="605E5C"/>
      <w:shd w:val="clear" w:color="auto" w:fill="E1DFDD"/>
    </w:rPr>
  </w:style>
  <w:style w:type="character" w:styleId="Forte">
    <w:name w:val="Strong"/>
    <w:basedOn w:val="Fontepargpadro"/>
    <w:uiPriority w:val="22"/>
    <w:qFormat/>
    <w:rsid w:val="00BC4B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589061">
      <w:bodyDiv w:val="1"/>
      <w:marLeft w:val="0"/>
      <w:marRight w:val="0"/>
      <w:marTop w:val="0"/>
      <w:marBottom w:val="0"/>
      <w:divBdr>
        <w:top w:val="none" w:sz="0" w:space="0" w:color="auto"/>
        <w:left w:val="none" w:sz="0" w:space="0" w:color="auto"/>
        <w:bottom w:val="none" w:sz="0" w:space="0" w:color="auto"/>
        <w:right w:val="none" w:sz="0" w:space="0" w:color="auto"/>
      </w:divBdr>
    </w:div>
    <w:div w:id="1057706286">
      <w:bodyDiv w:val="1"/>
      <w:marLeft w:val="0"/>
      <w:marRight w:val="0"/>
      <w:marTop w:val="0"/>
      <w:marBottom w:val="0"/>
      <w:divBdr>
        <w:top w:val="none" w:sz="0" w:space="0" w:color="auto"/>
        <w:left w:val="none" w:sz="0" w:space="0" w:color="auto"/>
        <w:bottom w:val="none" w:sz="0" w:space="0" w:color="auto"/>
        <w:right w:val="none" w:sz="0" w:space="0" w:color="auto"/>
      </w:divBdr>
    </w:div>
    <w:div w:id="1375736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arbaraabrahim@pharma.ufrj.br" TargetMode="External"/><Relationship Id="rId13" Type="http://schemas.openxmlformats.org/officeDocument/2006/relationships/hyperlink" Target="https://www.drugbank.ca/drugs/DB1392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rugbank.ca/drugs/DB1392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7/s40272-020-00382-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da.gov/news-events/press-announcements/fda-approves-new-treatment-pediatric-patients-type-2-diabetes" TargetMode="External"/><Relationship Id="rId4" Type="http://schemas.openxmlformats.org/officeDocument/2006/relationships/settings" Target="settings.xml"/><Relationship Id="rId9" Type="http://schemas.openxmlformats.org/officeDocument/2006/relationships/hyperlink" Target="https://clinicaltrials.gov/ct2/show/%20NCT04102189" TargetMode="External"/><Relationship Id="rId14" Type="http://schemas.openxmlformats.org/officeDocument/2006/relationships/hyperlink" Target="https://www.drugbank.ca/drugs/DB1392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KIsYMD7KTurcJoaw1voLxqPITQ==">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35</Pages>
  <Words>9836</Words>
  <Characters>53115</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Thayná</dc:creator>
  <cp:lastModifiedBy>Thayná Rocco Machado</cp:lastModifiedBy>
  <cp:revision>3</cp:revision>
  <dcterms:created xsi:type="dcterms:W3CDTF">2022-12-14T19:18:00Z</dcterms:created>
  <dcterms:modified xsi:type="dcterms:W3CDTF">2022-12-14T19:46:00Z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7dbae311-e24b-30e4-863a-26153690b4c7</vt:lpwstr>
  </property>
  <property fmtid="{D5CDD505-2E9C-101B-9397-08002B2CF9AE}" pid="24" name="Mendeley Citation Style_1">
    <vt:lpwstr>http://www.zotero.org/styles/apa</vt:lpwstr>
  </property>
</Properties>
</file>