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8F718C" w14:textId="77777777" w:rsidR="00D61FE6" w:rsidRDefault="00D61FE6" w:rsidP="00A51851">
      <w:pPr>
        <w:spacing w:line="240" w:lineRule="auto"/>
        <w:ind w:firstLine="0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Figures:</w:t>
      </w:r>
    </w:p>
    <w:p w14:paraId="5F4FBC01" w14:textId="77777777" w:rsidR="00D61FE6" w:rsidRPr="00BC6138" w:rsidRDefault="00D61FE6" w:rsidP="00A51851">
      <w:pPr>
        <w:spacing w:line="240" w:lineRule="auto"/>
        <w:ind w:firstLine="0"/>
        <w:rPr>
          <w:rFonts w:ascii="Arial" w:eastAsia="Arial" w:hAnsi="Arial" w:cs="Arial"/>
          <w:b/>
          <w:sz w:val="28"/>
          <w:szCs w:val="28"/>
        </w:rPr>
      </w:pPr>
    </w:p>
    <w:p w14:paraId="7C901DF5" w14:textId="238DBF62" w:rsidR="00DF777E" w:rsidRDefault="001B3EBE" w:rsidP="00A51851">
      <w:pPr>
        <w:spacing w:line="240" w:lineRule="auto"/>
        <w:ind w:firstLine="0"/>
        <w:jc w:val="left"/>
      </w:pPr>
      <w:r>
        <w:rPr>
          <w:noProof/>
        </w:rPr>
        <w:drawing>
          <wp:inline distT="0" distB="0" distL="0" distR="0" wp14:anchorId="241E0B75" wp14:editId="7B05D333">
            <wp:extent cx="5572125" cy="7201937"/>
            <wp:effectExtent l="0" t="0" r="0" b="0"/>
            <wp:docPr id="1035602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740" cy="7232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CB6AC4" w14:textId="77777777" w:rsidR="001B3EBE" w:rsidRDefault="001B3EBE" w:rsidP="00A51851">
      <w:pPr>
        <w:spacing w:line="240" w:lineRule="auto"/>
        <w:ind w:firstLine="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533C1A" w14:textId="77777777" w:rsidR="00355B99" w:rsidRDefault="00355B99" w:rsidP="00A51851">
      <w:pPr>
        <w:spacing w:line="240" w:lineRule="auto"/>
        <w:ind w:firstLine="0"/>
        <w:rPr>
          <w:rFonts w:ascii="Arial" w:eastAsia="Arial" w:hAnsi="Arial" w:cs="Arial"/>
          <w:b/>
          <w:sz w:val="28"/>
          <w:szCs w:val="28"/>
        </w:rPr>
      </w:pPr>
    </w:p>
    <w:p w14:paraId="1B038169" w14:textId="77824C79" w:rsidR="00355B99" w:rsidRDefault="00355B99" w:rsidP="00A51851">
      <w:pPr>
        <w:spacing w:line="240" w:lineRule="auto"/>
        <w:ind w:firstLine="0"/>
        <w:rPr>
          <w:rFonts w:ascii="Times New Roman" w:eastAsia="Times New Roman" w:hAnsi="Times New Roman" w:cs="Times New Roman"/>
          <w:sz w:val="24"/>
          <w:szCs w:val="24"/>
        </w:rPr>
      </w:pPr>
      <w:r w:rsidRPr="00355B99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Fig. 1.</w:t>
      </w:r>
      <w:r w:rsidRPr="00355B99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bookmarkStart w:id="0" w:name="_Hlk161397466"/>
      <w:r w:rsidR="00B04B03" w:rsidRPr="00B04B03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(</w:t>
      </w:r>
      <w:r w:rsidRPr="00355B99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a)</w:t>
      </w:r>
      <w:r w:rsidRPr="00355B99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Map of Ukraine showing 174 </w:t>
      </w:r>
      <w:r w:rsidR="000D0EA7">
        <w:rPr>
          <w:rFonts w:ascii="Times New Roman" w:eastAsia="Times New Roman" w:hAnsi="Times New Roman" w:cs="Times New Roman"/>
          <w:sz w:val="24"/>
          <w:szCs w:val="24"/>
        </w:rPr>
        <w:t>vegetation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plots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, indicated with the </w:t>
      </w:r>
      <w:r>
        <w:rPr>
          <w:rFonts w:ascii="Times New Roman" w:eastAsia="Times New Roman" w:hAnsi="Times New Roman" w:cs="Times New Roman"/>
          <w:sz w:val="24"/>
          <w:szCs w:val="24"/>
        </w:rPr>
        <w:t>points on the map</w:t>
      </w:r>
      <w:r w:rsidR="00017390">
        <w:rPr>
          <w:rFonts w:ascii="Times New Roman" w:eastAsia="Times New Roman" w:hAnsi="Times New Roman" w:cs="Times New Roman"/>
          <w:sz w:val="24"/>
          <w:szCs w:val="24"/>
        </w:rPr>
        <w:t xml:space="preserve"> (some points overlap)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>, where the color of the points indicates different grassland habitat type. Each of the monitoring plots has grain size 100 m</w:t>
      </w:r>
      <w:r w:rsidR="00623208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2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>and is referred to as</w:t>
      </w:r>
      <w:r w:rsidR="00623208" w:rsidRPr="0062320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gamma </w:t>
      </w:r>
      <w:r w:rsidR="00623208" w:rsidRPr="00E23918">
        <w:rPr>
          <w:rFonts w:ascii="Times New Roman" w:eastAsia="Times New Roman" w:hAnsi="Times New Roman" w:cs="Times New Roman"/>
          <w:sz w:val="24"/>
          <w:szCs w:val="24"/>
        </w:rPr>
        <w:t>(</w:t>
      </w:r>
      <w:r w:rsidR="00623208" w:rsidRPr="000D2CD4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="00623208" w:rsidRPr="00E23918">
        <w:rPr>
          <w:rFonts w:ascii="Times New Roman" w:eastAsia="Times New Roman" w:hAnsi="Times New Roman" w:cs="Times New Roman"/>
          <w:sz w:val="24"/>
          <w:szCs w:val="24"/>
        </w:rPr>
        <w:t>)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 scale.</w:t>
      </w:r>
      <w:r w:rsidR="00623208" w:rsidRPr="0062320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Each </w:t>
      </w:r>
      <w:r w:rsidR="00954063">
        <w:rPr>
          <w:rFonts w:ascii="Times New Roman" w:eastAsia="Times New Roman" w:hAnsi="Times New Roman" w:cs="Times New Roman"/>
          <w:sz w:val="24"/>
          <w:szCs w:val="24"/>
        </w:rPr>
        <w:t xml:space="preserve">vegetation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>plot includes two nested subplots (348 subplots in total) with the grain size 10 m</w:t>
      </w:r>
      <w:r w:rsidR="00623208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referred to as alpha </w:t>
      </w:r>
      <w:r w:rsidR="00623208" w:rsidRPr="00E23918">
        <w:rPr>
          <w:rFonts w:ascii="Times New Roman" w:eastAsia="Times New Roman" w:hAnsi="Times New Roman" w:cs="Times New Roman"/>
          <w:sz w:val="24"/>
          <w:szCs w:val="24"/>
        </w:rPr>
        <w:t>(</w:t>
      </w:r>
      <w:r w:rsidR="00623208" w:rsidRPr="00A86A2C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="00623208" w:rsidRPr="00E23918">
        <w:rPr>
          <w:rFonts w:ascii="Times New Roman" w:eastAsia="Times New Roman" w:hAnsi="Times New Roman" w:cs="Times New Roman"/>
          <w:sz w:val="24"/>
          <w:szCs w:val="24"/>
        </w:rPr>
        <w:t>)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 scale.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 T</w:t>
      </w:r>
      <w:r w:rsidR="00623208" w:rsidRPr="00623208">
        <w:rPr>
          <w:rFonts w:ascii="Times New Roman" w:eastAsia="Times New Roman" w:hAnsi="Times New Roman" w:cs="Times New Roman"/>
          <w:sz w:val="24"/>
          <w:szCs w:val="24"/>
        </w:rPr>
        <w:t xml:space="preserve">he icons of different </w:t>
      </w:r>
      <w:r w:rsidR="00B04B03" w:rsidRPr="00623208">
        <w:rPr>
          <w:rFonts w:ascii="Times New Roman" w:eastAsia="Times New Roman" w:hAnsi="Times New Roman" w:cs="Times New Roman"/>
          <w:sz w:val="24"/>
          <w:szCs w:val="24"/>
        </w:rPr>
        <w:t>shapes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 and</w:t>
      </w:r>
      <w:r w:rsidR="00B04B03" w:rsidRPr="00623208">
        <w:rPr>
          <w:rFonts w:ascii="Times New Roman" w:eastAsia="Times New Roman" w:hAnsi="Times New Roman" w:cs="Times New Roman"/>
          <w:sz w:val="24"/>
          <w:szCs w:val="24"/>
        </w:rPr>
        <w:t xml:space="preserve"> color</w:t>
      </w:r>
      <w:r w:rsidR="00623208" w:rsidRPr="0062320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on the scheme of the nested-plot design </w:t>
      </w:r>
      <w:r w:rsidR="00623208" w:rsidRPr="00623208">
        <w:rPr>
          <w:rFonts w:ascii="Times New Roman" w:eastAsia="Times New Roman" w:hAnsi="Times New Roman" w:cs="Times New Roman"/>
          <w:sz w:val="24"/>
          <w:szCs w:val="24"/>
        </w:rPr>
        <w:t xml:space="preserve">represent different plant species. 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Beta </w:t>
      </w:r>
      <w:r w:rsidR="00B04B03" w:rsidRPr="00E23918">
        <w:rPr>
          <w:rFonts w:ascii="Times New Roman" w:eastAsia="Times New Roman" w:hAnsi="Times New Roman" w:cs="Times New Roman"/>
          <w:sz w:val="24"/>
          <w:szCs w:val="24"/>
        </w:rPr>
        <w:t>(</w:t>
      </w:r>
      <w:r w:rsidR="00B04B03"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="00B04B03" w:rsidRPr="00E23918">
        <w:rPr>
          <w:rFonts w:ascii="Times New Roman" w:eastAsia="Times New Roman" w:hAnsi="Times New Roman" w:cs="Times New Roman"/>
          <w:sz w:val="24"/>
          <w:szCs w:val="24"/>
        </w:rPr>
        <w:t>)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 is the scaling factor 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among the two 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>grain sizes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 and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 shows 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the spatial difference in 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plant 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biodiversity (species richness or </w:t>
      </w:r>
      <w:bookmarkStart w:id="1" w:name="_Hlk161397387"/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>ENS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bookmarkEnd w:id="1"/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) between </w:t>
      </w:r>
      <w:r w:rsidR="00B04B03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B04B03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spatial </w:t>
      </w:r>
      <w:r w:rsidR="00B04B03" w:rsidRPr="0073549A">
        <w:rPr>
          <w:rFonts w:ascii="Times New Roman" w:eastAsia="Times New Roman" w:hAnsi="Times New Roman" w:cs="Times New Roman"/>
          <w:sz w:val="24"/>
          <w:szCs w:val="24"/>
        </w:rPr>
        <w:t>scales</w:t>
      </w:r>
      <w:r w:rsidR="00B04B0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The map was created using QGIS software 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fldChar w:fldCharType="begin" w:fldLock="1"/>
      </w:r>
      <w:r w:rsidR="00623208">
        <w:rPr>
          <w:rFonts w:ascii="Times New Roman" w:eastAsia="Times New Roman" w:hAnsi="Times New Roman" w:cs="Times New Roman"/>
          <w:sz w:val="24"/>
          <w:szCs w:val="24"/>
        </w:rPr>
        <w:instrText>ADDIN CSL_CITATION {"citationItems":[{"id":"ITEM-1","itemData":{"URL":"http://qgis.osgeo.org","author":[{"dropping-particle":"","family":"QGIS Development Team","given":"","non-dropping-particle":"","parse-names":false,"suffix":""}],"id":"ITEM-1","issued":{"date-parts":[["2023"]]},"title":"QGIS Geographic Information System. Open Source Geospatial Foundation Project.","type":"webpage"},"uris":["http://www.mendeley.com/documents/?uuid=a1e53e7b-4a38-4952-8363-1af6f4efdea5"]}],"mendeley":{"formattedCitation":"(QGIS Development Team 2023)","plainTextFormattedCitation":"(QGIS Development Team 2023)","previouslyFormattedCitation":"(QGIS Development Team 2023)"},"properties":{"noteIndex":0},"schema":"https://github.com/citation-style-language/schema/raw/master/csl-citation.json"}</w:instrText>
      </w:r>
      <w:r w:rsidR="00623208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="00623208" w:rsidRPr="006E12B5">
        <w:rPr>
          <w:rFonts w:ascii="Times New Roman" w:eastAsia="Times New Roman" w:hAnsi="Times New Roman" w:cs="Times New Roman"/>
          <w:noProof/>
          <w:sz w:val="24"/>
          <w:szCs w:val="24"/>
        </w:rPr>
        <w:t>(QGIS Development Team 2023)</w:t>
      </w:r>
      <w:r w:rsidR="00623208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62320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240A2">
        <w:rPr>
          <w:rFonts w:ascii="Times New Roman" w:eastAsia="Times New Roman" w:hAnsi="Times New Roman" w:cs="Times New Roman"/>
          <w:sz w:val="24"/>
          <w:szCs w:val="24"/>
        </w:rPr>
        <w:t xml:space="preserve">The color gradient on the map </w:t>
      </w:r>
      <w:r w:rsidR="00017390">
        <w:rPr>
          <w:rFonts w:ascii="Times New Roman" w:eastAsia="Times New Roman" w:hAnsi="Times New Roman" w:cs="Times New Roman"/>
          <w:sz w:val="24"/>
          <w:szCs w:val="24"/>
        </w:rPr>
        <w:t xml:space="preserve">ranging </w:t>
      </w:r>
      <w:r w:rsidR="007240A2">
        <w:rPr>
          <w:rFonts w:ascii="Times New Roman" w:eastAsia="Times New Roman" w:hAnsi="Times New Roman" w:cs="Times New Roman"/>
          <w:sz w:val="24"/>
          <w:szCs w:val="24"/>
        </w:rPr>
        <w:t xml:space="preserve">from green to brown areas shows the elevational gradient </w:t>
      </w:r>
      <w:r w:rsidR="007240A2" w:rsidRPr="009013FC">
        <w:rPr>
          <w:rFonts w:ascii="Times New Roman" w:eastAsia="Times New Roman" w:hAnsi="Times New Roman" w:cs="Times New Roman"/>
          <w:sz w:val="24"/>
          <w:szCs w:val="24"/>
        </w:rPr>
        <w:t xml:space="preserve">from lowlands to </w:t>
      </w:r>
      <w:r w:rsidR="00623208" w:rsidRPr="009013FC">
        <w:rPr>
          <w:rFonts w:ascii="Times New Roman" w:eastAsia="Times New Roman" w:hAnsi="Times New Roman" w:cs="Times New Roman"/>
          <w:sz w:val="24"/>
          <w:szCs w:val="24"/>
        </w:rPr>
        <w:t xml:space="preserve">highlands </w:t>
      </w:r>
      <w:r w:rsidR="007240A2" w:rsidRPr="009013FC">
        <w:rPr>
          <w:rFonts w:ascii="Times New Roman" w:eastAsia="Times New Roman" w:hAnsi="Times New Roman" w:cs="Times New Roman"/>
          <w:sz w:val="24"/>
          <w:szCs w:val="24"/>
        </w:rPr>
        <w:t>and mountains</w:t>
      </w:r>
      <w:r w:rsidR="00623208" w:rsidRPr="009013FC">
        <w:rPr>
          <w:rFonts w:ascii="Times New Roman" w:eastAsia="Times New Roman" w:hAnsi="Times New Roman" w:cs="Times New Roman"/>
          <w:sz w:val="24"/>
          <w:szCs w:val="24"/>
        </w:rPr>
        <w:t>.</w:t>
      </w:r>
      <w:r w:rsidR="00122258">
        <w:rPr>
          <w:rFonts w:ascii="Times New Roman" w:eastAsia="Times New Roman" w:hAnsi="Times New Roman" w:cs="Times New Roman"/>
          <w:sz w:val="24"/>
          <w:szCs w:val="24"/>
        </w:rPr>
        <w:t xml:space="preserve"> Blue areas </w:t>
      </w:r>
      <w:r w:rsidR="00017390">
        <w:rPr>
          <w:rFonts w:ascii="Times New Roman" w:eastAsia="Times New Roman" w:hAnsi="Times New Roman" w:cs="Times New Roman"/>
          <w:sz w:val="24"/>
          <w:szCs w:val="24"/>
        </w:rPr>
        <w:t>indicate</w:t>
      </w:r>
      <w:r w:rsidR="00122258">
        <w:rPr>
          <w:rFonts w:ascii="Times New Roman" w:eastAsia="Times New Roman" w:hAnsi="Times New Roman" w:cs="Times New Roman"/>
          <w:sz w:val="24"/>
          <w:szCs w:val="24"/>
        </w:rPr>
        <w:t xml:space="preserve"> rivers and other water bodies.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4B03" w:rsidRPr="00B04B03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(</w:t>
      </w:r>
      <w:r w:rsidRPr="00355B99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b)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bookmarkStart w:id="2" w:name="_Hlk161397362"/>
      <w:r w:rsidR="00AE4DCA"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lant species richness for each spatial scale within each grassland habitat type</w:t>
      </w:r>
      <w:r w:rsidR="00A958AE">
        <w:rPr>
          <w:rFonts w:ascii="Times New Roman" w:eastAsia="Times New Roman" w:hAnsi="Times New Roman" w:cs="Times New Roman"/>
          <w:sz w:val="24"/>
          <w:szCs w:val="24"/>
        </w:rPr>
        <w:t xml:space="preserve"> (indicated by different colors)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AE4DCA">
        <w:rPr>
          <w:rFonts w:ascii="Times New Roman" w:eastAsia="Times New Roman" w:hAnsi="Times New Roman" w:cs="Times New Roman"/>
          <w:sz w:val="24"/>
          <w:szCs w:val="24"/>
        </w:rPr>
        <w:t xml:space="preserve"> Boxplot shows minimum, median, and maximum values of species richness</w:t>
      </w:r>
      <w:r w:rsidR="00A958AE">
        <w:rPr>
          <w:rFonts w:ascii="Times New Roman" w:eastAsia="Times New Roman" w:hAnsi="Times New Roman" w:cs="Times New Roman"/>
          <w:sz w:val="24"/>
          <w:szCs w:val="24"/>
        </w:rPr>
        <w:t>. P</w:t>
      </w:r>
      <w:r w:rsidR="00AE4DCA">
        <w:rPr>
          <w:rFonts w:ascii="Times New Roman" w:eastAsia="Times New Roman" w:hAnsi="Times New Roman" w:cs="Times New Roman"/>
          <w:sz w:val="24"/>
          <w:szCs w:val="24"/>
        </w:rPr>
        <w:t xml:space="preserve">oints show the values for each plot, </w:t>
      </w:r>
      <w:r w:rsidR="00A958AE">
        <w:rPr>
          <w:rFonts w:ascii="Times New Roman" w:eastAsia="Times New Roman" w:hAnsi="Times New Roman" w:cs="Times New Roman"/>
          <w:sz w:val="24"/>
          <w:szCs w:val="24"/>
        </w:rPr>
        <w:t xml:space="preserve">where </w:t>
      </w:r>
      <w:r w:rsidR="00AE4DCA">
        <w:rPr>
          <w:rFonts w:ascii="Times New Roman" w:eastAsia="Times New Roman" w:hAnsi="Times New Roman" w:cs="Times New Roman"/>
          <w:sz w:val="24"/>
          <w:szCs w:val="24"/>
        </w:rPr>
        <w:t xml:space="preserve">the transparent and filled points </w:t>
      </w:r>
      <w:r w:rsidR="00A958AE">
        <w:rPr>
          <w:rFonts w:ascii="Times New Roman" w:eastAsia="Times New Roman" w:hAnsi="Times New Roman" w:cs="Times New Roman"/>
          <w:sz w:val="24"/>
          <w:szCs w:val="24"/>
        </w:rPr>
        <w:t>are shown for</w:t>
      </w:r>
      <w:r w:rsidR="00AE4DCA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AE4DCA">
        <w:rPr>
          <w:rFonts w:ascii="Times New Roman" w:eastAsia="Times New Roman" w:hAnsi="Times New Roman" w:cs="Times New Roman"/>
          <w:b/>
          <w:sz w:val="24"/>
          <w:szCs w:val="24"/>
        </w:rPr>
        <w:t>α</w:t>
      </w:r>
      <w:r w:rsidR="00AE4DCA" w:rsidRPr="00A958AE">
        <w:rPr>
          <w:rFonts w:ascii="Times New Roman" w:eastAsia="Times New Roman" w:hAnsi="Times New Roman" w:cs="Times New Roman"/>
          <w:sz w:val="24"/>
          <w:szCs w:val="24"/>
        </w:rPr>
        <w:t>- and</w:t>
      </w:r>
      <w:r w:rsidR="00AE4DC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AE4DCA">
        <w:rPr>
          <w:rFonts w:ascii="Times New Roman" w:eastAsia="Times New Roman" w:hAnsi="Times New Roman" w:cs="Times New Roman"/>
          <w:b/>
          <w:sz w:val="24"/>
          <w:szCs w:val="24"/>
        </w:rPr>
        <w:t>γ</w:t>
      </w:r>
      <w:r w:rsidR="00AE4DCA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A958AE">
        <w:rPr>
          <w:rFonts w:ascii="Times New Roman" w:eastAsia="Times New Roman" w:hAnsi="Times New Roman" w:cs="Times New Roman"/>
          <w:sz w:val="24"/>
          <w:szCs w:val="24"/>
        </w:rPr>
        <w:t>scale</w:t>
      </w:r>
      <w:r w:rsidR="00AE4DC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E4DCA" w:rsidRPr="00AE4DCA">
        <w:rPr>
          <w:rFonts w:ascii="Times New Roman" w:eastAsia="Times New Roman" w:hAnsi="Times New Roman" w:cs="Times New Roman"/>
          <w:sz w:val="24"/>
          <w:szCs w:val="24"/>
        </w:rPr>
        <w:t>respectively.</w:t>
      </w:r>
    </w:p>
    <w:bookmarkEnd w:id="2"/>
    <w:p w14:paraId="3DD720F0" w14:textId="15E9D7E8" w:rsidR="00145920" w:rsidRDefault="00145920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5DBA5AA" w14:textId="77777777" w:rsidR="00A70D29" w:rsidRDefault="00A70D29" w:rsidP="00A51851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3" w:name="_Hlk161396978"/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B9C2818" w14:textId="2804B3C6" w:rsidR="00C02317" w:rsidRDefault="00A70D29" w:rsidP="00A51851">
      <w:pPr>
        <w:spacing w:line="240" w:lineRule="auto"/>
        <w:ind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1609D949" wp14:editId="68686AD7">
            <wp:simplePos x="0" y="0"/>
            <wp:positionH relativeFrom="margin">
              <wp:align>right</wp:align>
            </wp:positionH>
            <wp:positionV relativeFrom="paragraph">
              <wp:posOffset>541</wp:posOffset>
            </wp:positionV>
            <wp:extent cx="5730240" cy="7555230"/>
            <wp:effectExtent l="0" t="0" r="0" b="7620"/>
            <wp:wrapSquare wrapText="bothSides"/>
            <wp:docPr id="4297131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755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2317" w:rsidRPr="00C0231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02317" w:rsidRPr="0001507F">
        <w:rPr>
          <w:rFonts w:ascii="Times New Roman" w:hAnsi="Times New Roman" w:cs="Times New Roman"/>
          <w:b/>
          <w:bCs/>
          <w:sz w:val="24"/>
          <w:szCs w:val="24"/>
        </w:rPr>
        <w:t>Fig. 2</w:t>
      </w:r>
      <w:r w:rsidR="00C0231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C02317" w:rsidRPr="00A958AE">
        <w:rPr>
          <w:rFonts w:ascii="Times New Roman" w:hAnsi="Times New Roman" w:cs="Times New Roman"/>
          <w:sz w:val="24"/>
          <w:szCs w:val="24"/>
        </w:rPr>
        <w:t>Results from mixed models</w:t>
      </w:r>
      <w:r w:rsidR="00C02317">
        <w:rPr>
          <w:rFonts w:ascii="Times New Roman" w:hAnsi="Times New Roman" w:cs="Times New Roman"/>
          <w:sz w:val="24"/>
          <w:szCs w:val="24"/>
        </w:rPr>
        <w:t xml:space="preserve"> </w:t>
      </w:r>
      <w:r w:rsidR="00C02317" w:rsidRPr="00A958AE">
        <w:rPr>
          <w:rFonts w:ascii="Times New Roman" w:hAnsi="Times New Roman" w:cs="Times New Roman"/>
          <w:sz w:val="24"/>
          <w:szCs w:val="24"/>
        </w:rPr>
        <w:t xml:space="preserve">testing the effects of </w:t>
      </w:r>
      <w:r w:rsidR="00C02317">
        <w:rPr>
          <w:rFonts w:ascii="Times New Roman" w:hAnsi="Times New Roman" w:cs="Times New Roman"/>
          <w:sz w:val="24"/>
          <w:szCs w:val="24"/>
        </w:rPr>
        <w:t xml:space="preserve">environmental drivers </w:t>
      </w:r>
      <w:r w:rsidR="00C02317" w:rsidRPr="00A958AE">
        <w:rPr>
          <w:rFonts w:ascii="Times New Roman" w:hAnsi="Times New Roman" w:cs="Times New Roman"/>
          <w:sz w:val="24"/>
          <w:szCs w:val="24"/>
        </w:rPr>
        <w:t xml:space="preserve">on species richness </w:t>
      </w:r>
      <w:r w:rsidR="00C02317">
        <w:rPr>
          <w:rFonts w:ascii="Times New Roman" w:hAnsi="Times New Roman" w:cs="Times New Roman"/>
          <w:sz w:val="24"/>
          <w:szCs w:val="24"/>
        </w:rPr>
        <w:t xml:space="preserve">and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ENS</w:t>
      </w:r>
      <w:r w:rsidR="00C02317"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 w:rsidR="00C02317" w:rsidRPr="00A958AE">
        <w:rPr>
          <w:rFonts w:ascii="Times New Roman" w:hAnsi="Times New Roman" w:cs="Times New Roman"/>
          <w:sz w:val="24"/>
          <w:szCs w:val="24"/>
        </w:rPr>
        <w:t xml:space="preserve"> </w:t>
      </w:r>
      <w:r w:rsidR="00C02317">
        <w:rPr>
          <w:rFonts w:ascii="Times New Roman" w:hAnsi="Times New Roman" w:cs="Times New Roman"/>
          <w:sz w:val="24"/>
          <w:szCs w:val="24"/>
        </w:rPr>
        <w:t xml:space="preserve">at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 w:rsidRPr="0073549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 w:rsidRPr="006F7E83">
        <w:rPr>
          <w:rFonts w:ascii="Times New Roman" w:eastAsia="Times New Roman" w:hAnsi="Times New Roman" w:cs="Times New Roman"/>
          <w:sz w:val="24"/>
          <w:szCs w:val="24"/>
        </w:rPr>
        <w:t>scales</w:t>
      </w:r>
      <w:r w:rsidR="00C02317" w:rsidRPr="006F7E83">
        <w:rPr>
          <w:rFonts w:ascii="Times New Roman" w:hAnsi="Times New Roman" w:cs="Times New Roman"/>
          <w:sz w:val="24"/>
          <w:szCs w:val="24"/>
        </w:rPr>
        <w:t xml:space="preserve"> (</w:t>
      </w:r>
      <w:bookmarkStart w:id="4" w:name="_Hlk161397141"/>
      <w:r w:rsidR="00C02317" w:rsidRPr="006F7E83">
        <w:rPr>
          <w:rFonts w:ascii="Times New Roman" w:hAnsi="Times New Roman" w:cs="Times New Roman"/>
          <w:sz w:val="24"/>
          <w:szCs w:val="24"/>
        </w:rPr>
        <w:t xml:space="preserve">shown by blue and </w:t>
      </w:r>
      <w:r w:rsidR="00C02317">
        <w:rPr>
          <w:rFonts w:ascii="Times New Roman" w:hAnsi="Times New Roman" w:cs="Times New Roman"/>
          <w:sz w:val="24"/>
          <w:szCs w:val="24"/>
        </w:rPr>
        <w:t>red</w:t>
      </w:r>
      <w:r w:rsidR="00C02317" w:rsidRPr="006F7E83">
        <w:rPr>
          <w:rFonts w:ascii="Times New Roman" w:hAnsi="Times New Roman" w:cs="Times New Roman"/>
          <w:sz w:val="24"/>
          <w:szCs w:val="24"/>
        </w:rPr>
        <w:t xml:space="preserve"> </w:t>
      </w:r>
      <w:r w:rsidR="00C02317">
        <w:rPr>
          <w:rFonts w:ascii="Times New Roman" w:hAnsi="Times New Roman" w:cs="Times New Roman"/>
          <w:sz w:val="24"/>
          <w:szCs w:val="24"/>
        </w:rPr>
        <w:t>lines</w:t>
      </w:r>
      <w:r w:rsidR="00C02317" w:rsidRPr="006F7E83">
        <w:rPr>
          <w:rFonts w:ascii="Times New Roman" w:hAnsi="Times New Roman" w:cs="Times New Roman"/>
          <w:sz w:val="24"/>
          <w:szCs w:val="24"/>
        </w:rPr>
        <w:t>, respectively</w:t>
      </w:r>
      <w:bookmarkEnd w:id="4"/>
      <w:r w:rsidR="00C02317" w:rsidRPr="006F7E83">
        <w:rPr>
          <w:rFonts w:ascii="Times New Roman" w:hAnsi="Times New Roman" w:cs="Times New Roman"/>
          <w:sz w:val="24"/>
          <w:szCs w:val="24"/>
        </w:rPr>
        <w:t xml:space="preserve">) </w:t>
      </w:r>
      <w:r w:rsidR="00C02317">
        <w:rPr>
          <w:rFonts w:ascii="Times New Roman" w:hAnsi="Times New Roman" w:cs="Times New Roman"/>
          <w:sz w:val="24"/>
          <w:szCs w:val="24"/>
        </w:rPr>
        <w:t xml:space="preserve">and on </w:t>
      </w:r>
      <w:r w:rsidR="00C02317"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 w:rsidR="00C02317">
        <w:rPr>
          <w:rFonts w:ascii="Times New Roman" w:hAnsi="Times New Roman" w:cs="Times New Roman"/>
          <w:sz w:val="24"/>
          <w:szCs w:val="24"/>
        </w:rPr>
        <w:t xml:space="preserve"> ─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C02317" w:rsidRPr="007E3790">
        <w:rPr>
          <w:rFonts w:ascii="Times New Roman" w:eastAsia="Times New Roman" w:hAnsi="Times New Roman" w:cs="Times New Roman"/>
          <w:sz w:val="24"/>
          <w:szCs w:val="24"/>
        </w:rPr>
        <w:t>scaling factor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 among the two scales</w:t>
      </w:r>
      <w:r w:rsidR="00C02317">
        <w:rPr>
          <w:rFonts w:ascii="Times New Roman" w:hAnsi="Times New Roman" w:cs="Times New Roman"/>
          <w:sz w:val="24"/>
          <w:szCs w:val="24"/>
        </w:rPr>
        <w:t xml:space="preserve"> (shown by green lines). For the model results see </w:t>
      </w:r>
      <w:bookmarkStart w:id="5" w:name="_Hlk161397651"/>
      <w:r w:rsidR="00C02317" w:rsidRPr="00653055">
        <w:rPr>
          <w:rFonts w:ascii="Times New Roman" w:hAnsi="Times New Roman" w:cs="Times New Roman"/>
          <w:color w:val="0000FF"/>
          <w:sz w:val="24"/>
          <w:szCs w:val="24"/>
        </w:rPr>
        <w:t>Table S2</w:t>
      </w:r>
      <w:bookmarkEnd w:id="5"/>
      <w:r w:rsidR="00C02317">
        <w:rPr>
          <w:rFonts w:ascii="Times New Roman" w:hAnsi="Times New Roman" w:cs="Times New Roman"/>
          <w:sz w:val="24"/>
          <w:szCs w:val="24"/>
        </w:rPr>
        <w:t xml:space="preserve"> and </w:t>
      </w:r>
      <w:r w:rsidR="00C02317" w:rsidRPr="00653055">
        <w:rPr>
          <w:rFonts w:ascii="Times New Roman" w:hAnsi="Times New Roman" w:cs="Times New Roman"/>
          <w:color w:val="0000FF"/>
          <w:sz w:val="24"/>
          <w:szCs w:val="24"/>
        </w:rPr>
        <w:t>Table</w:t>
      </w:r>
      <w:r w:rsidR="00C02317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="00C02317" w:rsidRPr="00653055">
        <w:rPr>
          <w:rFonts w:ascii="Times New Roman" w:hAnsi="Times New Roman" w:cs="Times New Roman"/>
          <w:color w:val="0000FF"/>
          <w:sz w:val="24"/>
          <w:szCs w:val="24"/>
        </w:rPr>
        <w:t>S3</w:t>
      </w:r>
      <w:bookmarkStart w:id="6" w:name="_Hlk161398480"/>
      <w:r w:rsidR="00C02317">
        <w:rPr>
          <w:rFonts w:ascii="Times New Roman" w:hAnsi="Times New Roman" w:cs="Times New Roman"/>
          <w:sz w:val="24"/>
          <w:szCs w:val="24"/>
        </w:rPr>
        <w:t>. Solid t</w:t>
      </w:r>
      <w:r w:rsidR="00C02317" w:rsidRPr="004A3E31">
        <w:rPr>
          <w:rFonts w:ascii="Times New Roman" w:hAnsi="Times New Roman" w:cs="Times New Roman"/>
          <w:sz w:val="24"/>
          <w:szCs w:val="24"/>
        </w:rPr>
        <w:t xml:space="preserve">hick lines </w:t>
      </w:r>
      <w:r w:rsidR="00C02317">
        <w:rPr>
          <w:rFonts w:ascii="Times New Roman" w:hAnsi="Times New Roman" w:cs="Times New Roman"/>
          <w:sz w:val="24"/>
          <w:szCs w:val="24"/>
        </w:rPr>
        <w:t>show significant effects (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P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&lt;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0.05</w:t>
      </w:r>
      <w:r w:rsidR="00C02317">
        <w:rPr>
          <w:rFonts w:ascii="Times New Roman" w:hAnsi="Times New Roman" w:cs="Times New Roman"/>
          <w:sz w:val="24"/>
          <w:szCs w:val="24"/>
        </w:rPr>
        <w:t>), solid thin lines show marginally significant effects (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0.05≤P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&lt;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0.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1</w:t>
      </w:r>
      <w:r w:rsidR="00C02317">
        <w:rPr>
          <w:rFonts w:ascii="Times New Roman" w:hAnsi="Times New Roman" w:cs="Times New Roman"/>
          <w:sz w:val="24"/>
          <w:szCs w:val="24"/>
        </w:rPr>
        <w:t>), and dashed lines show non-significant effects (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P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&gt;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0.0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9</w:t>
      </w:r>
      <w:r w:rsidR="00C02317">
        <w:rPr>
          <w:rFonts w:ascii="Times New Roman" w:hAnsi="Times New Roman" w:cs="Times New Roman"/>
          <w:sz w:val="24"/>
          <w:szCs w:val="24"/>
        </w:rPr>
        <w:t>)</w:t>
      </w:r>
      <w:r w:rsidR="00C02317" w:rsidRPr="00145920">
        <w:rPr>
          <w:rFonts w:ascii="Times New Roman" w:eastAsia="Times New Roman" w:hAnsi="Times New Roman" w:cs="Times New Roman"/>
          <w:sz w:val="24"/>
          <w:szCs w:val="24"/>
        </w:rPr>
        <w:t>.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2317" w:rsidRPr="004A3E31">
        <w:rPr>
          <w:rFonts w:ascii="Times New Roman" w:eastAsia="Times New Roman" w:hAnsi="Times New Roman" w:cs="Times New Roman"/>
          <w:sz w:val="24"/>
          <w:szCs w:val="24"/>
        </w:rPr>
        <w:t xml:space="preserve">Shaded areas around lines show 95% confidence intervals.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Different shapes of data points indicate different spatial scales: diamonds for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diversity, stars for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diversity,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and triangles for </w:t>
      </w:r>
      <w:r w:rsidR="00C02317"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. Colors of data points indicate grassland habitat types. </w:t>
      </w:r>
      <w:r w:rsidR="00C02317" w:rsidRPr="00653055">
        <w:rPr>
          <w:rFonts w:ascii="Times New Roman" w:eastAsia="Times New Roman" w:hAnsi="Times New Roman" w:cs="Times New Roman"/>
          <w:sz w:val="24"/>
          <w:szCs w:val="24"/>
        </w:rPr>
        <w:t xml:space="preserve">To improve the visibility of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comparisons </w:t>
      </w:r>
      <w:r w:rsidR="00C02317" w:rsidRPr="00653055">
        <w:rPr>
          <w:rFonts w:ascii="Times New Roman" w:eastAsia="Times New Roman" w:hAnsi="Times New Roman" w:cs="Times New Roman"/>
          <w:sz w:val="24"/>
          <w:szCs w:val="24"/>
        </w:rPr>
        <w:t>among the slopes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 of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 xml:space="preserve">diversity and </w:t>
      </w:r>
      <w:r w:rsidR="00C02317"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="00C02317"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diversity</w:t>
      </w:r>
      <w:r w:rsidR="00C02317" w:rsidRPr="00653055">
        <w:rPr>
          <w:rFonts w:ascii="Times New Roman" w:eastAsia="Times New Roman" w:hAnsi="Times New Roman" w:cs="Times New Roman"/>
          <w:sz w:val="24"/>
          <w:szCs w:val="24"/>
        </w:rPr>
        <w:t xml:space="preserve">, the 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results for both scales are shown on the same plots. Plots for each scale separately are</w:t>
      </w:r>
      <w:r w:rsidR="00C02317" w:rsidRPr="004A3E31">
        <w:rPr>
          <w:rFonts w:ascii="Times New Roman" w:eastAsia="Times New Roman" w:hAnsi="Times New Roman" w:cs="Times New Roman"/>
          <w:sz w:val="24"/>
          <w:szCs w:val="24"/>
        </w:rPr>
        <w:t xml:space="preserve"> provided in </w:t>
      </w:r>
      <w:r w:rsidR="00C02317" w:rsidRPr="009777F5">
        <w:rPr>
          <w:rFonts w:ascii="Times New Roman" w:eastAsia="Times New Roman" w:hAnsi="Times New Roman" w:cs="Times New Roman"/>
          <w:color w:val="0000FF"/>
          <w:sz w:val="24"/>
          <w:szCs w:val="24"/>
        </w:rPr>
        <w:t>Fig. S5</w:t>
      </w:r>
      <w:r w:rsidR="00C02317">
        <w:rPr>
          <w:rFonts w:ascii="Times New Roman" w:eastAsia="Times New Roman" w:hAnsi="Times New Roman" w:cs="Times New Roman"/>
          <w:sz w:val="24"/>
          <w:szCs w:val="24"/>
        </w:rPr>
        <w:t>.</w:t>
      </w:r>
    </w:p>
    <w:bookmarkEnd w:id="6"/>
    <w:p w14:paraId="10BB0700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sz w:val="24"/>
          <w:szCs w:val="24"/>
        </w:rPr>
      </w:pPr>
    </w:p>
    <w:p w14:paraId="72083C26" w14:textId="34D15130" w:rsidR="00C02317" w:rsidRDefault="00C02317" w:rsidP="00A51851">
      <w:pPr>
        <w:spacing w:line="240" w:lineRule="auto"/>
        <w:ind w:firstLine="0"/>
        <w:rPr>
          <w:rFonts w:ascii="Times New Roman" w:eastAsia="Times New Roman" w:hAnsi="Times New Roman" w:cs="Times New Roman"/>
          <w:sz w:val="24"/>
          <w:szCs w:val="24"/>
        </w:rPr>
      </w:pPr>
      <w:r w:rsidRPr="009728DD">
        <w:rPr>
          <w:rFonts w:ascii="Times New Roman" w:hAnsi="Times New Roman" w:cs="Times New Roman"/>
          <w:b/>
          <w:bCs/>
          <w:noProof/>
          <w:color w:val="0000FF"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 wp14:anchorId="6BBCAE0E" wp14:editId="406E4D57">
            <wp:simplePos x="0" y="0"/>
            <wp:positionH relativeFrom="margin">
              <wp:posOffset>0</wp:posOffset>
            </wp:positionH>
            <wp:positionV relativeFrom="paragraph">
              <wp:posOffset>-177800</wp:posOffset>
            </wp:positionV>
            <wp:extent cx="6017895" cy="8181975"/>
            <wp:effectExtent l="0" t="0" r="0" b="0"/>
            <wp:wrapTopAndBottom/>
            <wp:docPr id="1573338564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338564" name="Picture 1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818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728DD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Fig. 3. </w:t>
      </w:r>
      <w:r w:rsidRPr="009728DD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(a)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9728DD">
        <w:rPr>
          <w:rFonts w:ascii="Times New Roman" w:eastAsia="Times New Roman" w:hAnsi="Times New Roman" w:cs="Times New Roman"/>
          <w:bCs/>
          <w:sz w:val="24"/>
          <w:szCs w:val="24"/>
        </w:rPr>
        <w:t>Relative strengths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(standardized effect size) of the effects of each environmental driver on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measures (species richness and ENS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), shown by blue and red bars 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for </w:t>
      </w:r>
      <w:r w:rsidRPr="00145920">
        <w:rPr>
          <w:rFonts w:ascii="Times New Roman" w:eastAsia="Times New Roman" w:hAnsi="Times New Roman" w:cs="Times New Roman"/>
          <w:b/>
          <w:bCs/>
          <w:sz w:val="24"/>
          <w:szCs w:val="24"/>
        </w:rPr>
        <w:t>α-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145920">
        <w:rPr>
          <w:rFonts w:ascii="Times New Roman" w:eastAsia="Times New Roman" w:hAnsi="Times New Roman" w:cs="Times New Roman"/>
          <w:b/>
          <w:bCs/>
          <w:sz w:val="24"/>
          <w:szCs w:val="24"/>
        </w:rPr>
        <w:t>γ-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scale, respectively. Blue and red icons show the shape of the effects and their 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lastRenderedPageBreak/>
        <w:t>significance for each driver and respective scale</w:t>
      </w:r>
      <w:bookmarkStart w:id="7" w:name="_Hlk161398699"/>
      <w:r w:rsidRPr="00145920">
        <w:rPr>
          <w:rFonts w:ascii="Times New Roman" w:eastAsia="Times New Roman" w:hAnsi="Times New Roman" w:cs="Times New Roman"/>
          <w:sz w:val="24"/>
          <w:szCs w:val="24"/>
        </w:rPr>
        <w:t>, with the following levels of significance: *P≤0.05; **P≤0.01; **</w:t>
      </w:r>
      <w:r>
        <w:rPr>
          <w:rFonts w:ascii="Times New Roman" w:eastAsia="Times New Roman" w:hAnsi="Times New Roman" w:cs="Times New Roman"/>
          <w:sz w:val="24"/>
          <w:szCs w:val="24"/>
        </w:rPr>
        <w:t>*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>P≤0.0</w:t>
      </w:r>
      <w:r>
        <w:rPr>
          <w:rFonts w:ascii="Times New Roman" w:eastAsia="Times New Roman" w:hAnsi="Times New Roman" w:cs="Times New Roman"/>
          <w:sz w:val="24"/>
          <w:szCs w:val="24"/>
        </w:rPr>
        <w:t>0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bookmarkEnd w:id="7"/>
      <w:r>
        <w:rPr>
          <w:rFonts w:ascii="Times New Roman" w:eastAsia="Times New Roman" w:hAnsi="Times New Roman" w:cs="Times New Roman"/>
          <w:sz w:val="24"/>
          <w:szCs w:val="24"/>
        </w:rPr>
        <w:t>and ‘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>P≤0.0</w:t>
      </w:r>
      <w:r>
        <w:rPr>
          <w:rFonts w:ascii="Times New Roman" w:eastAsia="Times New Roman" w:hAnsi="Times New Roman" w:cs="Times New Roman"/>
          <w:sz w:val="24"/>
          <w:szCs w:val="24"/>
        </w:rPr>
        <w:t>9 (marginally significant)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>. Green icons show the shape for only significant effects (</w:t>
      </w:r>
      <w:r>
        <w:rPr>
          <w:rFonts w:ascii="Times New Roman" w:eastAsia="Times New Roman" w:hAnsi="Times New Roman" w:cs="Times New Roman"/>
          <w:sz w:val="24"/>
          <w:szCs w:val="24"/>
        </w:rPr>
        <w:t>bars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 marked by stars) on </w:t>
      </w:r>
      <w:r w:rsidRPr="00145920">
        <w:rPr>
          <w:rFonts w:ascii="Times New Roman" w:eastAsia="Times New Roman" w:hAnsi="Times New Roman" w:cs="Times New Roman"/>
          <w:b/>
          <w:bCs/>
          <w:sz w:val="24"/>
          <w:szCs w:val="24"/>
        </w:rPr>
        <w:t>β-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diversity </w:t>
      </w:r>
      <w:r w:rsidRPr="00145920">
        <w:rPr>
          <w:rFonts w:ascii="Times New Roman" w:hAnsi="Times New Roman" w:cs="Times New Roman"/>
          <w:sz w:val="24"/>
          <w:szCs w:val="24"/>
        </w:rPr>
        <w:t>─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 xml:space="preserve"> the scaling factor among the two spatial scales.</w:t>
      </w:r>
      <w:r w:rsidRPr="00145920">
        <w:rPr>
          <w:rFonts w:ascii="Times New Roman" w:hAnsi="Times New Roman" w:cs="Times New Roman"/>
          <w:sz w:val="24"/>
          <w:szCs w:val="24"/>
        </w:rPr>
        <w:t xml:space="preserve"> </w:t>
      </w:r>
      <w:r w:rsidRPr="00145920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(b)</w:t>
      </w:r>
      <w:r w:rsidRPr="00145920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r w:rsidRPr="00145920">
        <w:rPr>
          <w:rFonts w:ascii="Times New Roman" w:eastAsia="Times New Roman" w:hAnsi="Times New Roman" w:cs="Times New Roman"/>
          <w:sz w:val="24"/>
          <w:szCs w:val="24"/>
        </w:rPr>
        <w:t>Relative importance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of the environmental drivers in governing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and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β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diversity measures. Circle sizes are proportional to the fraction of variance explained (partial R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by the study drivers for each response variable. </w:t>
      </w:r>
      <w:r>
        <w:rPr>
          <w:rFonts w:ascii="Times New Roman" w:hAnsi="Times New Roman" w:cs="Times New Roman"/>
          <w:sz w:val="24"/>
          <w:szCs w:val="24"/>
        </w:rPr>
        <w:t xml:space="preserve">For the model results see </w:t>
      </w:r>
      <w:r w:rsidRPr="00653055">
        <w:rPr>
          <w:rFonts w:ascii="Times New Roman" w:hAnsi="Times New Roman" w:cs="Times New Roman"/>
          <w:color w:val="0000FF"/>
          <w:sz w:val="24"/>
          <w:szCs w:val="24"/>
        </w:rPr>
        <w:t>Table S2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Pr="00653055">
        <w:rPr>
          <w:rFonts w:ascii="Times New Roman" w:hAnsi="Times New Roman" w:cs="Times New Roman"/>
          <w:color w:val="0000FF"/>
          <w:sz w:val="24"/>
          <w:szCs w:val="24"/>
        </w:rPr>
        <w:t>Table</w:t>
      </w:r>
      <w:r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Pr="00653055">
        <w:rPr>
          <w:rFonts w:ascii="Times New Roman" w:hAnsi="Times New Roman" w:cs="Times New Roman"/>
          <w:color w:val="0000FF"/>
          <w:sz w:val="24"/>
          <w:szCs w:val="24"/>
        </w:rPr>
        <w:t>S3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0F88400" w14:textId="77777777" w:rsidR="00C02317" w:rsidRDefault="00C02317" w:rsidP="00A51851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14:paraId="18ECDA21" w14:textId="77777777" w:rsidR="00C02317" w:rsidRDefault="00C02317" w:rsidP="00A51851">
      <w:pPr>
        <w:spacing w:line="240" w:lineRule="auto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br w:type="page"/>
      </w:r>
    </w:p>
    <w:p w14:paraId="5178ED91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color w:val="0000FF"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1" wp14:anchorId="6299DEFE" wp14:editId="117A2CEF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828540" cy="3251835"/>
            <wp:effectExtent l="0" t="0" r="0" b="5715"/>
            <wp:wrapSquare wrapText="bothSides"/>
            <wp:docPr id="381461138" name="Picture 1" descr="A graph with different colored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461138" name="Picture 1" descr="A graph with different colored do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540" cy="3251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3EBBC1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2CB59A0E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4DE3D4BD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386545B4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202FEB93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696D306E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1CE7D77C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05427CA1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62B3D207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278D3075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6E88D124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11CC4DB7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65CE0DDD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2CF6D3D1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1428CE6C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7C83C25F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65C4BF1B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47E44DBE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1C87512F" w14:textId="77777777" w:rsidR="00C02317" w:rsidRDefault="00C02317" w:rsidP="00A51851">
      <w:pPr>
        <w:spacing w:line="240" w:lineRule="auto"/>
        <w:ind w:firstLine="0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</w:p>
    <w:p w14:paraId="0E4245C7" w14:textId="77777777" w:rsidR="00C02317" w:rsidRDefault="00C02317" w:rsidP="00A51851">
      <w:pPr>
        <w:spacing w:line="240" w:lineRule="auto"/>
        <w:ind w:firstLine="0"/>
        <w:rPr>
          <w:rFonts w:ascii="Times New Roman" w:eastAsia="Times New Roman" w:hAnsi="Times New Roman" w:cs="Times New Roman"/>
          <w:sz w:val="24"/>
          <w:szCs w:val="24"/>
        </w:rPr>
      </w:pPr>
      <w:r w:rsidRPr="00975EE6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Fig.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>4</w:t>
      </w:r>
      <w:r w:rsidRPr="00975EE6">
        <w:rPr>
          <w:rFonts w:ascii="Times New Roman" w:hAnsi="Times New Roman" w:cs="Times New Roman"/>
          <w:color w:val="0000FF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Scale-dependent effects of environmental drivers on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measures (species richness and ENS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Points show the standardized effect sizes of each environmental driver (marked by colors of points) on </w:t>
      </w:r>
      <w:r w:rsidRPr="00F3712D">
        <w:rPr>
          <w:rFonts w:ascii="Times New Roman" w:eastAsia="Times New Roman" w:hAnsi="Times New Roman" w:cs="Times New Roman"/>
          <w:sz w:val="24"/>
          <w:szCs w:val="24"/>
        </w:rPr>
        <w:t>the 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measures at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scale (</w:t>
      </w:r>
      <w:r w:rsidRPr="00F913D5">
        <w:rPr>
          <w:rFonts w:ascii="Times New Roman" w:eastAsia="Times New Roman" w:hAnsi="Times New Roman" w:cs="Times New Roman"/>
          <w:i/>
          <w:iCs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-axis) compared to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F913D5">
        <w:rPr>
          <w:rFonts w:ascii="Times New Roman" w:eastAsia="Times New Roman" w:hAnsi="Times New Roman" w:cs="Times New Roman"/>
          <w:sz w:val="24"/>
          <w:szCs w:val="24"/>
        </w:rPr>
        <w:t>scale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-axis). </w:t>
      </w:r>
      <w:r w:rsidRPr="00F913D5">
        <w:rPr>
          <w:rFonts w:ascii="Times New Roman" w:eastAsia="Times New Roman" w:hAnsi="Times New Roman" w:cs="Times New Roman"/>
          <w:sz w:val="24"/>
          <w:szCs w:val="24"/>
        </w:rPr>
        <w:t xml:space="preserve">The solid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gray </w:t>
      </w:r>
      <w:r w:rsidRPr="00F913D5">
        <w:rPr>
          <w:rFonts w:ascii="Times New Roman" w:eastAsia="Times New Roman" w:hAnsi="Times New Roman" w:cs="Times New Roman"/>
          <w:sz w:val="24"/>
          <w:szCs w:val="24"/>
        </w:rPr>
        <w:t>line indicates the 1 : 1 line expected if effect sizes were not scale-dependent. Points above and below this line indicate effect sizes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13D5">
        <w:rPr>
          <w:rFonts w:ascii="Times New Roman" w:eastAsia="Times New Roman" w:hAnsi="Times New Roman" w:cs="Times New Roman"/>
          <w:sz w:val="24"/>
          <w:szCs w:val="24"/>
        </w:rPr>
        <w:t>that are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13D5">
        <w:rPr>
          <w:rFonts w:ascii="Times New Roman" w:eastAsia="Times New Roman" w:hAnsi="Times New Roman" w:cs="Times New Roman"/>
          <w:sz w:val="24"/>
          <w:szCs w:val="24"/>
        </w:rPr>
        <w:t>larger or smaller, respectively, as scale increase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</w:p>
    <w:p w14:paraId="1F7BA4A2" w14:textId="77777777" w:rsidR="00C02317" w:rsidRDefault="00C02317" w:rsidP="00A51851">
      <w:pPr>
        <w:spacing w:line="240" w:lineRule="auto"/>
        <w:ind w:firstLine="0"/>
        <w:rPr>
          <w:rFonts w:ascii="Times New Roman" w:eastAsia="Times New Roman" w:hAnsi="Times New Roman" w:cs="Times New Roman"/>
          <w:sz w:val="24"/>
          <w:szCs w:val="24"/>
        </w:rPr>
      </w:pPr>
    </w:p>
    <w:p w14:paraId="65679D50" w14:textId="77777777" w:rsidR="00C02317" w:rsidRDefault="00C02317" w:rsidP="00A51851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63E60AF5" w14:textId="248484AB" w:rsidR="00C02317" w:rsidRDefault="00A51851" w:rsidP="00A51851">
      <w:pPr>
        <w:spacing w:line="240" w:lineRule="auto"/>
        <w:ind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4624" behindDoc="0" locked="0" layoutInCell="1" allowOverlap="1" wp14:anchorId="70EB4AE6" wp14:editId="5CBCAF3F">
            <wp:simplePos x="0" y="0"/>
            <wp:positionH relativeFrom="margin">
              <wp:align>right</wp:align>
            </wp:positionH>
            <wp:positionV relativeFrom="paragraph">
              <wp:posOffset>62</wp:posOffset>
            </wp:positionV>
            <wp:extent cx="5739130" cy="3367405"/>
            <wp:effectExtent l="0" t="0" r="0" b="4445"/>
            <wp:wrapSquare wrapText="bothSides"/>
            <wp:docPr id="7535125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130" cy="336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1D6643" w14:textId="544E227C" w:rsidR="00A70D29" w:rsidRPr="00FD7E44" w:rsidRDefault="00C02317" w:rsidP="00A51851">
      <w:pPr>
        <w:spacing w:line="240" w:lineRule="auto"/>
        <w:ind w:firstLine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75EE6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Fig.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>5</w:t>
      </w:r>
      <w:r w:rsidRPr="00975EE6">
        <w:rPr>
          <w:rFonts w:ascii="Times New Roman" w:hAnsi="Times New Roman" w:cs="Times New Roman"/>
          <w:color w:val="0000FF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Conceptual diagrams summarizing the results of this study for the mechanisms underlying the effects of the study environmental drivers on local diversity at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73549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73549A">
        <w:rPr>
          <w:rFonts w:ascii="Times New Roman" w:eastAsia="Times New Roman" w:hAnsi="Times New Roman" w:cs="Times New Roman"/>
          <w:sz w:val="24"/>
          <w:szCs w:val="24"/>
        </w:rPr>
        <w:t>scales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B14595">
        <w:rPr>
          <w:rFonts w:ascii="Times New Roman" w:hAnsi="Times New Roman" w:cs="Times New Roman"/>
          <w:b/>
          <w:bCs/>
          <w:color w:val="0000FF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) and on </w:t>
      </w:r>
      <w:r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hAnsi="Times New Roman" w:cs="Times New Roman"/>
          <w:sz w:val="24"/>
          <w:szCs w:val="24"/>
        </w:rPr>
        <w:t xml:space="preserve"> ─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Pr="007E3790">
        <w:rPr>
          <w:rFonts w:ascii="Times New Roman" w:eastAsia="Times New Roman" w:hAnsi="Times New Roman" w:cs="Times New Roman"/>
          <w:sz w:val="24"/>
          <w:szCs w:val="24"/>
        </w:rPr>
        <w:t>scaling factor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among the two scales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B14595">
        <w:rPr>
          <w:rFonts w:ascii="Times New Roman" w:hAnsi="Times New Roman" w:cs="Times New Roman"/>
          <w:b/>
          <w:bCs/>
          <w:color w:val="0000FF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  <w:bookmarkStart w:id="8" w:name="_Hlk161384919"/>
      <w:r>
        <w:rPr>
          <w:rFonts w:ascii="Times New Roman" w:hAnsi="Times New Roman" w:cs="Times New Roman"/>
          <w:sz w:val="24"/>
          <w:szCs w:val="24"/>
        </w:rPr>
        <w:t xml:space="preserve">Environmental drivers of local plant diversity </w:t>
      </w:r>
      <w:bookmarkStart w:id="9" w:name="_Hlk161385086"/>
      <w:r>
        <w:rPr>
          <w:rFonts w:ascii="Times New Roman" w:hAnsi="Times New Roman" w:cs="Times New Roman"/>
          <w:sz w:val="24"/>
          <w:szCs w:val="24"/>
        </w:rPr>
        <w:t>(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73549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73549A">
        <w:rPr>
          <w:rFonts w:ascii="Times New Roman" w:eastAsia="Times New Roman" w:hAnsi="Times New Roman" w:cs="Times New Roman"/>
          <w:sz w:val="24"/>
          <w:szCs w:val="24"/>
        </w:rPr>
        <w:t>scales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3D5D1C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Fig. 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>5</w:t>
      </w:r>
      <w:r w:rsidRPr="003D5D1C">
        <w:rPr>
          <w:rFonts w:ascii="Times New Roman" w:eastAsia="Times New Roman" w:hAnsi="Times New Roman" w:cs="Times New Roman"/>
          <w:color w:val="0000FF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)</w:t>
      </w:r>
      <w:bookmarkEnd w:id="9"/>
      <w:r>
        <w:rPr>
          <w:rFonts w:ascii="Times New Roman" w:hAnsi="Times New Roman" w:cs="Times New Roman"/>
          <w:sz w:val="24"/>
          <w:szCs w:val="24"/>
        </w:rPr>
        <w:t xml:space="preserve"> operated via the responses of rare species when there was a 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 xml:space="preserve">marked difference in results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for 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 xml:space="preserve">species richness </w:t>
      </w:r>
      <w:r>
        <w:rPr>
          <w:rFonts w:ascii="Times New Roman" w:eastAsia="Times New Roman" w:hAnsi="Times New Roman" w:cs="Times New Roman"/>
          <w:sz w:val="24"/>
          <w:szCs w:val="24"/>
        </w:rPr>
        <w:t>from the results for ENS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>while low difference implie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 xml:space="preserve"> significant contributions from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responses of the entire community, including both 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>common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and rare </w:t>
      </w:r>
      <w:r w:rsidRPr="003C25B8">
        <w:rPr>
          <w:rFonts w:ascii="Times New Roman" w:eastAsia="Times New Roman" w:hAnsi="Times New Roman" w:cs="Times New Roman"/>
          <w:sz w:val="24"/>
          <w:szCs w:val="24"/>
        </w:rPr>
        <w:t>species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975EE6">
        <w:rPr>
          <w:rFonts w:ascii="Times New Roman" w:eastAsia="Times New Roman" w:hAnsi="Times New Roman" w:cs="Times New Roman"/>
          <w:color w:val="0000FF"/>
          <w:sz w:val="24"/>
          <w:szCs w:val="24"/>
        </w:rPr>
        <w:t>Fig. 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). Total plant cover affected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975EE6">
        <w:rPr>
          <w:rFonts w:ascii="Times New Roman" w:eastAsia="Times New Roman" w:hAnsi="Times New Roman" w:cs="Times New Roman"/>
          <w:color w:val="0000FF"/>
          <w:sz w:val="24"/>
          <w:szCs w:val="24"/>
        </w:rPr>
        <w:t>Fig. S4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), and thus could mediate the effects of biodiversity drivers. When the effect of an environmental driver on total plant cover 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>deviate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 xml:space="preserve"> from zero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975EE6">
        <w:rPr>
          <w:rFonts w:ascii="Times New Roman" w:eastAsia="Times New Roman" w:hAnsi="Times New Roman" w:cs="Times New Roman"/>
          <w:color w:val="0000FF"/>
          <w:sz w:val="24"/>
          <w:szCs w:val="24"/>
        </w:rPr>
        <w:t>Fig. S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 effects of this driver on the respective biodiversity measure </w:t>
      </w:r>
      <w:bookmarkStart w:id="10" w:name="_Hlk161385148"/>
      <w:r>
        <w:rPr>
          <w:rFonts w:ascii="Times New Roman" w:eastAsia="Times New Roman" w:hAnsi="Times New Roman" w:cs="Times New Roman"/>
          <w:sz w:val="24"/>
          <w:szCs w:val="24"/>
        </w:rPr>
        <w:t xml:space="preserve">(i.e.,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α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73549A">
        <w:rPr>
          <w:rFonts w:ascii="Times New Roman" w:eastAsia="Times New Roman" w:hAnsi="Times New Roman" w:cs="Times New Roman"/>
          <w:b/>
          <w:bCs/>
          <w:sz w:val="24"/>
          <w:szCs w:val="24"/>
        </w:rPr>
        <w:t>γ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or </w:t>
      </w:r>
      <w:r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bookmarkEnd w:id="10"/>
      <w:r>
        <w:rPr>
          <w:rFonts w:ascii="Times New Roman" w:eastAsia="Times New Roman" w:hAnsi="Times New Roman" w:cs="Times New Roman"/>
          <w:sz w:val="24"/>
          <w:szCs w:val="24"/>
        </w:rPr>
        <w:t>were mediated by the altered total cover (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Fig. 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>5a-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).  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>When the effect size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on ENS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 xml:space="preserve"> at the largest sampling scale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(i.e., on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bCs/>
                <w:iCs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γ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ENS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vertAlign w:val="subscript"/>
                  </w:rPr>
                  <m:t>PIE</m:t>
                </m:r>
              </m:sub>
            </m:sSub>
          </m:sub>
        </m:sSub>
      </m:oMath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 xml:space="preserve">deviates from zero, the ecological driver altered the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species evenness in their relative cover 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>in the community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and thus affected </w:t>
      </w:r>
      <w:r w:rsidRPr="00E4402F">
        <w:rPr>
          <w:rFonts w:ascii="Times New Roman" w:eastAsia="Times New Roman" w:hAnsi="Times New Roman" w:cs="Times New Roman"/>
          <w:b/>
          <w:bCs/>
          <w:sz w:val="24"/>
          <w:szCs w:val="24"/>
        </w:rPr>
        <w:t>β</w:t>
      </w:r>
      <w:r w:rsidRPr="0001507F"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 w:rsidRPr="00E4402F">
        <w:rPr>
          <w:rFonts w:ascii="Times New Roman" w:eastAsia="Times New Roman" w:hAnsi="Times New Roman" w:cs="Times New Roman"/>
          <w:sz w:val="24"/>
          <w:szCs w:val="24"/>
        </w:rPr>
        <w:t>diversity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via the altered distributions in relative cover of species (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Fig. 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>5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Pr="00DC24EC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C6451">
        <w:rPr>
          <w:rFonts w:ascii="Times New Roman" w:eastAsia="Times New Roman" w:hAnsi="Times New Roman" w:cs="Times New Roman"/>
          <w:sz w:val="24"/>
          <w:szCs w:val="24"/>
        </w:rPr>
        <w:t xml:space="preserve">When the effect </w:t>
      </w:r>
      <w:r>
        <w:rPr>
          <w:rFonts w:ascii="Times New Roman" w:eastAsia="Times New Roman" w:hAnsi="Times New Roman" w:cs="Times New Roman"/>
          <w:sz w:val="24"/>
          <w:szCs w:val="24"/>
        </w:rPr>
        <w:t>of driver on ENS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PIE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changed with sampling grain (i.e. the effect on </w:t>
      </w:r>
      <m:oMath>
        <m:sSub>
          <m:sSubPr>
            <m:ctrlPr>
              <w:rPr>
                <w:rFonts w:ascii="Cambria Math" w:eastAsia="Times New Roman" w:hAnsi="Cambria Math" w:cs="Times New Roman"/>
                <w:b/>
                <w:bCs/>
                <w:iCs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eastAsia="Cambria Math" w:hAnsi="Cambria Math" w:cs="Cambria Math"/>
                <w:sz w:val="24"/>
                <w:szCs w:val="24"/>
              </w:rPr>
              <m:t>β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ENS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vertAlign w:val="subscript"/>
                  </w:rPr>
                  <m:t>PIE</m:t>
                </m:r>
              </m:sub>
            </m:sSub>
          </m:sub>
        </m:sSub>
      </m:oMath>
      <w:r w:rsidRPr="00975EE6">
        <w:rPr>
          <w:rFonts w:ascii="Times New Roman" w:eastAsia="Times New Roman" w:hAnsi="Times New Roman" w:cs="Times New Roman"/>
          <w:iCs/>
          <w:sz w:val="24"/>
          <w:szCs w:val="24"/>
        </w:rPr>
        <w:t xml:space="preserve"> was significant</w:t>
      </w:r>
      <w:r w:rsidRPr="007C6451">
        <w:rPr>
          <w:rFonts w:ascii="Times New Roman" w:eastAsia="Times New Roman" w:hAnsi="Times New Roman" w:cs="Times New Roman"/>
          <w:iCs/>
          <w:sz w:val="24"/>
          <w:szCs w:val="24"/>
        </w:rPr>
        <w:t>)</w:t>
      </w:r>
      <w:r w:rsidRPr="007C6451">
        <w:rPr>
          <w:rFonts w:ascii="Times New Roman" w:eastAsia="Times New Roman" w:hAnsi="Times New Roman" w:cs="Times New Roman"/>
          <w:sz w:val="24"/>
          <w:szCs w:val="24"/>
        </w:rPr>
        <w:t xml:space="preserve">, the </w:t>
      </w:r>
      <w:r>
        <w:rPr>
          <w:rFonts w:ascii="Times New Roman" w:eastAsia="Times New Roman" w:hAnsi="Times New Roman" w:cs="Times New Roman"/>
          <w:sz w:val="24"/>
          <w:szCs w:val="24"/>
        </w:rPr>
        <w:t>biodiversity</w:t>
      </w:r>
      <w:r w:rsidRPr="007C6451">
        <w:rPr>
          <w:rFonts w:ascii="Times New Roman" w:eastAsia="Times New Roman" w:hAnsi="Times New Roman" w:cs="Times New Roman"/>
          <w:sz w:val="24"/>
          <w:szCs w:val="24"/>
        </w:rPr>
        <w:t xml:space="preserve"> driver altered the </w:t>
      </w:r>
      <w:r>
        <w:rPr>
          <w:rFonts w:ascii="Times New Roman" w:eastAsia="Times New Roman" w:hAnsi="Times New Roman" w:cs="Times New Roman"/>
          <w:sz w:val="24"/>
          <w:szCs w:val="24"/>
        </w:rPr>
        <w:t>intraspecific aggregation of the community (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Fig. 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>5</w:t>
      </w:r>
      <w:r w:rsidRPr="00B14595">
        <w:rPr>
          <w:rFonts w:ascii="Times New Roman" w:eastAsia="Times New Roman" w:hAnsi="Times New Roman" w:cs="Times New Roman"/>
          <w:color w:val="0000FF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bookmarkEnd w:id="8"/>
      <w:r w:rsidR="00FD7E44">
        <w:rPr>
          <w:rFonts w:ascii="Times New Roman" w:eastAsia="Times New Roman" w:hAnsi="Times New Roman" w:cs="Times New Roman"/>
          <w:sz w:val="24"/>
          <w:szCs w:val="24"/>
        </w:rPr>
        <w:t>D</w:t>
      </w:r>
      <w:r w:rsidR="00FD7E44" w:rsidRPr="00FD7E44">
        <w:rPr>
          <w:rFonts w:ascii="Times New Roman" w:eastAsia="Times New Roman" w:hAnsi="Times New Roman" w:cs="Times New Roman"/>
          <w:bCs/>
          <w:sz w:val="24"/>
          <w:szCs w:val="24"/>
        </w:rPr>
        <w:t>rivers are color-coded based on the nature of their effects. Two colors indicate that the effects cannot be separated, such as when productivity effects are the inverse of environmental stress effects.</w:t>
      </w:r>
      <w:bookmarkEnd w:id="3"/>
    </w:p>
    <w:sectPr w:rsidR="00A70D29" w:rsidRPr="00FD7E44" w:rsidSect="008401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2FF"/>
    <w:rsid w:val="000112E4"/>
    <w:rsid w:val="0001507F"/>
    <w:rsid w:val="000172AA"/>
    <w:rsid w:val="00017390"/>
    <w:rsid w:val="000712FF"/>
    <w:rsid w:val="000A5CF5"/>
    <w:rsid w:val="000D0EA7"/>
    <w:rsid w:val="00122258"/>
    <w:rsid w:val="00145920"/>
    <w:rsid w:val="001713CC"/>
    <w:rsid w:val="001A4EDC"/>
    <w:rsid w:val="001B3EBE"/>
    <w:rsid w:val="00207530"/>
    <w:rsid w:val="002513BE"/>
    <w:rsid w:val="002F76E9"/>
    <w:rsid w:val="00355B99"/>
    <w:rsid w:val="00355FB0"/>
    <w:rsid w:val="00356777"/>
    <w:rsid w:val="003D5D1C"/>
    <w:rsid w:val="00454C5E"/>
    <w:rsid w:val="004671DA"/>
    <w:rsid w:val="004A3E31"/>
    <w:rsid w:val="004B15D7"/>
    <w:rsid w:val="004E6078"/>
    <w:rsid w:val="004F5A17"/>
    <w:rsid w:val="005578B4"/>
    <w:rsid w:val="005A7F84"/>
    <w:rsid w:val="005B76F9"/>
    <w:rsid w:val="00623208"/>
    <w:rsid w:val="00653055"/>
    <w:rsid w:val="00683217"/>
    <w:rsid w:val="006C718B"/>
    <w:rsid w:val="006C7C8F"/>
    <w:rsid w:val="006F7E83"/>
    <w:rsid w:val="00721126"/>
    <w:rsid w:val="007240A2"/>
    <w:rsid w:val="0073549A"/>
    <w:rsid w:val="00772C43"/>
    <w:rsid w:val="007C6451"/>
    <w:rsid w:val="007C6C11"/>
    <w:rsid w:val="007F0A74"/>
    <w:rsid w:val="007F4983"/>
    <w:rsid w:val="0082095E"/>
    <w:rsid w:val="0084011B"/>
    <w:rsid w:val="008700B5"/>
    <w:rsid w:val="008B4DD7"/>
    <w:rsid w:val="008D4C62"/>
    <w:rsid w:val="008D6E7B"/>
    <w:rsid w:val="009013FC"/>
    <w:rsid w:val="00940C7B"/>
    <w:rsid w:val="00954063"/>
    <w:rsid w:val="009728DD"/>
    <w:rsid w:val="00975EE6"/>
    <w:rsid w:val="009777F5"/>
    <w:rsid w:val="00991794"/>
    <w:rsid w:val="009C491A"/>
    <w:rsid w:val="009D7CA2"/>
    <w:rsid w:val="009E1ED2"/>
    <w:rsid w:val="00A26D25"/>
    <w:rsid w:val="00A51851"/>
    <w:rsid w:val="00A70D29"/>
    <w:rsid w:val="00A958AE"/>
    <w:rsid w:val="00AA2E3F"/>
    <w:rsid w:val="00AE4DCA"/>
    <w:rsid w:val="00B04B03"/>
    <w:rsid w:val="00B14595"/>
    <w:rsid w:val="00B15BEE"/>
    <w:rsid w:val="00B27484"/>
    <w:rsid w:val="00B87754"/>
    <w:rsid w:val="00B9738A"/>
    <w:rsid w:val="00C02317"/>
    <w:rsid w:val="00C15167"/>
    <w:rsid w:val="00C232A4"/>
    <w:rsid w:val="00C86D78"/>
    <w:rsid w:val="00C90CC3"/>
    <w:rsid w:val="00CD4DBA"/>
    <w:rsid w:val="00D063AD"/>
    <w:rsid w:val="00D61FE6"/>
    <w:rsid w:val="00DC24EC"/>
    <w:rsid w:val="00DF6D72"/>
    <w:rsid w:val="00DF777E"/>
    <w:rsid w:val="00E23918"/>
    <w:rsid w:val="00E74962"/>
    <w:rsid w:val="00E83F17"/>
    <w:rsid w:val="00EB7951"/>
    <w:rsid w:val="00F06885"/>
    <w:rsid w:val="00F36282"/>
    <w:rsid w:val="00FB2A6B"/>
    <w:rsid w:val="00FB3D7F"/>
    <w:rsid w:val="00FD7E44"/>
    <w:rsid w:val="00FF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C0E4E5"/>
  <w15:chartTrackingRefBased/>
  <w15:docId w15:val="{453291F5-B1DA-4382-B19E-11473447B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line="280" w:lineRule="exact"/>
        <w:ind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712F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712F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712F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712F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712F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712F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712F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712F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712F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712F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712F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712F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712F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712F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712F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712F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712F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712F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712F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712F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712FF"/>
    <w:pPr>
      <w:numPr>
        <w:ilvl w:val="1"/>
      </w:numPr>
      <w:spacing w:after="160"/>
      <w:ind w:firstLine="567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712F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712F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712F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712F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712F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712F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712F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712FF"/>
    <w:rPr>
      <w:b/>
      <w:bCs/>
      <w:smallCaps/>
      <w:color w:val="0F4761" w:themeColor="accent1" w:themeShade="BF"/>
      <w:spacing w:val="5"/>
    </w:rPr>
  </w:style>
  <w:style w:type="character" w:styleId="CommentReference">
    <w:name w:val="annotation reference"/>
    <w:basedOn w:val="DefaultParagraphFont"/>
    <w:uiPriority w:val="99"/>
    <w:semiHidden/>
    <w:unhideWhenUsed/>
    <w:rsid w:val="00A26D2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26D2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26D2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6D2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6D2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914</Words>
  <Characters>5211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Oksana Buzhdygan</dc:creator>
  <cp:keywords/>
  <dc:description/>
  <cp:lastModifiedBy>Oksana Buzhdygan</cp:lastModifiedBy>
  <cp:revision>41</cp:revision>
  <dcterms:created xsi:type="dcterms:W3CDTF">2024-02-15T05:24:00Z</dcterms:created>
  <dcterms:modified xsi:type="dcterms:W3CDTF">2024-05-31T14:43:00Z</dcterms:modified>
</cp:coreProperties>
</file>