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875C344" w14:textId="22047337" w:rsidR="00C94AA5" w:rsidRPr="00A058D2" w:rsidRDefault="008526DB" w:rsidP="00B161F0">
      <w:pPr>
        <w:pStyle w:val="Title"/>
        <w:rPr>
          <w:color w:val="FF0000"/>
        </w:rPr>
      </w:pPr>
      <w:bookmarkStart w:id="0" w:name="_Hlk137016335"/>
      <w:r w:rsidRPr="001869B9">
        <w:t xml:space="preserve">Accurate </w:t>
      </w:r>
      <w:r w:rsidR="00814039">
        <w:t>M</w:t>
      </w:r>
      <w:r w:rsidRPr="001869B9">
        <w:t xml:space="preserve">agnitude and </w:t>
      </w:r>
      <w:r w:rsidR="00814039">
        <w:t>S</w:t>
      </w:r>
      <w:r w:rsidRPr="001869B9">
        <w:t xml:space="preserve">tress </w:t>
      </w:r>
      <w:r w:rsidR="00D00224">
        <w:t>D</w:t>
      </w:r>
      <w:r w:rsidRPr="001869B9">
        <w:t xml:space="preserve">rop using the </w:t>
      </w:r>
      <w:r w:rsidR="00814039">
        <w:t xml:space="preserve">Empirical </w:t>
      </w:r>
      <w:r w:rsidRPr="001869B9">
        <w:t>G</w:t>
      </w:r>
      <w:r w:rsidR="00814039">
        <w:t xml:space="preserve">reen’s </w:t>
      </w:r>
      <w:r w:rsidRPr="001869B9">
        <w:t>F</w:t>
      </w:r>
      <w:r w:rsidR="00814039">
        <w:t>unction</w:t>
      </w:r>
      <w:r w:rsidRPr="001869B9">
        <w:t xml:space="preserve"> </w:t>
      </w:r>
      <w:r w:rsidR="00814039">
        <w:t>M</w:t>
      </w:r>
      <w:r w:rsidRPr="001869B9">
        <w:t xml:space="preserve">ethod </w:t>
      </w:r>
      <w:r w:rsidR="00814039">
        <w:t>A</w:t>
      </w:r>
      <w:r w:rsidRPr="001869B9">
        <w:t xml:space="preserve">pplied to </w:t>
      </w:r>
      <w:r w:rsidR="00814039">
        <w:t>D</w:t>
      </w:r>
      <w:r w:rsidRPr="001869B9">
        <w:t xml:space="preserve">istributed </w:t>
      </w:r>
      <w:r w:rsidR="00814039">
        <w:t>A</w:t>
      </w:r>
      <w:r w:rsidRPr="001869B9">
        <w:t xml:space="preserve">coustic </w:t>
      </w:r>
      <w:r w:rsidR="00814039">
        <w:t>S</w:t>
      </w:r>
      <w:r w:rsidRPr="001869B9">
        <w:t>ensing</w:t>
      </w:r>
      <w:bookmarkEnd w:id="0"/>
    </w:p>
    <w:p w14:paraId="32E6B0CF" w14:textId="7FF8A68D" w:rsidR="00C94AA5" w:rsidRPr="00C94AA5" w:rsidRDefault="00D471C2" w:rsidP="00A058D2">
      <w:pPr>
        <w:pStyle w:val="Authors"/>
      </w:pPr>
      <w:r>
        <w:t>I</w:t>
      </w:r>
      <w:r w:rsidR="00FE3F37">
        <w:t>tzhak</w:t>
      </w:r>
      <w:r w:rsidR="00545B6C">
        <w:t xml:space="preserve"> </w:t>
      </w:r>
      <w:r>
        <w:t>Lior</w:t>
      </w:r>
      <w:r w:rsidR="00545B6C" w:rsidRPr="00A058D2">
        <w:rPr>
          <w:vertAlign w:val="superscript"/>
        </w:rPr>
        <w:t>1</w:t>
      </w:r>
      <w:r w:rsidR="006F662E">
        <w:t xml:space="preserve"> </w:t>
      </w:r>
    </w:p>
    <w:p w14:paraId="70FC651E" w14:textId="5877FC43" w:rsidR="00C94AA5" w:rsidRPr="00A058D2" w:rsidRDefault="008A6077" w:rsidP="00A058D2">
      <w:pPr>
        <w:pStyle w:val="Affiliation"/>
      </w:pPr>
      <w:r w:rsidRPr="00A058D2">
        <w:rPr>
          <w:vertAlign w:val="superscript"/>
        </w:rPr>
        <w:t>1</w:t>
      </w:r>
      <w:bookmarkStart w:id="1" w:name="_Hlk133788645"/>
      <w:r w:rsidR="00D471C2" w:rsidRPr="00A058D2">
        <w:t>Institute of Earth Sciences, The Hebrew University, Jerusalem, Israel</w:t>
      </w:r>
      <w:r w:rsidR="00C94AA5" w:rsidRPr="00A058D2">
        <w:t>.</w:t>
      </w:r>
      <w:bookmarkEnd w:id="1"/>
    </w:p>
    <w:p w14:paraId="5614852F" w14:textId="450AC495" w:rsidR="00DE3F91" w:rsidRDefault="008A6077" w:rsidP="00A058D2">
      <w:pPr>
        <w:pStyle w:val="Affiliation"/>
      </w:pPr>
      <w:r>
        <w:t>Correspond</w:t>
      </w:r>
      <w:r w:rsidR="00DE3F91">
        <w:t>ing</w:t>
      </w:r>
      <w:r>
        <w:t xml:space="preserve"> </w:t>
      </w:r>
      <w:r w:rsidR="006F662E">
        <w:t>author:</w:t>
      </w:r>
      <w:r>
        <w:t xml:space="preserve"> </w:t>
      </w:r>
      <w:r w:rsidR="00D471C2">
        <w:t>Itzhak Lior</w:t>
      </w:r>
      <w:r w:rsidR="00DE3F91">
        <w:t xml:space="preserve"> (</w:t>
      </w:r>
      <w:hyperlink r:id="rId8" w:history="1">
        <w:r w:rsidR="00D471C2" w:rsidRPr="00A058D2">
          <w:t>itzhak.lior@mail.huji.ac.il)</w:t>
        </w:r>
      </w:hyperlink>
      <w:r w:rsidR="00DE3F91">
        <w:t xml:space="preserve"> </w:t>
      </w:r>
    </w:p>
    <w:p w14:paraId="52EAA876" w14:textId="0F4D9CB3" w:rsidR="00C94AA5" w:rsidRDefault="00C94AA5" w:rsidP="00A058D2">
      <w:pPr>
        <w:pStyle w:val="Heading-Main"/>
      </w:pPr>
      <w:r>
        <w:t>Key Points:</w:t>
      </w:r>
    </w:p>
    <w:p w14:paraId="2B95CB06" w14:textId="77777777" w:rsidR="00606B7A" w:rsidRDefault="00606B7A" w:rsidP="00606B7A">
      <w:pPr>
        <w:pStyle w:val="KeyPoints"/>
        <w:numPr>
          <w:ilvl w:val="0"/>
          <w:numId w:val="9"/>
        </w:numPr>
      </w:pPr>
      <w:r w:rsidRPr="00FF052D">
        <w:t>The Em</w:t>
      </w:r>
      <w:r>
        <w:t>pi</w:t>
      </w:r>
      <w:r w:rsidRPr="00FF052D">
        <w:t xml:space="preserve">rical Green’s Function (EGF) approach was applied to 7 </w:t>
      </w:r>
      <w:r>
        <w:t>repeating</w:t>
      </w:r>
      <w:r w:rsidRPr="00FF052D">
        <w:t xml:space="preserve"> DAS recorded earthquakes in Israel</w:t>
      </w:r>
    </w:p>
    <w:p w14:paraId="2C9A6F83" w14:textId="77777777" w:rsidR="00606B7A" w:rsidRDefault="00606B7A" w:rsidP="00606B7A">
      <w:pPr>
        <w:pStyle w:val="KeyPoints"/>
        <w:numPr>
          <w:ilvl w:val="0"/>
          <w:numId w:val="9"/>
        </w:numPr>
      </w:pPr>
      <w:r w:rsidRPr="00FF052D">
        <w:t>Accurate relative magnitudes and stress drops were calculated</w:t>
      </w:r>
      <w:r>
        <w:t xml:space="preserve"> and</w:t>
      </w:r>
      <w:r w:rsidRPr="00FF052D">
        <w:t xml:space="preserve"> stress drop </w:t>
      </w:r>
      <w:r>
        <w:rPr>
          <w:lang w:bidi="he-IL"/>
        </w:rPr>
        <w:t xml:space="preserve">was found to </w:t>
      </w:r>
      <w:r w:rsidRPr="00FF052D">
        <w:t>increase with seismic moment</w:t>
      </w:r>
    </w:p>
    <w:p w14:paraId="5C03B4CB" w14:textId="3BB4AF42" w:rsidR="00B719C8" w:rsidRPr="00FF052D" w:rsidRDefault="00606B7A" w:rsidP="00606B7A">
      <w:pPr>
        <w:pStyle w:val="KeyPoints"/>
        <w:numPr>
          <w:ilvl w:val="0"/>
          <w:numId w:val="9"/>
        </w:numPr>
      </w:pPr>
      <w:r>
        <w:rPr>
          <w:lang w:bidi="he-IL"/>
        </w:rPr>
        <w:t>The results demonstrate the great potential of DAS for earthquake source studies</w:t>
      </w:r>
      <w:r w:rsidRPr="00FF052D">
        <w:t xml:space="preserve"> </w:t>
      </w:r>
      <w:r w:rsidR="00B719C8" w:rsidRPr="00FF052D">
        <w:br w:type="page"/>
      </w:r>
    </w:p>
    <w:p w14:paraId="2659CCE1" w14:textId="4D39861B" w:rsidR="002F3B11" w:rsidRPr="00A24F5B" w:rsidRDefault="008A6077" w:rsidP="00A24F5B">
      <w:pPr>
        <w:pStyle w:val="Heading-Main"/>
      </w:pPr>
      <w:r w:rsidRPr="00A24F5B">
        <w:lastRenderedPageBreak/>
        <w:t>Abstract</w:t>
      </w:r>
    </w:p>
    <w:p w14:paraId="54086EFA" w14:textId="1DD1DEF8" w:rsidR="00AC4F29" w:rsidRDefault="00524DF3" w:rsidP="00A6491E">
      <w:pPr>
        <w:pStyle w:val="Text"/>
      </w:pPr>
      <w:r>
        <w:t>The reliable estimation of earthquake magnitude and stress drop are key in seismology.</w:t>
      </w:r>
      <w:r w:rsidR="00A6491E">
        <w:t xml:space="preserve"> </w:t>
      </w:r>
      <w:r w:rsidR="004A6F0D">
        <w:t xml:space="preserve">The novel technology of distributed acoustic sensing (DAS) holds great promise for source parameter inversion owing to the measurements’ high spatial density. </w:t>
      </w:r>
      <w:r w:rsidR="00D12A5E">
        <w:t xml:space="preserve">In this study, I </w:t>
      </w:r>
      <w:r w:rsidR="000A79AC">
        <w:rPr>
          <w:color w:val="000000"/>
        </w:rPr>
        <w:t xml:space="preserve">demonstrate </w:t>
      </w:r>
      <w:r w:rsidR="00D12A5E">
        <w:t>the robustness of DAS for magnitude and stress drop estimation using the empirical Green’s function deconvolution method.</w:t>
      </w:r>
      <w:r w:rsidR="009A3AE3">
        <w:t xml:space="preserve"> This method is applied to 7 </w:t>
      </w:r>
      <w:proofErr w:type="spellStart"/>
      <w:r w:rsidR="009A3AE3">
        <w:t>colocated</w:t>
      </w:r>
      <w:proofErr w:type="spellEnd"/>
      <w:r w:rsidR="009A3AE3">
        <w:t xml:space="preserve"> earthquakes recorded in Israel following the </w:t>
      </w:r>
      <w:r w:rsidR="00AC4F29">
        <w:t>2023 Turkey earthquakes. Spectral ratios were calculated using amplitude spectra stacked along the fibe</w:t>
      </w:r>
      <w:r w:rsidR="00D6147B">
        <w:t>r</w:t>
      </w:r>
      <w:r w:rsidR="00AC4F29">
        <w:t xml:space="preserve">, and fitted with a relative </w:t>
      </w:r>
      <w:r w:rsidR="00D6147B">
        <w:t xml:space="preserve">Boatwright </w:t>
      </w:r>
      <w:r w:rsidR="00AC4F29">
        <w:t xml:space="preserve">source spectral model. Excellent fits were obtained even for similar sized earthquakes. </w:t>
      </w:r>
      <w:r w:rsidR="00F65E52">
        <w:t>Stable s</w:t>
      </w:r>
      <w:r w:rsidR="00AC4F29">
        <w:t>eismic moments and stress drops were calculated assuming the moment of one earthquake is known. These robust source parameters suggest that stress drop increases with seismic moment. The results demonstrate the great potential of DAS for source studies.</w:t>
      </w:r>
    </w:p>
    <w:p w14:paraId="2DD56D37" w14:textId="0DD8E1A8" w:rsidR="00DC40C6" w:rsidRPr="00A24F5B" w:rsidRDefault="00DC40C6" w:rsidP="00DC40C6">
      <w:pPr>
        <w:pStyle w:val="Heading-Main"/>
      </w:pPr>
      <w:r>
        <w:t>Plain Language Summary</w:t>
      </w:r>
    </w:p>
    <w:p w14:paraId="61D204C8" w14:textId="57E2807A" w:rsidR="00F65E52" w:rsidRDefault="009541DD" w:rsidP="00F65E52">
      <w:pPr>
        <w:pStyle w:val="Text"/>
      </w:pPr>
      <w:r>
        <w:t xml:space="preserve">Estimating earthquake magnitude and stress drop, the </w:t>
      </w:r>
      <w:r w:rsidR="00E7103E">
        <w:t>two</w:t>
      </w:r>
      <w:r w:rsidR="0092338E">
        <w:t xml:space="preserve"> most fundamental source parameters, is key for various seismological investigations, including earthquake self-similarity and hazard mitigation. The extraction of source parameters requires that source and path effects are </w:t>
      </w:r>
      <w:r w:rsidR="003B109D">
        <w:t xml:space="preserve">reliably </w:t>
      </w:r>
      <w:r w:rsidR="0092338E">
        <w:t xml:space="preserve">deconvolved </w:t>
      </w:r>
      <w:r w:rsidR="003B109D">
        <w:t xml:space="preserve">from source contributions. One approach is to deconvolve a small earthquake from a colocated larger one </w:t>
      </w:r>
      <w:r w:rsidR="00D6147B">
        <w:t xml:space="preserve">in the frequency domain </w:t>
      </w:r>
      <w:r w:rsidR="003B109D">
        <w:t xml:space="preserve">such that common path and site functions cancel and relative source function, between both earthquakes, remain. In this study, I apply the deconvolution approach to 7 earthquakes </w:t>
      </w:r>
      <w:r w:rsidR="00D6147B">
        <w:t xml:space="preserve">that followed the 2023 Turkey earthquakes, </w:t>
      </w:r>
      <w:r w:rsidR="003B109D">
        <w:t xml:space="preserve">recorded using distributed acoustic sensing (DAS) applied to an optical fiber in Israel. DAS converts standard optical fibers into dense arrays, with seismic measurements every few meters along tens-of-kilometers long fibers. </w:t>
      </w:r>
      <w:r w:rsidR="00D6147B">
        <w:t>The deconvolution was calculated for different earthquake pairs and</w:t>
      </w:r>
      <w:r w:rsidR="00F65E52">
        <w:t xml:space="preserve"> excellent</w:t>
      </w:r>
      <w:r w:rsidR="00D6147B">
        <w:t xml:space="preserve"> fit</w:t>
      </w:r>
      <w:r w:rsidR="00F65E52">
        <w:t xml:space="preserve">s were obtained with </w:t>
      </w:r>
      <w:r w:rsidR="00D6147B">
        <w:t>a relative source spectral model</w:t>
      </w:r>
      <w:r w:rsidR="00F65E52">
        <w:t>. Stable seismic moments and stress drops were calculated and their analysis suggests that stress drop increases with seismic moment. The results demonstrate the great potential of DAS for source studies.</w:t>
      </w:r>
    </w:p>
    <w:p w14:paraId="16752E20" w14:textId="77777777" w:rsidR="002F3B11" w:rsidRDefault="002F3B11" w:rsidP="0075573E">
      <w:pPr>
        <w:pStyle w:val="Heading-Main"/>
      </w:pPr>
      <w:r>
        <w:t>1 Introduction</w:t>
      </w:r>
    </w:p>
    <w:p w14:paraId="0F2AF01E" w14:textId="52FE8617" w:rsidR="00161EE9" w:rsidRDefault="00DD4394" w:rsidP="00C16EA7">
      <w:pPr>
        <w:pStyle w:val="Text"/>
      </w:pPr>
      <w:r>
        <w:t>Estimating</w:t>
      </w:r>
      <w:r w:rsidR="00D471C2" w:rsidRPr="00D471C2">
        <w:t xml:space="preserve"> </w:t>
      </w:r>
      <w:r w:rsidR="00D471C2">
        <w:t>earthquake</w:t>
      </w:r>
      <w:r w:rsidR="00D471C2" w:rsidRPr="00D471C2">
        <w:t xml:space="preserve"> </w:t>
      </w:r>
      <w:r>
        <w:t xml:space="preserve">magnitudes and stress drops </w:t>
      </w:r>
      <w:r w:rsidR="00D471C2" w:rsidRPr="00D471C2">
        <w:t xml:space="preserve">is </w:t>
      </w:r>
      <w:r w:rsidR="00914C50">
        <w:t xml:space="preserve">fundamental for seismological research. </w:t>
      </w:r>
      <w:r>
        <w:t xml:space="preserve">Stress drop is </w:t>
      </w:r>
      <w:r w:rsidR="00707CB6">
        <w:t>key</w:t>
      </w:r>
      <w:r>
        <w:t xml:space="preserve"> in studying earthquake self-similarity</w:t>
      </w:r>
      <w:r w:rsidR="00707CB6">
        <w:t xml:space="preserve"> </w:t>
      </w:r>
      <w:r w:rsidR="00C16EA7">
        <w:fldChar w:fldCharType="begin"/>
      </w:r>
      <w:r w:rsidR="003007F9">
        <w:instrText xml:space="preserve"> ADDIN ZOTERO_ITEM CSL_CITATION {"citationID":"oTOqB6zw","properties":{"formattedCitation":"(Ide &amp; Beroza, 2001)","plainCitation":"(Ide &amp; Beroza, 2001)","dontUpdate":true,"noteIndex":0},"citationItems":[{"id":91,"uris":["http://zotero.org/users/6318414/items/9CBJAI9Y"],"itemData":{"id":91,"type":"article-journal","container-title":"Geophysical Research Letters","DOI":"10.1029/2001GL013106","ISSN":"00948276","issue":"17","language":"en","page":"3349-3352","source":"Crossref","title":"Does apparent stress vary with earthquake size?","volume":"28","author":[{"family":"Ide","given":"Satoshi"},{"family":"Beroza","given":"Gregory C."}],"issued":{"date-parts":[["2001",9,1]]}}}],"schema":"https://github.com/citation-style-language/schema/raw/master/csl-citation.json"} </w:instrText>
      </w:r>
      <w:r w:rsidR="00C16EA7">
        <w:fldChar w:fldCharType="separate"/>
      </w:r>
      <w:r w:rsidR="00C16EA7" w:rsidRPr="00C16EA7">
        <w:t>(</w:t>
      </w:r>
      <w:r w:rsidR="00C16EA7">
        <w:t xml:space="preserve">e.g., </w:t>
      </w:r>
      <w:r w:rsidR="00C16EA7" w:rsidRPr="00C16EA7">
        <w:t>Ide &amp; Beroza, 2001)</w:t>
      </w:r>
      <w:r w:rsidR="00C16EA7">
        <w:fldChar w:fldCharType="end"/>
      </w:r>
      <w:r w:rsidR="00707CB6">
        <w:t xml:space="preserve"> and strongly affects ground shaking intensity </w:t>
      </w:r>
      <w:r w:rsidR="00707CB6">
        <w:fldChar w:fldCharType="begin"/>
      </w:r>
      <w:r w:rsidR="003007F9">
        <w:instrText xml:space="preserve"> ADDIN ZOTERO_ITEM CSL_CITATION {"citationID":"GjEeeLMZ","properties":{"formattedCitation":"(Lior &amp; Ziv, 2018)","plainCitation":"(Lior &amp; Ziv, 2018)","dontUpdate":true,"noteIndex":0},"citationItems":[{"id":6,"uris":["http://zotero.org/users/6318414/items/JM4SWJFK"],"itemData":{"id":6,"type":"article-journal","abstract":"Theoretical equations relating the root-mean-square (rms) of the far-ﬁeld ground motions with earthquake source parameters and attenuation are derived for Brune’s omega-squared model that is subject to attenuation. This set of model-based predictions paves the way for a completely new approach for earthquake source parameter inversion and forms the basis for new physics-based ground motion prediction equations (GMPEs). The equations for ground displacement, velocity, and acceleration constitute a set of three independent equations with three unknowns: the seismic moment, the stress drop, and the attenuation parameter. These are used for source parameter inversion that circumvents the time-to-frequency transformation. Initially, the two source parameters and the attenuation constant are solved simultaneously for each seismogram. Sometimes, however, this one-step inversion results in ambiguous solutions. Under such circumstances, the procedure proceeds to a two-step approach, in which a station-speciﬁc attenuation parameter is ﬁrst determined by averaging the set of attenuation parameters obtained from seismograms whose one-step inversion yields well-constrained solutions. Subsequently, the two source parameters are solved using the averaged attenuation parameter. It is concluded that the new scheme is more stable than a frequency domain method, resulting in considerably less within-event source parameter variability. The above results together with rms-to-peak ground motion relations are combined to give ﬁrst-order GMPEs for acceleration, velocity, and displacement. In contrast to empirically based GMPEs, the ones introduced here are extremely simple and readily implementable, even in low-seismicity regions, where the earthquake catalog lacks strong ground motion records.","container-title":"Journal of Geophysical Research: Solid Earth","DOI":"10.1029/2018JB015504","ISSN":"21699313","issue":"7","language":"en","page":"5886-5901","source":"Crossref","title":"The Relation Between Ground Motion, Earthquake Source Parameters, and Attenuation: Implications for Source Parameter Inversion and Ground Motion Prediction Equations","title-short":"The Relation Between Ground Motion, Earthquake Source Parameters, and Attenuation","volume":"123","author":[{"family":"Lior","given":"Itzhak"},{"family":"Ziv","given":"Alon"}],"issued":{"date-parts":[["2018",7]]}}}],"schema":"https://github.com/citation-style-language/schema/raw/master/csl-citation.json"} </w:instrText>
      </w:r>
      <w:r w:rsidR="00707CB6">
        <w:fldChar w:fldCharType="separate"/>
      </w:r>
      <w:r w:rsidR="00707CB6" w:rsidRPr="00707CB6">
        <w:t>(</w:t>
      </w:r>
      <w:r w:rsidR="00C16EA7">
        <w:t xml:space="preserve">e.g., </w:t>
      </w:r>
      <w:r w:rsidR="00707CB6" w:rsidRPr="00707CB6">
        <w:t>Lior &amp; Ziv, 2018)</w:t>
      </w:r>
      <w:r w:rsidR="00707CB6">
        <w:fldChar w:fldCharType="end"/>
      </w:r>
      <w:r w:rsidR="00707CB6">
        <w:t xml:space="preserve">. The estimation of these source parameters is model based, and is </w:t>
      </w:r>
      <w:r w:rsidR="00B438D9">
        <w:t>achieved</w:t>
      </w:r>
      <w:r w:rsidR="00707CB6">
        <w:t xml:space="preserve"> using earthquake observations by isolating source contributions from path and site effects</w:t>
      </w:r>
      <w:r w:rsidR="002D4557">
        <w:t>. Once the source term</w:t>
      </w:r>
      <w:r w:rsidR="00B438D9">
        <w:t xml:space="preserve"> </w:t>
      </w:r>
      <w:r w:rsidR="002D4557">
        <w:t xml:space="preserve">is extracted, it is </w:t>
      </w:r>
      <w:r w:rsidR="00B438D9">
        <w:t>fitt</w:t>
      </w:r>
      <w:r w:rsidR="002D4557">
        <w:t>ed</w:t>
      </w:r>
      <w:r w:rsidR="00B438D9">
        <w:t xml:space="preserve"> with a source model</w:t>
      </w:r>
      <w:r w:rsidR="00161EE9">
        <w:t xml:space="preserve"> either in time </w:t>
      </w:r>
      <w:r w:rsidR="00161EE9">
        <w:fldChar w:fldCharType="begin"/>
      </w:r>
      <w:r w:rsidR="00B81126">
        <w:instrText xml:space="preserve"> ADDIN ZOTERO_ITEM CSL_CITATION {"citationID":"gcLrCOT8","properties":{"formattedCitation":"(Al\\uc0\\u8208{}Ismail et al., 2023; Lior &amp; Ziv, 2018)","plainCitation":"(Al‐Ismail et al., 2023; Lior &amp; Ziv, 2018)","noteIndex":0},"citationItems":[{"id":974,"uris":["http://zotero.org/users/6318414/items/99MJPVG3"],"itemData":{"id":974,"type":"article-journal","abstract":"We determine the seismic moment and corner frequency of earthquakes using narrowband, time‐domain measurements of the maximum shear‐wave displacement amplitude. Each S wave is passed through a set of one‐octave band‐pass filters between 0.25 and 32 Hz to measure the peak amplitude on the horizontal components. Following the development of Richter (1935) local magnitude scale, we derive a functional form of maximum amplitude versus distance, but separately for each frequency band, and use them to estimate wave attenuation as a function of frequency and distance. Attenuation is a strong function of frequency, approximately proportional to 1/f, with path averaged Q increasing (attenuation decreasing) with propagation distance. We use these empirical attenuation curves to correct the time‐domain peak amplitudes to a reference distance of 10 km to recover the source spectrum. We find that the spectral shape is consistent with the Brune model, showing a well‐defined plateau at low frequency and a decay at high frequency proportional to ω−2. We use the median spectrum for stations at distances up to 120 km for each event to measure the moment and corner frequency. This time‐domain method provides a reliable and efficient way to accurately measure earthquake source parameters.","container-title":"Bulletin of the Seismological Society of America","DOI":"10.1785/0120220228","ISSN":"0037-1106","issue":"3","journalAbbreviation":"Bulletin of the Seismological Society of America","page":"1091-1101","source":"Silverchair","title":"A Time‐Domain Approach for Accurate Spectral Source Estimation with Application to Ridgecrest, California, Earthquakes","volume":"113","author":[{"family":"Al‐Ismail","given":"Fatimah"},{"family":"Ellsworth","given":"William L."},{"family":"Beroza","given":"Gregory C."}],"issued":{"date-parts":[["2023",3,3]]}}},{"id":6,"uris":["http://zotero.org/users/6318414/items/JM4SWJFK"],"itemData":{"id":6,"type":"article-journal","abstract":"Theoretical equations relating the root-mean-square (rms) of the far-ﬁeld ground motions with earthquake source parameters and attenuation are derived for Brune’s omega-squared model that is subject to attenuation. This set of model-based predictions paves the way for a completely new approach for earthquake source parameter inversion and forms the basis for new physics-based ground motion prediction equations (GMPEs). The equations for ground displacement, velocity, and acceleration constitute a set of three independent equations with three unknowns: the seismic moment, the stress drop, and the attenuation parameter. These are used for source parameter inversion that circumvents the time-to-frequency transformation. Initially, the two source parameters and the attenuation constant are solved simultaneously for each seismogram. Sometimes, however, this one-step inversion results in ambiguous solutions. Under such circumstances, the procedure proceeds to a two-step approach, in which a station-speciﬁc attenuation parameter is ﬁrst determined by averaging the set of attenuation parameters obtained from seismograms whose one-step inversion yields well-constrained solutions. Subsequently, the two source parameters are solved using the averaged attenuation parameter. It is concluded that the new scheme is more stable than a frequency domain method, resulting in considerably less within-event source parameter variability. The above results together with rms-to-peak ground motion relations are combined to give ﬁrst-order GMPEs for acceleration, velocity, and displacement. In contrast to empirically based GMPEs, the ones introduced here are extremely simple and readily implementable, even in low-seismicity regions, where the earthquake catalog lacks strong ground motion records.","container-title":"Journal of Geophysical Research: Solid Earth","DOI":"10.1029/2018JB015504","ISSN":"21699313","issue":"7","language":"en","page":"5886-5901","source":"Crossref","title":"The Relation Between Ground Motion, Earthquake Source Parameters, and Attenuation: Implications for Source Parameter Inversion and Ground Motion Prediction Equations","title-short":"The Relation Between Ground Motion, Earthquake Source Parameters, and Attenuation","volume":"123","author":[{"family":"Lior","given":"Itzhak"},{"family":"Ziv","given":"Alon"}],"issued":{"date-parts":[["2018",7]]}}}],"schema":"https://github.com/citation-style-language/schema/raw/master/csl-citation.json"} </w:instrText>
      </w:r>
      <w:r w:rsidR="00161EE9">
        <w:fldChar w:fldCharType="separate"/>
      </w:r>
      <w:r w:rsidR="00B81126" w:rsidRPr="00B81126">
        <w:t>(Al‐Ismail et al., 2023; Lior &amp; Ziv, 2018)</w:t>
      </w:r>
      <w:r w:rsidR="00161EE9">
        <w:fldChar w:fldCharType="end"/>
      </w:r>
      <w:r w:rsidR="00161EE9">
        <w:t xml:space="preserve"> or frequency </w:t>
      </w:r>
      <w:r w:rsidR="000A548E">
        <w:fldChar w:fldCharType="begin"/>
      </w:r>
      <w:r w:rsidR="003007F9">
        <w:instrText xml:space="preserve"> ADDIN ZOTERO_ITEM CSL_CITATION {"citationID":"4NR6PzKp","properties":{"formattedCitation":"(Huang et al., 2017; Lior &amp; Ziv, 2017; Shearer et al., 2019)","plainCitation":"(Huang et al., 2017; Lior &amp; Ziv, 2017; Shearer et al., 2019)","dontUpdate":true,"noteIndex":0},"citationItems":[{"id":85,"uris":["http://zotero.org/users/6318414/items/CU7A9C3R"],"itemData":{"id":85,"type":"article-journal","container-title":"Science Advances","DOI":"10.1126/sciadv.1700772","ISSN":"2375-2548","issue":"8","language":"en","page":"e1700772","source":"Crossref","title":"Stress drops of induced and tectonic earthquakes in the central United States are indistinguishable","volume":"3","author":[{"family":"Huang","given":"Yihe"},{"family":"Ellsworth","given":"William L."},{"family":"Beroza","given":"Gregory C."}],"issued":{"date-parts":[["2017",8]]}}},{"id":92,"uris":["http://zotero.org/users/6318414/items/ZXXQP3N8"],"itemData":{"id":92,"type":"article-journal","container-title":"Bulletin of the Seismological Society of America","DOI":"10.1785/0120160251","ISSN":"0037-1106, 1943-3573","issue":"2","language":"en","page":"1012-1018","source":"Crossref","title":"The Relation between Ground Acceleration and Earthquake Source Parameters: Theory and Observations","title-short":"The Relation between Ground Acceleration and Earthquake Source Parameters","volume":"107","author":[{"family":"Lior","given":"Itzhak"},{"family":"Ziv","given":"Alon"}],"issued":{"date-parts":[["2017",4]]}}},{"id":96,"uris":["http://zotero.org/users/6318414/items/R9DS3JNR"],"itemData":{"id":96,"type":"article-journal","abstract":"Empirical Green's functions (EGFs) are widely applied to correct earthquake spectra for attenuation and other path effects in order to estimate corner frequencies and stress drops, but these source parameter estimates often exhibit poor agreement between different studies. We examine this issue by analyzing a compact cluster of over 3,000 aftershocks of the 1992 Landers earthquake. We apply and compare two different analysis and modeling methods: (1) the spectral decomposition and global EGF fitting approach and (2) a more traditional EGF method of modeling spectral ratios. We find that spectral decomposition yields event terms that are consistent with stacks of spectral ratios for individual events, but source parameter estimates nonetheless vary between the methods. The main source of differences comes from the modeling approach used to estimate the EGF. The global EGF-fitting approach suffers from parameter trade-offs among the absolute stress drop, the stress drop scaling with moment, and the high-frequency falloff rate but has the advantage that the relative spectral shapes and stress drops among the different events in the cluster are well resolved even if their absolute levels are not. The spectral ratio approach solves for a different EGF for each target event without imposing any constraint on the corner frequency, fc, of the smaller events, and so can produce biased results for target event fc. Placing constraints on the small-event fc improves the performance of the spectral ratio method and enables the two methods to yield very similar results.","container-title":"Journal of Geophysical Research: Solid Earth","DOI":"10.1029/2018JB016957","ISSN":"2169-9313, 2169-9356","issue":"4","language":"en","page":"3966-3986","source":"Crossref","title":"Comparing EGF Methods for Estimating Corner Frequency and Stress Drop From &lt;i&gt;P&lt;/i&gt; Wave Spectra","volume":"124","author":[{"family":"Shearer","given":"Peter M."},{"family":"Abercrombie","given":"Rachel E."},{"family":"Trugman","given":"Daniel T."},{"family":"Wang","given":"Wei"}],"issued":{"date-parts":[["2019",4]]}}}],"schema":"https://github.com/citation-style-language/schema/raw/master/csl-citation.json"} </w:instrText>
      </w:r>
      <w:r w:rsidR="000A548E">
        <w:fldChar w:fldCharType="separate"/>
      </w:r>
      <w:r w:rsidR="000A548E" w:rsidRPr="000A548E">
        <w:t>(</w:t>
      </w:r>
      <w:r w:rsidR="000A548E">
        <w:t xml:space="preserve">e.g., </w:t>
      </w:r>
      <w:r w:rsidR="000A548E" w:rsidRPr="000A548E">
        <w:t>Huang et al., 2017; Lior &amp; Ziv, 2017; Shearer et al., 2019)</w:t>
      </w:r>
      <w:r w:rsidR="000A548E">
        <w:fldChar w:fldCharType="end"/>
      </w:r>
      <w:r w:rsidR="00161EE9">
        <w:t xml:space="preserve"> domains</w:t>
      </w:r>
      <w:r w:rsidR="00B438D9">
        <w:t xml:space="preserve">. </w:t>
      </w:r>
      <w:r w:rsidR="00161EE9">
        <w:t xml:space="preserve">The most commonly used model is the Omega-squared </w:t>
      </w:r>
      <w:r w:rsidR="00161EE9">
        <w:fldChar w:fldCharType="begin"/>
      </w:r>
      <w:r w:rsidR="00161EE9">
        <w:instrText xml:space="preserve"> ADDIN ZOTERO_ITEM CSL_CITATION {"citationID":"HyzQGShG","properties":{"formattedCitation":"(Boatwright, 1980; Brune, 1970; Madariaga, 1976; Sato &amp; Hirasawa, 1973)","plainCitation":"(Boatwright, 1980; Brune, 1970; Madariaga, 1976; Sato &amp; Hirasawa, 1973)","noteIndex":0},"citationItems":[{"id":99,"uris":["http://zotero.org/users/6318414/items/74KV9IEM"],"itemData":{"id":99,"type":"article-journal","abstract":"The far-field body wave radiation from a class of circular rupture models is investigated as a function of takeoff angle, rupture velocity, and stopping behavior. In particular, the variation of spectral shape, pulse shape, and energy flux over the focal sphere is quantified. These results provide two new methods for estimating the source dimension, the first through the inversion of a characteristic frequency, and the second using the rise time of the displacement pulse shape. The class of kinematic rupture models which has been constructed also allows a direct estimate of the dynamic stress drop using the velocity pulse shape: as an example, this technique is applied to an SMA1 recording of a high stress drop Aleutian earthquake, Finally, the introduction of a new spectral parameter, the integral of the square of the ground velocity, is shown to considerably simplify calculation of the total radiated energy. Together with a re-evaluation of corner frequency and spectral falloff, these new results constitute a spectral theory for circular seismic sources which includes directivity and is valid for a range of subsonic rupture velocities.","container-title":"Bulletin of the Seismological Society of America","DOI":"10.1785/BSSA0700010001","ISSN":"0037-1106","issue":"1","journalAbbreviation":"Bulletin of the Seismological Society of America","page":"1-27","title":"A spectral theory for circular seismic sources; simple estimates of source dimension, dynamic stress drop, and radiated seismic energy","volume":"70","author":[{"family":"Boatwright","given":"John"}],"issued":{"date-parts":[["1980",2,1]]}}},{"id":184,"uris":["http://zotero.org/users/6318414/items/GBH4N795"],"itemData":{"id":184,"type":"article-journal","container-title":"Journal of Geophysical Research","DOI":"10.1029/JB075i026p04997","ISSN":"01480227","issue":"26","language":"en","page":"4997-5009","source":"Crossref","title":"Tectonic stress and the spectra of seismic shear waves from earthquakes","volume":"75","author":[{"family":"Brune","given":"James N."}],"issued":{"date-parts":[["1970",9,10]]}}},{"id":181,"uris":["http://zotero.org/users/6318414/items/M4H9VLIS"],"itemData":{"id":181,"type":"article-journal","abstract":"We study a plane circular model of a frictional fault using numerical methods. The model is dynamic since we specify the effective stress at the fault. In one model we assume that the fault appears instantaneously in the medium; in another, that the rupture nucleates at the center and that rupture proceeds at constant subsonic velocity until it suddenly stops. The total source slip is larger at the center and the rise time is also longer at the center of the fault. The dynamic slip overshoots the static slip by 15 to 35 per cent. As a consequence, the stress drop is larger than the effective stress and the apparent stress is less than one half the effective stress.The far-field radiation is discussed in detail. We distinguish three spectral regions. First, the usual constant low-frequency level. Second, an intermediate region controlled by the fault size and, finally, the high-frequency asymptote. The central region includes the corner frequency and is quite complicated. The corner frequency is shown to be inversely proportional to the width of the far-field displacement pulse which, in turn, is related to the time lag between the stopping phases. The average corner frequency of S waves v0s is related to the final source radius, a, by v0s = 0.21 β/α. The corner frequency of P waves is larger than v0s by an average factor of 1.5.","container-title":"Bulletin of the Seismological Society of America","ISSN":"0037-1106","issue":"3","journalAbbreviation":"Bulletin of the Seismological Society of America","page":"639-666","title":"Dynamics of an expanding circular fault","volume":"66","author":[{"family":"Madariaga","given":"Raul"}],"issued":{"date-parts":[["1976",6,1]]}}},{"id":299,"uris":["http://zotero.org/users/6318414/items/VL36WITA"],"itemData":{"id":299,"type":"article-journal","container-title":"Journal of Physics of the Earth","DOI":"10.4294/jpe1952.21.415","ISSN":"1884-2305, 0022-3743","issue":"4","language":"en","page":"415-431","source":"Crossref","title":"Body wave spectra from propagating shear cracks.","volume":"21","author":[{"family":"Sato","given":"Tamao"},{"family":"Hirasawa","given":"Tomowo"}],"issued":{"date-parts":[["1973"]]}}}],"schema":"https://github.com/citation-style-language/schema/raw/master/csl-citation.json"} </w:instrText>
      </w:r>
      <w:r w:rsidR="00161EE9">
        <w:fldChar w:fldCharType="separate"/>
      </w:r>
      <w:r w:rsidR="00161EE9" w:rsidRPr="00161EE9">
        <w:t>(Boatwright, 1980; Brune, 1970; Madariaga, 1976; Sato &amp; Hirasawa, 1973)</w:t>
      </w:r>
      <w:r w:rsidR="00161EE9">
        <w:fldChar w:fldCharType="end"/>
      </w:r>
      <w:r w:rsidR="00161EE9">
        <w:t>, describing the far-field body-wave (P- or S-wave) radiation. For ground displacement it reads as:</w:t>
      </w:r>
    </w:p>
    <w:tbl>
      <w:tblPr>
        <w:tblW w:w="8856" w:type="dxa"/>
        <w:jc w:val="center"/>
        <w:tblBorders>
          <w:top w:val="nil"/>
          <w:left w:val="nil"/>
          <w:bottom w:val="nil"/>
          <w:right w:val="nil"/>
          <w:insideH w:val="nil"/>
          <w:insideV w:val="nil"/>
        </w:tblBorders>
        <w:tblLayout w:type="fixed"/>
        <w:tblLook w:val="0400" w:firstRow="0" w:lastRow="0" w:firstColumn="0" w:lastColumn="0" w:noHBand="0" w:noVBand="1"/>
      </w:tblPr>
      <w:tblGrid>
        <w:gridCol w:w="7338"/>
        <w:gridCol w:w="1518"/>
      </w:tblGrid>
      <w:tr w:rsidR="00161EE9" w:rsidRPr="00F46723" w14:paraId="52E71E99" w14:textId="77777777" w:rsidTr="00E94DEA">
        <w:trPr>
          <w:trHeight w:val="498"/>
          <w:jc w:val="center"/>
        </w:trPr>
        <w:tc>
          <w:tcPr>
            <w:tcW w:w="7338" w:type="dxa"/>
            <w:vAlign w:val="center"/>
          </w:tcPr>
          <w:p w14:paraId="4BDFA040" w14:textId="5F36A839" w:rsidR="00161EE9" w:rsidRPr="00F46723" w:rsidRDefault="00161EE9" w:rsidP="0075573E">
            <w:pPr>
              <w:widowControl w:val="0"/>
              <w:spacing w:before="120"/>
              <w:ind w:firstLine="720"/>
              <w:jc w:val="center"/>
              <w:rPr>
                <w:rFonts w:asciiTheme="minorBidi" w:hAnsiTheme="minorBidi"/>
                <w:sz w:val="22"/>
                <w:szCs w:val="22"/>
              </w:rPr>
            </w:pPr>
            <m:oMath>
              <m:r>
                <m:rPr>
                  <m:sty m:val="p"/>
                </m:rPr>
                <w:rPr>
                  <w:rFonts w:ascii="Cambria Math" w:eastAsia="Cambria Math" w:hAnsi="Cambria Math"/>
                  <w:color w:val="000000"/>
                  <w:sz w:val="22"/>
                  <w:szCs w:val="22"/>
                </w:rPr>
                <m:t>Ω</m:t>
              </m:r>
              <m:d>
                <m:dPr>
                  <m:ctrlPr>
                    <w:rPr>
                      <w:rFonts w:ascii="Cambria Math" w:eastAsia="Cambria Math" w:hAnsi="Cambria Math"/>
                      <w:i/>
                      <w:color w:val="000000"/>
                      <w:sz w:val="22"/>
                      <w:szCs w:val="22"/>
                    </w:rPr>
                  </m:ctrlPr>
                </m:dPr>
                <m:e>
                  <m:r>
                    <w:rPr>
                      <w:rFonts w:ascii="Cambria Math" w:eastAsia="Cambria Math" w:hAnsi="Cambria Math"/>
                      <w:color w:val="000000"/>
                      <w:sz w:val="22"/>
                      <w:szCs w:val="22"/>
                    </w:rPr>
                    <m:t>f</m:t>
                  </m:r>
                </m:e>
              </m:d>
              <m:r>
                <w:rPr>
                  <w:rFonts w:ascii="Cambria Math" w:eastAsia="Cambria Math" w:hAnsi="Cambria Math"/>
                  <w:color w:val="000000"/>
                  <w:sz w:val="22"/>
                  <w:szCs w:val="22"/>
                </w:rPr>
                <m:t>=</m:t>
              </m:r>
              <m:f>
                <m:fPr>
                  <m:ctrlPr>
                    <w:rPr>
                      <w:rFonts w:ascii="Cambria Math" w:eastAsia="Cambria Math" w:hAnsi="Cambria Math"/>
                      <w:i/>
                      <w:color w:val="000000"/>
                      <w:sz w:val="22"/>
                      <w:szCs w:val="22"/>
                    </w:rPr>
                  </m:ctrlPr>
                </m:fPr>
                <m:num>
                  <m:sSub>
                    <m:sSubPr>
                      <m:ctrlPr>
                        <w:rPr>
                          <w:rFonts w:ascii="Cambria Math" w:eastAsia="Cambria Math" w:hAnsi="Cambria Math"/>
                          <w:i/>
                          <w:color w:val="000000"/>
                          <w:sz w:val="22"/>
                          <w:szCs w:val="22"/>
                        </w:rPr>
                      </m:ctrlPr>
                    </m:sSubPr>
                    <m:e>
                      <m:r>
                        <m:rPr>
                          <m:sty m:val="p"/>
                        </m:rPr>
                        <w:rPr>
                          <w:rFonts w:ascii="Cambria Math" w:eastAsia="Cambria Math" w:hAnsi="Cambria Math"/>
                          <w:color w:val="000000"/>
                          <w:sz w:val="22"/>
                          <w:szCs w:val="22"/>
                        </w:rPr>
                        <m:t>Ω</m:t>
                      </m:r>
                      <m:ctrlPr>
                        <w:rPr>
                          <w:rFonts w:ascii="Cambria Math" w:eastAsia="Cambria Math" w:hAnsi="Cambria Math"/>
                          <w:color w:val="000000"/>
                          <w:sz w:val="22"/>
                          <w:szCs w:val="22"/>
                        </w:rPr>
                      </m:ctrlPr>
                    </m:e>
                    <m:sub>
                      <m:r>
                        <w:rPr>
                          <w:rFonts w:ascii="Cambria Math" w:eastAsia="Cambria Math" w:hAnsi="Cambria Math"/>
                          <w:color w:val="000000"/>
                          <w:sz w:val="22"/>
                          <w:szCs w:val="22"/>
                        </w:rPr>
                        <m:t>0</m:t>
                      </m:r>
                    </m:sub>
                  </m:sSub>
                  <m:sSub>
                    <m:sSubPr>
                      <m:ctrlPr>
                        <w:rPr>
                          <w:rFonts w:ascii="Cambria Math" w:eastAsia="Cambria Math" w:hAnsi="Cambria Math"/>
                          <w:i/>
                          <w:color w:val="000000"/>
                          <w:sz w:val="22"/>
                          <w:szCs w:val="22"/>
                        </w:rPr>
                      </m:ctrlPr>
                    </m:sSubPr>
                    <m:e>
                      <m:r>
                        <w:rPr>
                          <w:rFonts w:ascii="Cambria Math" w:eastAsia="Cambria Math" w:hAnsi="Cambria Math"/>
                          <w:color w:val="000000"/>
                          <w:sz w:val="22"/>
                          <w:szCs w:val="22"/>
                        </w:rPr>
                        <m:t>U</m:t>
                      </m:r>
                    </m:e>
                    <m:sub>
                      <m:r>
                        <w:rPr>
                          <w:rFonts w:ascii="Cambria Math" w:eastAsia="Cambria Math" w:hAnsi="Cambria Math"/>
                          <w:color w:val="000000"/>
                          <w:sz w:val="22"/>
                          <w:szCs w:val="22"/>
                        </w:rPr>
                        <m:t>ϕθ</m:t>
                      </m:r>
                    </m:sub>
                  </m:sSub>
                  <m:ctrlPr>
                    <w:rPr>
                      <w:rFonts w:ascii="Cambria Math" w:hAnsi="Cambria Math"/>
                      <w:i/>
                      <w:sz w:val="22"/>
                      <w:szCs w:val="22"/>
                    </w:rPr>
                  </m:ctrlPr>
                </m:num>
                <m:den>
                  <m:sSup>
                    <m:sSupPr>
                      <m:ctrlPr>
                        <w:rPr>
                          <w:rFonts w:ascii="Cambria Math" w:hAnsi="Cambria Math"/>
                          <w:i/>
                          <w:sz w:val="22"/>
                          <w:szCs w:val="22"/>
                        </w:rPr>
                      </m:ctrlPr>
                    </m:sSupPr>
                    <m:e>
                      <m:d>
                        <m:dPr>
                          <m:begChr m:val="["/>
                          <m:endChr m:val="]"/>
                          <m:ctrlPr>
                            <w:rPr>
                              <w:rFonts w:ascii="Cambria Math" w:hAnsi="Cambria Math"/>
                              <w:i/>
                              <w:sz w:val="22"/>
                              <w:szCs w:val="22"/>
                            </w:rPr>
                          </m:ctrlPr>
                        </m:dPr>
                        <m:e>
                          <m:r>
                            <w:rPr>
                              <w:rFonts w:ascii="Cambria Math" w:hAnsi="Cambria Math"/>
                              <w:sz w:val="22"/>
                              <w:szCs w:val="22"/>
                            </w:rPr>
                            <m:t>1+</m:t>
                          </m:r>
                          <m:sSup>
                            <m:sSupPr>
                              <m:ctrlPr>
                                <w:rPr>
                                  <w:rFonts w:ascii="Cambria Math" w:hAnsi="Cambria Math"/>
                                  <w:i/>
                                  <w:sz w:val="22"/>
                                  <w:szCs w:val="22"/>
                                </w:rPr>
                              </m:ctrlPr>
                            </m:sSupPr>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f</m:t>
                                      </m:r>
                                    </m:num>
                                    <m:den>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0</m:t>
                                          </m:r>
                                        </m:sub>
                                      </m:sSub>
                                    </m:den>
                                  </m:f>
                                </m:e>
                              </m:d>
                            </m:e>
                            <m:sup>
                              <m:r>
                                <w:rPr>
                                  <w:rFonts w:ascii="Cambria Math" w:hAnsi="Cambria Math"/>
                                  <w:sz w:val="22"/>
                                  <w:szCs w:val="22"/>
                                </w:rPr>
                                <m:t>2γ</m:t>
                              </m:r>
                            </m:sup>
                          </m:sSup>
                        </m:e>
                      </m:d>
                      <m:ctrlPr>
                        <w:rPr>
                          <w:rFonts w:ascii="Cambria Math" w:eastAsia="Cambria Math" w:hAnsi="Cambria Math"/>
                          <w:i/>
                          <w:color w:val="000000"/>
                          <w:sz w:val="22"/>
                          <w:szCs w:val="22"/>
                        </w:rPr>
                      </m:ctrlPr>
                    </m:e>
                    <m:sup>
                      <m:r>
                        <w:rPr>
                          <w:rFonts w:ascii="Cambria Math" w:eastAsia="Cambria Math" w:hAnsi="Cambria Math"/>
                          <w:color w:val="000000"/>
                          <w:sz w:val="22"/>
                          <w:szCs w:val="22"/>
                        </w:rPr>
                        <m:t>1/γ</m:t>
                      </m:r>
                    </m:sup>
                  </m:sSup>
                </m:den>
              </m:f>
            </m:oMath>
            <w:r w:rsidR="007C36E3">
              <w:rPr>
                <w:rFonts w:asciiTheme="minorBidi" w:hAnsiTheme="minorBidi"/>
                <w:color w:val="000000"/>
                <w:sz w:val="22"/>
                <w:szCs w:val="22"/>
              </w:rPr>
              <w:t xml:space="preserve"> </w:t>
            </w:r>
            <w:r w:rsidRPr="00F46723">
              <w:rPr>
                <w:rFonts w:asciiTheme="minorBidi" w:hAnsiTheme="minorBidi"/>
                <w:sz w:val="22"/>
                <w:szCs w:val="22"/>
              </w:rPr>
              <w:t>,</w:t>
            </w:r>
          </w:p>
        </w:tc>
        <w:tc>
          <w:tcPr>
            <w:tcW w:w="1518" w:type="dxa"/>
            <w:vAlign w:val="center"/>
          </w:tcPr>
          <w:p w14:paraId="5D139279" w14:textId="653F967F" w:rsidR="00161EE9" w:rsidRPr="00064ABC" w:rsidRDefault="00161EE9" w:rsidP="0075573E">
            <w:pPr>
              <w:widowControl w:val="0"/>
              <w:spacing w:before="120"/>
              <w:ind w:firstLine="720"/>
              <w:jc w:val="center"/>
              <w:rPr>
                <w:rFonts w:asciiTheme="majorBidi" w:hAnsiTheme="majorBidi" w:cstheme="majorBidi"/>
                <w:sz w:val="24"/>
                <w:szCs w:val="24"/>
              </w:rPr>
            </w:pPr>
            <w:r w:rsidRPr="00064ABC">
              <w:rPr>
                <w:rFonts w:asciiTheme="majorBidi" w:hAnsiTheme="majorBidi" w:cstheme="majorBidi"/>
                <w:sz w:val="24"/>
                <w:szCs w:val="24"/>
              </w:rPr>
              <w:t>(</w:t>
            </w:r>
            <w:bookmarkStart w:id="2" w:name="EQ_omega_squared"/>
            <w:r w:rsidRPr="00064ABC">
              <w:rPr>
                <w:rFonts w:asciiTheme="majorBidi" w:hAnsiTheme="majorBidi" w:cstheme="majorBidi"/>
                <w:sz w:val="24"/>
                <w:szCs w:val="24"/>
              </w:rPr>
              <w:fldChar w:fldCharType="begin"/>
            </w:r>
            <w:r w:rsidRPr="00064ABC">
              <w:rPr>
                <w:rFonts w:asciiTheme="majorBidi" w:hAnsiTheme="majorBidi" w:cstheme="majorBidi"/>
                <w:sz w:val="24"/>
                <w:szCs w:val="24"/>
              </w:rPr>
              <w:instrText xml:space="preserve"> seq equation </w:instrText>
            </w:r>
            <w:r w:rsidRPr="00064ABC">
              <w:rPr>
                <w:rFonts w:asciiTheme="majorBidi" w:hAnsiTheme="majorBidi" w:cstheme="majorBidi"/>
                <w:sz w:val="24"/>
                <w:szCs w:val="24"/>
              </w:rPr>
              <w:fldChar w:fldCharType="separate"/>
            </w:r>
            <w:r w:rsidR="001F33E5">
              <w:rPr>
                <w:rFonts w:asciiTheme="majorBidi" w:hAnsiTheme="majorBidi" w:cstheme="majorBidi"/>
                <w:noProof/>
                <w:sz w:val="24"/>
                <w:szCs w:val="24"/>
              </w:rPr>
              <w:t>1</w:t>
            </w:r>
            <w:r w:rsidRPr="00064ABC">
              <w:rPr>
                <w:rFonts w:asciiTheme="majorBidi" w:hAnsiTheme="majorBidi" w:cstheme="majorBidi"/>
                <w:sz w:val="24"/>
                <w:szCs w:val="24"/>
              </w:rPr>
              <w:fldChar w:fldCharType="end"/>
            </w:r>
            <w:bookmarkEnd w:id="2"/>
            <w:r w:rsidRPr="00064ABC">
              <w:rPr>
                <w:rFonts w:asciiTheme="majorBidi" w:hAnsiTheme="majorBidi" w:cstheme="majorBidi"/>
                <w:sz w:val="24"/>
                <w:szCs w:val="24"/>
              </w:rPr>
              <w:t>)</w:t>
            </w:r>
          </w:p>
        </w:tc>
      </w:tr>
    </w:tbl>
    <w:p w14:paraId="42177F2F" w14:textId="473DBE7B" w:rsidR="00161EE9" w:rsidRDefault="0049546B" w:rsidP="0075573E">
      <w:pPr>
        <w:pStyle w:val="Text"/>
        <w:ind w:firstLine="0"/>
      </w:pPr>
      <w:r w:rsidRPr="0049546B">
        <w:t xml:space="preserve">where </w:t>
      </w:r>
      <m:oMath>
        <m:r>
          <w:rPr>
            <w:rFonts w:ascii="Cambria Math" w:hAnsi="Cambria Math"/>
          </w:rPr>
          <m:t>γ</m:t>
        </m:r>
      </m:oMath>
      <w:r w:rsidRPr="0049546B">
        <w:t xml:space="preserve"> equals 1 </w:t>
      </w:r>
      <w:r w:rsidRPr="0049546B">
        <w:fldChar w:fldCharType="begin"/>
      </w:r>
      <w:r w:rsidRPr="0049546B">
        <w:instrText xml:space="preserve"> ADDIN ZOTERO_ITEM CSL_CITATION {"citationID":"WjlcUKSH","properties":{"formattedCitation":"(Brune, 1970)","plainCitation":"(Brune, 1970)","noteIndex":0},"citationItems":[{"id":184,"uris":["http://zotero.org/users/6318414/items/GBH4N795"],"itemData":{"id":184,"type":"article-journal","container-title":"Journal of Geophysical Research","DOI":"10.1029/JB075i026p04997","ISSN":"01480227","issue":"26","language":"en","page":"4997-5009","source":"Crossref","title":"Tectonic stress and the spectra of seismic shear waves from earthquakes","volume":"75","author":[{"family":"Brune","given":"James N."}],"issued":{"date-parts":[["1970",9,10]]}}}],"schema":"https://github.com/citation-style-language/schema/raw/master/csl-citation.json"} </w:instrText>
      </w:r>
      <w:r w:rsidRPr="0049546B">
        <w:fldChar w:fldCharType="separate"/>
      </w:r>
      <w:r w:rsidRPr="0049546B">
        <w:t>(Brune, 1970)</w:t>
      </w:r>
      <w:r w:rsidRPr="0049546B">
        <w:fldChar w:fldCharType="end"/>
      </w:r>
      <w:r w:rsidRPr="0049546B">
        <w:t xml:space="preserve"> or 2 </w:t>
      </w:r>
      <w:r w:rsidRPr="0049546B">
        <w:fldChar w:fldCharType="begin"/>
      </w:r>
      <w:r w:rsidRPr="0049546B">
        <w:instrText xml:space="preserve"> ADDIN ZOTERO_ITEM CSL_CITATION {"citationID":"PmwkFQcJ","properties":{"formattedCitation":"(Boatwright, 1980)","plainCitation":"(Boatwright, 1980)","noteIndex":0},"citationItems":[{"id":99,"uris":["http://zotero.org/users/6318414/items/74KV9IEM"],"itemData":{"id":99,"type":"article-journal","abstract":"The far-field body wave radiation from a class of circular rupture models is investigated as a function of takeoff angle, rupture velocity, and stopping behavior. In particular, the variation of spectral shape, pulse shape, and energy flux over the focal sphere is quantified. These results provide two new methods for estimating the source dimension, the first through the inversion of a characteristic frequency, and the second using the rise time of the displacement pulse shape. The class of kinematic rupture models which has been constructed also allows a direct estimate of the dynamic stress drop using the velocity pulse shape: as an example, this technique is applied to an SMA1 recording of a high stress drop Aleutian earthquake, Finally, the introduction of a new spectral parameter, the integral of the square of the ground velocity, is shown to considerably simplify calculation of the total radiated energy. Together with a re-evaluation of corner frequency and spectral falloff, these new results constitute a spectral theory for circular seismic sources which includes directivity and is valid for a range of subsonic rupture velocities.","container-title":"Bulletin of the Seismological Society of America","DOI":"10.1785/BSSA0700010001","ISSN":"0037-1106","issue":"1","journalAbbreviation":"Bulletin of the Seismological Society of America","page":"1-27","title":"A spectral theory for circular seismic sources; simple estimates of source dimension, dynamic stress drop, and radiated seismic energy","volume":"70","author":[{"family":"Boatwright","given":"John"}],"issued":{"date-parts":[["1980",2,1]]}}}],"schema":"https://github.com/citation-style-language/schema/raw/master/csl-citation.json"} </w:instrText>
      </w:r>
      <w:r w:rsidRPr="0049546B">
        <w:fldChar w:fldCharType="separate"/>
      </w:r>
      <w:r w:rsidRPr="0049546B">
        <w:t>(Boatwright, 1980)</w:t>
      </w:r>
      <w:r w:rsidRPr="0049546B">
        <w:fldChar w:fldCharType="end"/>
      </w:r>
      <w:r w:rsidRPr="0049546B">
        <w:t xml:space="preserve">, </w:t>
      </w:r>
      <m:oMath>
        <m:sSub>
          <m:sSubPr>
            <m:ctrlPr>
              <w:rPr>
                <w:rFonts w:ascii="Cambria Math" w:hAnsi="Cambria Math"/>
              </w:rPr>
            </m:ctrlPr>
          </m:sSubPr>
          <m:e>
            <m:r>
              <w:rPr>
                <w:rFonts w:ascii="Cambria Math" w:hAnsi="Cambria Math"/>
              </w:rPr>
              <m:t>f</m:t>
            </m:r>
          </m:e>
          <m:sub>
            <m:r>
              <m:rPr>
                <m:sty m:val="p"/>
              </m:rPr>
              <w:rPr>
                <w:rFonts w:ascii="Cambria Math" w:hAnsi="Cambria Math"/>
              </w:rPr>
              <m:t>0</m:t>
            </m:r>
          </m:sub>
        </m:sSub>
      </m:oMath>
      <w:r w:rsidRPr="0049546B">
        <w:t xml:space="preserve"> is the source corner frequency,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0</m:t>
            </m:r>
          </m:sub>
        </m:sSub>
      </m:oMath>
      <w:r w:rsidR="00B81126" w:rsidRPr="0049546B">
        <w:t xml:space="preserve"> is the low frequency displacement spectral plateau</w:t>
      </w:r>
      <w:r w:rsidR="00B81126">
        <w:t xml:space="preserve">, and </w:t>
      </w:r>
      <m:oMath>
        <m:sSub>
          <m:sSubPr>
            <m:ctrlPr>
              <w:rPr>
                <w:rFonts w:ascii="Cambria Math" w:eastAsia="Cambria Math" w:hAnsi="Cambria Math"/>
              </w:rPr>
            </m:ctrlPr>
          </m:sSubPr>
          <m:e>
            <m:r>
              <w:rPr>
                <w:rFonts w:ascii="Cambria Math" w:eastAsia="Cambria Math" w:hAnsi="Cambria Math"/>
              </w:rPr>
              <m:t>U</m:t>
            </m:r>
          </m:e>
          <m:sub>
            <m:r>
              <w:rPr>
                <w:rFonts w:ascii="Cambria Math" w:eastAsia="Cambria Math" w:hAnsi="Cambria Math"/>
              </w:rPr>
              <m:t>ϕθ</m:t>
            </m:r>
          </m:sub>
        </m:sSub>
      </m:oMath>
      <w:r w:rsidR="000A1238" w:rsidRPr="000A1238">
        <w:t xml:space="preserve"> is the radiation pattern</w:t>
      </w:r>
      <w:r>
        <w:t xml:space="preserve">. </w:t>
      </w:r>
      <w:r w:rsidR="000A1238" w:rsidRPr="000A1238">
        <w:t xml:space="preserve">The </w:t>
      </w:r>
      <w:r w:rsidR="00BF6125">
        <w:t>latter</w:t>
      </w:r>
      <w:r w:rsidR="000A1238" w:rsidRPr="000A1238">
        <w:t xml:space="preserve"> is a function of the focal mechanism, azimuth and take-off angle </w:t>
      </w:r>
      <w:r w:rsidR="000A1238">
        <w:t>from</w:t>
      </w:r>
      <w:r w:rsidR="000A1238" w:rsidRPr="000A1238">
        <w:t xml:space="preserve"> the source</w:t>
      </w:r>
      <w:r w:rsidR="000A1238">
        <w:t xml:space="preserve"> </w:t>
      </w:r>
      <w:r w:rsidR="000A1238">
        <w:fldChar w:fldCharType="begin"/>
      </w:r>
      <w:r w:rsidR="000A1238">
        <w:instrText xml:space="preserve"> ADDIN ZOTERO_ITEM CSL_CITATION {"citationID":"7gosUzEY","properties":{"formattedCitation":"(Aki &amp; Richards, 2002; Kaneko &amp; Shearer, 2015)","plainCitation":"(Aki &amp; Richards, 2002; Kaneko &amp; Shearer, 2015)","noteIndex":0},"citationItems":[{"id":239,"uris":["http://zotero.org/users/6318414/items/PQA5LTHT"],"itemData":{"id":239,"type":"book","call-number":"QE539.2.M37 A45 2002","edition":"2nd ed","event-place":"Sausalito, Calif","ISBN":"978-0-935702-96-5","number-of-pages":"700","publisher":"University Science Books","publisher-place":"Sausalito, Calif","source":"Library of Congress ISBN","title":"Quantitative seismology","author":[{"family":"Aki","given":"Keiiti"},{"family":"Richards","given":"Paul G."}],"issued":{"date-parts":[["2002"]]}}},{"id":101,"uris":["http://zotero.org/users/6318414/items/R5UJDUAF"],"itemData":{"id":101,"type":"article-journal","abstract":"Large variability of earthquake stress drops and scaled energy has been commonly reported in the literature, but it is diﬃcult to assess how much of this variability is caused by underlying physical source processes rather than simply observational uncertainties. Here we examine a variety of dynamically realistic rupture scenarios for circular and elliptical faults and investigate to what extent the variability in seismically estimated stress drops and scaled energy comes from diﬀerences in source geometry, rupture directivity, and rupture speeds. We numerically simulate earthquake source scenarios using a cohesive-zone model with the small-scale yielding limit, where the solution approaches a singular crack model with spontaneous healing of slip. Compared to symmetrical circular source models, asymmetrical models result in larger variability of estimated corner frequencies and scaled energy over the focal sphere. The general behavior of the spherical averages of corner frequencies and scaled energy in the subshear regime extends to the supershear regime, although shear Mach waves generated by the propagation of supershear rupture lead to much higher corner frequency and scaled energy estimates locally. Our results suggest that at least a factor of 2 diﬀerence in the spherical average of corner frequencies is expected in observational studies simply from variability in source characteristics almost independent of the actual stress drops, translating into a factor of 8 diﬀerence in estimated stress drops. Furthermore, radiation eﬃciency estimates derived from observed seismic spectra should not be directly interpreted as describing rupture properties unless there are independent constraints on rupture speed and geometry.","container-title":"Journal of Geophysical Research: Solid Earth","DOI":"10.1002/2014JB011642","ISSN":"2169-9313, 2169-9356","issue":"2","language":"en","page":"1053-1079","source":"Crossref","title":"Variability of seismic source spectra, estimated stress drop, and radiated energy, derived from cohesive‐zone models of symmetrical and asymmetrical circular and elliptical ruptures","volume":"120","author":[{"family":"Kaneko","given":"Y."},{"family":"Shearer","given":"P. M."}],"issued":{"date-parts":[["2015",2]]}}}],"schema":"https://github.com/citation-style-language/schema/raw/master/csl-citation.json"} </w:instrText>
      </w:r>
      <w:r w:rsidR="000A1238">
        <w:fldChar w:fldCharType="separate"/>
      </w:r>
      <w:r w:rsidR="000A1238" w:rsidRPr="000A1238">
        <w:t>(Aki &amp; Richards, 2002; Kaneko &amp; Shearer, 2015)</w:t>
      </w:r>
      <w:r w:rsidR="000A1238">
        <w:fldChar w:fldCharType="end"/>
      </w:r>
      <w:r w:rsidR="000A1238">
        <w:t xml:space="preserve">. </w:t>
      </w:r>
      <m:oMath>
        <m:sSub>
          <m:sSubPr>
            <m:ctrlPr>
              <w:rPr>
                <w:rFonts w:ascii="Cambria Math" w:eastAsia="Cambria Math" w:hAnsi="Cambria Math"/>
              </w:rPr>
            </m:ctrlPr>
          </m:sSubPr>
          <m:e>
            <m:r>
              <m:rPr>
                <m:sty m:val="p"/>
              </m:rPr>
              <w:rPr>
                <w:rFonts w:ascii="Cambria Math" w:eastAsia="Cambria Math" w:hAnsi="Cambria Math"/>
              </w:rPr>
              <m:t>Ω</m:t>
            </m:r>
          </m:e>
          <m:sub>
            <m:r>
              <m:rPr>
                <m:sty m:val="p"/>
              </m:rPr>
              <w:rPr>
                <w:rFonts w:ascii="Cambria Math" w:eastAsia="Cambria Math" w:hAnsi="Cambria Math"/>
              </w:rPr>
              <m:t>0</m:t>
            </m:r>
          </m:sub>
        </m:sSub>
      </m:oMath>
      <w:r w:rsidR="000A1238" w:rsidRPr="000A1238">
        <w:t xml:space="preserve"> is proportional to the seismic moment </w:t>
      </w:r>
      <m:oMath>
        <m:sSub>
          <m:sSubPr>
            <m:ctrlPr>
              <w:rPr>
                <w:rFonts w:ascii="Cambria Math" w:hAnsi="Cambria Math"/>
              </w:rPr>
            </m:ctrlPr>
          </m:sSubPr>
          <m:e>
            <m:r>
              <w:rPr>
                <w:rFonts w:ascii="Cambria Math" w:hAnsi="Cambria Math"/>
              </w:rPr>
              <m:t>M</m:t>
            </m:r>
          </m:e>
          <m:sub>
            <m:r>
              <m:rPr>
                <m:sty m:val="p"/>
              </m:rPr>
              <w:rPr>
                <w:rFonts w:ascii="Cambria Math" w:hAnsi="Cambria Math"/>
              </w:rPr>
              <m:t>0</m:t>
            </m:r>
          </m:sub>
        </m:sSub>
      </m:oMath>
      <w:r w:rsidR="000A1238" w:rsidRPr="000A1238">
        <w:t xml:space="preserve"> divided by the </w:t>
      </w:r>
      <w:r w:rsidR="000A1238" w:rsidRPr="000A1238">
        <w:lastRenderedPageBreak/>
        <w:t xml:space="preserve">hypocentral location </w:t>
      </w:r>
      <m:oMath>
        <m:r>
          <w:rPr>
            <w:rFonts w:ascii="Cambria Math" w:hAnsi="Cambria Math"/>
          </w:rPr>
          <m:t>R</m:t>
        </m:r>
      </m:oMath>
      <w:r w:rsidR="000A1238" w:rsidRPr="000A1238">
        <w:t xml:space="preserve"> (</w:t>
      </w:r>
      <m:oMath>
        <m:sSub>
          <m:sSubPr>
            <m:ctrlPr>
              <w:rPr>
                <w:rFonts w:ascii="Cambria Math" w:hAnsi="Cambria Math"/>
                <w:i/>
              </w:rPr>
            </m:ctrlPr>
          </m:sSubPr>
          <m:e>
            <m:r>
              <m:rPr>
                <m:sty m:val="p"/>
              </m:rPr>
              <w:rPr>
                <w:rFonts w:ascii="Cambria Math" w:hAnsi="Cambria Math"/>
              </w:rPr>
              <m:t>Ω</m:t>
            </m:r>
            <m:ctrlPr>
              <w:rPr>
                <w:rFonts w:ascii="Cambria Math" w:hAnsi="Cambria Math"/>
              </w:rPr>
            </m:ctrlPr>
          </m:e>
          <m:sub>
            <m:r>
              <w:rPr>
                <w:rFonts w:ascii="Cambria Math" w:hAnsi="Cambria Math"/>
              </w:rPr>
              <m:t>0</m:t>
            </m:r>
          </m:sub>
        </m:sSub>
        <m: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0</m:t>
            </m:r>
          </m:sub>
        </m:sSub>
        <m:r>
          <m:rPr>
            <m:sty m:val="p"/>
          </m:rPr>
          <w:rPr>
            <w:rFonts w:ascii="Cambria Math" w:hAnsi="Cambria Math"/>
          </w:rPr>
          <m:t>/</m:t>
        </m:r>
        <m:r>
          <w:rPr>
            <w:rFonts w:ascii="Cambria Math" w:hAnsi="Cambria Math"/>
          </w:rPr>
          <m:t>R</m:t>
        </m:r>
      </m:oMath>
      <w:r w:rsidR="000A1238" w:rsidRPr="000A1238">
        <w:t>), and to parameters that describe the</w:t>
      </w:r>
      <w:r w:rsidR="000A1238">
        <w:t xml:space="preserve"> </w:t>
      </w:r>
      <w:r w:rsidR="000A1238" w:rsidRPr="000A1238">
        <w:t>media</w:t>
      </w:r>
      <w:r w:rsidR="000A1238">
        <w:t xml:space="preserve"> (free surface amplification factor and density and velocity at the source</w:t>
      </w:r>
      <w:r w:rsidR="000A1238" w:rsidRPr="000A1238">
        <w:t>)</w:t>
      </w:r>
      <w:r w:rsidR="000A1238">
        <w:t>.</w:t>
      </w:r>
      <w:r w:rsidR="003B63DC">
        <w:t xml:space="preserve"> Stress drop is commonly estimated assuming a </w:t>
      </w:r>
      <w:r w:rsidR="008C5D5B">
        <w:t>simple circular crack with uniform rupture velocity</w:t>
      </w:r>
      <w:r w:rsidR="00EA1DC5">
        <w:t xml:space="preserve"> </w:t>
      </w:r>
      <w:r w:rsidR="00EA1DC5">
        <w:fldChar w:fldCharType="begin"/>
      </w:r>
      <w:r w:rsidR="00EA1DC5">
        <w:instrText xml:space="preserve"> ADDIN ZOTERO_ITEM CSL_CITATION {"citationID":"O6uNemLC","properties":{"formattedCitation":"(Eshelby, 1957)","plainCitation":"(Eshelby, 1957)","noteIndex":0},"citationItems":[{"id":292,"uris":["http://zotero.org/users/6318414/items/DV5GFKRU"],"itemData":{"id":292,"type":"article-journal","container-title":"Proceedings of the Royal Society of London. Series A. Mathematical and Physical Sciences","DOI":"10.1098/rspa.1957.0133","ISSN":"0080-4630, 2053-9169","issue":"1226","language":"en","page":"376-396","source":"Crossref","title":"The determination of the elastic field of an ellipsoidal inclusion, and related problems","volume":"241","author":[{"family":"Eshelby","given":"John Douglas"}],"issued":{"date-parts":[["1957",8,20]]}}}],"schema":"https://github.com/citation-style-language/schema/raw/master/csl-citation.json"} </w:instrText>
      </w:r>
      <w:r w:rsidR="00EA1DC5">
        <w:fldChar w:fldCharType="separate"/>
      </w:r>
      <w:r w:rsidR="00EA1DC5" w:rsidRPr="00EA1DC5">
        <w:t>(Eshelby, 1957)</w:t>
      </w:r>
      <w:r w:rsidR="00EA1DC5">
        <w:fldChar w:fldCharType="end"/>
      </w:r>
      <w:r w:rsidR="00EA1DC5">
        <w:t>:</w:t>
      </w:r>
    </w:p>
    <w:tbl>
      <w:tblPr>
        <w:tblW w:w="8856" w:type="dxa"/>
        <w:jc w:val="center"/>
        <w:tblBorders>
          <w:top w:val="nil"/>
          <w:left w:val="nil"/>
          <w:bottom w:val="nil"/>
          <w:right w:val="nil"/>
          <w:insideH w:val="nil"/>
          <w:insideV w:val="nil"/>
        </w:tblBorders>
        <w:tblLayout w:type="fixed"/>
        <w:tblLook w:val="0400" w:firstRow="0" w:lastRow="0" w:firstColumn="0" w:lastColumn="0" w:noHBand="0" w:noVBand="1"/>
      </w:tblPr>
      <w:tblGrid>
        <w:gridCol w:w="7338"/>
        <w:gridCol w:w="1518"/>
      </w:tblGrid>
      <w:tr w:rsidR="00EA1DC5" w:rsidRPr="00F46723" w14:paraId="315520E0" w14:textId="77777777" w:rsidTr="003025E8">
        <w:trPr>
          <w:trHeight w:val="498"/>
          <w:jc w:val="center"/>
        </w:trPr>
        <w:tc>
          <w:tcPr>
            <w:tcW w:w="7338" w:type="dxa"/>
            <w:vAlign w:val="center"/>
          </w:tcPr>
          <w:p w14:paraId="482876EB" w14:textId="3A85115A" w:rsidR="00EA1DC5" w:rsidRPr="00F46723" w:rsidRDefault="00EA1DC5" w:rsidP="0075573E">
            <w:pPr>
              <w:widowControl w:val="0"/>
              <w:spacing w:before="120"/>
              <w:ind w:firstLine="720"/>
              <w:jc w:val="center"/>
              <w:rPr>
                <w:rFonts w:asciiTheme="minorBidi" w:hAnsiTheme="minorBidi"/>
                <w:sz w:val="22"/>
                <w:szCs w:val="22"/>
              </w:rPr>
            </w:pPr>
            <m:oMath>
              <m:r>
                <m:rPr>
                  <m:sty m:val="p"/>
                </m:rPr>
                <w:rPr>
                  <w:rFonts w:ascii="Cambria Math" w:eastAsiaTheme="minorEastAsia" w:hAnsi="Cambria Math"/>
                  <w:sz w:val="22"/>
                  <w:szCs w:val="22"/>
                </w:rPr>
                <m:t>Δ</m:t>
              </m:r>
              <m:r>
                <w:rPr>
                  <w:rFonts w:ascii="Cambria Math" w:eastAsiaTheme="minorEastAsia" w:hAnsi="Cambria Math"/>
                  <w:sz w:val="22"/>
                  <w:szCs w:val="22"/>
                </w:rPr>
                <m:t>τ=</m:t>
              </m:r>
              <m:f>
                <m:fPr>
                  <m:ctrlPr>
                    <w:rPr>
                      <w:rFonts w:ascii="Cambria Math" w:eastAsiaTheme="minorEastAsia" w:hAnsi="Cambria Math"/>
                      <w:i/>
                      <w:iCs/>
                      <w:sz w:val="22"/>
                      <w:szCs w:val="22"/>
                    </w:rPr>
                  </m:ctrlPr>
                </m:fPr>
                <m:num>
                  <m:r>
                    <w:rPr>
                      <w:rFonts w:ascii="Cambria Math" w:eastAsiaTheme="minorEastAsia" w:hAnsi="Cambria Math"/>
                      <w:sz w:val="22"/>
                      <w:szCs w:val="22"/>
                    </w:rPr>
                    <m:t>7</m:t>
                  </m:r>
                </m:num>
                <m:den>
                  <m:r>
                    <w:rPr>
                      <w:rFonts w:ascii="Cambria Math" w:eastAsiaTheme="minorEastAsia" w:hAnsi="Cambria Math"/>
                      <w:sz w:val="22"/>
                      <w:szCs w:val="22"/>
                    </w:rPr>
                    <m:t>16</m:t>
                  </m:r>
                </m:den>
              </m:f>
              <m:sSub>
                <m:sSubPr>
                  <m:ctrlPr>
                    <w:rPr>
                      <w:rFonts w:ascii="Cambria Math" w:eastAsiaTheme="minorEastAsia" w:hAnsi="Cambria Math"/>
                      <w:i/>
                      <w:iCs/>
                      <w:sz w:val="22"/>
                      <w:szCs w:val="22"/>
                    </w:rPr>
                  </m:ctrlPr>
                </m:sSubPr>
                <m:e>
                  <m:r>
                    <w:rPr>
                      <w:rFonts w:ascii="Cambria Math" w:eastAsiaTheme="minorEastAsia" w:hAnsi="Cambria Math"/>
                      <w:sz w:val="22"/>
                      <w:szCs w:val="22"/>
                    </w:rPr>
                    <m:t>M</m:t>
                  </m:r>
                </m:e>
                <m:sub>
                  <m:r>
                    <w:rPr>
                      <w:rFonts w:ascii="Cambria Math" w:eastAsiaTheme="minorEastAsia" w:hAnsi="Cambria Math"/>
                      <w:sz w:val="22"/>
                      <w:szCs w:val="22"/>
                    </w:rPr>
                    <m:t>0</m:t>
                  </m:r>
                </m:sub>
              </m:sSub>
              <m:sSup>
                <m:sSupPr>
                  <m:ctrlPr>
                    <w:rPr>
                      <w:rFonts w:ascii="Cambria Math" w:eastAsiaTheme="minorEastAsia" w:hAnsi="Cambria Math"/>
                      <w:i/>
                      <w:iCs/>
                      <w:sz w:val="22"/>
                      <w:szCs w:val="22"/>
                    </w:rPr>
                  </m:ctrlPr>
                </m:sSupPr>
                <m:e>
                  <m:d>
                    <m:dPr>
                      <m:ctrlPr>
                        <w:rPr>
                          <w:rFonts w:ascii="Cambria Math" w:eastAsiaTheme="minorEastAsia" w:hAnsi="Cambria Math"/>
                          <w:i/>
                          <w:iCs/>
                          <w:sz w:val="22"/>
                          <w:szCs w:val="22"/>
                        </w:rPr>
                      </m:ctrlPr>
                    </m:dPr>
                    <m:e>
                      <m:f>
                        <m:fPr>
                          <m:ctrlPr>
                            <w:rPr>
                              <w:rFonts w:ascii="Cambria Math" w:eastAsiaTheme="minorEastAsia" w:hAnsi="Cambria Math"/>
                              <w:i/>
                              <w:iCs/>
                              <w:sz w:val="22"/>
                              <w:szCs w:val="22"/>
                            </w:rPr>
                          </m:ctrlPr>
                        </m:fPr>
                        <m:num>
                          <m:sSub>
                            <m:sSubPr>
                              <m:ctrlPr>
                                <w:rPr>
                                  <w:rFonts w:ascii="Cambria Math" w:eastAsiaTheme="minorEastAsia" w:hAnsi="Cambria Math"/>
                                  <w:i/>
                                  <w:iCs/>
                                  <w:sz w:val="22"/>
                                  <w:szCs w:val="22"/>
                                </w:rPr>
                              </m:ctrlPr>
                            </m:sSubPr>
                            <m:e>
                              <m:r>
                                <w:rPr>
                                  <w:rFonts w:ascii="Cambria Math" w:eastAsiaTheme="minorEastAsia" w:hAnsi="Cambria Math"/>
                                  <w:sz w:val="22"/>
                                  <w:szCs w:val="22"/>
                                </w:rPr>
                                <m:t>f</m:t>
                              </m:r>
                            </m:e>
                            <m:sub>
                              <m:r>
                                <w:rPr>
                                  <w:rFonts w:ascii="Cambria Math" w:eastAsiaTheme="minorEastAsia" w:hAnsi="Cambria Math"/>
                                  <w:sz w:val="22"/>
                                  <w:szCs w:val="22"/>
                                </w:rPr>
                                <m:t>0</m:t>
                              </m:r>
                            </m:sub>
                          </m:sSub>
                        </m:num>
                        <m:den>
                          <m:r>
                            <w:rPr>
                              <w:rFonts w:ascii="Cambria Math" w:eastAsiaTheme="minorEastAsia" w:hAnsi="Cambria Math"/>
                              <w:sz w:val="22"/>
                              <w:szCs w:val="22"/>
                            </w:rPr>
                            <m:t>k</m:t>
                          </m:r>
                          <m:sSub>
                            <m:sSubPr>
                              <m:ctrlPr>
                                <w:rPr>
                                  <w:rFonts w:ascii="Cambria Math" w:eastAsiaTheme="minorEastAsia" w:hAnsi="Cambria Math"/>
                                  <w:i/>
                                  <w:iCs/>
                                  <w:sz w:val="22"/>
                                  <w:szCs w:val="22"/>
                                </w:rPr>
                              </m:ctrlPr>
                            </m:sSubPr>
                            <m:e>
                              <m:r>
                                <w:rPr>
                                  <w:rFonts w:ascii="Cambria Math" w:eastAsiaTheme="minorEastAsia" w:hAnsi="Cambria Math"/>
                                  <w:sz w:val="22"/>
                                  <w:szCs w:val="22"/>
                                </w:rPr>
                                <m:t>C</m:t>
                              </m:r>
                            </m:e>
                            <m:sub>
                              <m:r>
                                <w:rPr>
                                  <w:rFonts w:ascii="Cambria Math" w:eastAsiaTheme="minorEastAsia" w:hAnsi="Cambria Math"/>
                                  <w:sz w:val="22"/>
                                  <w:szCs w:val="22"/>
                                </w:rPr>
                                <m:t>s</m:t>
                              </m:r>
                            </m:sub>
                          </m:sSub>
                        </m:den>
                      </m:f>
                    </m:e>
                  </m:d>
                </m:e>
                <m:sup>
                  <m:r>
                    <w:rPr>
                      <w:rFonts w:ascii="Cambria Math" w:eastAsiaTheme="minorEastAsia" w:hAnsi="Cambria Math"/>
                      <w:sz w:val="22"/>
                      <w:szCs w:val="22"/>
                    </w:rPr>
                    <m:t>3</m:t>
                  </m:r>
                </m:sup>
              </m:sSup>
            </m:oMath>
            <w:r w:rsidR="007C36E3">
              <w:rPr>
                <w:rFonts w:asciiTheme="minorBidi" w:hAnsiTheme="minorBidi"/>
                <w:iCs/>
                <w:sz w:val="22"/>
                <w:szCs w:val="22"/>
              </w:rPr>
              <w:t xml:space="preserve"> </w:t>
            </w:r>
            <w:r w:rsidRPr="00F46723">
              <w:rPr>
                <w:rFonts w:asciiTheme="minorBidi" w:hAnsiTheme="minorBidi"/>
                <w:sz w:val="22"/>
                <w:szCs w:val="22"/>
              </w:rPr>
              <w:t>,</w:t>
            </w:r>
          </w:p>
        </w:tc>
        <w:tc>
          <w:tcPr>
            <w:tcW w:w="1518" w:type="dxa"/>
            <w:vAlign w:val="center"/>
          </w:tcPr>
          <w:p w14:paraId="5366FF18" w14:textId="21EB1EFD" w:rsidR="00EA1DC5" w:rsidRPr="00064ABC" w:rsidRDefault="00EA1DC5" w:rsidP="0075573E">
            <w:pPr>
              <w:widowControl w:val="0"/>
              <w:spacing w:before="120"/>
              <w:ind w:firstLine="720"/>
              <w:jc w:val="center"/>
              <w:rPr>
                <w:rFonts w:asciiTheme="majorBidi" w:hAnsiTheme="majorBidi" w:cstheme="majorBidi"/>
                <w:sz w:val="24"/>
                <w:szCs w:val="24"/>
              </w:rPr>
            </w:pPr>
            <w:r w:rsidRPr="00064ABC">
              <w:rPr>
                <w:rFonts w:asciiTheme="majorBidi" w:hAnsiTheme="majorBidi" w:cstheme="majorBidi"/>
                <w:sz w:val="24"/>
                <w:szCs w:val="24"/>
              </w:rPr>
              <w:t>(</w:t>
            </w:r>
            <w:bookmarkStart w:id="3" w:name="SD_M0_F0"/>
            <w:r w:rsidRPr="00064ABC">
              <w:rPr>
                <w:rFonts w:asciiTheme="majorBidi" w:hAnsiTheme="majorBidi" w:cstheme="majorBidi"/>
                <w:sz w:val="24"/>
                <w:szCs w:val="24"/>
              </w:rPr>
              <w:fldChar w:fldCharType="begin"/>
            </w:r>
            <w:r w:rsidRPr="00064ABC">
              <w:rPr>
                <w:rFonts w:asciiTheme="majorBidi" w:hAnsiTheme="majorBidi" w:cstheme="majorBidi"/>
                <w:sz w:val="24"/>
                <w:szCs w:val="24"/>
              </w:rPr>
              <w:instrText xml:space="preserve"> seq equation </w:instrText>
            </w:r>
            <w:r w:rsidRPr="00064ABC">
              <w:rPr>
                <w:rFonts w:asciiTheme="majorBidi" w:hAnsiTheme="majorBidi" w:cstheme="majorBidi"/>
                <w:sz w:val="24"/>
                <w:szCs w:val="24"/>
              </w:rPr>
              <w:fldChar w:fldCharType="separate"/>
            </w:r>
            <w:r w:rsidR="001F33E5">
              <w:rPr>
                <w:rFonts w:asciiTheme="majorBidi" w:hAnsiTheme="majorBidi" w:cstheme="majorBidi"/>
                <w:noProof/>
                <w:sz w:val="24"/>
                <w:szCs w:val="24"/>
              </w:rPr>
              <w:t>2</w:t>
            </w:r>
            <w:r w:rsidRPr="00064ABC">
              <w:rPr>
                <w:rFonts w:asciiTheme="majorBidi" w:hAnsiTheme="majorBidi" w:cstheme="majorBidi"/>
                <w:sz w:val="24"/>
                <w:szCs w:val="24"/>
              </w:rPr>
              <w:fldChar w:fldCharType="end"/>
            </w:r>
            <w:bookmarkEnd w:id="3"/>
            <w:r w:rsidRPr="00064ABC">
              <w:rPr>
                <w:rFonts w:asciiTheme="majorBidi" w:hAnsiTheme="majorBidi" w:cstheme="majorBidi"/>
                <w:sz w:val="24"/>
                <w:szCs w:val="24"/>
              </w:rPr>
              <w:t>)</w:t>
            </w:r>
          </w:p>
        </w:tc>
      </w:tr>
    </w:tbl>
    <w:p w14:paraId="7499F5B6" w14:textId="72537EDA" w:rsidR="00953DC4" w:rsidRDefault="00EA1DC5" w:rsidP="0075573E">
      <w:pPr>
        <w:pStyle w:val="Text"/>
        <w:ind w:firstLine="0"/>
        <w:rPr>
          <w:iCs/>
        </w:rPr>
      </w:pPr>
      <w:r>
        <w:t xml:space="preserve">where </w:t>
      </w:r>
      <m:oMath>
        <m:sSub>
          <m:sSubPr>
            <m:ctrlPr>
              <w:rPr>
                <w:rFonts w:ascii="Cambria Math" w:eastAsiaTheme="minorEastAsia" w:hAnsi="Cambria Math"/>
                <w:i/>
                <w:iCs/>
              </w:rPr>
            </m:ctrlPr>
          </m:sSubPr>
          <m:e>
            <m:r>
              <w:rPr>
                <w:rFonts w:ascii="Cambria Math" w:eastAsiaTheme="minorEastAsia" w:hAnsi="Cambria Math"/>
              </w:rPr>
              <m:t>C</m:t>
            </m:r>
          </m:e>
          <m:sub>
            <m:r>
              <w:rPr>
                <w:rFonts w:ascii="Cambria Math" w:eastAsiaTheme="minorEastAsia" w:hAnsi="Cambria Math"/>
              </w:rPr>
              <m:t>s</m:t>
            </m:r>
          </m:sub>
        </m:sSub>
      </m:oMath>
      <w:r>
        <w:rPr>
          <w:iCs/>
        </w:rPr>
        <w:t xml:space="preserve"> is the shear-wave velocity and </w:t>
      </w:r>
      <m:oMath>
        <m:r>
          <w:rPr>
            <w:rFonts w:ascii="Cambria Math" w:hAnsi="Cambria Math"/>
          </w:rPr>
          <m:t>k</m:t>
        </m:r>
      </m:oMath>
      <w:r>
        <w:rPr>
          <w:iCs/>
        </w:rPr>
        <w:t xml:space="preserve"> is a phase dependent (P or S) model </w:t>
      </w:r>
      <w:proofErr w:type="gramStart"/>
      <w:r>
        <w:rPr>
          <w:iCs/>
        </w:rPr>
        <w:t>constant.</w:t>
      </w:r>
      <w:proofErr w:type="gramEnd"/>
      <w:r>
        <w:rPr>
          <w:iCs/>
        </w:rPr>
        <w:t xml:space="preserve"> </w:t>
      </w:r>
      <w:r w:rsidR="00201BC7">
        <w:rPr>
          <w:iCs/>
        </w:rPr>
        <w:t>Equati</w:t>
      </w:r>
      <w:r w:rsidR="00201BC7" w:rsidRPr="00064ABC">
        <w:rPr>
          <w:rFonts w:asciiTheme="majorBidi" w:hAnsiTheme="majorBidi" w:cstheme="majorBidi"/>
          <w:iCs/>
        </w:rPr>
        <w:t>ons (</w:t>
      </w:r>
      <w:r w:rsidR="00201BC7" w:rsidRPr="00064ABC">
        <w:rPr>
          <w:rFonts w:asciiTheme="majorBidi" w:hAnsiTheme="majorBidi" w:cstheme="majorBidi"/>
          <w:iCs/>
        </w:rPr>
        <w:fldChar w:fldCharType="begin"/>
      </w:r>
      <w:r w:rsidR="00201BC7" w:rsidRPr="00064ABC">
        <w:rPr>
          <w:rFonts w:asciiTheme="majorBidi" w:hAnsiTheme="majorBidi" w:cstheme="majorBidi"/>
          <w:iCs/>
        </w:rPr>
        <w:instrText xml:space="preserve"> REF EQ_omega_squared \h </w:instrText>
      </w:r>
      <w:r w:rsidR="00064ABC" w:rsidRPr="00064ABC">
        <w:rPr>
          <w:rFonts w:asciiTheme="majorBidi" w:hAnsiTheme="majorBidi" w:cstheme="majorBidi"/>
          <w:iCs/>
        </w:rPr>
        <w:instrText xml:space="preserve"> \* MERGEFORMAT </w:instrText>
      </w:r>
      <w:r w:rsidR="00201BC7" w:rsidRPr="00064ABC">
        <w:rPr>
          <w:rFonts w:asciiTheme="majorBidi" w:hAnsiTheme="majorBidi" w:cstheme="majorBidi"/>
          <w:iCs/>
        </w:rPr>
      </w:r>
      <w:r w:rsidR="00201BC7" w:rsidRPr="00064ABC">
        <w:rPr>
          <w:rFonts w:asciiTheme="majorBidi" w:hAnsiTheme="majorBidi" w:cstheme="majorBidi"/>
          <w:iCs/>
        </w:rPr>
        <w:fldChar w:fldCharType="separate"/>
      </w:r>
      <w:r w:rsidR="001F33E5" w:rsidRPr="00064ABC">
        <w:rPr>
          <w:rFonts w:asciiTheme="majorBidi" w:hAnsiTheme="majorBidi" w:cstheme="majorBidi"/>
          <w:noProof/>
        </w:rPr>
        <w:t>1</w:t>
      </w:r>
      <w:r w:rsidR="00201BC7" w:rsidRPr="00064ABC">
        <w:rPr>
          <w:rFonts w:asciiTheme="majorBidi" w:hAnsiTheme="majorBidi" w:cstheme="majorBidi"/>
          <w:iCs/>
        </w:rPr>
        <w:fldChar w:fldCharType="end"/>
      </w:r>
      <w:r w:rsidR="00201BC7" w:rsidRPr="00064ABC">
        <w:rPr>
          <w:rFonts w:asciiTheme="majorBidi" w:hAnsiTheme="majorBidi" w:cstheme="majorBidi"/>
          <w:iCs/>
        </w:rPr>
        <w:t>) and (</w:t>
      </w:r>
      <w:r w:rsidR="00201BC7" w:rsidRPr="00064ABC">
        <w:rPr>
          <w:rFonts w:asciiTheme="majorBidi" w:hAnsiTheme="majorBidi" w:cstheme="majorBidi"/>
          <w:iCs/>
        </w:rPr>
        <w:fldChar w:fldCharType="begin"/>
      </w:r>
      <w:r w:rsidR="00201BC7" w:rsidRPr="00064ABC">
        <w:rPr>
          <w:rFonts w:asciiTheme="majorBidi" w:hAnsiTheme="majorBidi" w:cstheme="majorBidi"/>
          <w:iCs/>
        </w:rPr>
        <w:instrText xml:space="preserve"> REF SD_M0_F0 \h </w:instrText>
      </w:r>
      <w:r w:rsidR="00064ABC" w:rsidRPr="00064ABC">
        <w:rPr>
          <w:rFonts w:asciiTheme="majorBidi" w:hAnsiTheme="majorBidi" w:cstheme="majorBidi"/>
          <w:iCs/>
        </w:rPr>
        <w:instrText xml:space="preserve"> \* MERGEFORMAT </w:instrText>
      </w:r>
      <w:r w:rsidR="00201BC7" w:rsidRPr="00064ABC">
        <w:rPr>
          <w:rFonts w:asciiTheme="majorBidi" w:hAnsiTheme="majorBidi" w:cstheme="majorBidi"/>
          <w:iCs/>
        </w:rPr>
      </w:r>
      <w:r w:rsidR="00201BC7" w:rsidRPr="00064ABC">
        <w:rPr>
          <w:rFonts w:asciiTheme="majorBidi" w:hAnsiTheme="majorBidi" w:cstheme="majorBidi"/>
          <w:iCs/>
        </w:rPr>
        <w:fldChar w:fldCharType="separate"/>
      </w:r>
      <w:r w:rsidR="001F33E5">
        <w:rPr>
          <w:rFonts w:asciiTheme="majorBidi" w:hAnsiTheme="majorBidi" w:cstheme="majorBidi"/>
          <w:noProof/>
        </w:rPr>
        <w:t>2</w:t>
      </w:r>
      <w:r w:rsidR="00201BC7" w:rsidRPr="00064ABC">
        <w:rPr>
          <w:rFonts w:asciiTheme="majorBidi" w:hAnsiTheme="majorBidi" w:cstheme="majorBidi"/>
          <w:iCs/>
        </w:rPr>
        <w:fldChar w:fldCharType="end"/>
      </w:r>
      <w:r w:rsidR="00201BC7" w:rsidRPr="00064ABC">
        <w:rPr>
          <w:rFonts w:asciiTheme="majorBidi" w:hAnsiTheme="majorBidi" w:cstheme="majorBidi"/>
          <w:iCs/>
        </w:rPr>
        <w:t>) describe</w:t>
      </w:r>
      <w:r w:rsidR="00201BC7">
        <w:rPr>
          <w:iCs/>
        </w:rPr>
        <w:t xml:space="preserve"> a simple source model </w:t>
      </w:r>
      <w:r w:rsidR="00201BC7">
        <w:t xml:space="preserve">with </w:t>
      </w:r>
      <w:r w:rsidR="00201BC7" w:rsidRPr="0035098C">
        <w:t>a smooth, isotropic slip distribution on a single circular patch</w:t>
      </w:r>
      <w:r w:rsidR="00201BC7">
        <w:t>.</w:t>
      </w:r>
    </w:p>
    <w:p w14:paraId="1AAC52BE" w14:textId="51C97983" w:rsidR="00ED3003" w:rsidRDefault="009B7462" w:rsidP="00591BA5">
      <w:pPr>
        <w:pStyle w:val="Text"/>
        <w:rPr>
          <w:iCs/>
        </w:rPr>
      </w:pPr>
      <w:r>
        <w:rPr>
          <w:iCs/>
        </w:rPr>
        <w:t xml:space="preserve">Station-specific corner frequency and stress drop estimates exhibit large </w:t>
      </w:r>
      <w:r w:rsidR="00BF6125">
        <w:rPr>
          <w:iCs/>
        </w:rPr>
        <w:t>variability</w:t>
      </w:r>
      <w:r>
        <w:rPr>
          <w:iCs/>
        </w:rPr>
        <w:t xml:space="preserve"> for the same earthquake for various reasons </w:t>
      </w:r>
      <w:r w:rsidR="00606C88">
        <w:rPr>
          <w:iCs/>
        </w:rPr>
        <w:fldChar w:fldCharType="begin"/>
      </w:r>
      <w:r w:rsidR="003007F9">
        <w:rPr>
          <w:iCs/>
        </w:rPr>
        <w:instrText xml:space="preserve"> ADDIN ZOTERO_ITEM CSL_CITATION {"citationID":"5XTuxM5O","properties":{"formattedCitation":"(Abercrombie et al., 2017; Kaneko &amp; Shearer, 2015; Lior &amp; Ziv, 2018)","plainCitation":"(Abercrombie et al., 2017; Kaneko &amp; Shearer, 2015; Lior &amp; Ziv, 2018)","dontUpdate":true,"noteIndex":0},"citationItems":[{"id":933,"uris":["http://zotero.org/users/6318414/items/DHFVLP5G"],"itemData":{"id":933,"type":"article-journal","abstract":"We calculate stress drops for 176 earthquakes (M2.6–M6.6) from four sequences of earthquakes in New Zealand. Two sequences are within the subducting Paciﬁc plate (2014 Eketahuna and 2005 Upper Hutt), one in the over-riding plate (2013 Cook Strait) and one involved reverse faulting at the subduction interface (2015 Pongaroa). We focus on obtaining precise and accurate measurements of corner frequency and stress drop for the best-recorded earthquakes. We use an empirical Green’s function (EGF) approach, and require the EGF earthquakes to be highly correlated (cross-correlation ≥ 0.8) to their respective main shocks. In order to improve the quality, we also stack the spectral ratios and source time functions obtained from the best EGF. We perform a grid search for each individual ratio, and each stacked ratio to obtain quantitative uncertainty measurements, and restrict our analysis to the well-constrained corner frequency measurements. We are able to analyse both P and S waves independently and the high correlation between these measurements strengthens the reliability of our results. We ﬁnd that there is signiﬁcant real variability in corner frequency, and hence stress drop, within each sequence; the range of almost 2 orders of magnitude is larger than the uncertainties. The four sequences have overlapping stress drop ranges, and the variability within a sequence is larger than any between different sequences. There is no clear systematic difference in the populations analysed here with tectonic setting. We see no dependence of the stress drop values on depth, time, or magnitude after taking the frequency bandwidth limitations into consideration. Small-scale heterogeneity must therefore exert a more primary inﬂuence on earthquake stress drop than these larger scale factors. We conﬁrm that when ﬁtting individual spectral ratios, a corner frequency within a factor of three of the maximum signal frequency is likely to be underestimated. Stacked ratios are smoother and more reliable near the frequency limits. We ﬁnd that only corner frequencies within about a factor of two of the maximum signal frequency are likely to be underestimated.","container-title":"Geophysical Journal International","DOI":"10.1093/gji/ggw393","ISSN":"0956-540X, 1365-246X","issue":"1","journalAbbreviation":"Geophys. J. Int.","language":"en","page":"306-320","source":"DOI.org (Crossref)","title":"Variability of earthquake stress drop in a subduction setting, the Hikurangi Margin, New Zealand","volume":"208","author":[{"family":"Abercrombie","given":"Rachel E."},{"family":"Bannister","given":"Stephen"},{"family":"Ristau","given":"John"},{"family":"Doser","given":"Diane"}],"issued":{"date-parts":[["2017",1,1]]}}},{"id":101,"uris":["http://zotero.org/users/6318414/items/R5UJDUAF"],"itemData":{"id":101,"type":"article-journal","abstract":"Large variability of earthquake stress drops and scaled energy has been commonly reported in the literature, but it is diﬃcult to assess how much of this variability is caused by underlying physical source processes rather than simply observational uncertainties. Here we examine a variety of dynamically realistic rupture scenarios for circular and elliptical faults and investigate to what extent the variability in seismically estimated stress drops and scaled energy comes from diﬀerences in source geometry, rupture directivity, and rupture speeds. We numerically simulate earthquake source scenarios using a cohesive-zone model with the small-scale yielding limit, where the solution approaches a singular crack model with spontaneous healing of slip. Compared to symmetrical circular source models, asymmetrical models result in larger variability of estimated corner frequencies and scaled energy over the focal sphere. The general behavior of the spherical averages of corner frequencies and scaled energy in the subshear regime extends to the supershear regime, although shear Mach waves generated by the propagation of supershear rupture lead to much higher corner frequency and scaled energy estimates locally. Our results suggest that at least a factor of 2 diﬀerence in the spherical average of corner frequencies is expected in observational studies simply from variability in source characteristics almost independent of the actual stress drops, translating into a factor of 8 diﬀerence in estimated stress drops. Furthermore, radiation eﬃciency estimates derived from observed seismic spectra should not be directly interpreted as describing rupture properties unless there are independent constraints on rupture speed and geometry.","container-title":"Journal of Geophysical Research: Solid Earth","DOI":"10.1002/2014JB011642","ISSN":"2169-9313, 2169-9356","issue":"2","language":"en","page":"1053-1079","source":"Crossref","title":"Variability of seismic source spectra, estimated stress drop, and radiated energy, derived from cohesive‐zone models of symmetrical and asymmetrical circular and elliptical ruptures","volume":"120","author":[{"family":"Kaneko","given":"Y."},{"family":"Shearer","given":"P. M."}],"issued":{"date-parts":[["2015",2]]}}},{"id":6,"uris":["http://zotero.org/users/6318414/items/JM4SWJFK"],"itemData":{"id":6,"type":"article-journal","abstract":"Theoretical equations relating the root-mean-square (rms) of the far-ﬁeld ground motions with earthquake source parameters and attenuation are derived for Brune’s omega-squared model that is subject to attenuation. This set of model-based predictions paves the way for a completely new approach for earthquake source parameter inversion and forms the basis for new physics-based ground motion prediction equations (GMPEs). The equations for ground displacement, velocity, and acceleration constitute a set of three independent equations with three unknowns: the seismic moment, the stress drop, and the attenuation parameter. These are used for source parameter inversion that circumvents the time-to-frequency transformation. Initially, the two source parameters and the attenuation constant are solved simultaneously for each seismogram. Sometimes, however, this one-step inversion results in ambiguous solutions. Under such circumstances, the procedure proceeds to a two-step approach, in which a station-speciﬁc attenuation parameter is ﬁrst determined by averaging the set of attenuation parameters obtained from seismograms whose one-step inversion yields well-constrained solutions. Subsequently, the two source parameters are solved using the averaged attenuation parameter. It is concluded that the new scheme is more stable than a frequency domain method, resulting in considerably less within-event source parameter variability. The above results together with rms-to-peak ground motion relations are combined to give ﬁrst-order GMPEs for acceleration, velocity, and displacement. In contrast to empirically based GMPEs, the ones introduced here are extremely simple and readily implementable, even in low-seismicity regions, where the earthquake catalog lacks strong ground motion records.","container-title":"Journal of Geophysical Research: Solid Earth","DOI":"10.1029/2018JB015504","ISSN":"21699313","issue":"7","language":"en","page":"5886-5901","source":"Crossref","title":"The Relation Between Ground Motion, Earthquake Source Parameters, and Attenuation: Implications for Source Parameter Inversion and Ground Motion Prediction Equations","title-short":"The Relation Between Ground Motion, Earthquake Source Parameters, and Attenuation","volume":"123","author":[{"family":"Lior","given":"Itzhak"},{"family":"Ziv","given":"Alon"}],"issued":{"date-parts":[["2018",7]]}}}],"schema":"https://github.com/citation-style-language/schema/raw/master/csl-citation.json"} </w:instrText>
      </w:r>
      <w:r w:rsidR="00606C88">
        <w:rPr>
          <w:iCs/>
        </w:rPr>
        <w:fldChar w:fldCharType="separate"/>
      </w:r>
      <w:r w:rsidR="00591BA5" w:rsidRPr="00591BA5">
        <w:t>(</w:t>
      </w:r>
      <w:r w:rsidR="00591BA5">
        <w:t xml:space="preserve">e.g., </w:t>
      </w:r>
      <w:r w:rsidR="00591BA5" w:rsidRPr="00591BA5">
        <w:t>Abercrombie et al., 2017; Kaneko &amp; Shearer, 2015; Lior &amp; Ziv, 2018)</w:t>
      </w:r>
      <w:r w:rsidR="00606C88">
        <w:rPr>
          <w:iCs/>
        </w:rPr>
        <w:fldChar w:fldCharType="end"/>
      </w:r>
      <w:r>
        <w:rPr>
          <w:iCs/>
        </w:rPr>
        <w:t xml:space="preserve">. </w:t>
      </w:r>
      <w:r w:rsidR="00ED3003">
        <w:rPr>
          <w:iCs/>
        </w:rPr>
        <w:t xml:space="preserve">These variabilities are </w:t>
      </w:r>
      <w:r w:rsidR="000722BD">
        <w:rPr>
          <w:iCs/>
        </w:rPr>
        <w:t>mainly</w:t>
      </w:r>
      <w:r w:rsidR="00ED3003">
        <w:rPr>
          <w:iCs/>
        </w:rPr>
        <w:t xml:space="preserve"> attributed to </w:t>
      </w:r>
      <w:r w:rsidR="00064ABC">
        <w:rPr>
          <w:iCs/>
        </w:rPr>
        <w:t>the</w:t>
      </w:r>
      <w:r w:rsidR="00ED3003">
        <w:rPr>
          <w:iCs/>
        </w:rPr>
        <w:t xml:space="preserve"> improper extraction of source from path and site contributions</w:t>
      </w:r>
      <w:r w:rsidR="00CD5B33">
        <w:rPr>
          <w:iCs/>
        </w:rPr>
        <w:t>,</w:t>
      </w:r>
      <w:r w:rsidR="002A1892">
        <w:rPr>
          <w:iCs/>
        </w:rPr>
        <w:t xml:space="preserve"> </w:t>
      </w:r>
      <w:r w:rsidR="003B638F">
        <w:rPr>
          <w:iCs/>
        </w:rPr>
        <w:t xml:space="preserve">a </w:t>
      </w:r>
      <w:r w:rsidR="000A79AC">
        <w:rPr>
          <w:color w:val="000000"/>
        </w:rPr>
        <w:t xml:space="preserve">hindrance </w:t>
      </w:r>
      <w:r w:rsidR="003B638F">
        <w:rPr>
          <w:iCs/>
        </w:rPr>
        <w:t xml:space="preserve">that </w:t>
      </w:r>
      <w:r w:rsidR="003B638F" w:rsidRPr="003B638F">
        <w:rPr>
          <w:iCs/>
        </w:rPr>
        <w:t xml:space="preserve">aggravates </w:t>
      </w:r>
      <w:r w:rsidR="003B638F">
        <w:rPr>
          <w:iCs/>
        </w:rPr>
        <w:t xml:space="preserve">in the presence of </w:t>
      </w:r>
      <w:r w:rsidR="00ED3003">
        <w:rPr>
          <w:iCs/>
        </w:rPr>
        <w:t>low signal to noise</w:t>
      </w:r>
      <w:r w:rsidR="00526ECA">
        <w:rPr>
          <w:iCs/>
        </w:rPr>
        <w:t xml:space="preserve"> </w:t>
      </w:r>
      <w:r w:rsidR="00526ECA" w:rsidRPr="00064ABC">
        <w:rPr>
          <w:rFonts w:asciiTheme="majorBidi" w:hAnsiTheme="majorBidi" w:cstheme="majorBidi"/>
          <w:iCs/>
        </w:rPr>
        <w:t>ratio (SNR)</w:t>
      </w:r>
      <w:r w:rsidR="00254D6A">
        <w:rPr>
          <w:rFonts w:asciiTheme="majorBidi" w:hAnsiTheme="majorBidi" w:cstheme="majorBidi"/>
          <w:iCs/>
        </w:rPr>
        <w:t xml:space="preserve"> conditions</w:t>
      </w:r>
      <w:r w:rsidR="003B638F">
        <w:rPr>
          <w:rFonts w:asciiTheme="majorBidi" w:hAnsiTheme="majorBidi" w:cstheme="majorBidi"/>
          <w:iCs/>
        </w:rPr>
        <w:t>, i.e., for small earthquakes</w:t>
      </w:r>
      <w:r w:rsidR="0075233F" w:rsidRPr="00064ABC">
        <w:rPr>
          <w:rFonts w:asciiTheme="majorBidi" w:hAnsiTheme="majorBidi" w:cstheme="majorBidi"/>
          <w:iCs/>
        </w:rPr>
        <w:t xml:space="preserve">. In addition, since stress drops are the cube of corner frequencies (Equations </w:t>
      </w:r>
      <w:r w:rsidR="0075233F" w:rsidRPr="00064ABC">
        <w:rPr>
          <w:rFonts w:asciiTheme="majorBidi" w:hAnsiTheme="majorBidi" w:cstheme="majorBidi"/>
          <w:iCs/>
        </w:rPr>
        <w:fldChar w:fldCharType="begin"/>
      </w:r>
      <w:r w:rsidR="0075233F" w:rsidRPr="00064ABC">
        <w:rPr>
          <w:rFonts w:asciiTheme="majorBidi" w:hAnsiTheme="majorBidi" w:cstheme="majorBidi"/>
          <w:iCs/>
        </w:rPr>
        <w:instrText xml:space="preserve"> REF SD_M0_F0 \h </w:instrText>
      </w:r>
      <w:r w:rsidR="00064ABC" w:rsidRPr="00064ABC">
        <w:rPr>
          <w:rFonts w:asciiTheme="majorBidi" w:hAnsiTheme="majorBidi" w:cstheme="majorBidi"/>
          <w:iCs/>
        </w:rPr>
        <w:instrText xml:space="preserve"> \* MERGEFORMAT </w:instrText>
      </w:r>
      <w:r w:rsidR="0075233F" w:rsidRPr="00064ABC">
        <w:rPr>
          <w:rFonts w:asciiTheme="majorBidi" w:hAnsiTheme="majorBidi" w:cstheme="majorBidi"/>
          <w:iCs/>
        </w:rPr>
      </w:r>
      <w:r w:rsidR="0075233F" w:rsidRPr="00064ABC">
        <w:rPr>
          <w:rFonts w:asciiTheme="majorBidi" w:hAnsiTheme="majorBidi" w:cstheme="majorBidi"/>
          <w:iCs/>
        </w:rPr>
        <w:fldChar w:fldCharType="separate"/>
      </w:r>
      <w:r w:rsidR="001F33E5">
        <w:rPr>
          <w:rFonts w:asciiTheme="majorBidi" w:hAnsiTheme="majorBidi" w:cstheme="majorBidi"/>
          <w:noProof/>
        </w:rPr>
        <w:t>2</w:t>
      </w:r>
      <w:r w:rsidR="0075233F" w:rsidRPr="00064ABC">
        <w:rPr>
          <w:rFonts w:asciiTheme="majorBidi" w:hAnsiTheme="majorBidi" w:cstheme="majorBidi"/>
          <w:iCs/>
        </w:rPr>
        <w:fldChar w:fldCharType="end"/>
      </w:r>
      <w:r w:rsidR="0075233F" w:rsidRPr="00064ABC">
        <w:rPr>
          <w:rFonts w:asciiTheme="majorBidi" w:hAnsiTheme="majorBidi" w:cstheme="majorBidi"/>
          <w:iCs/>
        </w:rPr>
        <w:t>), small</w:t>
      </w:r>
      <w:r w:rsidR="0075233F">
        <w:rPr>
          <w:iCs/>
        </w:rPr>
        <w:t xml:space="preserve"> errors in </w:t>
      </w:r>
      <m:oMath>
        <m:sSub>
          <m:sSubPr>
            <m:ctrlPr>
              <w:rPr>
                <w:rFonts w:ascii="Cambria Math" w:hAnsi="Cambria Math"/>
                <w:i/>
                <w:iCs/>
              </w:rPr>
            </m:ctrlPr>
          </m:sSubPr>
          <m:e>
            <m:r>
              <w:rPr>
                <w:rFonts w:ascii="Cambria Math" w:hAnsi="Cambria Math"/>
              </w:rPr>
              <m:t>f</m:t>
            </m:r>
          </m:e>
          <m:sub>
            <m:r>
              <w:rPr>
                <w:rFonts w:ascii="Cambria Math" w:hAnsi="Cambria Math"/>
              </w:rPr>
              <m:t>0</m:t>
            </m:r>
          </m:sub>
        </m:sSub>
      </m:oMath>
      <w:r w:rsidR="0075233F">
        <w:rPr>
          <w:iCs/>
        </w:rPr>
        <w:t xml:space="preserve"> translate to </w:t>
      </w:r>
      <w:r w:rsidR="009F17BE">
        <w:rPr>
          <w:iCs/>
        </w:rPr>
        <w:t xml:space="preserve">larger errors in </w:t>
      </w:r>
      <m:oMath>
        <m:r>
          <m:rPr>
            <m:sty m:val="p"/>
          </m:rPr>
          <w:rPr>
            <w:rFonts w:ascii="Cambria Math" w:hAnsi="Cambria Math"/>
          </w:rPr>
          <m:t>Δ</m:t>
        </m:r>
        <m:r>
          <w:rPr>
            <w:rFonts w:ascii="Cambria Math" w:hAnsi="Cambria Math"/>
          </w:rPr>
          <m:t>τ</m:t>
        </m:r>
      </m:oMath>
      <w:r w:rsidR="009F17BE">
        <w:rPr>
          <w:iCs/>
        </w:rPr>
        <w:t>.</w:t>
      </w:r>
    </w:p>
    <w:p w14:paraId="71A786EC" w14:textId="48891BE6" w:rsidR="00C32815" w:rsidRDefault="0026240D" w:rsidP="00EA3C0B">
      <w:pPr>
        <w:pStyle w:val="Text"/>
        <w:rPr>
          <w:lang w:bidi="he-IL"/>
        </w:rPr>
      </w:pPr>
      <w:r>
        <w:rPr>
          <w:lang w:bidi="he-IL"/>
        </w:rPr>
        <w:t xml:space="preserve">A common method for the reliable extraction of source contributions from path and site effects, is the empirical Green’s </w:t>
      </w:r>
      <w:r w:rsidR="00BF6125">
        <w:rPr>
          <w:lang w:bidi="he-IL"/>
        </w:rPr>
        <w:t>function</w:t>
      </w:r>
      <w:r>
        <w:rPr>
          <w:lang w:bidi="he-IL"/>
        </w:rPr>
        <w:t xml:space="preserve"> (EGF)</w:t>
      </w:r>
      <w:r w:rsidR="00CD5B33">
        <w:rPr>
          <w:lang w:bidi="he-IL"/>
        </w:rPr>
        <w:t>, or spectral ratios,</w:t>
      </w:r>
      <w:r>
        <w:rPr>
          <w:lang w:bidi="he-IL"/>
        </w:rPr>
        <w:t xml:space="preserve"> method. This method uses two collocated earthquakes recorded </w:t>
      </w:r>
      <w:r w:rsidR="00254D6A">
        <w:rPr>
          <w:lang w:bidi="he-IL"/>
        </w:rPr>
        <w:t xml:space="preserve">at the same location </w:t>
      </w:r>
      <w:r w:rsidR="0082579C">
        <w:rPr>
          <w:lang w:bidi="he-IL"/>
        </w:rPr>
        <w:t>to</w:t>
      </w:r>
      <w:r>
        <w:rPr>
          <w:lang w:bidi="he-IL"/>
        </w:rPr>
        <w:t xml:space="preserve"> deconvolve the smaller earthquake (the empirical Green’s function) from the larger one to remove common path</w:t>
      </w:r>
      <w:r w:rsidR="0082579C">
        <w:rPr>
          <w:lang w:bidi="he-IL"/>
        </w:rPr>
        <w:t xml:space="preserve">, </w:t>
      </w:r>
      <w:r>
        <w:rPr>
          <w:lang w:bidi="he-IL"/>
        </w:rPr>
        <w:t>site</w:t>
      </w:r>
      <w:r w:rsidR="0082579C">
        <w:rPr>
          <w:lang w:bidi="he-IL"/>
        </w:rPr>
        <w:t xml:space="preserve"> and instrumental</w:t>
      </w:r>
      <w:r>
        <w:rPr>
          <w:lang w:bidi="he-IL"/>
        </w:rPr>
        <w:t xml:space="preserve"> effects. The deconvolved spectra is then fitted with a relative source model</w:t>
      </w:r>
      <w:r w:rsidR="00D41E49">
        <w:rPr>
          <w:lang w:bidi="he-IL"/>
        </w:rPr>
        <w:t xml:space="preserve"> to </w:t>
      </w:r>
      <w:r w:rsidR="00703C5B">
        <w:rPr>
          <w:lang w:bidi="he-IL"/>
        </w:rPr>
        <w:t xml:space="preserve">estimate </w:t>
      </w:r>
      <w:r w:rsidR="00D41E49">
        <w:rPr>
          <w:lang w:bidi="he-IL"/>
        </w:rPr>
        <w:t>the seismic moment ratio</w:t>
      </w:r>
      <w:r w:rsidR="00703C5B">
        <w:rPr>
          <w:lang w:bidi="he-IL"/>
        </w:rPr>
        <w:t xml:space="preserve"> between both earthquakes</w:t>
      </w:r>
      <w:r w:rsidR="00D41E49">
        <w:rPr>
          <w:lang w:bidi="he-IL"/>
        </w:rPr>
        <w:t xml:space="preserve">, </w:t>
      </w:r>
      <w:r w:rsidR="00703C5B">
        <w:rPr>
          <w:lang w:bidi="he-IL"/>
        </w:rPr>
        <w:t xml:space="preserve">and </w:t>
      </w:r>
      <w:r w:rsidR="00D41E49">
        <w:rPr>
          <w:lang w:bidi="he-IL"/>
        </w:rPr>
        <w:t>the corner frequenc</w:t>
      </w:r>
      <w:r w:rsidR="00703C5B">
        <w:rPr>
          <w:lang w:bidi="he-IL"/>
        </w:rPr>
        <w:t>ies</w:t>
      </w:r>
      <w:r w:rsidR="00D41E49">
        <w:rPr>
          <w:lang w:bidi="he-IL"/>
        </w:rPr>
        <w:t xml:space="preserve"> of </w:t>
      </w:r>
      <w:r w:rsidR="00254D6A">
        <w:rPr>
          <w:lang w:bidi="he-IL"/>
        </w:rPr>
        <w:t xml:space="preserve">each </w:t>
      </w:r>
      <w:r w:rsidR="00D41E49">
        <w:rPr>
          <w:lang w:bidi="he-IL"/>
        </w:rPr>
        <w:t>earthquake</w:t>
      </w:r>
      <w:r w:rsidR="00CB6391">
        <w:rPr>
          <w:lang w:bidi="he-IL"/>
        </w:rPr>
        <w:t xml:space="preserve"> </w:t>
      </w:r>
      <w:r w:rsidR="00EA3C0B">
        <w:rPr>
          <w:lang w:bidi="he-IL"/>
        </w:rPr>
        <w:fldChar w:fldCharType="begin"/>
      </w:r>
      <w:r w:rsidR="003F2B81">
        <w:rPr>
          <w:lang w:bidi="he-IL"/>
        </w:rPr>
        <w:instrText xml:space="preserve"> ADDIN ZOTERO_ITEM CSL_CITATION {"citationID":"LzCAbJBj","properties":{"formattedCitation":"(Abercrombie et al., 2017)","plainCitation":"(Abercrombie et al., 2017)","dontUpdate":true,"noteIndex":0},"citationItems":[{"id":933,"uris":["http://zotero.org/users/6318414/items/DHFVLP5G"],"itemData":{"id":933,"type":"article-journal","abstract":"We calculate stress drops for 176 earthquakes (M2.6–M6.6) from four sequences of earthquakes in New Zealand. Two sequences are within the subducting Paciﬁc plate (2014 Eketahuna and 2005 Upper Hutt), one in the over-riding plate (2013 Cook Strait) and one involved reverse faulting at the subduction interface (2015 Pongaroa). We focus on obtaining precise and accurate measurements of corner frequency and stress drop for the best-recorded earthquakes. We use an empirical Green’s function (EGF) approach, and require the EGF earthquakes to be highly correlated (cross-correlation ≥ 0.8) to their respective main shocks. In order to improve the quality, we also stack the spectral ratios and source time functions obtained from the best EGF. We perform a grid search for each individual ratio, and each stacked ratio to obtain quantitative uncertainty measurements, and restrict our analysis to the well-constrained corner frequency measurements. We are able to analyse both P and S waves independently and the high correlation between these measurements strengthens the reliability of our results. We ﬁnd that there is signiﬁcant real variability in corner frequency, and hence stress drop, within each sequence; the range of almost 2 orders of magnitude is larger than the uncertainties. The four sequences have overlapping stress drop ranges, and the variability within a sequence is larger than any between different sequences. There is no clear systematic difference in the populations analysed here with tectonic setting. We see no dependence of the stress drop values on depth, time, or magnitude after taking the frequency bandwidth limitations into consideration. Small-scale heterogeneity must therefore exert a more primary inﬂuence on earthquake stress drop than these larger scale factors. We conﬁrm that when ﬁtting individual spectral ratios, a corner frequency within a factor of three of the maximum signal frequency is likely to be underestimated. Stacked ratios are smoother and more reliable near the frequency limits. We ﬁnd that only corner frequencies within about a factor of two of the maximum signal frequency are likely to be underestimated.","container-title":"Geophysical Journal International","DOI":"10.1093/gji/ggw393","ISSN":"0956-540X, 1365-246X","issue":"1","journalAbbreviation":"Geophys. J. Int.","language":"en","page":"306-320","source":"DOI.org (Crossref)","title":"Variability of earthquake stress drop in a subduction setting, the Hikurangi Margin, New Zealand","volume":"208","author":[{"family":"Abercrombie","given":"Rachel E."},{"family":"Bannister","given":"Stephen"},{"family":"Ristau","given":"John"},{"family":"Doser","given":"Diane"}],"issued":{"date-parts":[["2017",1,1]]}}}],"schema":"https://github.com/citation-style-language/schema/raw/master/csl-citation.json"} </w:instrText>
      </w:r>
      <w:r w:rsidR="00EA3C0B">
        <w:rPr>
          <w:lang w:bidi="he-IL"/>
        </w:rPr>
        <w:fldChar w:fldCharType="separate"/>
      </w:r>
      <w:r w:rsidR="00EA3C0B" w:rsidRPr="00EA3C0B">
        <w:t>(</w:t>
      </w:r>
      <w:r w:rsidR="00EA3C0B">
        <w:t xml:space="preserve">e.g., </w:t>
      </w:r>
      <w:r w:rsidR="00EA3C0B" w:rsidRPr="00EA3C0B">
        <w:t>Abercrombie et al., 2017)</w:t>
      </w:r>
      <w:r w:rsidR="00EA3C0B">
        <w:rPr>
          <w:lang w:bidi="he-IL"/>
        </w:rPr>
        <w:fldChar w:fldCharType="end"/>
      </w:r>
      <w:r>
        <w:rPr>
          <w:lang w:bidi="he-IL"/>
        </w:rPr>
        <w:t xml:space="preserve">. </w:t>
      </w:r>
      <w:r w:rsidR="00220492">
        <w:rPr>
          <w:lang w:bidi="he-IL"/>
        </w:rPr>
        <w:t>T</w:t>
      </w:r>
      <w:r>
        <w:rPr>
          <w:lang w:bidi="he-IL"/>
        </w:rPr>
        <w:t>his approach circumvents the modeling of path and site effects, overcoming the main difficulty in estimating source parameters</w:t>
      </w:r>
      <w:r w:rsidR="00220492">
        <w:rPr>
          <w:lang w:bidi="he-IL"/>
        </w:rPr>
        <w:t>.</w:t>
      </w:r>
    </w:p>
    <w:p w14:paraId="7958F3E5" w14:textId="6365B405" w:rsidR="0026240D" w:rsidRDefault="00220492" w:rsidP="0075573E">
      <w:pPr>
        <w:pStyle w:val="Text"/>
        <w:rPr>
          <w:lang w:bidi="he-IL"/>
        </w:rPr>
      </w:pPr>
      <w:r>
        <w:rPr>
          <w:lang w:bidi="he-IL"/>
        </w:rPr>
        <w:t>However,</w:t>
      </w:r>
      <w:r w:rsidR="0026240D">
        <w:rPr>
          <w:lang w:bidi="he-IL"/>
        </w:rPr>
        <w:t xml:space="preserve"> </w:t>
      </w:r>
      <w:r>
        <w:rPr>
          <w:lang w:bidi="he-IL"/>
        </w:rPr>
        <w:t>th</w:t>
      </w:r>
      <w:r w:rsidR="00DA2FFD">
        <w:rPr>
          <w:lang w:bidi="he-IL"/>
        </w:rPr>
        <w:t>e EGF</w:t>
      </w:r>
      <w:r>
        <w:rPr>
          <w:lang w:bidi="he-IL"/>
        </w:rPr>
        <w:t xml:space="preserve"> method</w:t>
      </w:r>
      <w:r w:rsidR="0026240D">
        <w:rPr>
          <w:lang w:bidi="he-IL"/>
        </w:rPr>
        <w:t xml:space="preserve"> suffers </w:t>
      </w:r>
      <w:r>
        <w:rPr>
          <w:lang w:bidi="he-IL"/>
        </w:rPr>
        <w:t xml:space="preserve">from </w:t>
      </w:r>
      <w:r w:rsidR="0026240D">
        <w:rPr>
          <w:lang w:bidi="he-IL"/>
        </w:rPr>
        <w:t xml:space="preserve">several drawbacks that </w:t>
      </w:r>
      <w:r w:rsidR="00D41E49">
        <w:rPr>
          <w:lang w:bidi="he-IL"/>
        </w:rPr>
        <w:t xml:space="preserve">reduce </w:t>
      </w:r>
      <w:r w:rsidR="0026240D">
        <w:rPr>
          <w:lang w:bidi="he-IL"/>
        </w:rPr>
        <w:t xml:space="preserve">its </w:t>
      </w:r>
      <w:r w:rsidR="00D41E49">
        <w:rPr>
          <w:lang w:bidi="he-IL"/>
        </w:rPr>
        <w:t xml:space="preserve">performance and </w:t>
      </w:r>
      <w:r w:rsidR="0026240D">
        <w:rPr>
          <w:lang w:bidi="he-IL"/>
        </w:rPr>
        <w:t xml:space="preserve">applicability. </w:t>
      </w:r>
      <w:r w:rsidR="00D41E49">
        <w:rPr>
          <w:lang w:bidi="he-IL"/>
        </w:rPr>
        <w:t xml:space="preserve">First, the magnitudes of both earthquakes need to be </w:t>
      </w:r>
      <w:r w:rsidR="00143A2B">
        <w:rPr>
          <w:lang w:bidi="he-IL"/>
        </w:rPr>
        <w:t>sufficiently</w:t>
      </w:r>
      <w:r w:rsidR="00D41E49">
        <w:rPr>
          <w:lang w:bidi="he-IL"/>
        </w:rPr>
        <w:t xml:space="preserve"> differ</w:t>
      </w:r>
      <w:r w:rsidR="00143A2B">
        <w:rPr>
          <w:lang w:bidi="he-IL"/>
        </w:rPr>
        <w:t>ent</w:t>
      </w:r>
      <w:r w:rsidR="00D41E49">
        <w:rPr>
          <w:lang w:bidi="he-IL"/>
        </w:rPr>
        <w:t xml:space="preserve"> in order to reliably fit both </w:t>
      </w:r>
      <w:r w:rsidR="00143A2B">
        <w:rPr>
          <w:lang w:bidi="he-IL"/>
        </w:rPr>
        <w:t xml:space="preserve">corner frequencies. Typically, a magnitude difference of at least </w:t>
      </w:r>
      <w:r w:rsidR="001338F9">
        <w:rPr>
          <w:lang w:bidi="he-IL"/>
        </w:rPr>
        <w:t>1</w:t>
      </w:r>
      <w:r w:rsidR="00143A2B">
        <w:rPr>
          <w:lang w:bidi="he-IL"/>
        </w:rPr>
        <w:t xml:space="preserve"> unit is required </w:t>
      </w:r>
      <w:r w:rsidR="001338F9">
        <w:rPr>
          <w:lang w:bidi="he-IL"/>
        </w:rPr>
        <w:fldChar w:fldCharType="begin"/>
      </w:r>
      <w:r w:rsidR="00027B81">
        <w:rPr>
          <w:lang w:bidi="he-IL"/>
        </w:rPr>
        <w:instrText xml:space="preserve"> ADDIN ZOTERO_ITEM CSL_CITATION {"citationID":"MJr2jX6P","properties":{"formattedCitation":"(Abercrombie et al., 2017; Shearer et al., 2019)","plainCitation":"(Abercrombie et al., 2017; Shearer et al., 2019)","dontUpdate":true,"noteIndex":0},"citationItems":[{"id":933,"uris":["http://zotero.org/users/6318414/items/DHFVLP5G"],"itemData":{"id":933,"type":"article-journal","abstract":"We calculate stress drops for 176 earthquakes (M2.6–M6.6) from four sequences of earthquakes in New Zealand. Two sequences are within the subducting Paciﬁc plate (2014 Eketahuna and 2005 Upper Hutt), one in the over-riding plate (2013 Cook Strait) and one involved reverse faulting at the subduction interface (2015 Pongaroa). We focus on obtaining precise and accurate measurements of corner frequency and stress drop for the best-recorded earthquakes. We use an empirical Green’s function (EGF) approach, and require the EGF earthquakes to be highly correlated (cross-correlation ≥ 0.8) to their respective main shocks. In order to improve the quality, we also stack the spectral ratios and source time functions obtained from the best EGF. We perform a grid search for each individual ratio, and each stacked ratio to obtain quantitative uncertainty measurements, and restrict our analysis to the well-constrained corner frequency measurements. We are able to analyse both P and S waves independently and the high correlation between these measurements strengthens the reliability of our results. We ﬁnd that there is signiﬁcant real variability in corner frequency, and hence stress drop, within each sequence; the range of almost 2 orders of magnitude is larger than the uncertainties. The four sequences have overlapping stress drop ranges, and the variability within a sequence is larger than any between different sequences. There is no clear systematic difference in the populations analysed here with tectonic setting. We see no dependence of the stress drop values on depth, time, or magnitude after taking the frequency bandwidth limitations into consideration. Small-scale heterogeneity must therefore exert a more primary inﬂuence on earthquake stress drop than these larger scale factors. We conﬁrm that when ﬁtting individual spectral ratios, a corner frequency within a factor of three of the maximum signal frequency is likely to be underestimated. Stacked ratios are smoother and more reliable near the frequency limits. We ﬁnd that only corner frequencies within about a factor of two of the maximum signal frequency are likely to be underestimated.","container-title":"Geophysical Journal International","DOI":"10.1093/gji/ggw393","ISSN":"0956-540X, 1365-246X","issue":"1","journalAbbreviation":"Geophys. J. Int.","language":"en","page":"306-320","source":"DOI.org (Crossref)","title":"Variability of earthquake stress drop in a subduction setting, the Hikurangi Margin, New Zealand","volume":"208","author":[{"family":"Abercrombie","given":"Rachel E."},{"family":"Bannister","given":"Stephen"},{"family":"Ristau","given":"John"},{"family":"Doser","given":"Diane"}],"issued":{"date-parts":[["2017",1,1]]}}},{"id":96,"uris":["http://zotero.org/users/6318414/items/R9DS3JNR"],"itemData":{"id":96,"type":"article-journal","abstract":"Empirical Green's functions (EGFs) are widely applied to correct earthquake spectra for attenuation and other path effects in order to estimate corner frequencies and stress drops, but these source parameter estimates often exhibit poor agreement between different studies. We examine this issue by analyzing a compact cluster of over 3,000 aftershocks of the 1992 Landers earthquake. We apply and compare two different analysis and modeling methods: (1) the spectral decomposition and global EGF fitting approach and (2) a more traditional EGF method of modeling spectral ratios. We find that spectral decomposition yields event terms that are consistent with stacks of spectral ratios for individual events, but source parameter estimates nonetheless vary between the methods. The main source of differences comes from the modeling approach used to estimate the EGF. The global EGF-fitting approach suffers from parameter trade-offs among the absolute stress drop, the stress drop scaling with moment, and the high-frequency falloff rate but has the advantage that the relative spectral shapes and stress drops among the different events in the cluster are well resolved even if their absolute levels are not. The spectral ratio approach solves for a different EGF for each target event without imposing any constraint on the corner frequency, fc, of the smaller events, and so can produce biased results for target event fc. Placing constraints on the small-event fc improves the performance of the spectral ratio method and enables the two methods to yield very similar results.","container-title":"Journal of Geophysical Research: Solid Earth","DOI":"10.1029/2018JB016957","ISSN":"2169-9313, 2169-9356","issue":"4","language":"en","page":"3966-3986","source":"Crossref","title":"Comparing EGF Methods for Estimating Corner Frequency and Stress Drop From &lt;i&gt;P&lt;/i&gt; Wave Spectra","volume":"124","author":[{"family":"Shearer","given":"Peter M."},{"family":"Abercrombie","given":"Rachel E."},{"family":"Trugman","given":"Daniel T."},{"family":"Wang","given":"Wei"}],"issued":{"date-parts":[["2019",4]]}}}],"schema":"https://github.com/citation-style-language/schema/raw/master/csl-citation.json"} </w:instrText>
      </w:r>
      <w:r w:rsidR="001338F9">
        <w:rPr>
          <w:lang w:bidi="he-IL"/>
        </w:rPr>
        <w:fldChar w:fldCharType="separate"/>
      </w:r>
      <w:r w:rsidR="001338F9" w:rsidRPr="001338F9">
        <w:t>(</w:t>
      </w:r>
      <w:r w:rsidR="001338F9">
        <w:t xml:space="preserve">e.g., </w:t>
      </w:r>
      <w:r w:rsidR="001338F9" w:rsidRPr="001338F9">
        <w:t>Abercrombie et al., 2017; Shearer et al., 2019)</w:t>
      </w:r>
      <w:r w:rsidR="001338F9">
        <w:rPr>
          <w:lang w:bidi="he-IL"/>
        </w:rPr>
        <w:fldChar w:fldCharType="end"/>
      </w:r>
      <w:r w:rsidR="00143A2B">
        <w:rPr>
          <w:lang w:bidi="he-IL"/>
        </w:rPr>
        <w:t>.</w:t>
      </w:r>
      <w:r w:rsidR="004B0A03">
        <w:rPr>
          <w:lang w:bidi="he-IL"/>
        </w:rPr>
        <w:t xml:space="preserve"> Second, </w:t>
      </w:r>
      <w:r w:rsidR="00CD5B33">
        <w:rPr>
          <w:lang w:bidi="he-IL"/>
        </w:rPr>
        <w:t xml:space="preserve">while path and site effects are assumed to be identical for both earthquakes, it is not </w:t>
      </w:r>
      <w:r w:rsidR="00BF6125" w:rsidRPr="004B5797">
        <w:rPr>
          <w:lang w:bidi="he-IL"/>
        </w:rPr>
        <w:t>necessarily</w:t>
      </w:r>
      <w:r w:rsidR="004B5797" w:rsidRPr="004B5797">
        <w:rPr>
          <w:lang w:bidi="he-IL"/>
        </w:rPr>
        <w:t xml:space="preserve"> </w:t>
      </w:r>
      <w:r w:rsidR="00CD5B33">
        <w:rPr>
          <w:lang w:bidi="he-IL"/>
        </w:rPr>
        <w:t xml:space="preserve">the case for noise, </w:t>
      </w:r>
      <w:r w:rsidR="00C0464D">
        <w:rPr>
          <w:lang w:bidi="he-IL"/>
        </w:rPr>
        <w:t xml:space="preserve">and </w:t>
      </w:r>
      <w:r w:rsidR="00CD5B33">
        <w:rPr>
          <w:lang w:bidi="he-IL"/>
        </w:rPr>
        <w:t>spectral ratios need to be stacked to suppress random noi</w:t>
      </w:r>
      <w:r w:rsidR="00C0464D">
        <w:rPr>
          <w:lang w:bidi="he-IL"/>
        </w:rPr>
        <w:t>s</w:t>
      </w:r>
      <w:r w:rsidR="00CD5B33">
        <w:rPr>
          <w:lang w:bidi="he-IL"/>
        </w:rPr>
        <w:t xml:space="preserve">e sources and facilitate reliable model fitting </w:t>
      </w:r>
      <w:r w:rsidR="00CD5B33">
        <w:rPr>
          <w:lang w:bidi="he-IL"/>
        </w:rPr>
        <w:fldChar w:fldCharType="begin"/>
      </w:r>
      <w:r w:rsidR="00027B81">
        <w:rPr>
          <w:lang w:bidi="he-IL"/>
        </w:rPr>
        <w:instrText xml:space="preserve"> ADDIN ZOTERO_ITEM CSL_CITATION {"citationID":"QxCmth3F","properties":{"formattedCitation":"(Wu et al., 2019)","plainCitation":"(Wu et al., 2019)","dontUpdate":true,"noteIndex":0},"citationItems":[{"id":853,"uris":["http://zotero.org/users/6318414/items/YT9BC7VE"],"itemData":{"id":853,"type":"article-journal","abstract":"We demonstrate the complex source process of a potentially induced Mw 4.0 earthquake near Guthrie, Oklahoma. Relative source time functions (RSTFs), retrieved using a time domain empirical Green's function (EGF) deconvolution method, show clear evidence of rupture complexity with the presence of multiple pulses and systematic azimuthal variations. Directivity analysis reveals a well-defined rupture propagation at 120° toward the southeast. Detailed modeling of the RSTFs results in a four-subevent model spanning 1 s in time and 1.5 km in space, in which the earthquake ruptured four successive slip episodes unilaterally to the southeast. Multiple EGF spectral ratio analysis also shows significant complexity as evidenced by azimuth-dependent deviations from the omega-square (Brune) model. The observations of the concentration of early aftershocks at the periphery of the inferred rupture model along the rupture direction and amplified ground motions at stations to the southeast can both be well explained by the directivity effect.","container-title":"Geophysical Research Letters","DOI":"10.1029/2019GL082690","ISSN":"1944-8007","issue":"9","language":"en","note":"_eprint: https://onlinelibrary.wiley.com/doi/pdf/10.1029/2019GL082690","page":"4674-4684","source":"Wiley Online Library","title":"Source Complexity of the 2015 Mw 4.0 Guthrie, Oklahoma Earthquake","volume":"46","author":[{"family":"Wu","given":"Qimin"},{"family":"Chen","given":"Xiaowei"},{"family":"Abercrombie","given":"Rachel E."}],"issued":{"date-parts":[["2019"]]}}}],"schema":"https://github.com/citation-style-language/schema/raw/master/csl-citation.json"} </w:instrText>
      </w:r>
      <w:r w:rsidR="00CD5B33">
        <w:rPr>
          <w:lang w:bidi="he-IL"/>
        </w:rPr>
        <w:fldChar w:fldCharType="separate"/>
      </w:r>
      <w:r w:rsidR="00CD5B33" w:rsidRPr="00CD5B33">
        <w:t>(</w:t>
      </w:r>
      <w:r w:rsidR="00CD5B33">
        <w:t xml:space="preserve">e.g., </w:t>
      </w:r>
      <w:r w:rsidR="00CD5B33" w:rsidRPr="00CD5B33">
        <w:t>Wu et al., 2019)</w:t>
      </w:r>
      <w:r w:rsidR="00CD5B33">
        <w:rPr>
          <w:lang w:bidi="he-IL"/>
        </w:rPr>
        <w:fldChar w:fldCharType="end"/>
      </w:r>
      <w:r w:rsidR="00CD5B33">
        <w:rPr>
          <w:lang w:bidi="he-IL"/>
        </w:rPr>
        <w:t>.</w:t>
      </w:r>
      <w:r w:rsidR="008356B2">
        <w:rPr>
          <w:lang w:bidi="he-IL"/>
        </w:rPr>
        <w:t xml:space="preserve"> </w:t>
      </w:r>
      <w:r w:rsidR="00685D19">
        <w:rPr>
          <w:lang w:bidi="he-IL"/>
        </w:rPr>
        <w:t xml:space="preserve">Third, </w:t>
      </w:r>
      <w:r w:rsidR="00096E46">
        <w:rPr>
          <w:lang w:bidi="he-IL"/>
        </w:rPr>
        <w:t xml:space="preserve">EGF analysis is only </w:t>
      </w:r>
      <w:r w:rsidR="00076346">
        <w:rPr>
          <w:lang w:bidi="he-IL"/>
        </w:rPr>
        <w:t>feasible</w:t>
      </w:r>
      <w:r w:rsidR="00096E46">
        <w:rPr>
          <w:lang w:bidi="he-IL"/>
        </w:rPr>
        <w:t xml:space="preserve"> </w:t>
      </w:r>
      <w:r w:rsidR="00C0464D">
        <w:rPr>
          <w:lang w:bidi="he-IL"/>
        </w:rPr>
        <w:t>in</w:t>
      </w:r>
      <w:r w:rsidR="00096E46">
        <w:rPr>
          <w:lang w:bidi="he-IL"/>
        </w:rPr>
        <w:t xml:space="preserve"> a limited </w:t>
      </w:r>
      <w:r w:rsidR="00780221">
        <w:rPr>
          <w:lang w:bidi="he-IL"/>
        </w:rPr>
        <w:t xml:space="preserve">frequency </w:t>
      </w:r>
      <w:r w:rsidR="00C0464D">
        <w:rPr>
          <w:lang w:bidi="he-IL"/>
        </w:rPr>
        <w:t>band</w:t>
      </w:r>
      <w:r w:rsidR="009F72C0">
        <w:rPr>
          <w:lang w:bidi="he-IL"/>
        </w:rPr>
        <w:t xml:space="preserve"> where the spectral amplitudes of both earthquakes </w:t>
      </w:r>
      <w:r w:rsidR="00C0464D">
        <w:rPr>
          <w:lang w:bidi="he-IL"/>
        </w:rPr>
        <w:t>are</w:t>
      </w:r>
      <w:r w:rsidR="009F72C0">
        <w:rPr>
          <w:lang w:bidi="he-IL"/>
        </w:rPr>
        <w:t xml:space="preserve"> above a predefined noise threshold, typically set to be 3 </w:t>
      </w:r>
      <w:r w:rsidR="009F72C0">
        <w:rPr>
          <w:lang w:bidi="he-IL"/>
        </w:rPr>
        <w:fldChar w:fldCharType="begin"/>
      </w:r>
      <w:r w:rsidR="00027B81">
        <w:rPr>
          <w:lang w:bidi="he-IL"/>
        </w:rPr>
        <w:instrText xml:space="preserve"> ADDIN ZOTERO_ITEM CSL_CITATION {"citationID":"RwEatauc","properties":{"formattedCitation":"(Viegas et al., 2010)","plainCitation":"(Viegas et al., 2010)","dontUpdate":true,"noteIndex":0},"citationItems":[{"id":936,"uris":["http://zotero.org/users/6318414/items/M4QCLYQU"],"itemData":{"id":936,"type":"article-journal","abstract":"We find invariant high stress drops and radiated energies for a sequence of intraplate earthquakes. We estimate source parameters of the Au Sable Forks, NY, earthquake (M5, 2002) and aftershocks. This intraplate earthquake was the largest to occur in Eastern North America since 1988 and the largest to be recorded by regional broadband networks. We use the empirical Green's function (EGF) method and define a set of qualitative and quantitative rules for the selection of EGF earthquake pairs and for the quality verification of the obtained EGF spectral ratio. We use a multitaper code that performs the complex spectral division with minimum frequency leakage and allows transformation back to the time domain to check the validity of the EGF event. We estimate source parameters for 22 earthquakes (M1–M5) in the sequence. The median stress drop of 104 MPa (using Madariaga source model, and 19 MPa for a Brune model) is significantly larger than estimates for interplate earthquakes. The lower crustal strain rates, and longer fault healing times in intraplate environments, may be responsible for this high average value. We find constant stress drop between M2 and M5, up to the bandwidth resolution limit (80 Hz) of the study, and no evidence of stress drop breakdown for M2 to M1 earthquakes. We find consistently high radiated seismic energy and apparent stress, and a median radiated energy to seismic moment ratio of 9 × 10−5. This is significantly larger than estimates for interplate earthquakes (</w:instrText>
      </w:r>
      <w:r w:rsidR="00027B81">
        <w:rPr>
          <w:rFonts w:ascii="Cambria Math" w:hAnsi="Cambria Math" w:cs="Cambria Math"/>
          <w:lang w:bidi="he-IL"/>
        </w:rPr>
        <w:instrText>∼</w:instrText>
      </w:r>
      <w:r w:rsidR="00027B81">
        <w:rPr>
          <w:lang w:bidi="he-IL"/>
        </w:rPr>
        <w:instrText xml:space="preserve">2 × 10−5) and consistent with higher stress drops and stronger faults.","container-title":"Journal of Geophysical Research: Solid Earth","DOI":"10.1029/2009JB006799","ISSN":"2156-2202","issue":"B7","language":"en","note":"_eprint: https://onlinelibrary.wiley.com/doi/pdf/10.1029/2009JB006799","source":"Wiley Online Library","title":"The 2002 M5 Au Sable Forks, NY, earthquake sequence: Source scaling relationships and energy budget","title-short":"The 2002 M5 Au Sable Forks, NY, earthquake sequence","URL":"https://onlinelibrary.wiley.com/doi/abs/10.1029/2009JB006799","volume":"115","author":[{"family":"Viegas","given":"Gisela"},{"family":"Abercrombie","given":"Rachel E."},{"family":"Kim","given":"Won-Young"}],"accessed":{"date-parts":[["2022",12,19]]},"issued":{"date-parts":[["2010"]]}}}],"schema":"https://github.com/citation-style-language/schema/raw/master/csl-citation.json"} </w:instrText>
      </w:r>
      <w:r w:rsidR="009F72C0">
        <w:rPr>
          <w:lang w:bidi="he-IL"/>
        </w:rPr>
        <w:fldChar w:fldCharType="separate"/>
      </w:r>
      <w:r w:rsidR="009F72C0" w:rsidRPr="009F72C0">
        <w:t>(</w:t>
      </w:r>
      <w:r w:rsidR="009F72C0">
        <w:t xml:space="preserve">e.g., </w:t>
      </w:r>
      <w:r w:rsidR="009F72C0" w:rsidRPr="009F72C0">
        <w:t>Viegas et al., 2010)</w:t>
      </w:r>
      <w:r w:rsidR="009F72C0">
        <w:rPr>
          <w:lang w:bidi="he-IL"/>
        </w:rPr>
        <w:fldChar w:fldCharType="end"/>
      </w:r>
      <w:r w:rsidR="009F72C0">
        <w:rPr>
          <w:lang w:bidi="he-IL"/>
        </w:rPr>
        <w:t xml:space="preserve">. Using a too small frequency range may bias the fitted source parameters </w:t>
      </w:r>
      <w:r w:rsidR="009F72C0">
        <w:rPr>
          <w:lang w:bidi="he-IL"/>
        </w:rPr>
        <w:fldChar w:fldCharType="begin"/>
      </w:r>
      <w:r w:rsidR="009F72C0">
        <w:rPr>
          <w:lang w:bidi="he-IL"/>
        </w:rPr>
        <w:instrText xml:space="preserve"> ADDIN ZOTERO_ITEM CSL_CITATION {"citationID":"1Yb9HkM4","properties":{"formattedCitation":"(Abercrombie, 2021)","plainCitation":"(Abercrombie, 2021)","noteIndex":0},"citationItems":[{"id":858,"uris":["http://zotero.org/users/6318414/items/RKALRDAI"],"itemData":{"id":858,"type":"article-journal","abstract":"Our models and understanding of the dynamics of earthquake rupture are based largely on estimates of earthquake source parameters, such as stress drop and radiated seismic energy. Unfortunately, the measurements, especially those of small and moderate-sized earthquakes (magnitude less than about 5 or 6), are not well resolved, containing significant random and potentially systematic uncertainties. The aim of this review is to provide a context in which to understand the challenges involved in estimating these measurements, and to assess the quality and reliability of reported measurements of earthquake source parameters. I also discuss some of the ways progress is being made towards more reliable parameter measurements. At present, whether the earthquake source is entirely self-similar, or not, and which factors and processes control the physics of the rupture remains, at least in the author's opinion, largely unconstrained. Detailed analysis of the best recorded earthquakes, using the increasing quantity and quality of data available, and methods less dependent on simplistic source models is one approach that may help provide better constraints.\n            This article is part of the theme issue ‘Fracture dynamics of solid materials: from particles to the globe’.","container-title":"Philosophical Transactions of the Royal Society A: Mathematical, Physical and Engineering Sciences","DOI":"10.1098/rsta.2020.0131","ISSN":"1364-503X, 1471-2962","issue":"2196","journalAbbreviation":"Phil. Trans. R. Soc. A.","language":"en","page":"20200131","source":"DOI.org (Crossref)","title":"Resolution and uncertainties in estimates of earthquake stress drop and energy release","volume":"379","author":[{"family":"Abercrombie","given":"Rachel E."}],"issued":{"date-parts":[["2021",5,3]]}}}],"schema":"https://github.com/citation-style-language/schema/raw/master/csl-citation.json"} </w:instrText>
      </w:r>
      <w:r w:rsidR="009F72C0">
        <w:rPr>
          <w:lang w:bidi="he-IL"/>
        </w:rPr>
        <w:fldChar w:fldCharType="separate"/>
      </w:r>
      <w:r w:rsidR="009F72C0" w:rsidRPr="00096E46">
        <w:t>(Abercrombie, 2021)</w:t>
      </w:r>
      <w:r w:rsidR="009F72C0">
        <w:rPr>
          <w:lang w:bidi="he-IL"/>
        </w:rPr>
        <w:fldChar w:fldCharType="end"/>
      </w:r>
      <w:r w:rsidR="009F72C0">
        <w:rPr>
          <w:lang w:bidi="he-IL"/>
        </w:rPr>
        <w:t xml:space="preserve">. The combined requirement </w:t>
      </w:r>
      <w:r w:rsidR="009337A7">
        <w:rPr>
          <w:lang w:bidi="he-IL"/>
        </w:rPr>
        <w:t>of</w:t>
      </w:r>
      <w:r w:rsidR="009F72C0">
        <w:rPr>
          <w:lang w:bidi="he-IL"/>
        </w:rPr>
        <w:t xml:space="preserve"> magnitude difference and </w:t>
      </w:r>
      <w:r w:rsidR="00526ECA">
        <w:rPr>
          <w:lang w:bidi="he-IL"/>
        </w:rPr>
        <w:t>SNR</w:t>
      </w:r>
      <w:r w:rsidR="009F72C0">
        <w:rPr>
          <w:lang w:bidi="he-IL"/>
        </w:rPr>
        <w:t xml:space="preserve"> thresholds</w:t>
      </w:r>
      <w:r w:rsidR="009337A7">
        <w:rPr>
          <w:lang w:bidi="he-IL"/>
        </w:rPr>
        <w:t xml:space="preserve"> coupled with the need to stack multiple spectral ratios </w:t>
      </w:r>
      <w:r w:rsidR="009F72C0">
        <w:rPr>
          <w:lang w:bidi="he-IL"/>
        </w:rPr>
        <w:t xml:space="preserve">limits the applicability </w:t>
      </w:r>
      <w:r w:rsidR="009337A7">
        <w:rPr>
          <w:lang w:bidi="he-IL"/>
        </w:rPr>
        <w:t>of the EGF method.</w:t>
      </w:r>
      <w:r w:rsidR="00096E46">
        <w:rPr>
          <w:lang w:bidi="he-IL"/>
        </w:rPr>
        <w:t xml:space="preserve"> </w:t>
      </w:r>
    </w:p>
    <w:p w14:paraId="4559A533" w14:textId="5580470C" w:rsidR="00796068" w:rsidRDefault="00796068" w:rsidP="0075573E">
      <w:pPr>
        <w:pStyle w:val="Text"/>
        <w:rPr>
          <w:lang w:bidi="he-IL"/>
        </w:rPr>
      </w:pPr>
      <w:r>
        <w:rPr>
          <w:lang w:bidi="he-IL"/>
        </w:rPr>
        <w:t xml:space="preserve">It has recently been demonstrated that the </w:t>
      </w:r>
      <w:r w:rsidR="008E209C">
        <w:rPr>
          <w:lang w:bidi="he-IL"/>
        </w:rPr>
        <w:t>dense</w:t>
      </w:r>
      <w:r>
        <w:rPr>
          <w:lang w:bidi="he-IL"/>
        </w:rPr>
        <w:t xml:space="preserve"> measurements of </w:t>
      </w:r>
      <w:r w:rsidR="00BF6125">
        <w:rPr>
          <w:lang w:bidi="he-IL"/>
        </w:rPr>
        <w:t>Distributed</w:t>
      </w:r>
      <w:r>
        <w:rPr>
          <w:lang w:bidi="he-IL"/>
        </w:rPr>
        <w:t xml:space="preserve"> Acoustic Sensing (DAS) can be used to obtain spectral ratios </w:t>
      </w:r>
      <w:r>
        <w:rPr>
          <w:lang w:bidi="he-IL"/>
        </w:rPr>
        <w:fldChar w:fldCharType="begin"/>
      </w:r>
      <w:r>
        <w:rPr>
          <w:lang w:bidi="he-IL"/>
        </w:rPr>
        <w:instrText xml:space="preserve"> ADDIN ZOTERO_ITEM CSL_CITATION {"citationID":"b5aYpJ92","properties":{"formattedCitation":"(Chen, 2023)","plainCitation":"(Chen, 2023)","noteIndex":0},"citationItems":[{"id":951,"uris":["http://zotero.org/users/6318414/items/MBJMQC93"],"itemData":{"id":951,"type":"article-journal","abstract":"SUMMARY\n            In this study, I demonstrate that distributed acoustic sensing (DAS) raw strain rate data can directly be used to estimate spectral source parameters through an Empirical Green's Function (EGF) deconvolution analysis. Previously, DAS had been widely used in passive seismology to image the subsurface and analyze ground motion variations by converting strain or strain rate to particle velocity or acceleration prior to analysis. In this study, spectral analysis is applied to the PoroTomo joint DAS and seismic Nodal array in the Brady Hot Springs geothermal field to obtain source parameters for two M4 earthquakes via EGF analysis, where nearly collocated smaller events are used as an EGF to remove path and site effects. The EGF workflow is applied to raw DAS strain rate data without conversion to particle velocities and raw Nodal seismic data. The DAS and Nodal results are very consistent with similar features of spectral ratios, corner frequencies and moment ratios for the same event pairs. The uncertainty due to stacked spectral measurement is much lower on the DAS array, suggesting better stability of spectral shape measurement, possibly due to the much denser spatial sampling. The uncertainty due to model fitting is similar between DAS and Nodal arrays with slightly lower uncertainty on the DAS array. These observations demonstrate potential for directly using the strain rate measurements from DAS arrays for earthquake source characterizations.","container-title":"Geophysical Journal International","DOI":"10.1093/gji/ggad061","ISSN":"0956-540X, 1365-246X","issue":"3","language":"en","page":"2207-2213","source":"DOI.org (Crossref)","title":"Source parameter analysis using distributed acoustic sensing – an example with the PoroTomo array","volume":"233","author":[{"family":"Chen","given":"Xiaowei"}],"issued":{"date-parts":[["2023",2,6]]}}}],"schema":"https://github.com/citation-style-language/schema/raw/master/csl-citation.json"} </w:instrText>
      </w:r>
      <w:r>
        <w:rPr>
          <w:lang w:bidi="he-IL"/>
        </w:rPr>
        <w:fldChar w:fldCharType="separate"/>
      </w:r>
      <w:r w:rsidRPr="00796068">
        <w:t>(Chen, 2023)</w:t>
      </w:r>
      <w:r>
        <w:rPr>
          <w:lang w:bidi="he-IL"/>
        </w:rPr>
        <w:fldChar w:fldCharType="end"/>
      </w:r>
      <w:r>
        <w:rPr>
          <w:lang w:bidi="he-IL"/>
        </w:rPr>
        <w:t xml:space="preserve">. The use of DAS for source parameter estimation via the EGF method </w:t>
      </w:r>
      <w:r w:rsidR="00D16150">
        <w:rPr>
          <w:lang w:bidi="he-IL"/>
        </w:rPr>
        <w:t>can overcome the previously described limitations of seismometer/</w:t>
      </w:r>
      <w:r w:rsidR="00BF6125">
        <w:rPr>
          <w:lang w:bidi="he-IL"/>
        </w:rPr>
        <w:t>accelerometer-based</w:t>
      </w:r>
      <w:r w:rsidR="00D16150">
        <w:rPr>
          <w:lang w:bidi="he-IL"/>
        </w:rPr>
        <w:t xml:space="preserve"> method</w:t>
      </w:r>
      <w:r w:rsidR="00281A5D">
        <w:rPr>
          <w:lang w:bidi="he-IL"/>
        </w:rPr>
        <w:t xml:space="preserve">. </w:t>
      </w:r>
      <w:r w:rsidR="005B3FF7">
        <w:rPr>
          <w:lang w:bidi="he-IL"/>
        </w:rPr>
        <w:t>The application of the EGF method to DAS data is described in Text S1, with the conclusion that DAS strain (rate) data can be directly used to obtain spectral ratios (Equation S3):</w:t>
      </w:r>
    </w:p>
    <w:tbl>
      <w:tblPr>
        <w:tblW w:w="8856" w:type="dxa"/>
        <w:jc w:val="center"/>
        <w:tblBorders>
          <w:top w:val="nil"/>
          <w:left w:val="nil"/>
          <w:bottom w:val="nil"/>
          <w:right w:val="nil"/>
          <w:insideH w:val="nil"/>
          <w:insideV w:val="nil"/>
        </w:tblBorders>
        <w:tblLayout w:type="fixed"/>
        <w:tblLook w:val="0400" w:firstRow="0" w:lastRow="0" w:firstColumn="0" w:lastColumn="0" w:noHBand="0" w:noVBand="1"/>
      </w:tblPr>
      <w:tblGrid>
        <w:gridCol w:w="7338"/>
        <w:gridCol w:w="1518"/>
      </w:tblGrid>
      <w:tr w:rsidR="005B3FF7" w:rsidRPr="003A5F3F" w14:paraId="098306FD" w14:textId="77777777" w:rsidTr="007E04C4">
        <w:trPr>
          <w:trHeight w:val="498"/>
          <w:jc w:val="center"/>
        </w:trPr>
        <w:tc>
          <w:tcPr>
            <w:tcW w:w="7338" w:type="dxa"/>
            <w:vAlign w:val="center"/>
          </w:tcPr>
          <w:p w14:paraId="48A7B97D" w14:textId="25760C1A" w:rsidR="005B3FF7" w:rsidRPr="003A5F3F" w:rsidRDefault="00A60ABB" w:rsidP="007C36E3">
            <w:pPr>
              <w:spacing w:before="120"/>
              <w:ind w:firstLine="720"/>
              <w:jc w:val="center"/>
              <w:rPr>
                <w:rFonts w:ascii="Myriad Pro" w:eastAsia="Times New Roman" w:hAnsi="Myriad Pro"/>
                <w:sz w:val="22"/>
                <w:szCs w:val="22"/>
              </w:rPr>
            </w:pPr>
            <m:oMath>
              <m:f>
                <m:fPr>
                  <m:ctrlPr>
                    <w:rPr>
                      <w:rFonts w:ascii="Cambria Math" w:eastAsia="Times New Roman" w:hAnsi="Cambria Math"/>
                      <w:sz w:val="22"/>
                      <w:szCs w:val="22"/>
                    </w:rPr>
                  </m:ctrlPr>
                </m:fPr>
                <m:num>
                  <m:sSubSup>
                    <m:sSubSupPr>
                      <m:ctrlPr>
                        <w:rPr>
                          <w:rFonts w:ascii="Cambria Math" w:eastAsia="Times New Roman" w:hAnsi="Cambria Math"/>
                          <w:sz w:val="22"/>
                          <w:szCs w:val="22"/>
                        </w:rPr>
                      </m:ctrlPr>
                    </m:sSubSupPr>
                    <m:e>
                      <m:acc>
                        <m:accPr>
                          <m:chr m:val="̇"/>
                          <m:ctrlPr>
                            <w:rPr>
                              <w:rFonts w:ascii="Cambria Math" w:eastAsia="Times New Roman" w:hAnsi="Cambria Math"/>
                              <w:sz w:val="22"/>
                              <w:szCs w:val="22"/>
                            </w:rPr>
                          </m:ctrlPr>
                        </m:accPr>
                        <m:e>
                          <m:r>
                            <m:rPr>
                              <m:sty m:val="p"/>
                            </m:rPr>
                            <w:rPr>
                              <w:rFonts w:ascii="Cambria Math" w:eastAsia="Times New Roman" w:hAnsi="Cambria Math"/>
                              <w:sz w:val="22"/>
                              <w:szCs w:val="22"/>
                            </w:rPr>
                            <m:t>ε</m:t>
                          </m:r>
                        </m:e>
                      </m:acc>
                    </m:e>
                    <m:sub>
                      <m:r>
                        <m:rPr>
                          <m:sty m:val="p"/>
                        </m:rPr>
                        <w:rPr>
                          <w:rFonts w:ascii="Cambria Math" w:eastAsia="Times New Roman" w:hAnsi="Cambria Math"/>
                          <w:sz w:val="22"/>
                          <w:szCs w:val="22"/>
                        </w:rPr>
                        <m:t>1</m:t>
                      </m:r>
                      <m:r>
                        <w:rPr>
                          <w:rFonts w:ascii="Cambria Math" w:eastAsia="Times New Roman" w:hAnsi="Cambria Math"/>
                          <w:sz w:val="22"/>
                          <w:szCs w:val="22"/>
                        </w:rPr>
                        <m:t>j</m:t>
                      </m:r>
                    </m:sub>
                    <m:sup>
                      <m:r>
                        <w:rPr>
                          <w:rFonts w:ascii="Cambria Math" w:hAnsi="Cambria Math"/>
                          <w:sz w:val="22"/>
                          <w:szCs w:val="22"/>
                        </w:rPr>
                        <m:t>e</m:t>
                      </m:r>
                    </m:sup>
                  </m:sSubSup>
                  <m:d>
                    <m:dPr>
                      <m:ctrlPr>
                        <w:rPr>
                          <w:rFonts w:ascii="Cambria Math" w:eastAsia="Times New Roman" w:hAnsi="Cambria Math"/>
                          <w:sz w:val="22"/>
                          <w:szCs w:val="22"/>
                        </w:rPr>
                      </m:ctrlPr>
                    </m:dPr>
                    <m:e>
                      <m:r>
                        <w:rPr>
                          <w:rFonts w:ascii="Cambria Math" w:hAnsi="Cambria Math"/>
                          <w:sz w:val="22"/>
                          <w:szCs w:val="22"/>
                        </w:rPr>
                        <m:t>f</m:t>
                      </m:r>
                      <m:r>
                        <m:rPr>
                          <m:sty m:val="p"/>
                        </m:rPr>
                        <w:rPr>
                          <w:rFonts w:ascii="Cambria Math" w:eastAsia="Times New Roman" w:hAnsi="Cambria Math"/>
                          <w:sz w:val="22"/>
                          <w:szCs w:val="22"/>
                        </w:rPr>
                        <m:t>,</m:t>
                      </m:r>
                      <m:r>
                        <w:rPr>
                          <w:rFonts w:ascii="Cambria Math" w:eastAsia="Times New Roman" w:hAnsi="Cambria Math"/>
                          <w:sz w:val="22"/>
                          <w:szCs w:val="22"/>
                        </w:rPr>
                        <m:t>x</m:t>
                      </m:r>
                    </m:e>
                  </m:d>
                </m:num>
                <m:den>
                  <m:sSubSup>
                    <m:sSubSupPr>
                      <m:ctrlPr>
                        <w:rPr>
                          <w:rFonts w:ascii="Cambria Math" w:eastAsia="Times New Roman" w:hAnsi="Cambria Math"/>
                          <w:sz w:val="22"/>
                          <w:szCs w:val="22"/>
                        </w:rPr>
                      </m:ctrlPr>
                    </m:sSubSupPr>
                    <m:e>
                      <m:acc>
                        <m:accPr>
                          <m:chr m:val="̇"/>
                          <m:ctrlPr>
                            <w:rPr>
                              <w:rFonts w:ascii="Cambria Math" w:eastAsia="Times New Roman" w:hAnsi="Cambria Math"/>
                              <w:sz w:val="22"/>
                              <w:szCs w:val="22"/>
                            </w:rPr>
                          </m:ctrlPr>
                        </m:accPr>
                        <m:e>
                          <m:r>
                            <m:rPr>
                              <m:sty m:val="p"/>
                            </m:rPr>
                            <w:rPr>
                              <w:rFonts w:ascii="Cambria Math" w:eastAsia="Times New Roman" w:hAnsi="Cambria Math"/>
                              <w:sz w:val="22"/>
                              <w:szCs w:val="22"/>
                            </w:rPr>
                            <m:t>ε</m:t>
                          </m:r>
                        </m:e>
                      </m:acc>
                    </m:e>
                    <m:sub>
                      <m:r>
                        <m:rPr>
                          <m:sty m:val="p"/>
                        </m:rPr>
                        <w:rPr>
                          <w:rFonts w:ascii="Cambria Math" w:eastAsia="Times New Roman" w:hAnsi="Cambria Math"/>
                          <w:sz w:val="22"/>
                          <w:szCs w:val="22"/>
                        </w:rPr>
                        <m:t>2</m:t>
                      </m:r>
                      <m:r>
                        <w:rPr>
                          <w:rFonts w:ascii="Cambria Math" w:eastAsia="Times New Roman" w:hAnsi="Cambria Math"/>
                          <w:sz w:val="22"/>
                          <w:szCs w:val="22"/>
                        </w:rPr>
                        <m:t>j</m:t>
                      </m:r>
                    </m:sub>
                    <m:sup>
                      <m:r>
                        <w:rPr>
                          <w:rFonts w:ascii="Cambria Math" w:hAnsi="Cambria Math"/>
                          <w:sz w:val="22"/>
                          <w:szCs w:val="22"/>
                        </w:rPr>
                        <m:t>e</m:t>
                      </m:r>
                    </m:sup>
                  </m:sSubSup>
                  <m:d>
                    <m:dPr>
                      <m:ctrlPr>
                        <w:rPr>
                          <w:rFonts w:ascii="Cambria Math" w:eastAsia="Times New Roman" w:hAnsi="Cambria Math"/>
                          <w:sz w:val="22"/>
                          <w:szCs w:val="22"/>
                        </w:rPr>
                      </m:ctrlPr>
                    </m:dPr>
                    <m:e>
                      <m:r>
                        <w:rPr>
                          <w:rFonts w:ascii="Cambria Math" w:hAnsi="Cambria Math"/>
                          <w:sz w:val="22"/>
                          <w:szCs w:val="22"/>
                        </w:rPr>
                        <m:t>f</m:t>
                      </m:r>
                      <m:r>
                        <m:rPr>
                          <m:sty m:val="p"/>
                        </m:rPr>
                        <w:rPr>
                          <w:rFonts w:ascii="Cambria Math" w:eastAsia="Times New Roman" w:hAnsi="Cambria Math"/>
                          <w:sz w:val="22"/>
                          <w:szCs w:val="22"/>
                        </w:rPr>
                        <m:t>,</m:t>
                      </m:r>
                      <m:r>
                        <w:rPr>
                          <w:rFonts w:ascii="Cambria Math" w:eastAsia="Times New Roman" w:hAnsi="Cambria Math"/>
                          <w:sz w:val="22"/>
                          <w:szCs w:val="22"/>
                        </w:rPr>
                        <m:t>x</m:t>
                      </m:r>
                    </m:e>
                  </m:d>
                </m:den>
              </m:f>
              <m:r>
                <w:rPr>
                  <w:rFonts w:ascii="Cambria Math" w:eastAsia="Cambria Math" w:hAnsi="Cambria Math"/>
                  <w:color w:val="000000"/>
                  <w:sz w:val="22"/>
                  <w:szCs w:val="22"/>
                </w:rPr>
                <m:t>=</m:t>
              </m:r>
              <m:f>
                <m:fPr>
                  <m:ctrlPr>
                    <w:rPr>
                      <w:rFonts w:ascii="Cambria Math" w:eastAsia="Cambria Math" w:hAnsi="Cambria Math"/>
                      <w:i/>
                      <w:color w:val="000000"/>
                      <w:sz w:val="22"/>
                      <w:szCs w:val="22"/>
                    </w:rPr>
                  </m:ctrlPr>
                </m:fPr>
                <m:num>
                  <m:sSub>
                    <m:sSubPr>
                      <m:ctrlPr>
                        <w:rPr>
                          <w:rFonts w:ascii="Cambria Math" w:eastAsia="Cambria Math" w:hAnsi="Cambria Math"/>
                          <w:i/>
                          <w:color w:val="000000"/>
                          <w:sz w:val="22"/>
                          <w:szCs w:val="22"/>
                        </w:rPr>
                      </m:ctrlPr>
                    </m:sSubPr>
                    <m:e>
                      <m:r>
                        <w:rPr>
                          <w:rFonts w:ascii="Cambria Math" w:eastAsia="Cambria Math" w:hAnsi="Cambria Math"/>
                          <w:color w:val="000000"/>
                          <w:sz w:val="22"/>
                          <w:szCs w:val="22"/>
                        </w:rPr>
                        <m:t>M</m:t>
                      </m:r>
                    </m:e>
                    <m:sub>
                      <m:r>
                        <w:rPr>
                          <w:rFonts w:ascii="Cambria Math" w:eastAsia="Cambria Math" w:hAnsi="Cambria Math"/>
                          <w:color w:val="000000"/>
                          <w:sz w:val="22"/>
                          <w:szCs w:val="22"/>
                        </w:rPr>
                        <m:t>01</m:t>
                      </m:r>
                    </m:sub>
                  </m:sSub>
                </m:num>
                <m:den>
                  <m:sSub>
                    <m:sSubPr>
                      <m:ctrlPr>
                        <w:rPr>
                          <w:rFonts w:ascii="Cambria Math" w:eastAsia="Cambria Math" w:hAnsi="Cambria Math"/>
                          <w:i/>
                          <w:color w:val="000000"/>
                          <w:sz w:val="22"/>
                          <w:szCs w:val="22"/>
                        </w:rPr>
                      </m:ctrlPr>
                    </m:sSubPr>
                    <m:e>
                      <m:r>
                        <w:rPr>
                          <w:rFonts w:ascii="Cambria Math" w:eastAsia="Cambria Math" w:hAnsi="Cambria Math"/>
                          <w:color w:val="000000"/>
                          <w:sz w:val="22"/>
                          <w:szCs w:val="22"/>
                        </w:rPr>
                        <m:t>M</m:t>
                      </m:r>
                    </m:e>
                    <m:sub>
                      <m:r>
                        <w:rPr>
                          <w:rFonts w:ascii="Cambria Math" w:eastAsia="Cambria Math" w:hAnsi="Cambria Math"/>
                          <w:color w:val="000000"/>
                          <w:sz w:val="22"/>
                          <w:szCs w:val="22"/>
                        </w:rPr>
                        <m:t>02</m:t>
                      </m:r>
                    </m:sub>
                  </m:sSub>
                </m:den>
              </m:f>
              <m:f>
                <m:fPr>
                  <m:ctrlPr>
                    <w:rPr>
                      <w:rFonts w:ascii="Cambria Math" w:eastAsia="Cambria Math" w:hAnsi="Cambria Math"/>
                      <w:i/>
                      <w:color w:val="000000"/>
                      <w:sz w:val="22"/>
                      <w:szCs w:val="22"/>
                    </w:rPr>
                  </m:ctrlPr>
                </m:fPr>
                <m:num>
                  <m:sSup>
                    <m:sSupPr>
                      <m:ctrlPr>
                        <w:rPr>
                          <w:rFonts w:ascii="Cambria Math" w:hAnsi="Cambria Math"/>
                          <w:i/>
                          <w:sz w:val="22"/>
                          <w:szCs w:val="22"/>
                        </w:rPr>
                      </m:ctrlPr>
                    </m:sSupPr>
                    <m:e>
                      <m:d>
                        <m:dPr>
                          <m:begChr m:val="["/>
                          <m:endChr m:val="]"/>
                          <m:ctrlPr>
                            <w:rPr>
                              <w:rFonts w:ascii="Cambria Math" w:hAnsi="Cambria Math"/>
                              <w:i/>
                              <w:sz w:val="22"/>
                              <w:szCs w:val="22"/>
                            </w:rPr>
                          </m:ctrlPr>
                        </m:dPr>
                        <m:e>
                          <m:r>
                            <w:rPr>
                              <w:rFonts w:ascii="Cambria Math" w:hAnsi="Cambria Math"/>
                              <w:sz w:val="22"/>
                              <w:szCs w:val="22"/>
                            </w:rPr>
                            <m:t>1+</m:t>
                          </m:r>
                          <m:sSup>
                            <m:sSupPr>
                              <m:ctrlPr>
                                <w:rPr>
                                  <w:rFonts w:ascii="Cambria Math" w:hAnsi="Cambria Math"/>
                                  <w:i/>
                                  <w:sz w:val="22"/>
                                  <w:szCs w:val="22"/>
                                </w:rPr>
                              </m:ctrlPr>
                            </m:sSupPr>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f</m:t>
                                      </m:r>
                                    </m:num>
                                    <m:den>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02</m:t>
                                          </m:r>
                                        </m:sub>
                                      </m:sSub>
                                    </m:den>
                                  </m:f>
                                </m:e>
                              </m:d>
                            </m:e>
                            <m:sup>
                              <m:r>
                                <w:rPr>
                                  <w:rFonts w:ascii="Cambria Math" w:hAnsi="Cambria Math"/>
                                  <w:sz w:val="22"/>
                                  <w:szCs w:val="22"/>
                                </w:rPr>
                                <m:t>2γ</m:t>
                              </m:r>
                            </m:sup>
                          </m:sSup>
                        </m:e>
                      </m:d>
                      <m:ctrlPr>
                        <w:rPr>
                          <w:rFonts w:ascii="Cambria Math" w:eastAsia="Cambria Math" w:hAnsi="Cambria Math"/>
                          <w:i/>
                          <w:color w:val="000000"/>
                          <w:sz w:val="22"/>
                          <w:szCs w:val="22"/>
                        </w:rPr>
                      </m:ctrlPr>
                    </m:e>
                    <m:sup>
                      <m:r>
                        <w:rPr>
                          <w:rFonts w:ascii="Cambria Math" w:eastAsia="Cambria Math" w:hAnsi="Cambria Math"/>
                          <w:color w:val="000000"/>
                          <w:sz w:val="22"/>
                          <w:szCs w:val="22"/>
                        </w:rPr>
                        <m:t>1/γ</m:t>
                      </m:r>
                    </m:sup>
                  </m:sSup>
                  <m:ctrlPr>
                    <w:rPr>
                      <w:rFonts w:ascii="Cambria Math" w:hAnsi="Cambria Math"/>
                      <w:i/>
                      <w:sz w:val="22"/>
                      <w:szCs w:val="22"/>
                    </w:rPr>
                  </m:ctrlPr>
                </m:num>
                <m:den>
                  <m:sSup>
                    <m:sSupPr>
                      <m:ctrlPr>
                        <w:rPr>
                          <w:rFonts w:ascii="Cambria Math" w:hAnsi="Cambria Math"/>
                          <w:i/>
                          <w:sz w:val="22"/>
                          <w:szCs w:val="22"/>
                        </w:rPr>
                      </m:ctrlPr>
                    </m:sSupPr>
                    <m:e>
                      <m:d>
                        <m:dPr>
                          <m:begChr m:val="["/>
                          <m:endChr m:val="]"/>
                          <m:ctrlPr>
                            <w:rPr>
                              <w:rFonts w:ascii="Cambria Math" w:hAnsi="Cambria Math"/>
                              <w:i/>
                              <w:sz w:val="22"/>
                              <w:szCs w:val="22"/>
                            </w:rPr>
                          </m:ctrlPr>
                        </m:dPr>
                        <m:e>
                          <m:r>
                            <w:rPr>
                              <w:rFonts w:ascii="Cambria Math" w:hAnsi="Cambria Math"/>
                              <w:sz w:val="22"/>
                              <w:szCs w:val="22"/>
                            </w:rPr>
                            <m:t>1+</m:t>
                          </m:r>
                          <m:sSup>
                            <m:sSupPr>
                              <m:ctrlPr>
                                <w:rPr>
                                  <w:rFonts w:ascii="Cambria Math" w:hAnsi="Cambria Math"/>
                                  <w:i/>
                                  <w:sz w:val="22"/>
                                  <w:szCs w:val="22"/>
                                </w:rPr>
                              </m:ctrlPr>
                            </m:sSupPr>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f</m:t>
                                      </m:r>
                                    </m:num>
                                    <m:den>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01</m:t>
                                          </m:r>
                                        </m:sub>
                                      </m:sSub>
                                    </m:den>
                                  </m:f>
                                </m:e>
                              </m:d>
                            </m:e>
                            <m:sup>
                              <m:r>
                                <w:rPr>
                                  <w:rFonts w:ascii="Cambria Math" w:hAnsi="Cambria Math"/>
                                  <w:sz w:val="22"/>
                                  <w:szCs w:val="22"/>
                                </w:rPr>
                                <m:t>2γ</m:t>
                              </m:r>
                            </m:sup>
                          </m:sSup>
                        </m:e>
                      </m:d>
                      <m:ctrlPr>
                        <w:rPr>
                          <w:rFonts w:ascii="Cambria Math" w:eastAsia="Cambria Math" w:hAnsi="Cambria Math"/>
                          <w:i/>
                          <w:color w:val="000000"/>
                          <w:sz w:val="22"/>
                          <w:szCs w:val="22"/>
                        </w:rPr>
                      </m:ctrlPr>
                    </m:e>
                    <m:sup>
                      <m:r>
                        <w:rPr>
                          <w:rFonts w:ascii="Cambria Math" w:eastAsia="Cambria Math" w:hAnsi="Cambria Math"/>
                          <w:color w:val="000000"/>
                          <w:sz w:val="22"/>
                          <w:szCs w:val="22"/>
                        </w:rPr>
                        <m:t>1/γ</m:t>
                      </m:r>
                    </m:sup>
                  </m:sSup>
                </m:den>
              </m:f>
            </m:oMath>
            <w:r w:rsidR="007C36E3">
              <w:rPr>
                <w:rFonts w:ascii="Myriad Pro" w:hAnsi="Myriad Pro"/>
                <w:color w:val="000000"/>
                <w:sz w:val="22"/>
                <w:szCs w:val="22"/>
              </w:rPr>
              <w:t xml:space="preserve"> </w:t>
            </w:r>
            <w:r w:rsidR="005B3FF7">
              <w:rPr>
                <w:rFonts w:ascii="Myriad Pro" w:hAnsi="Myriad Pro"/>
                <w:sz w:val="22"/>
                <w:szCs w:val="22"/>
              </w:rPr>
              <w:t>.</w:t>
            </w:r>
          </w:p>
        </w:tc>
        <w:tc>
          <w:tcPr>
            <w:tcW w:w="1518" w:type="dxa"/>
            <w:vAlign w:val="center"/>
          </w:tcPr>
          <w:p w14:paraId="6583B9FD" w14:textId="6B7F8ACA" w:rsidR="005B3FF7" w:rsidRPr="00350BDD" w:rsidRDefault="005B3FF7" w:rsidP="007C36E3">
            <w:pPr>
              <w:spacing w:before="120"/>
              <w:ind w:firstLine="720"/>
              <w:jc w:val="center"/>
              <w:rPr>
                <w:rFonts w:asciiTheme="majorBidi" w:eastAsia="Times New Roman" w:hAnsiTheme="majorBidi" w:cstheme="majorBidi"/>
                <w:sz w:val="24"/>
                <w:szCs w:val="24"/>
              </w:rPr>
            </w:pPr>
            <w:r w:rsidRPr="00350BDD">
              <w:rPr>
                <w:rFonts w:asciiTheme="majorBidi" w:eastAsia="Times New Roman" w:hAnsiTheme="majorBidi" w:cstheme="majorBidi"/>
                <w:sz w:val="24"/>
                <w:szCs w:val="24"/>
              </w:rPr>
              <w:t>(</w:t>
            </w:r>
            <w:bookmarkStart w:id="4" w:name="EQ_EGF"/>
            <w:r w:rsidRPr="00350BDD">
              <w:rPr>
                <w:rFonts w:asciiTheme="majorBidi" w:hAnsiTheme="majorBidi" w:cstheme="majorBidi"/>
                <w:sz w:val="24"/>
                <w:szCs w:val="24"/>
              </w:rPr>
              <w:fldChar w:fldCharType="begin"/>
            </w:r>
            <w:r w:rsidRPr="00350BDD">
              <w:rPr>
                <w:rFonts w:asciiTheme="majorBidi" w:hAnsiTheme="majorBidi" w:cstheme="majorBidi"/>
                <w:sz w:val="24"/>
                <w:szCs w:val="24"/>
              </w:rPr>
              <w:instrText xml:space="preserve"> seq equation </w:instrText>
            </w:r>
            <w:r w:rsidRPr="00350BDD">
              <w:rPr>
                <w:rFonts w:asciiTheme="majorBidi" w:hAnsiTheme="majorBidi" w:cstheme="majorBidi"/>
                <w:sz w:val="24"/>
                <w:szCs w:val="24"/>
              </w:rPr>
              <w:fldChar w:fldCharType="separate"/>
            </w:r>
            <w:r w:rsidR="00EA2621" w:rsidRPr="00350BDD">
              <w:rPr>
                <w:rFonts w:asciiTheme="majorBidi" w:hAnsiTheme="majorBidi" w:cstheme="majorBidi"/>
                <w:noProof/>
                <w:sz w:val="24"/>
                <w:szCs w:val="24"/>
              </w:rPr>
              <w:t>3</w:t>
            </w:r>
            <w:r w:rsidRPr="00350BDD">
              <w:rPr>
                <w:rFonts w:asciiTheme="majorBidi" w:hAnsiTheme="majorBidi" w:cstheme="majorBidi"/>
                <w:sz w:val="24"/>
                <w:szCs w:val="24"/>
              </w:rPr>
              <w:fldChar w:fldCharType="end"/>
            </w:r>
            <w:bookmarkEnd w:id="4"/>
            <w:r w:rsidRPr="00350BDD">
              <w:rPr>
                <w:rFonts w:asciiTheme="majorBidi" w:eastAsia="Times New Roman" w:hAnsiTheme="majorBidi" w:cstheme="majorBidi"/>
                <w:sz w:val="24"/>
                <w:szCs w:val="24"/>
              </w:rPr>
              <w:t>)</w:t>
            </w:r>
          </w:p>
        </w:tc>
      </w:tr>
    </w:tbl>
    <w:p w14:paraId="391C1B12" w14:textId="2B736D07" w:rsidR="005B3FF7" w:rsidRPr="00DB2D3F" w:rsidRDefault="005B3FF7" w:rsidP="0075573E">
      <w:pPr>
        <w:pStyle w:val="Text"/>
        <w:ind w:firstLine="0"/>
        <w:rPr>
          <w:rFonts w:asciiTheme="majorBidi" w:hAnsiTheme="majorBidi" w:cstheme="majorBidi"/>
          <w:lang w:bidi="he-IL"/>
        </w:rPr>
      </w:pPr>
      <w:r w:rsidRPr="00DB2D3F">
        <w:rPr>
          <w:rFonts w:asciiTheme="majorBidi" w:hAnsiTheme="majorBidi" w:cstheme="majorBidi"/>
          <w:lang w:bidi="he-IL"/>
        </w:rPr>
        <w:lastRenderedPageBreak/>
        <w:t>In this equation</w:t>
      </w:r>
      <w:r w:rsidR="00CA5F4B" w:rsidRPr="00DB2D3F">
        <w:rPr>
          <w:rFonts w:asciiTheme="majorBidi" w:hAnsiTheme="majorBidi" w:cstheme="majorBidi"/>
          <w:lang w:bidi="he-IL"/>
        </w:rPr>
        <w:t xml:space="preserve">, </w:t>
      </w:r>
      <m:oMath>
        <m:sSubSup>
          <m:sSubSupPr>
            <m:ctrlPr>
              <w:rPr>
                <w:rFonts w:ascii="Cambria Math" w:hAnsi="Cambria Math" w:cstheme="majorBidi"/>
              </w:rPr>
            </m:ctrlPr>
          </m:sSubSupPr>
          <m:e>
            <m:acc>
              <m:accPr>
                <m:chr m:val="̇"/>
                <m:ctrlPr>
                  <w:rPr>
                    <w:rFonts w:ascii="Cambria Math" w:hAnsi="Cambria Math" w:cstheme="majorBidi"/>
                  </w:rPr>
                </m:ctrlPr>
              </m:accPr>
              <m:e>
                <m:r>
                  <m:rPr>
                    <m:sty m:val="p"/>
                  </m:rPr>
                  <w:rPr>
                    <w:rFonts w:ascii="Cambria Math" w:hAnsi="Cambria Math" w:cstheme="majorBidi"/>
                  </w:rPr>
                  <m:t>ε</m:t>
                </m:r>
              </m:e>
            </m:acc>
          </m:e>
          <m:sub>
            <m:r>
              <w:rPr>
                <w:rFonts w:ascii="Cambria Math" w:hAnsi="Cambria Math" w:cstheme="majorBidi"/>
              </w:rPr>
              <m:t>ij</m:t>
            </m:r>
          </m:sub>
          <m:sup>
            <m:r>
              <w:rPr>
                <w:rFonts w:ascii="Cambria Math" w:hAnsi="Cambria Math" w:cstheme="majorBidi"/>
              </w:rPr>
              <m:t>e</m:t>
            </m:r>
          </m:sup>
        </m:sSubSup>
        <m:d>
          <m:dPr>
            <m:ctrlPr>
              <w:rPr>
                <w:rFonts w:ascii="Cambria Math" w:hAnsi="Cambria Math" w:cstheme="majorBidi"/>
              </w:rPr>
            </m:ctrlPr>
          </m:dPr>
          <m:e>
            <m:r>
              <w:rPr>
                <w:rFonts w:ascii="Cambria Math" w:hAnsi="Cambria Math" w:cstheme="majorBidi"/>
              </w:rPr>
              <m:t>f</m:t>
            </m:r>
            <m:r>
              <m:rPr>
                <m:sty m:val="p"/>
              </m:rPr>
              <w:rPr>
                <w:rFonts w:ascii="Cambria Math" w:hAnsi="Cambria Math" w:cstheme="majorBidi"/>
              </w:rPr>
              <m:t>,</m:t>
            </m:r>
            <m:r>
              <w:rPr>
                <w:rFonts w:ascii="Cambria Math" w:hAnsi="Cambria Math" w:cstheme="majorBidi"/>
              </w:rPr>
              <m:t>x</m:t>
            </m:r>
          </m:e>
        </m:d>
      </m:oMath>
      <w:r w:rsidR="00CA5F4B" w:rsidRPr="00DB2D3F">
        <w:rPr>
          <w:rFonts w:asciiTheme="majorBidi" w:hAnsiTheme="majorBidi" w:cstheme="majorBidi"/>
        </w:rPr>
        <w:t xml:space="preserve"> </w:t>
      </w:r>
      <w:r w:rsidR="00AC0212">
        <w:rPr>
          <w:rFonts w:asciiTheme="majorBidi" w:hAnsiTheme="majorBidi" w:cstheme="majorBidi"/>
        </w:rPr>
        <w:t>are</w:t>
      </w:r>
      <w:r w:rsidR="00CA5F4B" w:rsidRPr="00DB2D3F">
        <w:rPr>
          <w:rFonts w:asciiTheme="majorBidi" w:hAnsiTheme="majorBidi" w:cstheme="majorBidi"/>
        </w:rPr>
        <w:t xml:space="preserve"> strain rate</w:t>
      </w:r>
      <w:r w:rsidR="00AC0212">
        <w:rPr>
          <w:rFonts w:asciiTheme="majorBidi" w:hAnsiTheme="majorBidi" w:cstheme="majorBidi"/>
        </w:rPr>
        <w:t>s</w:t>
      </w:r>
      <w:r w:rsidR="00CA5F4B" w:rsidRPr="00DB2D3F">
        <w:rPr>
          <w:rFonts w:asciiTheme="majorBidi" w:hAnsiTheme="majorBidi" w:cstheme="majorBidi"/>
        </w:rPr>
        <w:t xml:space="preserve"> of earthquake </w:t>
      </w:r>
      <m:oMath>
        <m:r>
          <w:rPr>
            <w:rFonts w:ascii="Cambria Math" w:hAnsi="Cambria Math" w:cstheme="majorBidi"/>
          </w:rPr>
          <m:t>i</m:t>
        </m:r>
      </m:oMath>
      <w:r w:rsidR="00CA5F4B" w:rsidRPr="00DB2D3F">
        <w:rPr>
          <w:rFonts w:asciiTheme="majorBidi" w:hAnsiTheme="majorBidi" w:cstheme="majorBidi"/>
        </w:rPr>
        <w:t xml:space="preserve"> </w:t>
      </w:r>
      <w:r w:rsidR="007C36E3">
        <w:rPr>
          <w:rFonts w:asciiTheme="majorBidi" w:hAnsiTheme="majorBidi" w:cstheme="majorBidi"/>
        </w:rPr>
        <w:t>(</w:t>
      </w:r>
      <m:oMath>
        <m:r>
          <w:rPr>
            <w:rFonts w:ascii="Cambria Math" w:hAnsi="Cambria Math" w:cstheme="majorBidi"/>
          </w:rPr>
          <m:t>i=1,2</m:t>
        </m:r>
      </m:oMath>
      <w:r w:rsidR="007C36E3">
        <w:rPr>
          <w:rFonts w:asciiTheme="majorBidi" w:hAnsiTheme="majorBidi" w:cstheme="majorBidi"/>
        </w:rPr>
        <w:t xml:space="preserve">) </w:t>
      </w:r>
      <w:r w:rsidR="00CA5F4B" w:rsidRPr="00DB2D3F">
        <w:rPr>
          <w:rFonts w:asciiTheme="majorBidi" w:hAnsiTheme="majorBidi" w:cstheme="majorBidi"/>
        </w:rPr>
        <w:t xml:space="preserve">recorded </w:t>
      </w:r>
      <w:r w:rsidR="00AC0212">
        <w:rPr>
          <w:rFonts w:asciiTheme="majorBidi" w:hAnsiTheme="majorBidi" w:cstheme="majorBidi"/>
        </w:rPr>
        <w:t>at</w:t>
      </w:r>
      <w:r w:rsidR="00CA5F4B" w:rsidRPr="00DB2D3F">
        <w:rPr>
          <w:rFonts w:asciiTheme="majorBidi" w:hAnsiTheme="majorBidi" w:cstheme="majorBidi"/>
        </w:rPr>
        <w:t xml:space="preserve"> DAS channel </w:t>
      </w:r>
      <m:oMath>
        <m:r>
          <w:rPr>
            <w:rFonts w:ascii="Cambria Math" w:hAnsi="Cambria Math" w:cstheme="majorBidi"/>
          </w:rPr>
          <m:t>j</m:t>
        </m:r>
      </m:oMath>
      <w:r w:rsidR="00D45077" w:rsidRPr="00DB2D3F">
        <w:rPr>
          <w:rFonts w:asciiTheme="majorBidi" w:hAnsiTheme="majorBidi" w:cstheme="majorBidi"/>
        </w:rPr>
        <w:t xml:space="preserve">, </w:t>
      </w:r>
      <w:r w:rsidR="00AC0212">
        <w:rPr>
          <w:rFonts w:asciiTheme="majorBidi" w:hAnsiTheme="majorBidi" w:cstheme="majorBidi"/>
        </w:rPr>
        <w:t xml:space="preserve">and </w:t>
      </w:r>
      <m:oMath>
        <m:sSub>
          <m:sSubPr>
            <m:ctrlPr>
              <w:rPr>
                <w:rFonts w:ascii="Cambria Math" w:hAnsi="Cambria Math" w:cstheme="majorBidi"/>
                <w:i/>
              </w:rPr>
            </m:ctrlPr>
          </m:sSubPr>
          <m:e>
            <m:r>
              <w:rPr>
                <w:rFonts w:ascii="Cambria Math" w:hAnsi="Cambria Math" w:cstheme="majorBidi"/>
              </w:rPr>
              <m:t>M</m:t>
            </m:r>
          </m:e>
          <m:sub>
            <m:r>
              <w:rPr>
                <w:rFonts w:ascii="Cambria Math" w:hAnsi="Cambria Math" w:cstheme="majorBidi"/>
              </w:rPr>
              <m:t>0i</m:t>
            </m:r>
          </m:sub>
        </m:sSub>
      </m:oMath>
      <w:r w:rsidR="00CD7E28">
        <w:rPr>
          <w:rFonts w:asciiTheme="majorBidi" w:hAnsiTheme="majorBidi" w:cstheme="majorBidi"/>
        </w:rPr>
        <w:t xml:space="preserve"> and</w:t>
      </w:r>
      <w:r w:rsidR="00D45077" w:rsidRPr="00DB2D3F">
        <w:rPr>
          <w:rFonts w:asciiTheme="majorBidi" w:hAnsiTheme="majorBidi" w:cstheme="majorBidi"/>
        </w:rPr>
        <w:t xml:space="preserve"> </w:t>
      </w:r>
      <m:oMath>
        <m:sSub>
          <m:sSubPr>
            <m:ctrlPr>
              <w:rPr>
                <w:rFonts w:ascii="Cambria Math" w:hAnsi="Cambria Math" w:cstheme="majorBidi"/>
                <w:i/>
              </w:rPr>
            </m:ctrlPr>
          </m:sSubPr>
          <m:e>
            <m:r>
              <w:rPr>
                <w:rFonts w:ascii="Cambria Math" w:hAnsi="Cambria Math" w:cstheme="majorBidi"/>
              </w:rPr>
              <m:t>f</m:t>
            </m:r>
          </m:e>
          <m:sub>
            <m:r>
              <w:rPr>
                <w:rFonts w:ascii="Cambria Math" w:hAnsi="Cambria Math" w:cstheme="majorBidi"/>
              </w:rPr>
              <m:t>0i</m:t>
            </m:r>
          </m:sub>
        </m:sSub>
      </m:oMath>
      <w:r w:rsidR="00CD7E28">
        <w:rPr>
          <w:rFonts w:asciiTheme="majorBidi" w:hAnsiTheme="majorBidi" w:cstheme="majorBidi"/>
        </w:rPr>
        <w:t xml:space="preserve"> </w:t>
      </w:r>
      <w:r w:rsidR="00D45077" w:rsidRPr="00DB2D3F">
        <w:rPr>
          <w:rFonts w:asciiTheme="majorBidi" w:hAnsiTheme="majorBidi" w:cstheme="majorBidi"/>
        </w:rPr>
        <w:t xml:space="preserve">are </w:t>
      </w:r>
      <w:r w:rsidR="00CD7E28">
        <w:rPr>
          <w:rFonts w:asciiTheme="majorBidi" w:hAnsiTheme="majorBidi" w:cstheme="majorBidi"/>
        </w:rPr>
        <w:t xml:space="preserve">earthquake specific </w:t>
      </w:r>
      <w:r w:rsidR="00D45077" w:rsidRPr="00DB2D3F">
        <w:rPr>
          <w:rFonts w:asciiTheme="majorBidi" w:hAnsiTheme="majorBidi" w:cstheme="majorBidi"/>
        </w:rPr>
        <w:t>seismic moments and corner frequencies</w:t>
      </w:r>
      <w:r w:rsidR="00CD7E28">
        <w:rPr>
          <w:rFonts w:asciiTheme="majorBidi" w:hAnsiTheme="majorBidi" w:cstheme="majorBidi"/>
        </w:rPr>
        <w:t>, respectively</w:t>
      </w:r>
      <w:r w:rsidR="00CA5F4B" w:rsidRPr="00DB2D3F">
        <w:rPr>
          <w:rFonts w:asciiTheme="majorBidi" w:hAnsiTheme="majorBidi" w:cstheme="majorBidi"/>
        </w:rPr>
        <w:t>.</w:t>
      </w:r>
    </w:p>
    <w:p w14:paraId="6FCE0F03" w14:textId="15185991" w:rsidR="00B1731C" w:rsidRPr="00AC0212" w:rsidRDefault="00281A5D" w:rsidP="0075573E">
      <w:pPr>
        <w:pStyle w:val="Text"/>
        <w:rPr>
          <w:rFonts w:asciiTheme="majorBidi" w:hAnsiTheme="majorBidi" w:cstheme="majorBidi"/>
          <w:lang w:bidi="he-IL"/>
        </w:rPr>
      </w:pPr>
      <w:r>
        <w:rPr>
          <w:lang w:bidi="he-IL"/>
        </w:rPr>
        <w:t xml:space="preserve">In this </w:t>
      </w:r>
      <w:r w:rsidR="001F4680">
        <w:rPr>
          <w:lang w:bidi="he-IL"/>
        </w:rPr>
        <w:t>work</w:t>
      </w:r>
      <w:r>
        <w:rPr>
          <w:lang w:bidi="he-IL"/>
        </w:rPr>
        <w:t xml:space="preserve">, I demonstrate that high </w:t>
      </w:r>
      <w:r w:rsidR="00BF6125">
        <w:rPr>
          <w:lang w:bidi="he-IL"/>
        </w:rPr>
        <w:t>fidelity</w:t>
      </w:r>
      <w:r>
        <w:rPr>
          <w:lang w:bidi="he-IL"/>
        </w:rPr>
        <w:t xml:space="preserve"> relative seismic moments, corner frequencies and stress drops can be obtaine</w:t>
      </w:r>
      <w:r w:rsidR="00605538">
        <w:rPr>
          <w:lang w:bidi="he-IL"/>
        </w:rPr>
        <w:t>d</w:t>
      </w:r>
      <w:r>
        <w:rPr>
          <w:lang w:bidi="he-IL"/>
        </w:rPr>
        <w:t xml:space="preserve"> </w:t>
      </w:r>
      <w:r w:rsidR="001F4680">
        <w:rPr>
          <w:lang w:bidi="he-IL"/>
        </w:rPr>
        <w:t>using DAS</w:t>
      </w:r>
      <w:r w:rsidR="00AC0212">
        <w:rPr>
          <w:lang w:bidi="he-IL"/>
        </w:rPr>
        <w:t xml:space="preserve"> via the EGF method</w:t>
      </w:r>
      <w:r w:rsidR="001F4680">
        <w:rPr>
          <w:lang w:bidi="he-IL"/>
        </w:rPr>
        <w:t>.</w:t>
      </w:r>
      <w:r w:rsidR="00C733DB">
        <w:rPr>
          <w:lang w:bidi="he-IL"/>
        </w:rPr>
        <w:t xml:space="preserve"> </w:t>
      </w:r>
      <w:r w:rsidR="00B1731C">
        <w:rPr>
          <w:lang w:bidi="he-IL"/>
        </w:rPr>
        <w:t xml:space="preserve">For each earthquake, the entire fiber was reduced to a </w:t>
      </w:r>
      <w:r w:rsidR="00BF6125">
        <w:rPr>
          <w:lang w:bidi="he-IL"/>
        </w:rPr>
        <w:t>single spectrum</w:t>
      </w:r>
      <w:r w:rsidR="00B1731C">
        <w:rPr>
          <w:lang w:bidi="he-IL"/>
        </w:rPr>
        <w:t xml:space="preserve"> by stacking move-out corrected Fourier spectra along the full fiber length. These earthquake specific spectra were used to obtain spectral ratios that were analyzed in the framework of </w:t>
      </w:r>
      <w:r w:rsidR="00B1731C" w:rsidRPr="00AC0212">
        <w:rPr>
          <w:rFonts w:asciiTheme="majorBidi" w:hAnsiTheme="majorBidi" w:cstheme="majorBidi"/>
          <w:lang w:bidi="he-IL"/>
        </w:rPr>
        <w:t>Equation (</w:t>
      </w:r>
      <w:r w:rsidR="00B1731C" w:rsidRPr="00AC0212">
        <w:rPr>
          <w:rFonts w:asciiTheme="majorBidi" w:hAnsiTheme="majorBidi" w:cstheme="majorBidi"/>
          <w:lang w:bidi="he-IL"/>
        </w:rPr>
        <w:fldChar w:fldCharType="begin"/>
      </w:r>
      <w:r w:rsidR="00B1731C" w:rsidRPr="00AC0212">
        <w:rPr>
          <w:rFonts w:asciiTheme="majorBidi" w:hAnsiTheme="majorBidi" w:cstheme="majorBidi"/>
          <w:lang w:bidi="he-IL"/>
        </w:rPr>
        <w:instrText xml:space="preserve"> REF EQ_EGF \h </w:instrText>
      </w:r>
      <w:r w:rsidR="00AC0212" w:rsidRPr="00AC0212">
        <w:rPr>
          <w:rFonts w:asciiTheme="majorBidi" w:hAnsiTheme="majorBidi" w:cstheme="majorBidi"/>
          <w:lang w:bidi="he-IL"/>
        </w:rPr>
        <w:instrText xml:space="preserve"> \* MERGEFORMAT </w:instrText>
      </w:r>
      <w:r w:rsidR="00B1731C" w:rsidRPr="00AC0212">
        <w:rPr>
          <w:rFonts w:asciiTheme="majorBidi" w:hAnsiTheme="majorBidi" w:cstheme="majorBidi"/>
          <w:lang w:bidi="he-IL"/>
        </w:rPr>
      </w:r>
      <w:r w:rsidR="00B1731C" w:rsidRPr="00AC0212">
        <w:rPr>
          <w:rFonts w:asciiTheme="majorBidi" w:hAnsiTheme="majorBidi" w:cstheme="majorBidi"/>
          <w:lang w:bidi="he-IL"/>
        </w:rPr>
        <w:fldChar w:fldCharType="separate"/>
      </w:r>
      <w:r w:rsidR="001F33E5" w:rsidRPr="00350BDD">
        <w:rPr>
          <w:rFonts w:asciiTheme="majorBidi" w:hAnsiTheme="majorBidi" w:cstheme="majorBidi"/>
          <w:noProof/>
        </w:rPr>
        <w:t>3</w:t>
      </w:r>
      <w:r w:rsidR="00B1731C" w:rsidRPr="00AC0212">
        <w:rPr>
          <w:rFonts w:asciiTheme="majorBidi" w:hAnsiTheme="majorBidi" w:cstheme="majorBidi"/>
          <w:lang w:bidi="he-IL"/>
        </w:rPr>
        <w:fldChar w:fldCharType="end"/>
      </w:r>
      <w:r w:rsidR="00B1731C" w:rsidRPr="00AC0212">
        <w:rPr>
          <w:rFonts w:asciiTheme="majorBidi" w:hAnsiTheme="majorBidi" w:cstheme="majorBidi"/>
          <w:lang w:bidi="he-IL"/>
        </w:rPr>
        <w:t>).</w:t>
      </w:r>
    </w:p>
    <w:p w14:paraId="7D27BC4C" w14:textId="3255D8F8" w:rsidR="00D471C2" w:rsidRDefault="001F4680" w:rsidP="0075573E">
      <w:pPr>
        <w:pStyle w:val="Text"/>
      </w:pPr>
      <w:r>
        <w:rPr>
          <w:lang w:bidi="he-IL"/>
        </w:rPr>
        <w:t xml:space="preserve"> This manuscript is organized as follows. First, I describe the </w:t>
      </w:r>
      <w:r w:rsidR="00C05B1C">
        <w:rPr>
          <w:lang w:bidi="he-IL"/>
        </w:rPr>
        <w:t>DAS data and processing</w:t>
      </w:r>
      <w:r>
        <w:rPr>
          <w:lang w:bidi="he-IL"/>
        </w:rPr>
        <w:t xml:space="preserve">. Then, I </w:t>
      </w:r>
      <w:r w:rsidR="00190C18">
        <w:rPr>
          <w:lang w:bidi="he-IL"/>
        </w:rPr>
        <w:t xml:space="preserve">demonstrate the </w:t>
      </w:r>
      <w:r w:rsidR="0049724D">
        <w:rPr>
          <w:lang w:bidi="he-IL"/>
        </w:rPr>
        <w:t xml:space="preserve">method using 7 well-recorded </w:t>
      </w:r>
      <w:r w:rsidR="004B61E4">
        <w:rPr>
          <w:lang w:bidi="he-IL"/>
        </w:rPr>
        <w:t xml:space="preserve">co-located </w:t>
      </w:r>
      <w:r w:rsidR="0049724D">
        <w:rPr>
          <w:lang w:bidi="he-IL"/>
        </w:rPr>
        <w:t xml:space="preserve">earthquakes that </w:t>
      </w:r>
      <w:r w:rsidR="00BF6125">
        <w:rPr>
          <w:lang w:bidi="he-IL"/>
        </w:rPr>
        <w:t>occurred</w:t>
      </w:r>
      <w:r w:rsidR="0049724D">
        <w:rPr>
          <w:lang w:bidi="he-IL"/>
        </w:rPr>
        <w:t xml:space="preserve"> in central Israel following the </w:t>
      </w:r>
      <w:proofErr w:type="gramStart"/>
      <w:r w:rsidR="0049724D">
        <w:rPr>
          <w:lang w:bidi="he-IL"/>
        </w:rPr>
        <w:t>devastating</w:t>
      </w:r>
      <w:r w:rsidR="00C75812">
        <w:rPr>
          <w:lang w:bidi="he-IL"/>
        </w:rPr>
        <w:t xml:space="preserve"> </w:t>
      </w:r>
      <w:r w:rsidR="0049724D">
        <w:rPr>
          <w:lang w:bidi="he-IL"/>
        </w:rPr>
        <w:t xml:space="preserve"> </w:t>
      </w:r>
      <w:r w:rsidR="00CE4417" w:rsidRPr="00CE4417">
        <w:rPr>
          <w:lang w:bidi="he-IL"/>
        </w:rPr>
        <w:t>2023</w:t>
      </w:r>
      <w:proofErr w:type="gramEnd"/>
      <w:r w:rsidR="00CE4417" w:rsidRPr="00CE4417">
        <w:rPr>
          <w:lang w:bidi="he-IL"/>
        </w:rPr>
        <w:t xml:space="preserve"> </w:t>
      </w:r>
      <w:proofErr w:type="spellStart"/>
      <w:r w:rsidR="00C75812" w:rsidRPr="00C75812">
        <w:rPr>
          <w:lang w:bidi="he-IL"/>
        </w:rPr>
        <w:t>Kahramanmaraş</w:t>
      </w:r>
      <w:proofErr w:type="spellEnd"/>
      <w:r w:rsidR="00C75812" w:rsidRPr="00C75812">
        <w:rPr>
          <w:lang w:bidi="he-IL"/>
        </w:rPr>
        <w:t xml:space="preserve"> </w:t>
      </w:r>
      <w:r w:rsidR="00CE4417" w:rsidRPr="00CE4417">
        <w:rPr>
          <w:lang w:bidi="he-IL"/>
        </w:rPr>
        <w:t>Mw7.8 and Mw7.</w:t>
      </w:r>
      <w:r w:rsidR="00C75812">
        <w:rPr>
          <w:lang w:bidi="he-IL"/>
        </w:rPr>
        <w:t>6</w:t>
      </w:r>
      <w:r w:rsidR="00CE4417" w:rsidRPr="00CE4417">
        <w:rPr>
          <w:lang w:bidi="he-IL"/>
        </w:rPr>
        <w:t xml:space="preserve"> </w:t>
      </w:r>
      <w:r w:rsidR="00D86FD4" w:rsidRPr="00CE4417">
        <w:rPr>
          <w:lang w:bidi="he-IL"/>
        </w:rPr>
        <w:t xml:space="preserve">Eastern Turkey </w:t>
      </w:r>
      <w:r w:rsidR="00CE4417" w:rsidRPr="00CE4417">
        <w:rPr>
          <w:lang w:bidi="he-IL"/>
        </w:rPr>
        <w:t>earthquake</w:t>
      </w:r>
      <w:r w:rsidR="00D86FD4">
        <w:rPr>
          <w:lang w:bidi="he-IL"/>
        </w:rPr>
        <w:t>s</w:t>
      </w:r>
      <w:r w:rsidR="004B61E4">
        <w:rPr>
          <w:lang w:bidi="he-IL"/>
        </w:rPr>
        <w:t>.</w:t>
      </w:r>
      <w:r w:rsidR="0049724D">
        <w:rPr>
          <w:lang w:bidi="he-IL"/>
        </w:rPr>
        <w:t xml:space="preserve"> Finally, I discuss implications for earthquake self</w:t>
      </w:r>
      <w:r w:rsidR="00266B03">
        <w:rPr>
          <w:lang w:bidi="he-IL"/>
        </w:rPr>
        <w:t>-</w:t>
      </w:r>
      <w:r w:rsidR="0049724D">
        <w:rPr>
          <w:lang w:bidi="he-IL"/>
        </w:rPr>
        <w:t>similarity.</w:t>
      </w:r>
    </w:p>
    <w:p w14:paraId="7A8760A4" w14:textId="0B5A96E9" w:rsidR="002F3B11" w:rsidRDefault="002F3B11" w:rsidP="0075573E">
      <w:pPr>
        <w:pStyle w:val="Heading-Main"/>
      </w:pPr>
      <w:r>
        <w:t xml:space="preserve">2 </w:t>
      </w:r>
      <w:r w:rsidR="0018010F">
        <w:t>Data</w:t>
      </w:r>
      <w:r w:rsidR="00531B15">
        <w:t xml:space="preserve"> and </w:t>
      </w:r>
      <w:r w:rsidR="00770BA2">
        <w:t>P</w:t>
      </w:r>
      <w:r w:rsidR="00531B15">
        <w:t>r</w:t>
      </w:r>
      <w:r w:rsidR="002523AA">
        <w:t>epr</w:t>
      </w:r>
      <w:r w:rsidR="00531B15">
        <w:t>ocessing</w:t>
      </w:r>
    </w:p>
    <w:p w14:paraId="2D12B516" w14:textId="153004CD" w:rsidR="007E04C4" w:rsidRPr="001F33E5" w:rsidRDefault="007E04C4" w:rsidP="0075573E">
      <w:pPr>
        <w:pStyle w:val="Text"/>
        <w:rPr>
          <w:lang w:bidi="he-IL"/>
        </w:rPr>
      </w:pPr>
      <w:bookmarkStart w:id="5" w:name="_Hlk133788698"/>
      <w:r w:rsidRPr="001F33E5">
        <w:rPr>
          <w:lang w:bidi="he-IL"/>
        </w:rPr>
        <w:t xml:space="preserve">Following the catastrophic 2023 </w:t>
      </w:r>
      <w:proofErr w:type="spellStart"/>
      <w:r w:rsidR="00C75812" w:rsidRPr="001F33E5">
        <w:rPr>
          <w:lang w:bidi="he-IL"/>
        </w:rPr>
        <w:t>Kahramanmaraş</w:t>
      </w:r>
      <w:proofErr w:type="spellEnd"/>
      <w:r w:rsidR="00C75812" w:rsidRPr="001F33E5">
        <w:rPr>
          <w:lang w:bidi="he-IL"/>
        </w:rPr>
        <w:t xml:space="preserve"> </w:t>
      </w:r>
      <w:r w:rsidRPr="001F33E5">
        <w:rPr>
          <w:lang w:bidi="he-IL"/>
        </w:rPr>
        <w:t>Mw7.8 and Mw7.</w:t>
      </w:r>
      <w:r w:rsidR="00C75812" w:rsidRPr="001F33E5">
        <w:rPr>
          <w:lang w:bidi="he-IL"/>
        </w:rPr>
        <w:t>6</w:t>
      </w:r>
      <w:r w:rsidRPr="001F33E5">
        <w:rPr>
          <w:lang w:bidi="he-IL"/>
        </w:rPr>
        <w:t xml:space="preserve"> earthquakes in Eastern Turkey, Israel experienced a rapid increase in seismicity, including several </w:t>
      </w:r>
      <w:r w:rsidR="004B3A78" w:rsidRPr="001F33E5">
        <w:rPr>
          <w:lang w:bidi="he-IL"/>
        </w:rPr>
        <w:t xml:space="preserve">earthquake </w:t>
      </w:r>
      <w:r w:rsidRPr="001F33E5">
        <w:rPr>
          <w:lang w:bidi="he-IL"/>
        </w:rPr>
        <w:t xml:space="preserve">clusters </w:t>
      </w:r>
      <w:r w:rsidR="004B3A78" w:rsidRPr="001F33E5">
        <w:rPr>
          <w:lang w:bidi="he-IL"/>
        </w:rPr>
        <w:t>that occurred off the main Dead-Sea-Transform</w:t>
      </w:r>
      <w:r w:rsidR="007A307D" w:rsidRPr="001F33E5">
        <w:rPr>
          <w:lang w:bidi="he-IL"/>
        </w:rPr>
        <w:t xml:space="preserve"> fault</w:t>
      </w:r>
      <w:r w:rsidRPr="001F33E5">
        <w:rPr>
          <w:lang w:bidi="he-IL"/>
        </w:rPr>
        <w:t xml:space="preserve">. Here, </w:t>
      </w:r>
      <w:r w:rsidR="00124D6B" w:rsidRPr="001F33E5">
        <w:rPr>
          <w:lang w:bidi="he-IL"/>
        </w:rPr>
        <w:t>I</w:t>
      </w:r>
      <w:r w:rsidRPr="001F33E5">
        <w:rPr>
          <w:lang w:bidi="he-IL"/>
        </w:rPr>
        <w:t xml:space="preserve"> focus on one of these clusters </w:t>
      </w:r>
      <w:r w:rsidR="004B3A78" w:rsidRPr="001F33E5">
        <w:rPr>
          <w:lang w:bidi="he-IL"/>
        </w:rPr>
        <w:t xml:space="preserve">of co-located </w:t>
      </w:r>
      <w:r w:rsidR="00C75812" w:rsidRPr="001F33E5">
        <w:rPr>
          <w:lang w:bidi="he-IL"/>
        </w:rPr>
        <w:t xml:space="preserve">repeating </w:t>
      </w:r>
      <w:r w:rsidR="004B3A78" w:rsidRPr="001F33E5">
        <w:rPr>
          <w:lang w:bidi="he-IL"/>
        </w:rPr>
        <w:t>earthquakes that were recorded by a nearby optical fiber</w:t>
      </w:r>
      <w:r w:rsidR="007D0814" w:rsidRPr="001F33E5">
        <w:rPr>
          <w:lang w:bidi="he-IL"/>
        </w:rPr>
        <w:t xml:space="preserve"> between February 7th and 18th</w:t>
      </w:r>
      <w:r w:rsidR="00FD66DA" w:rsidRPr="001F33E5">
        <w:rPr>
          <w:lang w:bidi="he-IL"/>
        </w:rPr>
        <w:t>. Earthquake</w:t>
      </w:r>
      <w:r w:rsidR="00C75812" w:rsidRPr="001F33E5">
        <w:rPr>
          <w:lang w:bidi="he-IL"/>
        </w:rPr>
        <w:t>s</w:t>
      </w:r>
      <w:r w:rsidR="00FD66DA" w:rsidRPr="001F33E5">
        <w:rPr>
          <w:lang w:bidi="he-IL"/>
        </w:rPr>
        <w:t>, fiber and seis</w:t>
      </w:r>
      <w:r w:rsidR="00BF6125" w:rsidRPr="001F33E5">
        <w:rPr>
          <w:lang w:bidi="he-IL"/>
        </w:rPr>
        <w:t>mo</w:t>
      </w:r>
      <w:r w:rsidR="00FD66DA" w:rsidRPr="001F33E5">
        <w:rPr>
          <w:lang w:bidi="he-IL"/>
        </w:rPr>
        <w:t>meter location are</w:t>
      </w:r>
      <w:r w:rsidR="004B3A78" w:rsidRPr="001F33E5">
        <w:rPr>
          <w:lang w:bidi="he-IL"/>
        </w:rPr>
        <w:t xml:space="preserve"> shown in Figure</w:t>
      </w:r>
      <w:r w:rsidR="001F33E5" w:rsidRPr="001F33E5">
        <w:rPr>
          <w:lang w:bidi="he-IL"/>
        </w:rPr>
        <w:t xml:space="preserve"> </w:t>
      </w:r>
      <w:r w:rsidR="001F33E5" w:rsidRPr="001F33E5">
        <w:rPr>
          <w:lang w:bidi="he-IL"/>
        </w:rPr>
        <w:fldChar w:fldCharType="begin"/>
      </w:r>
      <w:r w:rsidR="001F33E5" w:rsidRPr="001F33E5">
        <w:rPr>
          <w:lang w:bidi="he-IL"/>
        </w:rPr>
        <w:instrText xml:space="preserve"> REF FIG_MAP_CC \h  \* MERGEFORMAT </w:instrText>
      </w:r>
      <w:r w:rsidR="001F33E5" w:rsidRPr="001F33E5">
        <w:rPr>
          <w:lang w:bidi="he-IL"/>
        </w:rPr>
      </w:r>
      <w:r w:rsidR="001F33E5" w:rsidRPr="001F33E5">
        <w:rPr>
          <w:lang w:bidi="he-IL"/>
        </w:rPr>
        <w:fldChar w:fldCharType="separate"/>
      </w:r>
      <w:r w:rsidR="001F33E5" w:rsidRPr="001F33E5">
        <w:t>1</w:t>
      </w:r>
      <w:r w:rsidR="001F33E5" w:rsidRPr="001F33E5">
        <w:rPr>
          <w:lang w:bidi="he-IL"/>
        </w:rPr>
        <w:fldChar w:fldCharType="end"/>
      </w:r>
      <w:r w:rsidR="004B3A78" w:rsidRPr="001F33E5">
        <w:rPr>
          <w:lang w:bidi="he-IL"/>
        </w:rPr>
        <w:t>a.</w:t>
      </w:r>
      <w:r w:rsidR="007D0814" w:rsidRPr="001F33E5">
        <w:rPr>
          <w:lang w:bidi="he-IL"/>
        </w:rPr>
        <w:t xml:space="preserve"> </w:t>
      </w:r>
      <w:r w:rsidR="003E7FF1" w:rsidRPr="001F33E5">
        <w:rPr>
          <w:lang w:bidi="he-IL"/>
        </w:rPr>
        <w:t xml:space="preserve">During this period, </w:t>
      </w:r>
      <w:r w:rsidR="00C75812" w:rsidRPr="001F33E5">
        <w:rPr>
          <w:lang w:bidi="he-IL"/>
        </w:rPr>
        <w:t>10</w:t>
      </w:r>
      <w:r w:rsidR="003E7FF1" w:rsidRPr="001F33E5">
        <w:rPr>
          <w:lang w:bidi="he-IL"/>
        </w:rPr>
        <w:t xml:space="preserve"> earthquakes </w:t>
      </w:r>
      <w:r w:rsidR="00773EB3" w:rsidRPr="001F33E5">
        <w:rPr>
          <w:lang w:bidi="he-IL"/>
        </w:rPr>
        <w:t xml:space="preserve">magnitudes 2.5 to 3.4 </w:t>
      </w:r>
      <w:r w:rsidR="003E7FF1" w:rsidRPr="001F33E5">
        <w:rPr>
          <w:lang w:bidi="he-IL"/>
        </w:rPr>
        <w:t xml:space="preserve">were recorded and cataloged by the Geological Survey of Israel. </w:t>
      </w:r>
      <w:r w:rsidR="007D0814" w:rsidRPr="001F33E5">
        <w:rPr>
          <w:lang w:bidi="he-IL"/>
        </w:rPr>
        <w:t xml:space="preserve">Earthquake </w:t>
      </w:r>
      <w:r w:rsidR="003E7FF1" w:rsidRPr="001F33E5">
        <w:rPr>
          <w:lang w:bidi="he-IL"/>
        </w:rPr>
        <w:t>information</w:t>
      </w:r>
      <w:r w:rsidR="007D0814" w:rsidRPr="001F33E5">
        <w:rPr>
          <w:lang w:bidi="he-IL"/>
        </w:rPr>
        <w:t xml:space="preserve"> </w:t>
      </w:r>
      <w:r w:rsidR="001A2B8E" w:rsidRPr="001F33E5">
        <w:rPr>
          <w:lang w:bidi="he-IL"/>
        </w:rPr>
        <w:t>is</w:t>
      </w:r>
      <w:r w:rsidR="007D0814" w:rsidRPr="001F33E5">
        <w:rPr>
          <w:lang w:bidi="he-IL"/>
        </w:rPr>
        <w:t xml:space="preserve"> </w:t>
      </w:r>
      <w:r w:rsidR="003E7FF1" w:rsidRPr="001F33E5">
        <w:rPr>
          <w:lang w:bidi="he-IL"/>
        </w:rPr>
        <w:t xml:space="preserve">listed </w:t>
      </w:r>
      <w:r w:rsidR="007D0814" w:rsidRPr="001F33E5">
        <w:rPr>
          <w:lang w:bidi="he-IL"/>
        </w:rPr>
        <w:t>in Table S1.</w:t>
      </w:r>
    </w:p>
    <w:p w14:paraId="2C6256AB" w14:textId="6E6C5576" w:rsidR="0014654F" w:rsidRPr="001F33E5" w:rsidRDefault="00B315F8" w:rsidP="00322F35">
      <w:pPr>
        <w:pStyle w:val="Text"/>
        <w:rPr>
          <w:lang w:bidi="he-IL"/>
        </w:rPr>
      </w:pPr>
      <w:r w:rsidRPr="001F33E5">
        <w:rPr>
          <w:lang w:bidi="he-IL"/>
        </w:rPr>
        <w:t>DAS earthquake data w</w:t>
      </w:r>
      <w:r w:rsidR="003B0F11" w:rsidRPr="001F33E5">
        <w:rPr>
          <w:lang w:bidi="he-IL"/>
        </w:rPr>
        <w:t>ere</w:t>
      </w:r>
      <w:r w:rsidRPr="001F33E5">
        <w:rPr>
          <w:lang w:bidi="he-IL"/>
        </w:rPr>
        <w:t xml:space="preserve"> acquired </w:t>
      </w:r>
      <w:r w:rsidR="004C5DC8" w:rsidRPr="001F33E5">
        <w:rPr>
          <w:lang w:bidi="he-IL"/>
        </w:rPr>
        <w:t xml:space="preserve">using a Prisma Photonics interrogator unit. </w:t>
      </w:r>
      <w:r w:rsidR="007A210E" w:rsidRPr="001F33E5">
        <w:rPr>
          <w:lang w:bidi="he-IL"/>
        </w:rPr>
        <w:t xml:space="preserve">The system is harnessing an innovative Hyper-Scan technology to produce high-quality </w:t>
      </w:r>
      <w:proofErr w:type="spellStart"/>
      <w:r w:rsidR="007A210E" w:rsidRPr="001F33E5">
        <w:rPr>
          <w:lang w:bidi="he-IL"/>
        </w:rPr>
        <w:t>quantitive</w:t>
      </w:r>
      <w:proofErr w:type="spellEnd"/>
      <w:r w:rsidR="007A210E" w:rsidRPr="001F33E5">
        <w:rPr>
          <w:lang w:bidi="he-IL"/>
        </w:rPr>
        <w:t xml:space="preserve"> longitudinal strain-rate measurement. </w:t>
      </w:r>
      <w:r w:rsidR="008D25D5" w:rsidRPr="001F33E5">
        <w:rPr>
          <w:lang w:bidi="he-IL"/>
        </w:rPr>
        <w:t xml:space="preserve">Measurements were made using a 34 km long fiber installed in central </w:t>
      </w:r>
      <w:r w:rsidR="00BF6125" w:rsidRPr="001F33E5">
        <w:rPr>
          <w:lang w:bidi="he-IL"/>
        </w:rPr>
        <w:t>I</w:t>
      </w:r>
      <w:r w:rsidR="008D25D5" w:rsidRPr="001F33E5">
        <w:rPr>
          <w:lang w:bidi="he-IL"/>
        </w:rPr>
        <w:t xml:space="preserve">srael (Figure </w:t>
      </w:r>
      <w:r w:rsidR="001F33E5" w:rsidRPr="001F33E5">
        <w:rPr>
          <w:lang w:bidi="he-IL"/>
        </w:rPr>
        <w:fldChar w:fldCharType="begin"/>
      </w:r>
      <w:r w:rsidR="001F33E5" w:rsidRPr="001F33E5">
        <w:rPr>
          <w:lang w:bidi="he-IL"/>
        </w:rPr>
        <w:instrText xml:space="preserve"> REF FIG_MAP_CC \h  \* MERGEFORMAT </w:instrText>
      </w:r>
      <w:r w:rsidR="001F33E5" w:rsidRPr="001F33E5">
        <w:rPr>
          <w:lang w:bidi="he-IL"/>
        </w:rPr>
      </w:r>
      <w:r w:rsidR="001F33E5" w:rsidRPr="001F33E5">
        <w:rPr>
          <w:lang w:bidi="he-IL"/>
        </w:rPr>
        <w:fldChar w:fldCharType="separate"/>
      </w:r>
      <w:r w:rsidR="001F33E5" w:rsidRPr="001F33E5">
        <w:t>1</w:t>
      </w:r>
      <w:r w:rsidR="001F33E5" w:rsidRPr="001F33E5">
        <w:rPr>
          <w:lang w:bidi="he-IL"/>
        </w:rPr>
        <w:fldChar w:fldCharType="end"/>
      </w:r>
      <w:r w:rsidR="008D25D5" w:rsidRPr="001F33E5">
        <w:rPr>
          <w:lang w:bidi="he-IL"/>
        </w:rPr>
        <w:t>a)</w:t>
      </w:r>
      <w:r w:rsidR="002916D0" w:rsidRPr="001F33E5">
        <w:rPr>
          <w:lang w:bidi="he-IL"/>
        </w:rPr>
        <w:t xml:space="preserve"> </w:t>
      </w:r>
      <w:r w:rsidR="00531B15" w:rsidRPr="001F33E5">
        <w:rPr>
          <w:lang w:bidi="he-IL"/>
        </w:rPr>
        <w:t>with</w:t>
      </w:r>
      <w:r w:rsidR="002916D0" w:rsidRPr="001F33E5">
        <w:rPr>
          <w:lang w:bidi="he-IL"/>
        </w:rPr>
        <w:t xml:space="preserve"> a gauge length of </w:t>
      </w:r>
      <w:r w:rsidR="00531B15" w:rsidRPr="001F33E5">
        <w:rPr>
          <w:lang w:bidi="he-IL"/>
        </w:rPr>
        <w:t xml:space="preserve">18.2 </w:t>
      </w:r>
      <w:r w:rsidR="002916D0" w:rsidRPr="001F33E5">
        <w:rPr>
          <w:lang w:bidi="he-IL"/>
        </w:rPr>
        <w:t xml:space="preserve">m, spatial sampling of </w:t>
      </w:r>
      <w:r w:rsidR="00531B15" w:rsidRPr="001F33E5">
        <w:rPr>
          <w:lang w:bidi="he-IL"/>
        </w:rPr>
        <w:t xml:space="preserve">9.1 </w:t>
      </w:r>
      <w:r w:rsidR="002916D0" w:rsidRPr="001F33E5">
        <w:rPr>
          <w:lang w:bidi="he-IL"/>
        </w:rPr>
        <w:t xml:space="preserve">m and </w:t>
      </w:r>
      <w:r w:rsidR="00531B15" w:rsidRPr="001F33E5">
        <w:rPr>
          <w:lang w:bidi="he-IL"/>
        </w:rPr>
        <w:t xml:space="preserve">sampling rate </w:t>
      </w:r>
      <w:r w:rsidR="002916D0" w:rsidRPr="001F33E5">
        <w:rPr>
          <w:lang w:bidi="he-IL"/>
        </w:rPr>
        <w:t xml:space="preserve">of </w:t>
      </w:r>
      <w:r w:rsidR="00531B15" w:rsidRPr="001F33E5">
        <w:rPr>
          <w:lang w:bidi="he-IL"/>
        </w:rPr>
        <w:t>1500 Hz</w:t>
      </w:r>
      <w:r w:rsidR="002916D0" w:rsidRPr="001F33E5">
        <w:rPr>
          <w:lang w:bidi="he-IL"/>
        </w:rPr>
        <w:t>.</w:t>
      </w:r>
      <w:r w:rsidR="00531B15" w:rsidRPr="001F33E5">
        <w:rPr>
          <w:lang w:bidi="he-IL"/>
        </w:rPr>
        <w:t xml:space="preserve"> Data were </w:t>
      </w:r>
      <w:r w:rsidR="003B0F11" w:rsidRPr="001F33E5">
        <w:rPr>
          <w:lang w:bidi="he-IL"/>
        </w:rPr>
        <w:t xml:space="preserve">then </w:t>
      </w:r>
      <w:r w:rsidR="00531B15" w:rsidRPr="001F33E5">
        <w:rPr>
          <w:lang w:bidi="he-IL"/>
        </w:rPr>
        <w:t>resampled to 100 Hz</w:t>
      </w:r>
      <w:r w:rsidR="00E12F61" w:rsidRPr="001F33E5">
        <w:rPr>
          <w:lang w:bidi="he-IL"/>
        </w:rPr>
        <w:t xml:space="preserve">. </w:t>
      </w:r>
      <w:r w:rsidR="00402705" w:rsidRPr="001F33E5">
        <w:rPr>
          <w:lang w:bidi="he-IL"/>
        </w:rPr>
        <w:t>A</w:t>
      </w:r>
      <w:r w:rsidR="00E12F61" w:rsidRPr="001F33E5">
        <w:rPr>
          <w:lang w:bidi="he-IL"/>
        </w:rPr>
        <w:t>dditional seismometer</w:t>
      </w:r>
      <w:r w:rsidR="000C7549" w:rsidRPr="001F33E5">
        <w:rPr>
          <w:lang w:bidi="he-IL"/>
        </w:rPr>
        <w:t xml:space="preserve"> </w:t>
      </w:r>
      <w:r w:rsidR="00904903" w:rsidRPr="001F33E5">
        <w:rPr>
          <w:lang w:bidi="he-IL"/>
        </w:rPr>
        <w:t>data</w:t>
      </w:r>
      <w:r w:rsidR="00E12F61" w:rsidRPr="001F33E5">
        <w:rPr>
          <w:lang w:bidi="he-IL"/>
        </w:rPr>
        <w:t xml:space="preserve"> </w:t>
      </w:r>
      <w:r w:rsidR="00904903" w:rsidRPr="001F33E5">
        <w:rPr>
          <w:lang w:bidi="he-IL"/>
        </w:rPr>
        <w:t>from</w:t>
      </w:r>
      <w:r w:rsidR="000C7549" w:rsidRPr="001F33E5">
        <w:rPr>
          <w:lang w:bidi="he-IL"/>
        </w:rPr>
        <w:t xml:space="preserve"> the Israeli seismic network </w:t>
      </w:r>
      <w:r w:rsidR="000C7549" w:rsidRPr="001F33E5">
        <w:rPr>
          <w:lang w:bidi="he-IL"/>
        </w:rPr>
        <w:fldChar w:fldCharType="begin"/>
      </w:r>
      <w:r w:rsidR="000C7549" w:rsidRPr="001F33E5">
        <w:rPr>
          <w:lang w:bidi="he-IL"/>
        </w:rPr>
        <w:instrText xml:space="preserve"> ADDIN ZOTERO_ITEM CSL_CITATION {"citationID":"lnlOxKoZ","properties":{"formattedCitation":"(Kurzon et al., 2020)","plainCitation":"(Kurzon et al., 2020)","noteIndex":0},"citationItems":[{"id":103,"uris":["http://zotero.org/users/6318414/items/R8B8M25H"],"itemData":{"id":103,"type":"article-journal","abstract":"Following the recommendations of an international committee (Allen et al., 2012), since October 2017, the Israeli Seismic Network has been undergoing significant upgrades, with 120 stations being added or upgraded throughout the country and the addition of two new datacenters. These enhancements are the backbone of the TRUAA project, assigned to the Geological Survey of Israel (GSI) by the Israeli Government, to provide earthquake early warning (EEW) capabilities for the state of Israel. The GSI contracted Nanometrics (NMX), supported by Motorola Solutions Israel, to deliver these upgrades through a turnkey project, including detailed design, equipment supply, and deployment of the network and two datacenters.","container-title":"Seismological Research Letters","DOI":"10.1785/0220200169","ISSN":"0895-0695, 1938-2057","issue":"6","language":"en","page":"3236-3255","source":"Crossref","title":"The “TRUAA” Seismic Network: Upgrading the Israel Seismic Network—Toward National Earthquake Early Warning System","title-short":"The “TRUAA” Seismic Network","volume":"91","author":[{"family":"Kurzon","given":"Ittai"},{"family":"Nof","given":"Ran N."},{"family":"Laporte","given":"Michael"},{"family":"Lutzky","given":"Hallel"},{"family":"Polozov","given":"Andrey"},{"family":"Zakosky","given":"Dov"},{"family":"Shulman","given":"Haim"},{"family":"Goldenberg","given":"Ariel"},{"family":"Tatham","given":"Ben"},{"family":"Hamiel","given":"Yariv"}],"issued":{"date-parts":[["2020",11,1]]}}}],"schema":"https://github.com/citation-style-language/schema/raw/master/csl-citation.json"} </w:instrText>
      </w:r>
      <w:r w:rsidR="000C7549" w:rsidRPr="001F33E5">
        <w:rPr>
          <w:lang w:bidi="he-IL"/>
        </w:rPr>
        <w:fldChar w:fldCharType="separate"/>
      </w:r>
      <w:r w:rsidR="000C7549" w:rsidRPr="001F33E5">
        <w:t>(Kurzon et al., 2020)</w:t>
      </w:r>
      <w:r w:rsidR="000C7549" w:rsidRPr="001F33E5">
        <w:rPr>
          <w:lang w:bidi="he-IL"/>
        </w:rPr>
        <w:fldChar w:fldCharType="end"/>
      </w:r>
      <w:r w:rsidR="000C7549" w:rsidRPr="001F33E5">
        <w:rPr>
          <w:lang w:bidi="he-IL"/>
        </w:rPr>
        <w:t xml:space="preserve"> w</w:t>
      </w:r>
      <w:r w:rsidR="00904903" w:rsidRPr="001F33E5">
        <w:rPr>
          <w:lang w:bidi="he-IL"/>
        </w:rPr>
        <w:t>ere</w:t>
      </w:r>
      <w:r w:rsidR="000C7549" w:rsidRPr="001F33E5">
        <w:rPr>
          <w:lang w:bidi="he-IL"/>
        </w:rPr>
        <w:t xml:space="preserve"> used (Figure </w:t>
      </w:r>
      <w:r w:rsidR="001F33E5" w:rsidRPr="001F33E5">
        <w:rPr>
          <w:lang w:bidi="he-IL"/>
        </w:rPr>
        <w:fldChar w:fldCharType="begin"/>
      </w:r>
      <w:r w:rsidR="001F33E5" w:rsidRPr="001F33E5">
        <w:rPr>
          <w:lang w:bidi="he-IL"/>
        </w:rPr>
        <w:instrText xml:space="preserve"> REF FIG_MAP_CC \h  \* MERGEFORMAT </w:instrText>
      </w:r>
      <w:r w:rsidR="001F33E5" w:rsidRPr="001F33E5">
        <w:rPr>
          <w:lang w:bidi="he-IL"/>
        </w:rPr>
      </w:r>
      <w:r w:rsidR="001F33E5" w:rsidRPr="001F33E5">
        <w:rPr>
          <w:lang w:bidi="he-IL"/>
        </w:rPr>
        <w:fldChar w:fldCharType="separate"/>
      </w:r>
      <w:r w:rsidR="001F33E5" w:rsidRPr="001F33E5">
        <w:t>1</w:t>
      </w:r>
      <w:r w:rsidR="001F33E5" w:rsidRPr="001F33E5">
        <w:rPr>
          <w:lang w:bidi="he-IL"/>
        </w:rPr>
        <w:fldChar w:fldCharType="end"/>
      </w:r>
      <w:r w:rsidR="000C7549" w:rsidRPr="001F33E5">
        <w:rPr>
          <w:lang w:bidi="he-IL"/>
        </w:rPr>
        <w:t>a).</w:t>
      </w:r>
      <w:bookmarkEnd w:id="5"/>
    </w:p>
    <w:p w14:paraId="37AB2A0C" w14:textId="489F907D" w:rsidR="00A56685" w:rsidRPr="001F33E5" w:rsidRDefault="00B65EE3" w:rsidP="0075573E">
      <w:pPr>
        <w:pStyle w:val="Text"/>
        <w:rPr>
          <w:lang w:bidi="he-IL"/>
        </w:rPr>
      </w:pPr>
      <w:r w:rsidRPr="001F33E5">
        <w:rPr>
          <w:rFonts w:hint="cs"/>
          <w:lang w:bidi="he-IL"/>
        </w:rPr>
        <w:t>I</w:t>
      </w:r>
      <w:r w:rsidRPr="001F33E5">
        <w:rPr>
          <w:lang w:bidi="he-IL"/>
        </w:rPr>
        <w:t>n order to verify that the earthquakes qualify as EGF pairs, cross correlations (CC) were calculated</w:t>
      </w:r>
      <w:r w:rsidR="00DE12B8" w:rsidRPr="001F33E5">
        <w:rPr>
          <w:lang w:bidi="he-IL"/>
        </w:rPr>
        <w:t xml:space="preserve"> using the nearest seismic station</w:t>
      </w:r>
      <w:r w:rsidRPr="001F33E5">
        <w:rPr>
          <w:lang w:bidi="he-IL"/>
        </w:rPr>
        <w:t xml:space="preserve">. </w:t>
      </w:r>
      <w:r w:rsidR="00FC53B3" w:rsidRPr="001F33E5">
        <w:rPr>
          <w:lang w:bidi="he-IL"/>
        </w:rPr>
        <w:t xml:space="preserve">Because DAS data were </w:t>
      </w:r>
      <w:r w:rsidR="00BF6125" w:rsidRPr="001F33E5">
        <w:rPr>
          <w:lang w:bidi="he-IL"/>
        </w:rPr>
        <w:t>acquired</w:t>
      </w:r>
      <w:r w:rsidR="00FC53B3" w:rsidRPr="001F33E5">
        <w:rPr>
          <w:lang w:bidi="he-IL"/>
        </w:rPr>
        <w:t xml:space="preserve"> using a horizontal fiber, with reduced P-wave sensitivity </w:t>
      </w:r>
      <w:r w:rsidR="00FC53B3" w:rsidRPr="001F33E5">
        <w:rPr>
          <w:lang w:bidi="he-IL"/>
        </w:rPr>
        <w:fldChar w:fldCharType="begin"/>
      </w:r>
      <w:r w:rsidR="00027B81" w:rsidRPr="001F33E5">
        <w:rPr>
          <w:lang w:bidi="he-IL"/>
        </w:rPr>
        <w:instrText xml:space="preserve"> ADDIN ZOTERO_ITEM CSL_CITATION {"citationID":"09cVXngq","properties":{"formattedCitation":"(Papp et al., 2017)","plainCitation":"(Papp et al., 2017)","dontUpdate":true,"noteIndex":0},"citationItems":[{"id":11,"uris":["http://zotero.org/users/6318414/items/KNXGJZVQ"],"itemData":{"id":11,"type":"article-journal","container-title":"Geophysical Prospecting","DOI":"10.1111/1365-2478.12471","ISSN":"00168025","issue":"5","journalAbbreviation":"Geophysical Prospecting","language":"en","page":"1186-1204","source":"DOI.org (Crossref)","title":"A study of the geophysical response of distributed fibre optic acoustic sensors through laboratory-scale experiments: Geophysical response of fibre optic sensors","title-short":"A study of the geophysical response of distributed fibre optic acoustic sensors through laboratory-scale experiments","volume":"65","author":[{"family":"Papp","given":"Bence"},{"family":"Donno","given":"Daniela"},{"family":"Martin","given":"James E."},{"family":"Hartog","given":"Arthur H."}],"issued":{"date-parts":[["2017",9]]}}}],"schema":"https://github.com/citation-style-language/schema/raw/master/csl-citation.json"} </w:instrText>
      </w:r>
      <w:r w:rsidR="00FC53B3" w:rsidRPr="001F33E5">
        <w:rPr>
          <w:lang w:bidi="he-IL"/>
        </w:rPr>
        <w:fldChar w:fldCharType="separate"/>
      </w:r>
      <w:r w:rsidR="00FC53B3" w:rsidRPr="001F33E5">
        <w:t>(e.g., Papp et al., 2017)</w:t>
      </w:r>
      <w:r w:rsidR="00FC53B3" w:rsidRPr="001F33E5">
        <w:rPr>
          <w:lang w:bidi="he-IL"/>
        </w:rPr>
        <w:fldChar w:fldCharType="end"/>
      </w:r>
      <w:r w:rsidR="00FC53B3" w:rsidRPr="001F33E5">
        <w:rPr>
          <w:lang w:bidi="he-IL"/>
        </w:rPr>
        <w:t>, the analysis focuse</w:t>
      </w:r>
      <w:r w:rsidR="00904903" w:rsidRPr="001F33E5">
        <w:rPr>
          <w:lang w:bidi="he-IL"/>
        </w:rPr>
        <w:t>d</w:t>
      </w:r>
      <w:r w:rsidR="00FC53B3" w:rsidRPr="001F33E5">
        <w:rPr>
          <w:lang w:bidi="he-IL"/>
        </w:rPr>
        <w:t xml:space="preserve"> only on S-waves. </w:t>
      </w:r>
      <w:r w:rsidRPr="001F33E5">
        <w:rPr>
          <w:lang w:bidi="he-IL"/>
        </w:rPr>
        <w:t>Horizontal acceleration time-series were low</w:t>
      </w:r>
      <w:r w:rsidR="000A79AC" w:rsidRPr="001F33E5">
        <w:rPr>
          <w:lang w:bidi="he-IL"/>
        </w:rPr>
        <w:t xml:space="preserve"> </w:t>
      </w:r>
      <w:r w:rsidRPr="001F33E5">
        <w:rPr>
          <w:lang w:bidi="he-IL"/>
        </w:rPr>
        <w:t xml:space="preserve">pass filtered at 5 Hz and CC were calculated </w:t>
      </w:r>
      <w:r w:rsidR="00904903" w:rsidRPr="001F33E5">
        <w:rPr>
          <w:lang w:bidi="he-IL"/>
        </w:rPr>
        <w:t>in</w:t>
      </w:r>
      <w:r w:rsidRPr="001F33E5">
        <w:rPr>
          <w:lang w:bidi="he-IL"/>
        </w:rPr>
        <w:t xml:space="preserve"> a 1 second window starting </w:t>
      </w:r>
      <w:r w:rsidR="00FC53B3" w:rsidRPr="001F33E5">
        <w:rPr>
          <w:lang w:bidi="he-IL"/>
        </w:rPr>
        <w:t>at</w:t>
      </w:r>
      <w:r w:rsidRPr="001F33E5">
        <w:rPr>
          <w:lang w:bidi="he-IL"/>
        </w:rPr>
        <w:t xml:space="preserve"> the direct S-wave arrival at </w:t>
      </w:r>
      <w:r w:rsidR="006D4EEA" w:rsidRPr="001F33E5">
        <w:rPr>
          <w:lang w:bidi="he-IL"/>
        </w:rPr>
        <w:t>MEFR</w:t>
      </w:r>
      <w:r w:rsidR="00A56685" w:rsidRPr="001F33E5">
        <w:rPr>
          <w:lang w:bidi="he-IL"/>
        </w:rPr>
        <w:t xml:space="preserve"> station </w:t>
      </w:r>
      <w:r w:rsidR="006D4EEA" w:rsidRPr="001F33E5">
        <w:rPr>
          <w:lang w:bidi="he-IL"/>
        </w:rPr>
        <w:t>(</w:t>
      </w:r>
      <w:r w:rsidR="00A56685" w:rsidRPr="001F33E5">
        <w:rPr>
          <w:lang w:bidi="he-IL"/>
        </w:rPr>
        <w:t xml:space="preserve">Figure </w:t>
      </w:r>
      <w:r w:rsidR="001F33E5" w:rsidRPr="001F33E5">
        <w:rPr>
          <w:lang w:bidi="he-IL"/>
        </w:rPr>
        <w:fldChar w:fldCharType="begin"/>
      </w:r>
      <w:r w:rsidR="001F33E5" w:rsidRPr="001F33E5">
        <w:rPr>
          <w:lang w:bidi="he-IL"/>
        </w:rPr>
        <w:instrText xml:space="preserve"> REF FIG_MAP_CC \h  \* MERGEFORMAT </w:instrText>
      </w:r>
      <w:r w:rsidR="001F33E5" w:rsidRPr="001F33E5">
        <w:rPr>
          <w:lang w:bidi="he-IL"/>
        </w:rPr>
      </w:r>
      <w:r w:rsidR="001F33E5" w:rsidRPr="001F33E5">
        <w:rPr>
          <w:lang w:bidi="he-IL"/>
        </w:rPr>
        <w:fldChar w:fldCharType="separate"/>
      </w:r>
      <w:r w:rsidR="001F33E5" w:rsidRPr="001F33E5">
        <w:t>1</w:t>
      </w:r>
      <w:r w:rsidR="001F33E5" w:rsidRPr="001F33E5">
        <w:rPr>
          <w:lang w:bidi="he-IL"/>
        </w:rPr>
        <w:fldChar w:fldCharType="end"/>
      </w:r>
      <w:r w:rsidR="00A56685" w:rsidRPr="001F33E5">
        <w:rPr>
          <w:lang w:bidi="he-IL"/>
        </w:rPr>
        <w:t>a)</w:t>
      </w:r>
      <w:r w:rsidRPr="001F33E5">
        <w:rPr>
          <w:lang w:bidi="he-IL"/>
        </w:rPr>
        <w:t xml:space="preserve">, located 10 km from the </w:t>
      </w:r>
      <w:r w:rsidR="00944542" w:rsidRPr="001F33E5">
        <w:rPr>
          <w:lang w:bidi="he-IL"/>
        </w:rPr>
        <w:t>epicenter</w:t>
      </w:r>
      <w:r w:rsidRPr="001F33E5">
        <w:rPr>
          <w:lang w:bidi="he-IL"/>
        </w:rPr>
        <w:t xml:space="preserve"> of the largest earthquake</w:t>
      </w:r>
      <w:r w:rsidR="00626796" w:rsidRPr="001F33E5">
        <w:rPr>
          <w:lang w:bidi="he-IL"/>
        </w:rPr>
        <w:t xml:space="preserve">. </w:t>
      </w:r>
      <w:r w:rsidR="003B0F11" w:rsidRPr="001F33E5">
        <w:rPr>
          <w:lang w:bidi="he-IL"/>
        </w:rPr>
        <w:t xml:space="preserve">Filtered time-series and CC values with respect to the largest earthquake are shown in Figure </w:t>
      </w:r>
      <w:r w:rsidR="00FC53B3" w:rsidRPr="001F33E5">
        <w:rPr>
          <w:lang w:bidi="he-IL"/>
        </w:rPr>
        <w:fldChar w:fldCharType="begin"/>
      </w:r>
      <w:r w:rsidR="00FC53B3" w:rsidRPr="001F33E5">
        <w:rPr>
          <w:lang w:bidi="he-IL"/>
        </w:rPr>
        <w:instrText xml:space="preserve"> REF FIG_Map_CC \h  \* MERGEFORMAT </w:instrText>
      </w:r>
      <w:r w:rsidR="00FC53B3" w:rsidRPr="001F33E5">
        <w:rPr>
          <w:lang w:bidi="he-IL"/>
        </w:rPr>
      </w:r>
      <w:r w:rsidR="00FC53B3" w:rsidRPr="001F33E5">
        <w:rPr>
          <w:lang w:bidi="he-IL"/>
        </w:rPr>
        <w:fldChar w:fldCharType="separate"/>
      </w:r>
      <w:r w:rsidR="001F33E5" w:rsidRPr="001F33E5">
        <w:t>1</w:t>
      </w:r>
      <w:r w:rsidR="00FC53B3" w:rsidRPr="001F33E5">
        <w:rPr>
          <w:lang w:bidi="he-IL"/>
        </w:rPr>
        <w:fldChar w:fldCharType="end"/>
      </w:r>
      <w:r w:rsidR="003B0F11" w:rsidRPr="001F33E5">
        <w:rPr>
          <w:lang w:bidi="he-IL"/>
        </w:rPr>
        <w:t>b.</w:t>
      </w:r>
      <w:r w:rsidR="00545225" w:rsidRPr="001F33E5">
        <w:rPr>
          <w:lang w:bidi="he-IL"/>
        </w:rPr>
        <w:t xml:space="preserve"> A</w:t>
      </w:r>
      <w:r w:rsidRPr="001F33E5">
        <w:rPr>
          <w:lang w:bidi="he-IL"/>
        </w:rPr>
        <w:t xml:space="preserve">ll CC values </w:t>
      </w:r>
      <w:r w:rsidR="00B44342" w:rsidRPr="001F33E5">
        <w:rPr>
          <w:lang w:bidi="he-IL"/>
        </w:rPr>
        <w:t xml:space="preserve">for both horizontal components </w:t>
      </w:r>
      <w:r w:rsidRPr="001F33E5">
        <w:rPr>
          <w:lang w:bidi="he-IL"/>
        </w:rPr>
        <w:t xml:space="preserve">were above 0.8, </w:t>
      </w:r>
      <w:r w:rsidR="00A56685" w:rsidRPr="001F33E5">
        <w:rPr>
          <w:lang w:bidi="he-IL"/>
        </w:rPr>
        <w:t>indicating significant similarity between the different earthquakes.</w:t>
      </w:r>
      <w:r w:rsidR="00F26CBF" w:rsidRPr="001F33E5">
        <w:rPr>
          <w:lang w:bidi="he-IL"/>
        </w:rPr>
        <w:t xml:space="preserve"> Thus, it is safe to assume that the</w:t>
      </w:r>
      <w:r w:rsidR="0074563C" w:rsidRPr="001F33E5">
        <w:rPr>
          <w:lang w:bidi="he-IL"/>
        </w:rPr>
        <w:t>se repeating</w:t>
      </w:r>
      <w:r w:rsidR="00F26CBF" w:rsidRPr="001F33E5">
        <w:rPr>
          <w:lang w:bidi="he-IL"/>
        </w:rPr>
        <w:t xml:space="preserve"> earthquakes are nearly co-located</w:t>
      </w:r>
      <w:r w:rsidR="00E20821" w:rsidRPr="001F33E5">
        <w:rPr>
          <w:lang w:bidi="he-IL"/>
        </w:rPr>
        <w:t xml:space="preserve"> and have a similar mechanism</w:t>
      </w:r>
      <w:r w:rsidR="00E95E65" w:rsidRPr="001F33E5">
        <w:rPr>
          <w:lang w:bidi="he-IL"/>
        </w:rPr>
        <w:t>.</w:t>
      </w:r>
      <w:r w:rsidR="00F26CBF" w:rsidRPr="001F33E5">
        <w:rPr>
          <w:lang w:bidi="he-IL"/>
        </w:rPr>
        <w:t xml:space="preserve"> </w:t>
      </w:r>
      <w:r w:rsidR="00E95E65" w:rsidRPr="001F33E5">
        <w:rPr>
          <w:lang w:bidi="he-IL"/>
        </w:rPr>
        <w:t xml:space="preserve">In subsequent analysis, </w:t>
      </w:r>
      <w:r w:rsidR="00F26CBF" w:rsidRPr="001F33E5">
        <w:rPr>
          <w:lang w:bidi="he-IL"/>
        </w:rPr>
        <w:t>the catalog location of the largest earthquake (Mw3.4, Table S1) is used for all events.</w:t>
      </w:r>
    </w:p>
    <w:p w14:paraId="19B14767" w14:textId="1011AE89" w:rsidR="00AF6536" w:rsidRPr="001F33E5" w:rsidRDefault="00F14617" w:rsidP="00033DFF">
      <w:pPr>
        <w:pStyle w:val="Text"/>
        <w:rPr>
          <w:lang w:bidi="he-IL"/>
        </w:rPr>
      </w:pPr>
      <w:r w:rsidRPr="001F33E5">
        <w:rPr>
          <w:lang w:bidi="he-IL"/>
        </w:rPr>
        <w:t xml:space="preserve">Waveform </w:t>
      </w:r>
      <w:r w:rsidR="00B65EE3" w:rsidRPr="001F33E5">
        <w:rPr>
          <w:lang w:bidi="he-IL"/>
        </w:rPr>
        <w:t>similarity is also evident in the DAS recordings shown in Figure</w:t>
      </w:r>
      <w:r w:rsidR="007F4627" w:rsidRPr="001F33E5">
        <w:rPr>
          <w:lang w:bidi="he-IL"/>
        </w:rPr>
        <w:t xml:space="preserve"> </w:t>
      </w:r>
      <w:r w:rsidR="001F33E5" w:rsidRPr="001F33E5">
        <w:rPr>
          <w:lang w:bidi="he-IL"/>
        </w:rPr>
        <w:fldChar w:fldCharType="begin"/>
      </w:r>
      <w:r w:rsidR="001F33E5" w:rsidRPr="001F33E5">
        <w:rPr>
          <w:lang w:bidi="he-IL"/>
        </w:rPr>
        <w:instrText xml:space="preserve"> REF FIG_MAP_CC \h  \* MERGEFORMAT </w:instrText>
      </w:r>
      <w:r w:rsidR="001F33E5" w:rsidRPr="001F33E5">
        <w:rPr>
          <w:lang w:bidi="he-IL"/>
        </w:rPr>
      </w:r>
      <w:r w:rsidR="001F33E5" w:rsidRPr="001F33E5">
        <w:rPr>
          <w:lang w:bidi="he-IL"/>
        </w:rPr>
        <w:fldChar w:fldCharType="separate"/>
      </w:r>
      <w:r w:rsidR="001F33E5" w:rsidRPr="001F33E5">
        <w:t>1</w:t>
      </w:r>
      <w:r w:rsidR="001F33E5" w:rsidRPr="001F33E5">
        <w:rPr>
          <w:lang w:bidi="he-IL"/>
        </w:rPr>
        <w:fldChar w:fldCharType="end"/>
      </w:r>
      <w:r w:rsidR="007F4627" w:rsidRPr="001F33E5">
        <w:rPr>
          <w:lang w:bidi="he-IL"/>
        </w:rPr>
        <w:t>c</w:t>
      </w:r>
      <w:r w:rsidR="00B65EE3" w:rsidRPr="001F33E5">
        <w:rPr>
          <w:lang w:bidi="he-IL"/>
        </w:rPr>
        <w:t>, where the first 3 seconds of the S-wave are shown on a 2</w:t>
      </w:r>
      <w:r w:rsidR="00BF6AD7" w:rsidRPr="001F33E5">
        <w:rPr>
          <w:lang w:bidi="he-IL"/>
        </w:rPr>
        <w:t>.2</w:t>
      </w:r>
      <w:r w:rsidR="00B65EE3" w:rsidRPr="001F33E5">
        <w:rPr>
          <w:lang w:bidi="he-IL"/>
        </w:rPr>
        <w:t xml:space="preserve"> km fiber segment. DAS </w:t>
      </w:r>
      <w:r w:rsidR="004966A2" w:rsidRPr="001F33E5">
        <w:rPr>
          <w:lang w:bidi="he-IL"/>
        </w:rPr>
        <w:t>CC were</w:t>
      </w:r>
      <w:r w:rsidR="00B65EE3" w:rsidRPr="001F33E5">
        <w:rPr>
          <w:lang w:bidi="he-IL"/>
        </w:rPr>
        <w:t xml:space="preserve"> not </w:t>
      </w:r>
      <w:r w:rsidR="004966A2" w:rsidRPr="001F33E5">
        <w:rPr>
          <w:lang w:bidi="he-IL"/>
        </w:rPr>
        <w:t>calculated</w:t>
      </w:r>
      <w:r w:rsidR="001F1386" w:rsidRPr="001F33E5">
        <w:rPr>
          <w:lang w:bidi="he-IL"/>
        </w:rPr>
        <w:t xml:space="preserve"> </w:t>
      </w:r>
      <w:r w:rsidR="00BF6125" w:rsidRPr="001F33E5">
        <w:rPr>
          <w:lang w:bidi="he-IL"/>
        </w:rPr>
        <w:t>because</w:t>
      </w:r>
      <w:r w:rsidR="004966A2" w:rsidRPr="001F33E5">
        <w:rPr>
          <w:lang w:bidi="he-IL"/>
        </w:rPr>
        <w:t xml:space="preserve"> of the longer </w:t>
      </w:r>
      <w:r w:rsidR="00BF6125" w:rsidRPr="001F33E5">
        <w:rPr>
          <w:lang w:bidi="he-IL"/>
        </w:rPr>
        <w:t>epicentral</w:t>
      </w:r>
      <w:r w:rsidR="004966A2" w:rsidRPr="001F33E5">
        <w:rPr>
          <w:lang w:bidi="he-IL"/>
        </w:rPr>
        <w:t xml:space="preserve"> distance (~40 km) and because </w:t>
      </w:r>
      <w:r w:rsidR="001C6172" w:rsidRPr="001F33E5">
        <w:rPr>
          <w:lang w:bidi="he-IL"/>
        </w:rPr>
        <w:t xml:space="preserve">single channel </w:t>
      </w:r>
      <w:r w:rsidR="004966A2" w:rsidRPr="001F33E5">
        <w:rPr>
          <w:lang w:bidi="he-IL"/>
        </w:rPr>
        <w:t xml:space="preserve">DAS </w:t>
      </w:r>
      <w:r w:rsidR="00B65EE3" w:rsidRPr="001F33E5">
        <w:rPr>
          <w:lang w:bidi="he-IL"/>
        </w:rPr>
        <w:t>record</w:t>
      </w:r>
      <w:r w:rsidR="004966A2" w:rsidRPr="001F33E5">
        <w:rPr>
          <w:lang w:bidi="he-IL"/>
        </w:rPr>
        <w:t>ings</w:t>
      </w:r>
      <w:r w:rsidR="00B65EE3" w:rsidRPr="001F33E5">
        <w:rPr>
          <w:lang w:bidi="he-IL"/>
        </w:rPr>
        <w:t xml:space="preserve"> are typically characterized by lower </w:t>
      </w:r>
      <w:r w:rsidR="00526ECA" w:rsidRPr="001F33E5">
        <w:rPr>
          <w:lang w:bidi="he-IL"/>
        </w:rPr>
        <w:t>SNR</w:t>
      </w:r>
      <w:r w:rsidR="001F1386" w:rsidRPr="001F33E5">
        <w:rPr>
          <w:lang w:bidi="he-IL"/>
        </w:rPr>
        <w:t xml:space="preserve"> </w:t>
      </w:r>
      <w:r w:rsidR="00FE3796" w:rsidRPr="001F33E5">
        <w:rPr>
          <w:lang w:bidi="he-IL"/>
        </w:rPr>
        <w:t xml:space="preserve">and less coherent </w:t>
      </w:r>
      <w:r w:rsidR="00232463" w:rsidRPr="001F33E5">
        <w:rPr>
          <w:lang w:bidi="he-IL"/>
        </w:rPr>
        <w:t xml:space="preserve">wavefield </w:t>
      </w:r>
      <w:r w:rsidR="001F1386" w:rsidRPr="001F33E5">
        <w:rPr>
          <w:lang w:bidi="he-IL"/>
        </w:rPr>
        <w:t xml:space="preserve">compared to seismometers </w:t>
      </w:r>
      <w:r w:rsidR="00DF5924" w:rsidRPr="001F33E5">
        <w:rPr>
          <w:lang w:bidi="he-IL"/>
        </w:rPr>
        <w:fldChar w:fldCharType="begin"/>
      </w:r>
      <w:r w:rsidR="00033DFF" w:rsidRPr="001F33E5">
        <w:rPr>
          <w:lang w:bidi="he-IL"/>
        </w:rPr>
        <w:instrText xml:space="preserve"> ADDIN ZOTERO_ITEM CSL_CITATION {"citationID":"kE9lY8nh","properties":{"formattedCitation":"(Lior, Sladen, Rivet, et al., 2021; van den Ende &amp; Ampuero, 2021)","plainCitation":"(Lior, Sladen, Rivet, et al., 2021; van den Ende &amp; Ampuero, 2021)","noteIndex":0},"citationItems":[{"id":257,"uris":["http://zotero.org/users/6318414/items/W5XHS4PB"],"itemData":{"id":257,"type":"article-journal","abstract":"The novel technique of distributed acoustic sensing (DAS) holds great potential for underwater seismology by transforming standard telecommunication cables, such as those currently traversing various regions of the world’s oceans, into dense arrays of seismo-acoustic sensors. To harness these measurements for seismic monitoring, the ability to record transient ground deformations is investigated by analyzing ambient noise, earthquakes, and their associated phase velocities, on DAS records from three dark fibers in the Mediterranean Sea. Recording quality varies dramatically along the fibers and is strongly correlated with the bathymetry and the apparent phase velocities of recorded waves. Apparent velocities are determined for several well-recorded earthquakes and used to convert DAS S-wave strain spectra to ground motion spectra. Excellent agreement is found between the spectra of nearby underwater and on-land seismometers and DAS converted spectra, when the latter are corrected for site effects. Apparent velocities greatly affect the ability to detect seismic deformations: for the same ground motions, slower waves induce higher strains and thus are more favorably detected than fast waves. The effect of apparent velocity on the ability to detect seismic phases, quantified by expected signal-to-noise ratios, is investigated by comparing signal amplitudes predicted by an earthquake model to recorded noise levels. DAS detection capabilities on underwater fibers are found to be similar to those of nearby broadband sensors, and superior to those of on-land fiber segments, owing to lower velocities at the ocean-bottom. The results demonstrate the great potential of underwater DAS for seismic monitoring and earthquake early warning.","container-title":"Journal of Geophysical Research: Solid Earth","DOI":"10.1029/2020JB020925","ISSN":"2169-9313, 2169-9356","issue":"3","language":"en","source":"Crossref","title":"On the Detection Capabilities of Underwater Distributed Acoustic Sensing","URL":"https://onlinelibrary.wiley.com/doi/10.1029/2020JB020925","volume":"126","author":[{"family":"Lior","given":"Itzhak"},{"family":"Sladen","given":"Anthony"},{"family":"Rivet","given":"Diane"},{"family":"Ampuero","given":"Jean‐Paul"},{"family":"Hello","given":"Yann"},{"family":"Becerril","given":"Carlos"},{"family":"Martins","given":"Hugo F."},{"family":"Lamare","given":"Patrick"},{"family":"Jestin","given":"Camille"},{"family":"Tsagkli","given":"Stavroula"},{"family":"Markou","given":"Christos"}],"accessed":{"date-parts":[["2021",4,10]]},"issued":{"date-parts":[["2021",3]]}},"label":"page"},{"id":69,"uris":["http://zotero.org/users/6318414/items/RCNMPJRW"],"itemData":{"id":69,"type":"article-journal","abstract":"The versatility and cost efﬁciency of ﬁbre-optic distributed acoustic sensing (DAS) technologies facilitate geophysical monitoring in environments that were previously inaccessible for instrumentation. Moreover, the spatiotemporal data density permitted by DAS naturally appeals to seismic array processing techniques, such as beamforming for source location. However, the measurement principle of DAS is inherently different from that of conventional seismometers, providing measurements of ground strain rather than ground motion, and so the suitability of traditional seismological methods requires in-depth evaluation. In this study, we evaluate the performance of a DAS array in the task of seismic beamforming, in comparison with a co-located nodal seismometer array. We ﬁnd that, even though the nodal array achieves excellent performance in localising a regional ML 4.3 earthquake, the DAS array exhibits poor waveform coherence and consequently produces inadequate beamforming results that are dominated by the signatures of shallow scattered waves. We demonstrate that this behaviour is likely inherent to the DAS measurement principle, and so new strategies need to be adopted to tailor array processing techniques to this emerging measurement technology. One strategy demonstrated here is to convert the DAS strain rates to particle velocities by spatial integration using the nodal seismometer recordings as a reference, which dramatically improves waveform coherence and beamforming performance and warrants new types of “hybrid” array design that combine dense DAS arrays with sparse seismometer arrays.","container-title":"Solid Earth","DOI":"10.5194/se-12-915-2021","ISSN":"1869-9529","issue":"4","language":"en","page":"915-934","source":"DOI Content Negotiation","title":"Evaluating seismic beamforming capabilities of distributed acoustic sensing arrays","volume":"12","author":[{"family":"Ende","given":"Martijn P. A.","non-dropping-particle":"van den"},{"family":"Ampuero","given":"Jean-Paul"}],"issued":{"date-parts":[["2021",4,22]]}}}],"schema":"https://github.com/citation-style-language/schema/raw/master/csl-citation.json"} </w:instrText>
      </w:r>
      <w:r w:rsidR="00DF5924" w:rsidRPr="001F33E5">
        <w:rPr>
          <w:lang w:bidi="he-IL"/>
        </w:rPr>
        <w:fldChar w:fldCharType="separate"/>
      </w:r>
      <w:r w:rsidR="00033DFF" w:rsidRPr="001F33E5">
        <w:t>(Lior, Sladen, Rivet, et al., 2021; van den Ende &amp; Ampuero, 2021)</w:t>
      </w:r>
      <w:r w:rsidR="00DF5924" w:rsidRPr="001F33E5">
        <w:rPr>
          <w:lang w:bidi="he-IL"/>
        </w:rPr>
        <w:fldChar w:fldCharType="end"/>
      </w:r>
      <w:r w:rsidR="00B60CF3" w:rsidRPr="001F33E5">
        <w:rPr>
          <w:lang w:bidi="he-IL"/>
        </w:rPr>
        <w:t>.</w:t>
      </w:r>
      <w:r w:rsidR="00DF5924" w:rsidRPr="001F33E5">
        <w:rPr>
          <w:lang w:bidi="he-IL"/>
        </w:rPr>
        <w:t xml:space="preserve"> </w:t>
      </w:r>
      <w:r w:rsidR="005D64C8" w:rsidRPr="001F33E5">
        <w:rPr>
          <w:lang w:bidi="he-IL"/>
        </w:rPr>
        <w:t>S</w:t>
      </w:r>
      <w:r w:rsidR="00AF6536" w:rsidRPr="001F33E5">
        <w:rPr>
          <w:lang w:bidi="he-IL"/>
        </w:rPr>
        <w:t xml:space="preserve">imilar features can be observed between </w:t>
      </w:r>
      <w:r w:rsidR="00B60CF3" w:rsidRPr="001F33E5">
        <w:rPr>
          <w:lang w:bidi="he-IL"/>
        </w:rPr>
        <w:t xml:space="preserve">the different earthquakes, </w:t>
      </w:r>
      <w:r w:rsidR="004966A2" w:rsidRPr="001F33E5">
        <w:rPr>
          <w:lang w:bidi="he-IL"/>
        </w:rPr>
        <w:t>for example,</w:t>
      </w:r>
      <w:r w:rsidR="00B60CF3" w:rsidRPr="001F33E5">
        <w:rPr>
          <w:lang w:bidi="he-IL"/>
        </w:rPr>
        <w:t xml:space="preserve"> the coherent arrivals at the first kilometer and first half a second.</w:t>
      </w:r>
    </w:p>
    <w:p w14:paraId="2C7BBF2C" w14:textId="42B36E50" w:rsidR="00FE0750" w:rsidRDefault="00325307" w:rsidP="004E2175">
      <w:pPr>
        <w:pStyle w:val="Text"/>
        <w:rPr>
          <w:lang w:bidi="he-IL"/>
        </w:rPr>
      </w:pPr>
      <w:r>
        <w:rPr>
          <w:noProof/>
          <w:lang w:bidi="he-IL"/>
        </w:rPr>
        <w:lastRenderedPageBreak/>
        <mc:AlternateContent>
          <mc:Choice Requires="wps">
            <w:drawing>
              <wp:anchor distT="45720" distB="45720" distL="114300" distR="114300" simplePos="0" relativeHeight="251659264" behindDoc="0" locked="0" layoutInCell="1" allowOverlap="1" wp14:anchorId="40877A77" wp14:editId="3E35112F">
                <wp:simplePos x="0" y="0"/>
                <wp:positionH relativeFrom="margin">
                  <wp:align>right</wp:align>
                </wp:positionH>
                <wp:positionV relativeFrom="paragraph">
                  <wp:posOffset>0</wp:posOffset>
                </wp:positionV>
                <wp:extent cx="5943600" cy="6961505"/>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6961909"/>
                        </a:xfrm>
                        <a:prstGeom prst="rect">
                          <a:avLst/>
                        </a:prstGeom>
                        <a:solidFill>
                          <a:srgbClr val="FFFFFF"/>
                        </a:solidFill>
                        <a:ln w="9525">
                          <a:noFill/>
                          <a:miter lim="800000"/>
                          <a:headEnd/>
                          <a:tailEnd/>
                        </a:ln>
                      </wps:spPr>
                      <wps:txbx>
                        <w:txbxContent>
                          <w:p w14:paraId="3DB7002A" w14:textId="0BE74139" w:rsidR="0074563C" w:rsidRDefault="0074563C" w:rsidP="00325307">
                            <w:pPr>
                              <w:pStyle w:val="FigureorTableCaption"/>
                              <w:spacing w:before="0"/>
                              <w:jc w:val="center"/>
                              <w:rPr>
                                <w:b/>
                              </w:rPr>
                            </w:pPr>
                            <w:r>
                              <w:rPr>
                                <w:b/>
                                <w:noProof/>
                              </w:rPr>
                              <w:drawing>
                                <wp:inline distT="0" distB="0" distL="0" distR="0" wp14:anchorId="41BDD856" wp14:editId="782CA8AA">
                                  <wp:extent cx="3960000" cy="5400330"/>
                                  <wp:effectExtent l="0" t="0" r="254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ap_CC_DAS_data.png"/>
                                          <pic:cNvPicPr/>
                                        </pic:nvPicPr>
                                        <pic:blipFill>
                                          <a:blip r:embed="rId9"/>
                                          <a:stretch>
                                            <a:fillRect/>
                                          </a:stretch>
                                        </pic:blipFill>
                                        <pic:spPr>
                                          <a:xfrm>
                                            <a:off x="0" y="0"/>
                                            <a:ext cx="3960000" cy="5400330"/>
                                          </a:xfrm>
                                          <a:prstGeom prst="rect">
                                            <a:avLst/>
                                          </a:prstGeom>
                                        </pic:spPr>
                                      </pic:pic>
                                    </a:graphicData>
                                  </a:graphic>
                                </wp:inline>
                              </w:drawing>
                            </w:r>
                          </w:p>
                          <w:p w14:paraId="5D2C0430" w14:textId="308E19B6" w:rsidR="0074563C" w:rsidRPr="00325307" w:rsidRDefault="0074563C" w:rsidP="00325307">
                            <w:pPr>
                              <w:rPr>
                                <w:sz w:val="22"/>
                                <w:szCs w:val="22"/>
                              </w:rPr>
                            </w:pPr>
                            <w:r w:rsidRPr="00325307">
                              <w:rPr>
                                <w:b/>
                                <w:sz w:val="22"/>
                                <w:szCs w:val="22"/>
                              </w:rPr>
                              <w:t xml:space="preserve">Figure </w:t>
                            </w:r>
                            <w:bookmarkStart w:id="6" w:name="FIG_MAP_CC"/>
                            <w:r w:rsidRPr="00325307">
                              <w:rPr>
                                <w:b/>
                                <w:sz w:val="22"/>
                                <w:szCs w:val="22"/>
                              </w:rPr>
                              <w:t>1</w:t>
                            </w:r>
                            <w:bookmarkEnd w:id="6"/>
                            <w:r w:rsidRPr="00325307">
                              <w:rPr>
                                <w:sz w:val="22"/>
                                <w:szCs w:val="22"/>
                              </w:rPr>
                              <w:t xml:space="preserve">. (a) Map of catalog earthquake location (black start), seismometer (red triangles), fiber (red curve) and known faults (black curves, from </w:t>
                            </w:r>
                            <w:r w:rsidRPr="00325307">
                              <w:rPr>
                                <w:sz w:val="22"/>
                                <w:szCs w:val="22"/>
                              </w:rPr>
                              <w:fldChar w:fldCharType="begin"/>
                            </w:r>
                            <w:r w:rsidRPr="00325307">
                              <w:rPr>
                                <w:sz w:val="22"/>
                                <w:szCs w:val="22"/>
                              </w:rPr>
                              <w:instrText xml:space="preserve"> ADDIN ZOTERO_ITEM CSL_CITATION {"citationID":"LtZrPM4I","properties":{"formattedCitation":"(Sharon et al., 2020)","plainCitation":"(Sharon et al., 2020)","dontUpdate":true,"noteIndex":0},"citationItems":[{"id":976,"uris":["http://zotero.org/users/6318414/items/Y8ZFI9H2"],"itemData":{"id":976,"type":"article-journal","abstract":"We present a methodology for mapping faults that constitute a potential hazard to structures, with an emphasis on ground shake hazards and on surface rupture nearby critical facilities such as dams and nuclear power plants. The methodology categorises faults by hierarchic seismo-tectonic criteria, which are designed according to the degree of certainty for recent activity and the accessibility of the information within a given region. First, the instrumental seismicity is statistically processed to obtain the gridded seismicity of the earthquake density and the seismic moment density parameters. Their spatial distribution reveals the zones of the seismic sources, within the examined period. We combine these results with geodetic and pre-instrumental slip rates, historical earthquake data, geological maps and aerial photography to define and categorise faults that are likely to generate significant earthquakes (M≥6.0). Their mapping is fundamental for seismo-tectonic modelling and for probabilistic seismic hazard analyses (PSHAs). In addition, for surface rupture hazard, we create a database and a map of Quaternary capable faults by developing criteria according to the regional stratigraphy and the tectonic configuration. The relationship between seismicity, slip dynamics and fault activity through time is an intrinsic result of our analysis that allows revealing the dynamic of the deformation in the region. The presented methodology expands the ability to differentiate between subgroups for planning or maintenance of different constructions or for research aims, and it can be applied in other regions.","container-title":"Natural Hazards and Earth System Sciences","DOI":"10.5194/nhess-20-125-2020","ISSN":"1561-8633","issue":"1","language":"English","note":"publisher: Copernicus GmbH","page":"125-148","source":"Copernicus Online Journals","title":"Assessment of seismic sources and capable faults through hierarchic tectonic criteria: implications for seismic hazard in the Levant","title-short":"Assessment of seismic sources and capable faults through hierarchic tectonic criteria","volume":"20","author":[{"family":"Sharon","given":"Matty"},{"family":"Sagy","given":"Amir"},{"family":"Kurzon","given":"Ittai"},{"family":"Marco","given":"Shmuel"},{"family":"Rosensaft","given":"Marcelo"}],"issued":{"date-parts":[["2020",1,14]]}}}],"schema":"https://github.com/citation-style-language/schema/raw/master/csl-citation.json"} </w:instrText>
                            </w:r>
                            <w:r w:rsidRPr="00325307">
                              <w:rPr>
                                <w:sz w:val="22"/>
                                <w:szCs w:val="22"/>
                              </w:rPr>
                              <w:fldChar w:fldCharType="separate"/>
                            </w:r>
                            <w:r w:rsidRPr="00325307">
                              <w:rPr>
                                <w:sz w:val="22"/>
                                <w:szCs w:val="22"/>
                              </w:rPr>
                              <w:t>Sharon et al., 2020</w:t>
                            </w:r>
                            <w:r w:rsidRPr="00325307">
                              <w:rPr>
                                <w:sz w:val="22"/>
                                <w:szCs w:val="22"/>
                              </w:rPr>
                              <w:fldChar w:fldCharType="end"/>
                            </w:r>
                            <w:r w:rsidRPr="00325307">
                              <w:rPr>
                                <w:sz w:val="22"/>
                                <w:szCs w:val="22"/>
                              </w:rPr>
                              <w:t xml:space="preserve">). The region is indicated by a black rectangle in the inset map. (b) The first second of the S-waves recorded by the north component of MEFR station are shown for all earthquakes. Waveforms are normalized and vertically shifted for visibility (catalog magnitudes indicated on the vertical axis; numbering as in Table S1). CC values for each waveform and the top one </w:t>
                            </w:r>
                            <w:proofErr w:type="gramStart"/>
                            <w:r w:rsidRPr="00325307">
                              <w:rPr>
                                <w:sz w:val="22"/>
                                <w:szCs w:val="22"/>
                              </w:rPr>
                              <w:t>are</w:t>
                            </w:r>
                            <w:proofErr w:type="gramEnd"/>
                            <w:r w:rsidRPr="00325307">
                              <w:rPr>
                                <w:sz w:val="22"/>
                                <w:szCs w:val="22"/>
                              </w:rPr>
                              <w:t xml:space="preserve"> indicated. (c) DAS strain-rate recordings of </w:t>
                            </w:r>
                            <w:r w:rsidRPr="00325307">
                              <w:rPr>
                                <w:sz w:val="22"/>
                                <w:szCs w:val="22"/>
                                <w:lang w:bidi="he-IL"/>
                              </w:rPr>
                              <w:t>the first 3 seconds of the S-wave on a 2.2 km fiber segment for the different earthquakes</w:t>
                            </w:r>
                            <w:r w:rsidRPr="00325307">
                              <w:rPr>
                                <w:sz w:val="22"/>
                                <w:szCs w:val="22"/>
                              </w:rPr>
                              <w:t>. Each earthquake is normalized by its standard deviation. Earthquake numbering (corresponding to Table S1) and magnitudes are reported in each panel.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0877A77" id="_x0000_t202" coordsize="21600,21600" o:spt="202" path="m,l,21600r21600,l21600,xe">
                <v:stroke joinstyle="miter"/>
                <v:path gradientshapeok="t" o:connecttype="rect"/>
              </v:shapetype>
              <v:shape id="Text Box 2" o:spid="_x0000_s1026" type="#_x0000_t202" style="position:absolute;left:0;text-align:left;margin-left:416.8pt;margin-top:0;width:468pt;height:548.15pt;z-index:25165926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" stroked="f">
                <v:textbox>
                  <w:txbxContent>
                    <w:p w14:paraId="3DB7002A" w14:textId="0BE74139" w:rsidR="0074563C" w:rsidRDefault="0074563C" w:rsidP="00325307">
                      <w:pPr>
                        <w:pStyle w:val="FigureorTableCaption"/>
                        <w:spacing w:before="0"/>
                        <w:jc w:val="center"/>
                        <w:rPr>
                          <w:b/>
                        </w:rPr>
                      </w:pPr>
                      <w:r>
                        <w:rPr>
                          <w:b/>
                          <w:noProof/>
                        </w:rPr>
                        <w:drawing>
                          <wp:inline distT="0" distB="0" distL="0" distR="0" wp14:anchorId="41BDD856" wp14:editId="782CA8AA">
                            <wp:extent cx="3960000" cy="5400330"/>
                            <wp:effectExtent l="0" t="0" r="254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ap_CC_DAS_data.png"/>
                                    <pic:cNvPicPr/>
                                  </pic:nvPicPr>
                                  <pic:blipFill>
                                    <a:blip r:embed="rId9"/>
                                    <a:stretch>
                                      <a:fillRect/>
                                    </a:stretch>
                                  </pic:blipFill>
                                  <pic:spPr>
                                    <a:xfrm>
                                      <a:off x="0" y="0"/>
                                      <a:ext cx="3960000" cy="5400330"/>
                                    </a:xfrm>
                                    <a:prstGeom prst="rect">
                                      <a:avLst/>
                                    </a:prstGeom>
                                  </pic:spPr>
                                </pic:pic>
                              </a:graphicData>
                            </a:graphic>
                          </wp:inline>
                        </w:drawing>
                      </w:r>
                    </w:p>
                    <w:p w14:paraId="5D2C0430" w14:textId="308E19B6" w:rsidR="0074563C" w:rsidRPr="00325307" w:rsidRDefault="0074563C" w:rsidP="00325307">
                      <w:pPr>
                        <w:rPr>
                          <w:sz w:val="22"/>
                          <w:szCs w:val="22"/>
                        </w:rPr>
                      </w:pPr>
                      <w:r w:rsidRPr="00325307">
                        <w:rPr>
                          <w:b/>
                          <w:sz w:val="22"/>
                          <w:szCs w:val="22"/>
                        </w:rPr>
                        <w:t xml:space="preserve">Figure </w:t>
                      </w:r>
                      <w:bookmarkStart w:id="7" w:name="FIG_MAP_CC"/>
                      <w:r w:rsidRPr="00325307">
                        <w:rPr>
                          <w:b/>
                          <w:sz w:val="22"/>
                          <w:szCs w:val="22"/>
                        </w:rPr>
                        <w:t>1</w:t>
                      </w:r>
                      <w:bookmarkEnd w:id="7"/>
                      <w:r w:rsidRPr="00325307">
                        <w:rPr>
                          <w:sz w:val="22"/>
                          <w:szCs w:val="22"/>
                        </w:rPr>
                        <w:t xml:space="preserve">. (a) Map of catalog earthquake location (black start), seismometer (red triangles), fiber (red curve) and known faults (black curves, from </w:t>
                      </w:r>
                      <w:r w:rsidRPr="00325307">
                        <w:rPr>
                          <w:sz w:val="22"/>
                          <w:szCs w:val="22"/>
                        </w:rPr>
                        <w:fldChar w:fldCharType="begin"/>
                      </w:r>
                      <w:r w:rsidRPr="00325307">
                        <w:rPr>
                          <w:sz w:val="22"/>
                          <w:szCs w:val="22"/>
                        </w:rPr>
                        <w:instrText xml:space="preserve"> ADDIN ZOTERO_ITEM CSL_CITATION {"citationID":"LtZrPM4I","properties":{"formattedCitation":"(Sharon et al., 2020)","plainCitation":"(Sharon et al., 2020)","dontUpdate":true,"noteIndex":0},"citationItems":[{"id":976,"uris":["http://zotero.org/users/6318414/items/Y8ZFI9H2"],"itemData":{"id":976,"type":"article-journal","abstract":"We present a methodology for mapping faults that constitute a potential hazard to structures, with an emphasis on ground shake hazards and on surface rupture nearby critical facilities such as dams and nuclear power plants. The methodology categorises faults by hierarchic seismo-tectonic criteria, which are designed according to the degree of certainty for recent activity and the accessibility of the information within a given region. First, the instrumental seismicity is statistically processed to obtain the gridded seismicity of the earthquake density and the seismic moment density parameters. Their spatial distribution reveals the zones of the seismic sources, within the examined period. We combine these results with geodetic and pre-instrumental slip rates, historical earthquake data, geological maps and aerial photography to define and categorise faults that are likely to generate significant earthquakes (M≥6.0). Their mapping is fundamental for seismo-tectonic modelling and for probabilistic seismic hazard analyses (PSHAs). In addition, for surface rupture hazard, we create a database and a map of Quaternary capable faults by developing criteria according to the regional stratigraphy and the tectonic configuration. The relationship between seismicity, slip dynamics and fault activity through time is an intrinsic result of our analysis that allows revealing the dynamic of the deformation in the region. The presented methodology expands the ability to differentiate between subgroups for planning or maintenance of different constructions or for research aims, and it can be applied in other regions.","container-title":"Natural Hazards and Earth System Sciences","DOI":"10.5194/nhess-20-125-2020","ISSN":"1561-8633","issue":"1","language":"English","note":"publisher: Copernicus GmbH","page":"125-148","source":"Copernicus Online Journals","title":"Assessment of seismic sources and capable faults through hierarchic tectonic criteria: implications for seismic hazard in the Levant","title-short":"Assessment of seismic sources and capable faults through hierarchic tectonic criteria","volume":"20","author":[{"family":"Sharon","given":"Matty"},{"family":"Sagy","given":"Amir"},{"family":"Kurzon","given":"Ittai"},{"family":"Marco","given":"Shmuel"},{"family":"Rosensaft","given":"Marcelo"}],"issued":{"date-parts":[["2020",1,14]]}}}],"schema":"https://github.com/citation-style-language/schema/raw/master/csl-citation.json"} </w:instrText>
                      </w:r>
                      <w:r w:rsidRPr="00325307">
                        <w:rPr>
                          <w:sz w:val="22"/>
                          <w:szCs w:val="22"/>
                        </w:rPr>
                        <w:fldChar w:fldCharType="separate"/>
                      </w:r>
                      <w:r w:rsidRPr="00325307">
                        <w:rPr>
                          <w:sz w:val="22"/>
                          <w:szCs w:val="22"/>
                        </w:rPr>
                        <w:t>Sharon et al., 2020</w:t>
                      </w:r>
                      <w:r w:rsidRPr="00325307">
                        <w:rPr>
                          <w:sz w:val="22"/>
                          <w:szCs w:val="22"/>
                        </w:rPr>
                        <w:fldChar w:fldCharType="end"/>
                      </w:r>
                      <w:r w:rsidRPr="00325307">
                        <w:rPr>
                          <w:sz w:val="22"/>
                          <w:szCs w:val="22"/>
                        </w:rPr>
                        <w:t xml:space="preserve">). The region is indicated by a black rectangle in the inset map. (b) The first second of the S-waves recorded by the north component of MEFR station are shown for all earthquakes. Waveforms are normalized and vertically shifted for visibility (catalog magnitudes indicated on the vertical axis; numbering as in Table S1). CC values for each waveform and the top one </w:t>
                      </w:r>
                      <w:proofErr w:type="gramStart"/>
                      <w:r w:rsidRPr="00325307">
                        <w:rPr>
                          <w:sz w:val="22"/>
                          <w:szCs w:val="22"/>
                        </w:rPr>
                        <w:t>are</w:t>
                      </w:r>
                      <w:proofErr w:type="gramEnd"/>
                      <w:r w:rsidRPr="00325307">
                        <w:rPr>
                          <w:sz w:val="22"/>
                          <w:szCs w:val="22"/>
                        </w:rPr>
                        <w:t xml:space="preserve"> indicated. (c) DAS strain-rate recordings of </w:t>
                      </w:r>
                      <w:r w:rsidRPr="00325307">
                        <w:rPr>
                          <w:sz w:val="22"/>
                          <w:szCs w:val="22"/>
                          <w:lang w:bidi="he-IL"/>
                        </w:rPr>
                        <w:t>the first 3 seconds of the S-wave on a 2.2 km fiber segment for the different earthquakes</w:t>
                      </w:r>
                      <w:r w:rsidRPr="00325307">
                        <w:rPr>
                          <w:sz w:val="22"/>
                          <w:szCs w:val="22"/>
                        </w:rPr>
                        <w:t>. Each earthquake is normalized by its standard deviation. Earthquake numbering (corresponding to Table S1) and magnitudes are reported in each panel.</w:t>
                      </w:r>
                    </w:p>
                  </w:txbxContent>
                </v:textbox>
                <w10:wrap type="square" anchorx="margin"/>
              </v:shape>
            </w:pict>
          </mc:Fallback>
        </mc:AlternateContent>
      </w:r>
      <w:r w:rsidR="003E2351">
        <w:rPr>
          <w:lang w:bidi="he-IL"/>
        </w:rPr>
        <w:t xml:space="preserve">To obtain </w:t>
      </w:r>
      <w:r w:rsidR="00D44277">
        <w:rPr>
          <w:lang w:bidi="he-IL"/>
        </w:rPr>
        <w:t xml:space="preserve">earthquake specific </w:t>
      </w:r>
      <w:r w:rsidR="003E2351">
        <w:rPr>
          <w:lang w:bidi="he-IL"/>
        </w:rPr>
        <w:t xml:space="preserve">stacked </w:t>
      </w:r>
      <w:r w:rsidR="00482C0F">
        <w:rPr>
          <w:lang w:bidi="he-IL"/>
        </w:rPr>
        <w:t xml:space="preserve">Fourier spectra, few </w:t>
      </w:r>
      <w:r w:rsidR="00F77141">
        <w:rPr>
          <w:lang w:bidi="he-IL"/>
        </w:rPr>
        <w:t xml:space="preserve">processing </w:t>
      </w:r>
      <w:r w:rsidR="00482C0F">
        <w:rPr>
          <w:lang w:bidi="he-IL"/>
        </w:rPr>
        <w:t xml:space="preserve">procedures were applied. First, theoretical arrival times from the earthquake source to all fiber channels were calculated and a move-out correction </w:t>
      </w:r>
      <w:r w:rsidR="004E2175">
        <w:rPr>
          <w:lang w:bidi="he-IL"/>
        </w:rPr>
        <w:t>for</w:t>
      </w:r>
      <w:r w:rsidR="00955E37">
        <w:rPr>
          <w:lang w:bidi="he-IL"/>
        </w:rPr>
        <w:t xml:space="preserve"> the direct S-wave </w:t>
      </w:r>
      <w:r w:rsidR="00482C0F">
        <w:rPr>
          <w:lang w:bidi="he-IL"/>
        </w:rPr>
        <w:t xml:space="preserve">was applied. </w:t>
      </w:r>
      <w:r w:rsidR="00D60B9B">
        <w:rPr>
          <w:lang w:bidi="he-IL"/>
        </w:rPr>
        <w:t xml:space="preserve">I </w:t>
      </w:r>
      <w:r w:rsidR="00482C0F">
        <w:rPr>
          <w:lang w:bidi="he-IL"/>
        </w:rPr>
        <w:t xml:space="preserve">use a </w:t>
      </w:r>
      <w:r w:rsidR="0069642E">
        <w:rPr>
          <w:lang w:bidi="he-IL"/>
        </w:rPr>
        <w:t xml:space="preserve">uniform </w:t>
      </w:r>
      <w:r w:rsidR="00482C0F">
        <w:rPr>
          <w:lang w:bidi="he-IL"/>
        </w:rPr>
        <w:t>data interval of 20 seconds</w:t>
      </w:r>
      <w:r w:rsidR="004E2175">
        <w:rPr>
          <w:lang w:bidi="he-IL"/>
        </w:rPr>
        <w:t xml:space="preserve"> for all earthquakes</w:t>
      </w:r>
      <w:r w:rsidR="00842927">
        <w:rPr>
          <w:lang w:bidi="he-IL"/>
        </w:rPr>
        <w:t>, starting 1 second before the S-wave arri</w:t>
      </w:r>
      <w:r w:rsidR="009F0C7D">
        <w:rPr>
          <w:lang w:bidi="he-IL"/>
        </w:rPr>
        <w:t>val</w:t>
      </w:r>
      <w:r w:rsidR="003F1CF1">
        <w:rPr>
          <w:lang w:bidi="he-IL"/>
        </w:rPr>
        <w:t xml:space="preserve">. This data window is longer than the expected source durations of the analyzed </w:t>
      </w:r>
      <w:r w:rsidR="00BF6125">
        <w:rPr>
          <w:lang w:bidi="he-IL"/>
        </w:rPr>
        <w:t>earthquakes</w:t>
      </w:r>
      <w:r w:rsidR="003F1CF1">
        <w:rPr>
          <w:lang w:bidi="he-IL"/>
        </w:rPr>
        <w:t>, and was chosen</w:t>
      </w:r>
      <w:r w:rsidR="00482C0F">
        <w:rPr>
          <w:lang w:bidi="he-IL"/>
        </w:rPr>
        <w:t xml:space="preserve"> since it </w:t>
      </w:r>
      <w:r w:rsidR="00305AB8">
        <w:rPr>
          <w:lang w:bidi="he-IL"/>
        </w:rPr>
        <w:t xml:space="preserve">1) </w:t>
      </w:r>
      <w:r w:rsidR="00482C0F">
        <w:rPr>
          <w:lang w:bidi="he-IL"/>
        </w:rPr>
        <w:t>produce</w:t>
      </w:r>
      <w:r w:rsidR="00A90C1E">
        <w:rPr>
          <w:lang w:bidi="he-IL"/>
        </w:rPr>
        <w:t>s</w:t>
      </w:r>
      <w:r w:rsidR="00482C0F">
        <w:rPr>
          <w:lang w:bidi="he-IL"/>
        </w:rPr>
        <w:t xml:space="preserve"> reliable model fits</w:t>
      </w:r>
      <w:r w:rsidR="00357ACB">
        <w:rPr>
          <w:lang w:bidi="he-IL"/>
        </w:rPr>
        <w:t xml:space="preserve"> </w:t>
      </w:r>
      <w:r w:rsidR="007E13D2">
        <w:rPr>
          <w:lang w:bidi="he-IL"/>
        </w:rPr>
        <w:t>(</w:t>
      </w:r>
      <w:r w:rsidR="00F26403">
        <w:rPr>
          <w:lang w:bidi="he-IL"/>
        </w:rPr>
        <w:t xml:space="preserve">as described in the </w:t>
      </w:r>
      <w:r w:rsidR="00C8361D">
        <w:rPr>
          <w:lang w:bidi="he-IL"/>
        </w:rPr>
        <w:t>next s</w:t>
      </w:r>
      <w:r w:rsidR="00482C0F">
        <w:rPr>
          <w:lang w:bidi="he-IL"/>
        </w:rPr>
        <w:t>ection)</w:t>
      </w:r>
      <w:r w:rsidR="0026714F">
        <w:rPr>
          <w:lang w:bidi="he-IL"/>
        </w:rPr>
        <w:t xml:space="preserve">, </w:t>
      </w:r>
      <w:r w:rsidR="00305AB8">
        <w:rPr>
          <w:lang w:bidi="he-IL"/>
        </w:rPr>
        <w:t xml:space="preserve">2) </w:t>
      </w:r>
      <w:r w:rsidR="00A90C1E">
        <w:rPr>
          <w:lang w:bidi="he-IL"/>
        </w:rPr>
        <w:t>increase</w:t>
      </w:r>
      <w:r w:rsidR="00305AB8">
        <w:rPr>
          <w:lang w:bidi="he-IL"/>
        </w:rPr>
        <w:t>s</w:t>
      </w:r>
      <w:r w:rsidR="00A90C1E">
        <w:rPr>
          <w:lang w:bidi="he-IL"/>
        </w:rPr>
        <w:t xml:space="preserve"> the </w:t>
      </w:r>
      <w:r w:rsidR="00EA2621">
        <w:rPr>
          <w:lang w:bidi="he-IL"/>
        </w:rPr>
        <w:lastRenderedPageBreak/>
        <w:t>low</w:t>
      </w:r>
      <w:r w:rsidR="006B575C">
        <w:rPr>
          <w:lang w:bidi="he-IL"/>
        </w:rPr>
        <w:t xml:space="preserve"> frequency resolution that is useful to fit the lower frequency part of the spectra</w:t>
      </w:r>
      <w:r w:rsidR="00357ACB">
        <w:rPr>
          <w:lang w:bidi="he-IL"/>
        </w:rPr>
        <w:t xml:space="preserve">, and </w:t>
      </w:r>
      <w:r w:rsidR="00305AB8">
        <w:rPr>
          <w:lang w:bidi="he-IL"/>
        </w:rPr>
        <w:t xml:space="preserve">3) </w:t>
      </w:r>
      <w:r w:rsidR="003D4895">
        <w:rPr>
          <w:lang w:bidi="he-IL"/>
        </w:rPr>
        <w:t>yields</w:t>
      </w:r>
      <w:r w:rsidR="00357ACB">
        <w:rPr>
          <w:lang w:bidi="he-IL"/>
        </w:rPr>
        <w:t xml:space="preserve"> a </w:t>
      </w:r>
      <w:r w:rsidR="00036CD0">
        <w:rPr>
          <w:lang w:bidi="he-IL"/>
        </w:rPr>
        <w:t>spatially averaged</w:t>
      </w:r>
      <w:r w:rsidR="00357ACB">
        <w:rPr>
          <w:lang w:bidi="he-IL"/>
        </w:rPr>
        <w:t xml:space="preserve"> wavefield </w:t>
      </w:r>
      <w:r w:rsidR="00BB3285">
        <w:rPr>
          <w:lang w:bidi="he-IL"/>
        </w:rPr>
        <w:fldChar w:fldCharType="begin"/>
      </w:r>
      <w:r w:rsidR="00BB3285">
        <w:rPr>
          <w:lang w:bidi="he-IL"/>
        </w:rPr>
        <w:instrText xml:space="preserve"> ADDIN ZOTERO_ITEM CSL_CITATION {"citationID":"M8N7CvSc","properties":{"formattedCitation":"(Abercrombie, 2013; Baltay et al., 2010; Mayeda et al., 2007)","plainCitation":"(Abercrombie, 2013; Baltay et al., 2010; Mayeda et al., 2007)","noteIndex":0},"citationItems":[{"id":86,"uris":["http://zotero.org/users/6318414/items/3BSKRUR3"],"itemData":{"id":86,"type":"article-journal","container-title":"Journal of Geophysical Research: Solid Earth","DOI":"10.1029/2012JB009638","ISSN":"21699313","issue":"4","language":"en","page":"1458-1470","source":"Crossref","title":"Comparison of direct and coda wave stress drop measurements for the Wells, Nevada, earthquake sequence: Comparison of Direct and Coda Wave Stress Drop Mmeasurements","title-short":"Comparison of direct and coda wave stress drop measurements for the Wells, Nevada, earthquake sequence","volume":"118","author":[{"family":"Abercrombie","given":"Rachel E."}],"issued":{"date-parts":[["2013",4]]}}},{"id":971,"uris":["http://zotero.org/users/6318414/items/PNM7GMI5"],"itemData":{"id":971,"type":"article-journal","abstract":"The seismic coda consists of scattered waves that leave the earthquake source in a variety of directions. The averaging of source radiation that results leads to stable ground motion spectra that we use as the basis for a robust measurement of radiated wave energy. We apply an empirical Green's function (EGF) method to the seismic coda in order to investigate scaling of the radiated seismic energy. We correct for path effects in the spectra of earthquakes by using a stack of closely located, small earthquakes as an EGF. We apply this approach to four earthquake sequences in western North America that span a magnitude range from Mw 3.0–Mw 7.1. Our estimates of scaled energy are consistent with independent measurements, where available. We find no dependence in individual seismic energy estimates on source-station distance, which validates the EGF approximation. We find that a constant scaled energy of 3.5 × 10−5 provides a reasonable fit to the data, with no dependence of the scaled energy on seismic moment.","container-title":"Journal of Geophysical Research: Solid Earth","DOI":"10.1029/2009JB006736","ISSN":"2156-2202","issue":"B8","language":"en","note":"_eprint: https://onlinelibrary.wiley.com/doi/pdf/10.1029/2009JB006736","source":"Wiley Online Library","title":"Radiated seismic energy from coda measurements and no scaling in apparent stress with seismic moment","URL":"https://onlinelibrary.wiley.com/doi/abs/10.1029/2009JB006736","volume":"115","author":[{"family":"Baltay","given":"Annemarie"},{"family":"Prieto","given":"German"},{"family":"Beroza","given":"Gregory C."}],"accessed":{"date-parts":[["2023",5,8]]},"issued":{"date-parts":[["2010"]]}}},{"id":87,"uris":["http://zotero.org/users/6318414/items/7UBFK5AE"],"itemData":{"id":87,"type":"article-journal","container-title":"Geophysical Research Letters","DOI":"10.1029/2007GL030041","ISSN":"0094-8276","issue":"11","language":"en","source":"Crossref","title":"A new spectral ratio method using narrow band coda envelopes: Evidence for non-self-similarity in the Hector Mine sequence","title-short":"A new spectral ratio method using narrow band coda envelopes","URL":"http://doi.wiley.com/10.1029/2007GL030041","volume":"34","author":[{"family":"Mayeda","given":"Kevin"},{"family":"Malagnini","given":"Luca"},{"family":"Walter","given":"William R."}],"accessed":{"date-parts":[["2021",7,25]]},"issued":{"date-parts":[["2007",6,8]]}}}],"schema":"https://github.com/citation-style-language/schema/raw/master/csl-citation.json"} </w:instrText>
      </w:r>
      <w:r w:rsidR="00BB3285">
        <w:rPr>
          <w:lang w:bidi="he-IL"/>
        </w:rPr>
        <w:fldChar w:fldCharType="separate"/>
      </w:r>
      <w:r w:rsidR="00BB3285" w:rsidRPr="00BB3285">
        <w:t>(Abercrombie, 2013; Baltay et al., 2010; Mayeda et al., 2007)</w:t>
      </w:r>
      <w:r w:rsidR="00BB3285">
        <w:rPr>
          <w:lang w:bidi="he-IL"/>
        </w:rPr>
        <w:fldChar w:fldCharType="end"/>
      </w:r>
      <w:r w:rsidR="00036CD0">
        <w:rPr>
          <w:lang w:bidi="he-IL"/>
        </w:rPr>
        <w:t xml:space="preserve"> </w:t>
      </w:r>
      <w:r w:rsidR="00357ACB">
        <w:rPr>
          <w:lang w:bidi="he-IL"/>
        </w:rPr>
        <w:t>that compensates for the single sensing direction (along the fiber)</w:t>
      </w:r>
      <w:r w:rsidR="00156806">
        <w:rPr>
          <w:lang w:bidi="he-IL"/>
        </w:rPr>
        <w:t xml:space="preserve"> and the limited azimuthal observations </w:t>
      </w:r>
      <w:r w:rsidR="007E13D2">
        <w:rPr>
          <w:lang w:bidi="he-IL"/>
        </w:rPr>
        <w:t>of the earthquakes</w:t>
      </w:r>
      <w:r w:rsidR="00156806">
        <w:rPr>
          <w:lang w:bidi="he-IL"/>
        </w:rPr>
        <w:t xml:space="preserve"> </w:t>
      </w:r>
      <w:r w:rsidR="00156806" w:rsidRPr="00D023E5">
        <w:rPr>
          <w:lang w:bidi="he-IL"/>
        </w:rPr>
        <w:t>(</w:t>
      </w:r>
      <w:r w:rsidR="00232463">
        <w:rPr>
          <w:lang w:bidi="he-IL"/>
        </w:rPr>
        <w:t xml:space="preserve">fiber aperture of </w:t>
      </w:r>
      <w:r w:rsidR="00D023E5" w:rsidRPr="00D023E5">
        <w:rPr>
          <w:lang w:bidi="he-IL"/>
        </w:rPr>
        <w:t>~45°</w:t>
      </w:r>
      <w:r w:rsidR="00156806">
        <w:rPr>
          <w:lang w:bidi="he-IL"/>
        </w:rPr>
        <w:t>)</w:t>
      </w:r>
      <w:r w:rsidR="0026714F">
        <w:rPr>
          <w:lang w:bidi="he-IL"/>
        </w:rPr>
        <w:t>.</w:t>
      </w:r>
      <w:r w:rsidR="00EA2621">
        <w:rPr>
          <w:lang w:bidi="he-IL"/>
        </w:rPr>
        <w:t xml:space="preserve"> </w:t>
      </w:r>
      <w:r w:rsidR="00980419">
        <w:rPr>
          <w:lang w:bidi="he-IL"/>
        </w:rPr>
        <w:t xml:space="preserve">Move-out corrected strain-rates were then tapered using a 10% Tukey </w:t>
      </w:r>
      <w:r w:rsidR="00BE3032">
        <w:rPr>
          <w:lang w:bidi="he-IL"/>
        </w:rPr>
        <w:t>function</w:t>
      </w:r>
      <w:r w:rsidR="00980419">
        <w:rPr>
          <w:lang w:bidi="he-IL"/>
        </w:rPr>
        <w:t xml:space="preserve"> and amplitude spectra were calculated and stacked</w:t>
      </w:r>
      <w:r w:rsidR="00857101">
        <w:rPr>
          <w:lang w:bidi="he-IL"/>
        </w:rPr>
        <w:t xml:space="preserve"> by </w:t>
      </w:r>
      <w:r w:rsidR="00E87215">
        <w:rPr>
          <w:lang w:bidi="he-IL"/>
        </w:rPr>
        <w:t xml:space="preserve">geometric </w:t>
      </w:r>
      <w:r w:rsidR="00E6544D">
        <w:rPr>
          <w:lang w:bidi="he-IL"/>
        </w:rPr>
        <w:t xml:space="preserve">averaging of </w:t>
      </w:r>
      <w:r w:rsidR="00E87215">
        <w:rPr>
          <w:lang w:bidi="he-IL"/>
        </w:rPr>
        <w:t>channel-specific</w:t>
      </w:r>
      <w:r w:rsidR="00E6544D">
        <w:rPr>
          <w:lang w:bidi="he-IL"/>
        </w:rPr>
        <w:t xml:space="preserve"> spectra</w:t>
      </w:r>
      <w:r w:rsidR="00980419">
        <w:rPr>
          <w:lang w:bidi="he-IL"/>
        </w:rPr>
        <w:t>.</w:t>
      </w:r>
    </w:p>
    <w:p w14:paraId="1B9BEDE5" w14:textId="4E9F3375" w:rsidR="00077BE7" w:rsidRDefault="007C1733" w:rsidP="0075573E">
      <w:pPr>
        <w:pStyle w:val="Text"/>
        <w:rPr>
          <w:lang w:bidi="he-IL"/>
        </w:rPr>
      </w:pPr>
      <w:r>
        <w:rPr>
          <w:lang w:bidi="he-IL"/>
        </w:rPr>
        <w:t xml:space="preserve">Stacking amplitude spectra along the fiber </w:t>
      </w:r>
      <w:r w:rsidR="00980419">
        <w:rPr>
          <w:lang w:bidi="he-IL"/>
        </w:rPr>
        <w:t xml:space="preserve">has a pronounced </w:t>
      </w:r>
      <w:r>
        <w:rPr>
          <w:lang w:bidi="he-IL"/>
        </w:rPr>
        <w:t>smooth</w:t>
      </w:r>
      <w:r w:rsidR="00980419">
        <w:rPr>
          <w:lang w:bidi="he-IL"/>
        </w:rPr>
        <w:t>in</w:t>
      </w:r>
      <w:r w:rsidR="003D4895">
        <w:rPr>
          <w:lang w:bidi="he-IL"/>
        </w:rPr>
        <w:t>g</w:t>
      </w:r>
      <w:r w:rsidR="00980419">
        <w:rPr>
          <w:lang w:bidi="he-IL"/>
        </w:rPr>
        <w:t xml:space="preserve"> effect. This </w:t>
      </w:r>
      <w:r w:rsidR="003D4895">
        <w:rPr>
          <w:lang w:bidi="he-IL"/>
        </w:rPr>
        <w:t>behavior</w:t>
      </w:r>
      <w:r w:rsidR="00980419">
        <w:rPr>
          <w:lang w:bidi="he-IL"/>
        </w:rPr>
        <w:t xml:space="preserve"> is visualized in Figure S1 for </w:t>
      </w:r>
      <w:r w:rsidR="00372ACD">
        <w:rPr>
          <w:lang w:bidi="he-IL"/>
        </w:rPr>
        <w:t xml:space="preserve">the </w:t>
      </w:r>
      <w:r w:rsidR="00980419">
        <w:rPr>
          <w:lang w:bidi="he-IL"/>
        </w:rPr>
        <w:t>M3.3 and M2.8 earthquakes</w:t>
      </w:r>
      <w:r w:rsidR="003D4895">
        <w:rPr>
          <w:lang w:bidi="he-IL"/>
        </w:rPr>
        <w:t>,</w:t>
      </w:r>
      <w:r w:rsidR="00980419">
        <w:rPr>
          <w:lang w:bidi="he-IL"/>
        </w:rPr>
        <w:t xml:space="preserve"> where seismometer spectra (panel a) and single DAS channel spectra (panel b) are compared to stacks of 1, 5, 19 km and the full fiber (panel</w:t>
      </w:r>
      <w:r w:rsidR="003D4895">
        <w:rPr>
          <w:lang w:bidi="he-IL"/>
        </w:rPr>
        <w:t>s</w:t>
      </w:r>
      <w:r w:rsidR="00980419">
        <w:rPr>
          <w:lang w:bidi="he-IL"/>
        </w:rPr>
        <w:t xml:space="preserve"> </w:t>
      </w:r>
      <w:r w:rsidR="003D4895">
        <w:rPr>
          <w:lang w:bidi="he-IL"/>
        </w:rPr>
        <w:t xml:space="preserve">c, d, e and </w:t>
      </w:r>
      <w:r w:rsidR="00980419">
        <w:rPr>
          <w:lang w:bidi="he-IL"/>
        </w:rPr>
        <w:t>f</w:t>
      </w:r>
      <w:r w:rsidR="003D4895">
        <w:rPr>
          <w:lang w:bidi="he-IL"/>
        </w:rPr>
        <w:t xml:space="preserve">, </w:t>
      </w:r>
      <w:r w:rsidR="00BF6125">
        <w:rPr>
          <w:lang w:bidi="he-IL"/>
        </w:rPr>
        <w:t>respectively</w:t>
      </w:r>
      <w:r w:rsidR="00980419">
        <w:rPr>
          <w:lang w:bidi="he-IL"/>
        </w:rPr>
        <w:t xml:space="preserve">). </w:t>
      </w:r>
      <w:r w:rsidR="005A58BB">
        <w:rPr>
          <w:lang w:bidi="he-IL"/>
        </w:rPr>
        <w:t xml:space="preserve">When stacking over a longer spatial extent, local noises </w:t>
      </w:r>
      <w:r w:rsidR="00A2358B">
        <w:rPr>
          <w:lang w:bidi="he-IL"/>
        </w:rPr>
        <w:t xml:space="preserve">are suppressed </w:t>
      </w:r>
      <w:r w:rsidR="005A58BB">
        <w:rPr>
          <w:lang w:bidi="he-IL"/>
        </w:rPr>
        <w:t xml:space="preserve">and laterally coherent </w:t>
      </w:r>
      <w:r w:rsidR="00372ACD">
        <w:rPr>
          <w:lang w:bidi="he-IL"/>
        </w:rPr>
        <w:t xml:space="preserve">earthquake </w:t>
      </w:r>
      <w:r w:rsidR="005A58BB">
        <w:rPr>
          <w:lang w:bidi="he-IL"/>
        </w:rPr>
        <w:t xml:space="preserve">signals emerge, increasing the smoothness of the spectra. </w:t>
      </w:r>
      <w:r w:rsidR="00980419">
        <w:rPr>
          <w:lang w:bidi="he-IL"/>
        </w:rPr>
        <w:t>Furthermore, stack</w:t>
      </w:r>
      <w:r w:rsidR="00372ACD">
        <w:rPr>
          <w:lang w:bidi="he-IL"/>
        </w:rPr>
        <w:t>ed</w:t>
      </w:r>
      <w:r w:rsidR="00980419">
        <w:rPr>
          <w:lang w:bidi="he-IL"/>
        </w:rPr>
        <w:t xml:space="preserve"> </w:t>
      </w:r>
      <w:r w:rsidR="00372ACD">
        <w:rPr>
          <w:lang w:bidi="he-IL"/>
        </w:rPr>
        <w:t>spectra allow for</w:t>
      </w:r>
      <w:r w:rsidR="003D4895">
        <w:rPr>
          <w:lang w:bidi="he-IL"/>
        </w:rPr>
        <w:t xml:space="preserve"> </w:t>
      </w:r>
      <w:r w:rsidR="00980419">
        <w:rPr>
          <w:lang w:bidi="he-IL"/>
        </w:rPr>
        <w:t xml:space="preserve">clear separation between similar </w:t>
      </w:r>
      <w:r w:rsidR="005A58BB">
        <w:rPr>
          <w:lang w:bidi="he-IL"/>
        </w:rPr>
        <w:t xml:space="preserve">sized </w:t>
      </w:r>
      <w:r w:rsidR="00BF6125">
        <w:rPr>
          <w:lang w:bidi="he-IL"/>
        </w:rPr>
        <w:t>earthquakes</w:t>
      </w:r>
      <w:r w:rsidR="0061073F">
        <w:rPr>
          <w:lang w:bidi="he-IL"/>
        </w:rPr>
        <w:t xml:space="preserve"> </w:t>
      </w:r>
      <w:r w:rsidR="00382541">
        <w:rPr>
          <w:lang w:bidi="he-IL"/>
        </w:rPr>
        <w:t>which</w:t>
      </w:r>
      <w:r w:rsidR="0061073F">
        <w:rPr>
          <w:lang w:bidi="he-IL"/>
        </w:rPr>
        <w:t xml:space="preserve"> allows for </w:t>
      </w:r>
      <w:r w:rsidR="00BA1F79">
        <w:rPr>
          <w:lang w:bidi="he-IL"/>
        </w:rPr>
        <w:t>reliable</w:t>
      </w:r>
      <w:r w:rsidR="005A58BB">
        <w:rPr>
          <w:lang w:bidi="he-IL"/>
        </w:rPr>
        <w:t xml:space="preserve"> </w:t>
      </w:r>
      <w:r w:rsidR="0061073F">
        <w:rPr>
          <w:lang w:bidi="he-IL"/>
        </w:rPr>
        <w:t>spectral ratio analysis, as further demonstrated.</w:t>
      </w:r>
    </w:p>
    <w:p w14:paraId="2C6678A2" w14:textId="5D4360E7" w:rsidR="000F5868" w:rsidRDefault="00F555AC" w:rsidP="005E1D88">
      <w:pPr>
        <w:pStyle w:val="Text"/>
        <w:rPr>
          <w:lang w:bidi="he-IL"/>
        </w:rPr>
      </w:pPr>
      <w:r>
        <w:rPr>
          <w:lang w:bidi="he-IL"/>
        </w:rPr>
        <w:t xml:space="preserve">The analysis is only reliable in a sufficiently high </w:t>
      </w:r>
      <w:r w:rsidR="00526ECA">
        <w:rPr>
          <w:lang w:bidi="he-IL"/>
        </w:rPr>
        <w:t>SNR</w:t>
      </w:r>
      <w:r>
        <w:rPr>
          <w:lang w:bidi="he-IL"/>
        </w:rPr>
        <w:t xml:space="preserve"> frequency band that needs to be </w:t>
      </w:r>
      <w:r w:rsidR="00A2358B">
        <w:rPr>
          <w:lang w:bidi="he-IL"/>
        </w:rPr>
        <w:t>identified</w:t>
      </w:r>
      <w:r>
        <w:rPr>
          <w:lang w:bidi="he-IL"/>
        </w:rPr>
        <w:t>. Here, I use</w:t>
      </w:r>
      <w:r w:rsidR="00905316">
        <w:rPr>
          <w:lang w:bidi="he-IL"/>
        </w:rPr>
        <w:t>d</w:t>
      </w:r>
      <w:r>
        <w:rPr>
          <w:lang w:bidi="he-IL"/>
        </w:rPr>
        <w:t xml:space="preserve"> the same freque</w:t>
      </w:r>
      <w:r w:rsidRPr="007172BA">
        <w:rPr>
          <w:lang w:bidi="he-IL"/>
        </w:rPr>
        <w:t xml:space="preserve">ncy band for all EGF pairs </w:t>
      </w:r>
      <w:r w:rsidR="009A7879" w:rsidRPr="007172BA">
        <w:rPr>
          <w:lang w:bidi="he-IL"/>
        </w:rPr>
        <w:t xml:space="preserve">in order </w:t>
      </w:r>
      <w:r w:rsidRPr="007172BA">
        <w:rPr>
          <w:lang w:bidi="he-IL"/>
        </w:rPr>
        <w:t xml:space="preserve">to reduce model fitting biases </w:t>
      </w:r>
      <w:r w:rsidRPr="007172BA">
        <w:rPr>
          <w:lang w:bidi="he-IL"/>
        </w:rPr>
        <w:fldChar w:fldCharType="begin"/>
      </w:r>
      <w:r w:rsidR="000D0F32" w:rsidRPr="007172BA">
        <w:rPr>
          <w:lang w:bidi="he-IL"/>
        </w:rPr>
        <w:instrText xml:space="preserve"> ADDIN ZOTERO_ITEM CSL_CITATION {"citationID":"aClhwJmy","properties":{"formattedCitation":"(Abercrombie, 2021)","plainCitation":"(Abercrombie, 2021)","noteIndex":0},"citationItems":[{"id":858,"uris":["http://zotero.org/users/6318414/items/RKALRDAI"],"itemData":{"id":858,"type":"article-journal","abstract":"Our models and understanding of the dynamics of earthquake rupture are based largely on estimates of earthquake source parameters, such as stress drop and radiated seismic energy. Unfortunately, the measurements, especially those of small and moderate-sized earthquakes (magnitude less than about 5 or 6), are not well resolved, containing significant random and potentially systematic uncertainties. The aim of this review is to provide a context in which to understand the challenges involved in estimating these measurements, and to assess the quality and reliability of reported measurements of earthquake source parameters. I also discuss some of the ways progress is being made towards more reliable parameter measurements. At present, whether the earthquake source is entirely self-similar, or not, and which factors and processes control the physics of the rupture remains, at least in the author's opinion, largely unconstrained. Detailed analysis of the best recorded earthquakes, using the increasing quantity and quality of data available, and methods less dependent on simplistic source models is one approach that may help provide better constraints.\n            This article is part of the theme issue ‘Fracture dynamics of solid materials: from particles to the globe’.","container-title":"Philosophical Transactions of the Royal Society A: Mathematical, Physical and Engineering Sciences","DOI":"10.1098/rsta.2020.0131","ISSN":"1364-503X, 1471-2962","issue":"2196","journalAbbreviation":"Phil. Trans. R. Soc. A.","language":"en","page":"20200131","source":"DOI.org (Crossref)","title":"Resolution and uncertainties in estimates of earthquake stress drop and energy release","volume":"379","author":[{"family":"Abercrombie","given":"Rachel E."}],"issued":{"date-parts":[["2021",5,3]]}}}],"schema":"https://github.com/citation-style-language/schema/raw/master/csl-citation.json"} </w:instrText>
      </w:r>
      <w:r w:rsidRPr="007172BA">
        <w:rPr>
          <w:lang w:bidi="he-IL"/>
        </w:rPr>
        <w:fldChar w:fldCharType="separate"/>
      </w:r>
      <w:r w:rsidRPr="007172BA">
        <w:t>(Abercrombie, 2021)</w:t>
      </w:r>
      <w:r w:rsidRPr="007172BA">
        <w:rPr>
          <w:lang w:bidi="he-IL"/>
        </w:rPr>
        <w:fldChar w:fldCharType="end"/>
      </w:r>
      <w:r w:rsidRPr="007172BA">
        <w:rPr>
          <w:lang w:bidi="he-IL"/>
        </w:rPr>
        <w:t xml:space="preserve">. To determine the usable bandwidth, I calculated </w:t>
      </w:r>
      <w:r w:rsidR="00526ECA" w:rsidRPr="007172BA">
        <w:rPr>
          <w:lang w:bidi="he-IL"/>
        </w:rPr>
        <w:t>SNR</w:t>
      </w:r>
      <w:r w:rsidRPr="007172BA">
        <w:rPr>
          <w:lang w:bidi="he-IL"/>
        </w:rPr>
        <w:t xml:space="preserve"> using the spectra </w:t>
      </w:r>
      <w:r w:rsidR="009A7879">
        <w:rPr>
          <w:lang w:bidi="he-IL"/>
        </w:rPr>
        <w:t xml:space="preserve">of the signal </w:t>
      </w:r>
      <w:r>
        <w:rPr>
          <w:lang w:bidi="he-IL"/>
        </w:rPr>
        <w:t>and pre</w:t>
      </w:r>
      <w:r w:rsidR="00F375E5">
        <w:rPr>
          <w:lang w:bidi="he-IL"/>
        </w:rPr>
        <w:t>-</w:t>
      </w:r>
      <w:r>
        <w:rPr>
          <w:lang w:bidi="he-IL"/>
        </w:rPr>
        <w:t>signal noise</w:t>
      </w:r>
      <w:r w:rsidR="0000722C">
        <w:rPr>
          <w:lang w:bidi="he-IL"/>
        </w:rPr>
        <w:t xml:space="preserve">, </w:t>
      </w:r>
      <w:r w:rsidR="009A7879">
        <w:rPr>
          <w:lang w:bidi="he-IL"/>
        </w:rPr>
        <w:t xml:space="preserve">both </w:t>
      </w:r>
      <w:r w:rsidR="0000722C">
        <w:rPr>
          <w:lang w:bidi="he-IL"/>
        </w:rPr>
        <w:t>stacked over the entire fiber</w:t>
      </w:r>
      <w:r>
        <w:rPr>
          <w:lang w:bidi="he-IL"/>
        </w:rPr>
        <w:t xml:space="preserve">. The latter is calculated in an </w:t>
      </w:r>
      <w:r w:rsidR="00BF6125">
        <w:rPr>
          <w:lang w:bidi="he-IL"/>
        </w:rPr>
        <w:t>equivalent</w:t>
      </w:r>
      <w:r>
        <w:rPr>
          <w:lang w:bidi="he-IL"/>
        </w:rPr>
        <w:t xml:space="preserve"> 20 second window. Stacked earthquake strain-rate amplitude spectra </w:t>
      </w:r>
      <w:r w:rsidR="00526ECA">
        <w:rPr>
          <w:lang w:bidi="he-IL"/>
        </w:rPr>
        <w:t xml:space="preserve">and stacked </w:t>
      </w:r>
      <w:r w:rsidR="0086336B">
        <w:rPr>
          <w:lang w:bidi="he-IL"/>
        </w:rPr>
        <w:t>SNR</w:t>
      </w:r>
      <w:r w:rsidR="00905316">
        <w:rPr>
          <w:lang w:bidi="he-IL"/>
        </w:rPr>
        <w:t xml:space="preserve"> (stacked signal divided by stacked noise)</w:t>
      </w:r>
      <w:r w:rsidR="00526ECA">
        <w:rPr>
          <w:lang w:bidi="he-IL"/>
        </w:rPr>
        <w:t xml:space="preserve"> curves </w:t>
      </w:r>
      <w:r>
        <w:rPr>
          <w:lang w:bidi="he-IL"/>
        </w:rPr>
        <w:t>are plotted in Figure S</w:t>
      </w:r>
      <w:r w:rsidR="00526ECA">
        <w:rPr>
          <w:lang w:bidi="he-IL"/>
        </w:rPr>
        <w:t xml:space="preserve">2. </w:t>
      </w:r>
      <w:r w:rsidR="000D0F32">
        <w:rPr>
          <w:lang w:bidi="he-IL"/>
        </w:rPr>
        <w:t>To better determine the usable frequency band, SNR curves</w:t>
      </w:r>
      <w:r w:rsidR="00E95AB2">
        <w:rPr>
          <w:lang w:bidi="he-IL"/>
        </w:rPr>
        <w:t xml:space="preserve"> </w:t>
      </w:r>
      <w:r w:rsidR="000D0F32">
        <w:rPr>
          <w:lang w:bidi="he-IL"/>
        </w:rPr>
        <w:t xml:space="preserve">were resampled in equal log of frequency bins </w:t>
      </w:r>
      <w:r w:rsidR="000D0F32">
        <w:rPr>
          <w:lang w:bidi="he-IL"/>
        </w:rPr>
        <w:fldChar w:fldCharType="begin"/>
      </w:r>
      <w:r w:rsidR="00027B81">
        <w:rPr>
          <w:lang w:bidi="he-IL"/>
        </w:rPr>
        <w:instrText xml:space="preserve"> ADDIN ZOTERO_ITEM CSL_CITATION {"citationID":"sYA0bnak","properties":{"formattedCitation":"(Lior &amp; Ziv, 2017)","plainCitation":"(Lior &amp; Ziv, 2017)","dontUpdate":true,"noteIndex":0},"citationItems":[{"id":92,"uris":["http://zotero.org/users/6318414/items/ZXXQP3N8"],"itemData":{"id":92,"type":"article-journal","container-title":"Bulletin of the Seismological Society of America","DOI":"10.1785/0120160251","ISSN":"0037-1106, 1943-3573","issue":"2","language":"en","page":"1012-1018","source":"Crossref","title":"The Relation between Ground Acceleration and Earthquake Source Parameters: Theory and Observations","title-short":"The Relation between Ground Acceleration and Earthquake Source Parameters","volume":"107","author":[{"family":"Lior","given":"Itzhak"},{"family":"Ziv","given":"Alon"}],"issued":{"date-parts":[["2017",4]]}}}],"schema":"https://github.com/citation-style-language/schema/raw/master/csl-citation.json"} </w:instrText>
      </w:r>
      <w:r w:rsidR="000D0F32">
        <w:rPr>
          <w:lang w:bidi="he-IL"/>
        </w:rPr>
        <w:fldChar w:fldCharType="separate"/>
      </w:r>
      <w:r w:rsidR="000D0F32" w:rsidRPr="000D0F32">
        <w:t>(</w:t>
      </w:r>
      <w:r w:rsidR="000D0F32">
        <w:t xml:space="preserve">e.g., </w:t>
      </w:r>
      <w:r w:rsidR="000D0F32" w:rsidRPr="000D0F32">
        <w:t>Lior &amp; Ziv, 2017)</w:t>
      </w:r>
      <w:r w:rsidR="000D0F32">
        <w:rPr>
          <w:lang w:bidi="he-IL"/>
        </w:rPr>
        <w:fldChar w:fldCharType="end"/>
      </w:r>
      <w:r w:rsidR="009A7879">
        <w:rPr>
          <w:lang w:bidi="he-IL"/>
        </w:rPr>
        <w:t xml:space="preserve"> (</w:t>
      </w:r>
      <w:r w:rsidR="001D02F1">
        <w:rPr>
          <w:lang w:bidi="he-IL"/>
        </w:rPr>
        <w:t xml:space="preserve">panels b and d of </w:t>
      </w:r>
      <w:r w:rsidR="009A7879">
        <w:rPr>
          <w:lang w:bidi="he-IL"/>
        </w:rPr>
        <w:t>Figure S2)</w:t>
      </w:r>
      <w:r w:rsidR="000D0F32">
        <w:rPr>
          <w:lang w:bidi="he-IL"/>
        </w:rPr>
        <w:t>.</w:t>
      </w:r>
      <w:r w:rsidR="002F026F">
        <w:rPr>
          <w:lang w:bidi="he-IL"/>
        </w:rPr>
        <w:t xml:space="preserve"> </w:t>
      </w:r>
      <w:r w:rsidR="00A84646">
        <w:rPr>
          <w:lang w:bidi="he-IL"/>
        </w:rPr>
        <w:t xml:space="preserve">Usually, EGF studies require an SNR threshold of </w:t>
      </w:r>
      <w:r w:rsidR="00BA304A">
        <w:rPr>
          <w:lang w:bidi="he-IL"/>
        </w:rPr>
        <w:t xml:space="preserve">at least </w:t>
      </w:r>
      <w:r w:rsidR="00A84646">
        <w:rPr>
          <w:lang w:bidi="he-IL"/>
        </w:rPr>
        <w:t xml:space="preserve">2 </w:t>
      </w:r>
      <w:r w:rsidR="004D299F">
        <w:rPr>
          <w:lang w:bidi="he-IL"/>
        </w:rPr>
        <w:fldChar w:fldCharType="begin"/>
      </w:r>
      <w:r w:rsidR="00FC54C2">
        <w:rPr>
          <w:lang w:bidi="he-IL"/>
        </w:rPr>
        <w:instrText xml:space="preserve"> ADDIN ZOTERO_ITEM CSL_CITATION {"citationID":"G6RYoWlC","properties":{"formattedCitation":"(Shearer et al., 2019; Viegas et al., 2010)","plainCitation":"(Shearer et al., 2019; Viegas et al., 2010)","noteIndex":0},"citationItems":[{"id":96,"uris":["http://zotero.org/users/6318414/items/R9DS3JNR"],"itemData":{"id":96,"type":"article-journal","abstract":"Empirical Green's functions (EGFs) are widely applied to correct earthquake spectra for attenuation and other path effects in order to estimate corner frequencies and stress drops, but these source parameter estimates often exhibit poor agreement between different studies. We examine this issue by analyzing a compact cluster of over 3,000 aftershocks of the 1992 Landers earthquake. We apply and compare two different analysis and modeling methods: (1) the spectral decomposition and global EGF fitting approach and (2) a more traditional EGF method of modeling spectral ratios. We find that spectral decomposition yields event terms that are consistent with stacks of spectral ratios for individual events, but source parameter estimates nonetheless vary between the methods. The main source of differences comes from the modeling approach used to estimate the EGF. The global EGF-fitting approach suffers from parameter trade-offs among the absolute stress drop, the stress drop scaling with moment, and the high-frequency falloff rate but has the advantage that the relative spectral shapes and stress drops among the different events in the cluster are well resolved even if their absolute levels are not. The spectral ratio approach solves for a different EGF for each target event without imposing any constraint on the corner frequency, fc, of the smaller events, and so can produce biased results for target event fc. Placing constraints on the small-event fc improves the performance of the spectral ratio method and enables the two methods to yield very similar results.","container-title":"Journal of Geophysical Research: Solid Earth","DOI":"10.1029/2018JB016957","ISSN":"2169-9313, 2169-9356","issue":"4","language":"en","page":"3966-3986","source":"Crossref","title":"Comparing EGF Methods for Estimating Corner Frequency and Stress Drop From &lt;i&gt;P&lt;/i&gt; Wave Spectra","volume":"124","author":[{"family":"Shearer","given":"Peter M."},{"family":"Abercrombie","given":"Rachel E."},{"family":"Trugman","given":"Daniel T."},{"family":"Wang","given":"Wei"}],"issued":{"date-parts":[["2019",4]]}}},{"id":936,"uris":["http://zotero.org/users/6318414/items/M4QCLYQU"],"itemData":{"id":936,"type":"article-journal","abstract":"We find invariant high stress drops and radiated energies for a sequence of intraplate earthquakes. We estimate source parameters of the Au Sable Forks, NY, earthquake (M5, 2002) and aftershocks. This intraplate earthquake was the largest to occur in Eastern North America since 1988 and the largest to be recorded by regional broadband networks. We use the empirical Green's function (EGF) method and define a set of qualitative and quantitative rules for the selection of EGF earthquake pairs and for the quality verification of the obtained EGF spectral ratio. We use a multitaper code that performs the complex spectral division with minimum frequency leakage and allows transformation back to the time domain to check the validity of the EGF event. We estimate source parameters for 22 earthquakes (M1–M5) in the sequence. The median stress drop of 104 MPa (using Madariaga source model, and 19 MPa for a Brune model) is significantly larger than estimates for interplate earthquakes. The lower crustal strain rates, and longer fault healing times in intraplate environments, may be responsible for this high average value. We find constant stress drop between M2 and M5, up to the bandwidth resolution limit (80 Hz) of the study, and no evidence of stress drop breakdown for M2 to M1 earthquakes. We find consistently high radiated seismic energy and apparent stress, and a median radiated energy to seismic moment ratio of 9 × 10−5. This is significantly larger than estimates for interplate earthquakes (</w:instrText>
      </w:r>
      <w:r w:rsidR="00FC54C2">
        <w:rPr>
          <w:rFonts w:ascii="Cambria Math" w:hAnsi="Cambria Math" w:cs="Cambria Math"/>
          <w:lang w:bidi="he-IL"/>
        </w:rPr>
        <w:instrText>∼</w:instrText>
      </w:r>
      <w:r w:rsidR="00FC54C2">
        <w:rPr>
          <w:lang w:bidi="he-IL"/>
        </w:rPr>
        <w:instrText xml:space="preserve">2 × 10−5) and consistent with higher stress drops and stronger faults.","container-title":"Journal of Geophysical Research: Solid Earth","DOI":"10.1029/2009JB006799","ISSN":"2156-2202","issue":"B7","language":"en","note":"_eprint: https://onlinelibrary.wiley.com/doi/pdf/10.1029/2009JB006799","source":"Wiley Online Library","title":"The 2002 M5 Au Sable Forks, NY, earthquake sequence: Source scaling relationships and energy budget","title-short":"The 2002 M5 Au Sable Forks, NY, earthquake sequence","URL":"https://onlinelibrary.wiley.com/doi/abs/10.1029/2009JB006799","volume":"115","author":[{"family":"Viegas","given":"Gisela"},{"family":"Abercrombie","given":"Rachel E."},{"family":"Kim","given":"Won-Young"}],"accessed":{"date-parts":[["2022",12,19]]},"issued":{"date-parts":[["2010"]]}}}],"schema":"https://github.com/citation-style-language/schema/raw/master/csl-citation.json"} </w:instrText>
      </w:r>
      <w:r w:rsidR="004D299F">
        <w:rPr>
          <w:lang w:bidi="he-IL"/>
        </w:rPr>
        <w:fldChar w:fldCharType="separate"/>
      </w:r>
      <w:r w:rsidR="00FC54C2" w:rsidRPr="00FC54C2">
        <w:t>(</w:t>
      </w:r>
      <w:r w:rsidR="00DD1932">
        <w:t xml:space="preserve">e.g., </w:t>
      </w:r>
      <w:r w:rsidR="00FC54C2" w:rsidRPr="00FC54C2">
        <w:t>Shearer et al., 2019; Viegas et al., 2010)</w:t>
      </w:r>
      <w:r w:rsidR="004D299F">
        <w:rPr>
          <w:lang w:bidi="he-IL"/>
        </w:rPr>
        <w:fldChar w:fldCharType="end"/>
      </w:r>
      <w:r w:rsidR="00A84646">
        <w:rPr>
          <w:lang w:bidi="he-IL"/>
        </w:rPr>
        <w:t xml:space="preserve">, however, when using stacked signals, this threshold can be </w:t>
      </w:r>
      <w:r w:rsidR="003B58F5">
        <w:rPr>
          <w:lang w:bidi="he-IL"/>
        </w:rPr>
        <w:t>relaxed</w:t>
      </w:r>
      <w:r w:rsidR="0005691B">
        <w:rPr>
          <w:lang w:bidi="he-IL"/>
        </w:rPr>
        <w:t>, since</w:t>
      </w:r>
      <w:r w:rsidR="004C5C95">
        <w:rPr>
          <w:lang w:bidi="he-IL"/>
        </w:rPr>
        <w:t xml:space="preserve"> </w:t>
      </w:r>
      <w:r w:rsidR="00687A77">
        <w:rPr>
          <w:lang w:bidi="he-IL"/>
        </w:rPr>
        <w:t xml:space="preserve">stacked </w:t>
      </w:r>
      <w:r w:rsidR="00A67F94">
        <w:rPr>
          <w:lang w:bidi="he-IL"/>
        </w:rPr>
        <w:t xml:space="preserve">signal and noise spectra </w:t>
      </w:r>
      <w:r w:rsidR="00687A77">
        <w:rPr>
          <w:lang w:bidi="he-IL"/>
        </w:rPr>
        <w:t xml:space="preserve">are smooth and </w:t>
      </w:r>
      <w:r w:rsidR="00A67F94">
        <w:rPr>
          <w:lang w:bidi="he-IL"/>
        </w:rPr>
        <w:t xml:space="preserve">exhibit less </w:t>
      </w:r>
      <w:r w:rsidR="006B5161">
        <w:rPr>
          <w:lang w:bidi="he-IL"/>
        </w:rPr>
        <w:t xml:space="preserve">amplitude </w:t>
      </w:r>
      <w:r w:rsidR="00A67F94">
        <w:rPr>
          <w:lang w:bidi="he-IL"/>
        </w:rPr>
        <w:t>scatter</w:t>
      </w:r>
      <w:r w:rsidR="002D17A2">
        <w:rPr>
          <w:lang w:bidi="he-IL"/>
        </w:rPr>
        <w:t xml:space="preserve">, allowing for more precise differentiation of signal and noise. </w:t>
      </w:r>
      <w:r w:rsidR="003372C4">
        <w:rPr>
          <w:lang w:bidi="he-IL"/>
        </w:rPr>
        <w:t xml:space="preserve">Thus, I </w:t>
      </w:r>
      <w:r w:rsidR="002D17A2">
        <w:rPr>
          <w:lang w:bidi="he-IL"/>
        </w:rPr>
        <w:t xml:space="preserve">only </w:t>
      </w:r>
      <w:r w:rsidR="003372C4">
        <w:rPr>
          <w:lang w:bidi="he-IL"/>
        </w:rPr>
        <w:t>require that the stacked signals</w:t>
      </w:r>
      <w:r w:rsidR="00A2358B">
        <w:rPr>
          <w:lang w:bidi="he-IL"/>
        </w:rPr>
        <w:t>’</w:t>
      </w:r>
      <w:r w:rsidR="003372C4">
        <w:rPr>
          <w:lang w:bidi="he-IL"/>
        </w:rPr>
        <w:t xml:space="preserve"> spectral amplitudes are </w:t>
      </w:r>
      <w:r w:rsidR="0005691B">
        <w:rPr>
          <w:lang w:bidi="he-IL"/>
        </w:rPr>
        <w:t xml:space="preserve">10% above </w:t>
      </w:r>
      <w:r w:rsidR="003372C4">
        <w:rPr>
          <w:lang w:bidi="he-IL"/>
        </w:rPr>
        <w:t>noise level</w:t>
      </w:r>
      <w:r w:rsidR="00E95AB2">
        <w:rPr>
          <w:lang w:bidi="he-IL"/>
        </w:rPr>
        <w:t>s (</w:t>
      </w:r>
      <w:r w:rsidR="0005691B">
        <w:rPr>
          <w:lang w:bidi="he-IL"/>
        </w:rPr>
        <w:t xml:space="preserve">SNR=1.1, </w:t>
      </w:r>
      <w:r w:rsidR="00E95AB2">
        <w:rPr>
          <w:lang w:bidi="he-IL"/>
        </w:rPr>
        <w:t xml:space="preserve">horizontal black line in </w:t>
      </w:r>
      <w:r w:rsidR="0005691B">
        <w:rPr>
          <w:lang w:bidi="he-IL"/>
        </w:rPr>
        <w:t xml:space="preserve">panels b and d of </w:t>
      </w:r>
      <w:r w:rsidR="00E95AB2">
        <w:rPr>
          <w:lang w:bidi="he-IL"/>
        </w:rPr>
        <w:t>Figure S2)</w:t>
      </w:r>
      <w:r w:rsidR="005E1D88">
        <w:rPr>
          <w:lang w:bidi="he-IL"/>
        </w:rPr>
        <w:t xml:space="preserve">. Even though this analysis </w:t>
      </w:r>
      <w:r w:rsidR="00DD1932">
        <w:rPr>
          <w:lang w:bidi="he-IL"/>
        </w:rPr>
        <w:t>facilitates</w:t>
      </w:r>
      <w:r w:rsidR="005E1D88">
        <w:rPr>
          <w:lang w:bidi="he-IL"/>
        </w:rPr>
        <w:t xml:space="preserve"> a larger bandwidth, I </w:t>
      </w:r>
      <w:r w:rsidR="002D17A2">
        <w:rPr>
          <w:lang w:bidi="he-IL"/>
        </w:rPr>
        <w:t xml:space="preserve">set the usable bandwidth </w:t>
      </w:r>
      <w:r w:rsidR="005E1D88">
        <w:rPr>
          <w:lang w:bidi="he-IL"/>
        </w:rPr>
        <w:t xml:space="preserve">to be </w:t>
      </w:r>
      <w:r w:rsidR="002D17A2">
        <w:rPr>
          <w:lang w:bidi="he-IL"/>
        </w:rPr>
        <w:t xml:space="preserve">between </w:t>
      </w:r>
      <w:r w:rsidR="00F1547B">
        <w:rPr>
          <w:lang w:bidi="he-IL"/>
        </w:rPr>
        <w:t>2</w:t>
      </w:r>
      <w:r w:rsidR="002D17A2">
        <w:rPr>
          <w:lang w:bidi="he-IL"/>
        </w:rPr>
        <w:t xml:space="preserve"> and 20 Hz. </w:t>
      </w:r>
      <w:r w:rsidR="00593E57">
        <w:rPr>
          <w:lang w:bidi="he-IL"/>
        </w:rPr>
        <w:t>The validity of this frequency band will be later verified by inspecting model fits and parameter uncertainties.</w:t>
      </w:r>
      <w:r w:rsidR="005E1D88">
        <w:rPr>
          <w:lang w:bidi="he-IL"/>
        </w:rPr>
        <w:t xml:space="preserve"> Two earthquakes did not meet the required SNR condition (#6 and #10) with low SNR between 10 and 20 Hz</w:t>
      </w:r>
      <w:r w:rsidR="00670CEC">
        <w:rPr>
          <w:lang w:bidi="he-IL"/>
        </w:rPr>
        <w:t xml:space="preserve"> (Figure S2d)</w:t>
      </w:r>
      <w:r w:rsidR="005E1D88">
        <w:rPr>
          <w:lang w:bidi="he-IL"/>
        </w:rPr>
        <w:t>, and an additional earthquake (#8) ha</w:t>
      </w:r>
      <w:r w:rsidR="00DD1932">
        <w:rPr>
          <w:lang w:bidi="he-IL"/>
        </w:rPr>
        <w:t>d</w:t>
      </w:r>
      <w:r w:rsidR="005E1D88">
        <w:rPr>
          <w:lang w:bidi="he-IL"/>
        </w:rPr>
        <w:t xml:space="preserve"> </w:t>
      </w:r>
      <w:r w:rsidR="005E1D88" w:rsidRPr="005E1D88">
        <w:rPr>
          <w:lang w:bidi="he-IL"/>
        </w:rPr>
        <w:t>unexpectedly high amplitudes at low frequencies (~0.5 to ~4 Hz)</w:t>
      </w:r>
      <w:r w:rsidR="005E1D88">
        <w:rPr>
          <w:lang w:bidi="he-IL"/>
        </w:rPr>
        <w:t xml:space="preserve"> </w:t>
      </w:r>
      <w:r w:rsidR="006F59FC">
        <w:rPr>
          <w:lang w:bidi="he-IL"/>
        </w:rPr>
        <w:t xml:space="preserve">that deviate from the </w:t>
      </w:r>
      <w:r w:rsidR="00AA6C69">
        <w:rPr>
          <w:lang w:bidi="he-IL"/>
        </w:rPr>
        <w:t>omega squared mo</w:t>
      </w:r>
      <w:r w:rsidR="00960A2E">
        <w:rPr>
          <w:lang w:bidi="he-IL"/>
        </w:rPr>
        <w:t>d</w:t>
      </w:r>
      <w:r w:rsidR="00AA6C69">
        <w:rPr>
          <w:lang w:bidi="he-IL"/>
        </w:rPr>
        <w:t>el</w:t>
      </w:r>
      <w:r w:rsidR="006F59FC">
        <w:rPr>
          <w:lang w:bidi="he-IL"/>
        </w:rPr>
        <w:t xml:space="preserve"> </w:t>
      </w:r>
      <w:r w:rsidR="00670CEC">
        <w:rPr>
          <w:lang w:bidi="he-IL"/>
        </w:rPr>
        <w:t xml:space="preserve">in </w:t>
      </w:r>
      <w:r w:rsidR="006F59FC">
        <w:rPr>
          <w:lang w:bidi="he-IL"/>
        </w:rPr>
        <w:t xml:space="preserve">Equation </w:t>
      </w:r>
      <w:r w:rsidR="00670CEC">
        <w:rPr>
          <w:lang w:bidi="he-IL"/>
        </w:rPr>
        <w:t>(</w:t>
      </w:r>
      <w:r w:rsidR="00B30E0C" w:rsidRPr="00064ABC">
        <w:rPr>
          <w:rFonts w:asciiTheme="majorBidi" w:hAnsiTheme="majorBidi" w:cstheme="majorBidi"/>
          <w:iCs/>
        </w:rPr>
        <w:fldChar w:fldCharType="begin"/>
      </w:r>
      <w:r w:rsidR="00B30E0C" w:rsidRPr="00064ABC">
        <w:rPr>
          <w:rFonts w:asciiTheme="majorBidi" w:hAnsiTheme="majorBidi" w:cstheme="majorBidi"/>
          <w:iCs/>
        </w:rPr>
        <w:instrText xml:space="preserve"> REF EQ_omega_squared \h  \* MERGEFORMAT </w:instrText>
      </w:r>
      <w:r w:rsidR="00B30E0C" w:rsidRPr="00064ABC">
        <w:rPr>
          <w:rFonts w:asciiTheme="majorBidi" w:hAnsiTheme="majorBidi" w:cstheme="majorBidi"/>
          <w:iCs/>
        </w:rPr>
      </w:r>
      <w:r w:rsidR="00B30E0C" w:rsidRPr="00064ABC">
        <w:rPr>
          <w:rFonts w:asciiTheme="majorBidi" w:hAnsiTheme="majorBidi" w:cstheme="majorBidi"/>
          <w:iCs/>
        </w:rPr>
        <w:fldChar w:fldCharType="separate"/>
      </w:r>
      <w:r w:rsidR="001F33E5">
        <w:rPr>
          <w:rFonts w:asciiTheme="majorBidi" w:hAnsiTheme="majorBidi" w:cstheme="majorBidi"/>
          <w:noProof/>
        </w:rPr>
        <w:t>1</w:t>
      </w:r>
      <w:r w:rsidR="00B30E0C" w:rsidRPr="00064ABC">
        <w:rPr>
          <w:rFonts w:asciiTheme="majorBidi" w:hAnsiTheme="majorBidi" w:cstheme="majorBidi"/>
          <w:iCs/>
        </w:rPr>
        <w:fldChar w:fldCharType="end"/>
      </w:r>
      <w:r w:rsidR="00B30E0C" w:rsidRPr="00064ABC">
        <w:rPr>
          <w:rFonts w:asciiTheme="majorBidi" w:hAnsiTheme="majorBidi" w:cstheme="majorBidi"/>
          <w:iCs/>
        </w:rPr>
        <w:t>)</w:t>
      </w:r>
      <w:r w:rsidR="00670CEC">
        <w:rPr>
          <w:rFonts w:asciiTheme="majorBidi" w:hAnsiTheme="majorBidi" w:cstheme="majorBidi"/>
          <w:iCs/>
        </w:rPr>
        <w:t xml:space="preserve"> (</w:t>
      </w:r>
      <w:r w:rsidR="002E28F9">
        <w:rPr>
          <w:rFonts w:asciiTheme="majorBidi" w:hAnsiTheme="majorBidi" w:cstheme="majorBidi"/>
          <w:iCs/>
        </w:rPr>
        <w:t xml:space="preserve">dashed black curve in </w:t>
      </w:r>
      <w:r w:rsidR="00670CEC">
        <w:rPr>
          <w:rFonts w:asciiTheme="majorBidi" w:hAnsiTheme="majorBidi" w:cstheme="majorBidi"/>
          <w:iCs/>
        </w:rPr>
        <w:t>Figure S2</w:t>
      </w:r>
      <w:r w:rsidR="007D607C">
        <w:rPr>
          <w:rFonts w:asciiTheme="majorBidi" w:hAnsiTheme="majorBidi" w:cstheme="majorBidi"/>
          <w:iCs/>
        </w:rPr>
        <w:t>a</w:t>
      </w:r>
      <w:r w:rsidR="00670CEC">
        <w:rPr>
          <w:rFonts w:asciiTheme="majorBidi" w:hAnsiTheme="majorBidi" w:cstheme="majorBidi"/>
          <w:iCs/>
        </w:rPr>
        <w:t>)</w:t>
      </w:r>
      <w:r w:rsidR="005E1D88">
        <w:rPr>
          <w:lang w:bidi="he-IL"/>
        </w:rPr>
        <w:t>.</w:t>
      </w:r>
      <w:r w:rsidR="009A6D21">
        <w:rPr>
          <w:lang w:bidi="he-IL"/>
        </w:rPr>
        <w:t xml:space="preserve"> In the following, the remaining 7 earthquakes are analyzed.</w:t>
      </w:r>
    </w:p>
    <w:p w14:paraId="44BA7C49" w14:textId="1EF19BAD" w:rsidR="00953654" w:rsidRDefault="00953654" w:rsidP="0075573E">
      <w:pPr>
        <w:pStyle w:val="Heading-Main"/>
      </w:pPr>
      <w:r>
        <w:t xml:space="preserve">3 Spectral Ratios </w:t>
      </w:r>
      <w:r w:rsidR="00770BA2">
        <w:t>A</w:t>
      </w:r>
      <w:r>
        <w:t>pplication to DAS Data</w:t>
      </w:r>
    </w:p>
    <w:p w14:paraId="05724F97" w14:textId="40EF3047" w:rsidR="002071E0" w:rsidRDefault="00E6252E" w:rsidP="00872CD1">
      <w:pPr>
        <w:pStyle w:val="Text"/>
        <w:rPr>
          <w:lang w:bidi="he-IL"/>
        </w:rPr>
      </w:pPr>
      <w:r>
        <w:rPr>
          <w:lang w:bidi="he-IL"/>
        </w:rPr>
        <w:t>E</w:t>
      </w:r>
      <w:r w:rsidR="00530B3E">
        <w:rPr>
          <w:lang w:bidi="he-IL"/>
        </w:rPr>
        <w:t>arthquake</w:t>
      </w:r>
      <w:r w:rsidR="006161E9">
        <w:rPr>
          <w:lang w:bidi="he-IL"/>
        </w:rPr>
        <w:t>-</w:t>
      </w:r>
      <w:r w:rsidR="00530B3E">
        <w:rPr>
          <w:lang w:bidi="he-IL"/>
        </w:rPr>
        <w:t xml:space="preserve">specific stacked spectra </w:t>
      </w:r>
      <w:r>
        <w:rPr>
          <w:lang w:bidi="he-IL"/>
        </w:rPr>
        <w:t>were</w:t>
      </w:r>
      <w:r w:rsidR="00530B3E">
        <w:rPr>
          <w:lang w:bidi="he-IL"/>
        </w:rPr>
        <w:t xml:space="preserve"> used to construct s</w:t>
      </w:r>
      <w:r w:rsidR="004C5820">
        <w:rPr>
          <w:lang w:bidi="he-IL"/>
        </w:rPr>
        <w:t xml:space="preserve">pectral ratios for </w:t>
      </w:r>
      <w:r>
        <w:rPr>
          <w:lang w:bidi="he-IL"/>
        </w:rPr>
        <w:t xml:space="preserve">different </w:t>
      </w:r>
      <w:r w:rsidR="004C5820">
        <w:rPr>
          <w:lang w:bidi="he-IL"/>
        </w:rPr>
        <w:t>earthquake pair</w:t>
      </w:r>
      <w:r w:rsidR="004A6267">
        <w:rPr>
          <w:lang w:bidi="he-IL"/>
        </w:rPr>
        <w:t>s</w:t>
      </w:r>
      <w:r w:rsidR="00530B3E">
        <w:rPr>
          <w:lang w:bidi="he-IL"/>
        </w:rPr>
        <w:t>.</w:t>
      </w:r>
      <w:r w:rsidR="004A6267">
        <w:rPr>
          <w:lang w:bidi="he-IL"/>
        </w:rPr>
        <w:t xml:space="preserve"> </w:t>
      </w:r>
      <w:r w:rsidR="003A487A">
        <w:rPr>
          <w:lang w:bidi="he-IL"/>
        </w:rPr>
        <w:t>Model fittin</w:t>
      </w:r>
      <w:r w:rsidR="00DA67C1">
        <w:rPr>
          <w:lang w:bidi="he-IL"/>
        </w:rPr>
        <w:t>g</w:t>
      </w:r>
      <w:r w:rsidR="003A487A">
        <w:rPr>
          <w:lang w:bidi="he-IL"/>
        </w:rPr>
        <w:t xml:space="preserve"> and parameter uncertainty estimation is similar to that proposed by </w:t>
      </w:r>
      <w:r w:rsidR="003A487A">
        <w:rPr>
          <w:lang w:bidi="he-IL"/>
        </w:rPr>
        <w:fldChar w:fldCharType="begin"/>
      </w:r>
      <w:r w:rsidR="00027B81">
        <w:rPr>
          <w:lang w:bidi="he-IL"/>
        </w:rPr>
        <w:instrText xml:space="preserve"> ADDIN ZOTERO_ITEM CSL_CITATION {"citationID":"O4MugXqe","properties":{"formattedCitation":"(Viegas et al., 2010)","plainCitation":"(Viegas et al., 2010)","dontUpdate":true,"noteIndex":0},"citationItems":[{"id":936,"uris":["http://zotero.org/users/6318414/items/M4QCLYQU"],"itemData":{"id":936,"type":"article-journal","abstract":"We find invariant high stress drops and radiated energies for a sequence of intraplate earthquakes. We estimate source parameters of the Au Sable Forks, NY, earthquake (M5, 2002) and aftershocks. This intraplate earthquake was the largest to occur in Eastern North America since 1988 and the largest to be recorded by regional broadband networks. We use the empirical Green's function (EGF) method and define a set of qualitative and quantitative rules for the selection of EGF earthquake pairs and for the quality verification of the obtained EGF spectral ratio. We use a multitaper code that performs the complex spectral division with minimum frequency leakage and allows transformation back to the time domain to check the validity of the EGF event. We estimate source parameters for 22 earthquakes (M1–M5) in the sequence. The median stress drop of 104 MPa (using Madariaga source model, and 19 MPa for a Brune model) is significantly larger than estimates for interplate earthquakes. The lower crustal strain rates, and longer fault healing times in intraplate environments, may be responsible for this high average value. We find constant stress drop between M2 and M5, up to the bandwidth resolution limit (80 Hz) of the study, and no evidence of stress drop breakdown for M2 to M1 earthquakes. We find consistently high radiated seismic energy and apparent stress, and a median radiated energy to seismic moment ratio of 9 × 10−5. This is significantly larger than estimates for interplate earthquakes (</w:instrText>
      </w:r>
      <w:r w:rsidR="00027B81">
        <w:rPr>
          <w:rFonts w:ascii="Cambria Math" w:hAnsi="Cambria Math" w:cs="Cambria Math"/>
          <w:lang w:bidi="he-IL"/>
        </w:rPr>
        <w:instrText>∼</w:instrText>
      </w:r>
      <w:r w:rsidR="00027B81">
        <w:rPr>
          <w:lang w:bidi="he-IL"/>
        </w:rPr>
        <w:instrText xml:space="preserve">2 × 10−5) and consistent with higher stress drops and stronger faults.","container-title":"Journal of Geophysical Research: Solid Earth","DOI":"10.1029/2009JB006799","ISSN":"2156-2202","issue":"B7","language":"en","note":"_eprint: https://onlinelibrary.wiley.com/doi/pdf/10.1029/2009JB006799","source":"Wiley Online Library","title":"The 2002 M5 Au Sable Forks, NY, earthquake sequence: Source scaling relationships and energy budget","title-short":"The 2002 M5 Au Sable Forks, NY, earthquake sequence","URL":"https://onlinelibrary.wiley.com/doi/abs/10.1029/2009JB006799","volume":"115","author":[{"family":"Viegas","given":"Gisela"},{"family":"Abercrombie","given":"Rachel E."},{"family":"Kim","given":"Won-Young"}],"accessed":{"date-parts":[["2022",12,19]]},"issued":{"date-parts":[["2010"]]}}}],"schema":"https://github.com/citation-style-language/schema/raw/master/csl-citation.json"} </w:instrText>
      </w:r>
      <w:r w:rsidR="003A487A">
        <w:rPr>
          <w:lang w:bidi="he-IL"/>
        </w:rPr>
        <w:fldChar w:fldCharType="separate"/>
      </w:r>
      <w:r w:rsidR="003A487A" w:rsidRPr="003A487A">
        <w:t xml:space="preserve">Viegas et al. </w:t>
      </w:r>
      <w:r w:rsidR="003A487A">
        <w:t>(</w:t>
      </w:r>
      <w:r w:rsidR="003A487A" w:rsidRPr="003A487A">
        <w:t>2010)</w:t>
      </w:r>
      <w:r w:rsidR="003A487A">
        <w:rPr>
          <w:lang w:bidi="he-IL"/>
        </w:rPr>
        <w:fldChar w:fldCharType="end"/>
      </w:r>
      <w:r w:rsidR="003A487A">
        <w:rPr>
          <w:lang w:bidi="he-IL"/>
        </w:rPr>
        <w:t xml:space="preserve">. </w:t>
      </w:r>
      <w:r w:rsidR="00C8740D">
        <w:rPr>
          <w:lang w:bidi="he-IL"/>
        </w:rPr>
        <w:t>The stacked spectra of the larger earthquake</w:t>
      </w:r>
      <w:r w:rsidR="00C1794C">
        <w:rPr>
          <w:lang w:bidi="he-IL"/>
        </w:rPr>
        <w:t>s</w:t>
      </w:r>
      <w:r w:rsidR="00C8740D">
        <w:rPr>
          <w:lang w:bidi="he-IL"/>
        </w:rPr>
        <w:t xml:space="preserve"> </w:t>
      </w:r>
      <w:r w:rsidR="00C1794C">
        <w:rPr>
          <w:lang w:bidi="he-IL"/>
        </w:rPr>
        <w:t>are</w:t>
      </w:r>
      <w:r w:rsidR="00C8740D">
        <w:rPr>
          <w:lang w:bidi="he-IL"/>
        </w:rPr>
        <w:t xml:space="preserve"> divided by th</w:t>
      </w:r>
      <w:r w:rsidR="00C1794C">
        <w:rPr>
          <w:lang w:bidi="he-IL"/>
        </w:rPr>
        <w:t>ose</w:t>
      </w:r>
      <w:r w:rsidR="00C8740D">
        <w:rPr>
          <w:lang w:bidi="he-IL"/>
        </w:rPr>
        <w:t xml:space="preserve"> of the smaller one</w:t>
      </w:r>
      <w:r w:rsidR="00C1794C">
        <w:rPr>
          <w:lang w:bidi="he-IL"/>
        </w:rPr>
        <w:t>s</w:t>
      </w:r>
      <w:r w:rsidR="00C8740D">
        <w:rPr>
          <w:lang w:bidi="he-IL"/>
        </w:rPr>
        <w:t>.</w:t>
      </w:r>
      <w:r w:rsidR="00872CD1">
        <w:rPr>
          <w:lang w:bidi="he-IL"/>
        </w:rPr>
        <w:t xml:space="preserve"> This procedure is mathematically equivalent to calculating the spectral ratios at every DAS channel, followed by </w:t>
      </w:r>
      <w:r w:rsidR="00C1794C">
        <w:rPr>
          <w:lang w:bidi="he-IL"/>
        </w:rPr>
        <w:t>stacking</w:t>
      </w:r>
      <w:r w:rsidR="00872CD1">
        <w:rPr>
          <w:lang w:bidi="he-IL"/>
        </w:rPr>
        <w:t xml:space="preserve">, because stacking is done via geometric averaging. </w:t>
      </w:r>
      <w:r w:rsidR="00C8740D">
        <w:rPr>
          <w:lang w:bidi="he-IL"/>
        </w:rPr>
        <w:t xml:space="preserve">The spectral ratios are then resampled in equal log-of-frequency bins and the </w:t>
      </w:r>
      <w:r w:rsidR="00C1794C">
        <w:rPr>
          <w:lang w:bidi="he-IL"/>
        </w:rPr>
        <w:t>logarithm</w:t>
      </w:r>
      <w:r w:rsidR="00436C7D">
        <w:rPr>
          <w:lang w:bidi="he-IL"/>
        </w:rPr>
        <w:t xml:space="preserve"> of the spectral ratio</w:t>
      </w:r>
      <w:r w:rsidR="00CB188D">
        <w:rPr>
          <w:lang w:bidi="he-IL"/>
        </w:rPr>
        <w:t>s</w:t>
      </w:r>
      <w:r w:rsidR="00436C7D">
        <w:rPr>
          <w:lang w:bidi="he-IL"/>
        </w:rPr>
        <w:t xml:space="preserve"> </w:t>
      </w:r>
      <w:r w:rsidR="00104902">
        <w:rPr>
          <w:lang w:bidi="he-IL"/>
        </w:rPr>
        <w:t>are</w:t>
      </w:r>
      <w:r w:rsidR="00436C7D">
        <w:rPr>
          <w:lang w:bidi="he-IL"/>
        </w:rPr>
        <w:t xml:space="preserve"> fitted with the logarithm of </w:t>
      </w:r>
      <w:r w:rsidR="00436C7D" w:rsidRPr="00872CD1">
        <w:rPr>
          <w:rFonts w:asciiTheme="majorBidi" w:hAnsiTheme="majorBidi" w:cstheme="majorBidi"/>
          <w:lang w:bidi="he-IL"/>
        </w:rPr>
        <w:t>Equation (</w:t>
      </w:r>
      <w:r w:rsidR="00436C7D" w:rsidRPr="00872CD1">
        <w:rPr>
          <w:rFonts w:asciiTheme="majorBidi" w:hAnsiTheme="majorBidi" w:cstheme="majorBidi"/>
          <w:lang w:bidi="he-IL"/>
        </w:rPr>
        <w:fldChar w:fldCharType="begin"/>
      </w:r>
      <w:r w:rsidR="00436C7D" w:rsidRPr="00872CD1">
        <w:rPr>
          <w:rFonts w:asciiTheme="majorBidi" w:hAnsiTheme="majorBidi" w:cstheme="majorBidi"/>
          <w:lang w:bidi="he-IL"/>
        </w:rPr>
        <w:instrText xml:space="preserve"> REF EQ_EGF \h </w:instrText>
      </w:r>
      <w:r w:rsidR="008F55EE" w:rsidRPr="00872CD1">
        <w:rPr>
          <w:rFonts w:asciiTheme="majorBidi" w:hAnsiTheme="majorBidi" w:cstheme="majorBidi"/>
          <w:lang w:bidi="he-IL"/>
        </w:rPr>
        <w:instrText xml:space="preserve"> \* MERGEFORMAT </w:instrText>
      </w:r>
      <w:r w:rsidR="00436C7D" w:rsidRPr="00872CD1">
        <w:rPr>
          <w:rFonts w:asciiTheme="majorBidi" w:hAnsiTheme="majorBidi" w:cstheme="majorBidi"/>
          <w:lang w:bidi="he-IL"/>
        </w:rPr>
      </w:r>
      <w:r w:rsidR="00436C7D" w:rsidRPr="00872CD1">
        <w:rPr>
          <w:rFonts w:asciiTheme="majorBidi" w:hAnsiTheme="majorBidi" w:cstheme="majorBidi"/>
          <w:lang w:bidi="he-IL"/>
        </w:rPr>
        <w:fldChar w:fldCharType="separate"/>
      </w:r>
      <w:r w:rsidR="001F33E5" w:rsidRPr="00350BDD">
        <w:rPr>
          <w:rFonts w:asciiTheme="majorBidi" w:hAnsiTheme="majorBidi" w:cstheme="majorBidi"/>
          <w:noProof/>
        </w:rPr>
        <w:t>3</w:t>
      </w:r>
      <w:r w:rsidR="00436C7D" w:rsidRPr="00872CD1">
        <w:rPr>
          <w:rFonts w:asciiTheme="majorBidi" w:hAnsiTheme="majorBidi" w:cstheme="majorBidi"/>
          <w:lang w:bidi="he-IL"/>
        </w:rPr>
        <w:fldChar w:fldCharType="end"/>
      </w:r>
      <w:r w:rsidR="00436C7D" w:rsidRPr="00872CD1">
        <w:rPr>
          <w:rFonts w:asciiTheme="majorBidi" w:hAnsiTheme="majorBidi" w:cstheme="majorBidi"/>
          <w:lang w:bidi="he-IL"/>
        </w:rPr>
        <w:t xml:space="preserve">) </w:t>
      </w:r>
      <w:r w:rsidR="008F55EE" w:rsidRPr="00872CD1">
        <w:rPr>
          <w:rFonts w:asciiTheme="majorBidi" w:hAnsiTheme="majorBidi" w:cstheme="majorBidi"/>
          <w:lang w:bidi="he-IL"/>
        </w:rPr>
        <w:t>to</w:t>
      </w:r>
      <w:r w:rsidR="008F55EE" w:rsidRPr="008F55EE">
        <w:rPr>
          <w:lang w:bidi="he-IL"/>
        </w:rPr>
        <w:t xml:space="preserve"> obtain</w:t>
      </w:r>
      <w:r w:rsidR="006B66DB">
        <w:rPr>
          <w:lang w:bidi="he-IL"/>
        </w:rPr>
        <w:t xml:space="preserve"> the best fitting</w:t>
      </w:r>
      <w:r w:rsidR="008F55EE" w:rsidRPr="008F55EE">
        <w:rPr>
          <w:lang w:bidi="he-IL"/>
        </w:rPr>
        <w:t xml:space="preserve"> </w:t>
      </w:r>
      <m:oMath>
        <m:func>
          <m:funcPr>
            <m:ctrlPr>
              <w:rPr>
                <w:rFonts w:ascii="Cambria Math" w:hAnsi="Cambria Math"/>
                <w:i/>
                <w:lang w:bidi="he-IL"/>
              </w:rPr>
            </m:ctrlPr>
          </m:funcPr>
          <m:fName>
            <m:r>
              <m:rPr>
                <m:sty m:val="p"/>
              </m:rPr>
              <w:rPr>
                <w:rFonts w:ascii="Cambria Math" w:hAnsi="Cambria Math"/>
                <w:lang w:bidi="he-IL"/>
              </w:rPr>
              <m:t>log</m:t>
            </m:r>
          </m:fName>
          <m:e>
            <m:d>
              <m:dPr>
                <m:ctrlPr>
                  <w:rPr>
                    <w:rFonts w:ascii="Cambria Math" w:hAnsi="Cambria Math"/>
                    <w:i/>
                    <w:lang w:bidi="he-IL"/>
                  </w:rPr>
                </m:ctrlPr>
              </m:dPr>
              <m:e>
                <m:f>
                  <m:fPr>
                    <m:type m:val="lin"/>
                    <m:ctrlPr>
                      <w:rPr>
                        <w:rFonts w:ascii="Cambria Math" w:eastAsia="Cambria Math" w:hAnsi="Cambria Math"/>
                        <w:i/>
                        <w:color w:val="000000"/>
                      </w:rPr>
                    </m:ctrlPr>
                  </m:fPr>
                  <m:num>
                    <m:sSub>
                      <m:sSubPr>
                        <m:ctrlPr>
                          <w:rPr>
                            <w:rFonts w:ascii="Cambria Math" w:eastAsia="Cambria Math" w:hAnsi="Cambria Math"/>
                            <w:i/>
                            <w:color w:val="000000"/>
                          </w:rPr>
                        </m:ctrlPr>
                      </m:sSubPr>
                      <m:e>
                        <m:r>
                          <w:rPr>
                            <w:rFonts w:ascii="Cambria Math" w:eastAsia="Cambria Math" w:hAnsi="Cambria Math"/>
                            <w:color w:val="000000"/>
                          </w:rPr>
                          <m:t>M</m:t>
                        </m:r>
                      </m:e>
                      <m:sub>
                        <m:r>
                          <w:rPr>
                            <w:rFonts w:ascii="Cambria Math" w:eastAsia="Cambria Math" w:hAnsi="Cambria Math"/>
                            <w:color w:val="000000"/>
                          </w:rPr>
                          <m:t>01</m:t>
                        </m:r>
                      </m:sub>
                    </m:sSub>
                  </m:num>
                  <m:den>
                    <m:sSub>
                      <m:sSubPr>
                        <m:ctrlPr>
                          <w:rPr>
                            <w:rFonts w:ascii="Cambria Math" w:eastAsia="Cambria Math" w:hAnsi="Cambria Math"/>
                            <w:i/>
                            <w:color w:val="000000"/>
                          </w:rPr>
                        </m:ctrlPr>
                      </m:sSubPr>
                      <m:e>
                        <m:r>
                          <w:rPr>
                            <w:rFonts w:ascii="Cambria Math" w:eastAsia="Cambria Math" w:hAnsi="Cambria Math"/>
                            <w:color w:val="000000"/>
                          </w:rPr>
                          <m:t>M</m:t>
                        </m:r>
                      </m:e>
                      <m:sub>
                        <m:r>
                          <w:rPr>
                            <w:rFonts w:ascii="Cambria Math" w:eastAsia="Cambria Math" w:hAnsi="Cambria Math"/>
                            <w:color w:val="000000"/>
                          </w:rPr>
                          <m:t>02</m:t>
                        </m:r>
                      </m:sub>
                    </m:sSub>
                  </m:den>
                </m:f>
                <m:ctrlPr>
                  <w:rPr>
                    <w:rFonts w:ascii="Cambria Math" w:eastAsia="Cambria Math" w:hAnsi="Cambria Math"/>
                    <w:i/>
                    <w:color w:val="000000"/>
                  </w:rPr>
                </m:ctrlPr>
              </m:e>
            </m:d>
          </m:e>
        </m:func>
      </m:oMath>
      <w:r w:rsidR="008F55EE" w:rsidRPr="008F55EE">
        <w:rPr>
          <w:color w:val="000000"/>
        </w:rPr>
        <w:t xml:space="preserve">, </w:t>
      </w:r>
      <m:oMath>
        <m:sSub>
          <m:sSubPr>
            <m:ctrlPr>
              <w:rPr>
                <w:rFonts w:ascii="Cambria Math" w:hAnsi="Cambria Math"/>
                <w:i/>
                <w:color w:val="000000"/>
              </w:rPr>
            </m:ctrlPr>
          </m:sSubPr>
          <m:e>
            <m:r>
              <w:rPr>
                <w:rFonts w:ascii="Cambria Math" w:hAnsi="Cambria Math"/>
                <w:color w:val="000000"/>
              </w:rPr>
              <m:t>f</m:t>
            </m:r>
          </m:e>
          <m:sub>
            <m:r>
              <w:rPr>
                <w:rFonts w:ascii="Cambria Math" w:hAnsi="Cambria Math"/>
                <w:color w:val="000000"/>
              </w:rPr>
              <m:t>01</m:t>
            </m:r>
          </m:sub>
        </m:sSub>
      </m:oMath>
      <w:r w:rsidR="008F55EE" w:rsidRPr="008F55EE">
        <w:rPr>
          <w:color w:val="000000"/>
        </w:rPr>
        <w:t xml:space="preserve"> and </w:t>
      </w:r>
      <m:oMath>
        <m:sSub>
          <m:sSubPr>
            <m:ctrlPr>
              <w:rPr>
                <w:rFonts w:ascii="Cambria Math" w:hAnsi="Cambria Math"/>
                <w:i/>
                <w:color w:val="000000"/>
              </w:rPr>
            </m:ctrlPr>
          </m:sSubPr>
          <m:e>
            <m:r>
              <w:rPr>
                <w:rFonts w:ascii="Cambria Math" w:hAnsi="Cambria Math"/>
                <w:color w:val="000000"/>
              </w:rPr>
              <m:t>f</m:t>
            </m:r>
          </m:e>
          <m:sub>
            <m:r>
              <w:rPr>
                <w:rFonts w:ascii="Cambria Math" w:hAnsi="Cambria Math"/>
                <w:color w:val="000000"/>
              </w:rPr>
              <m:t>02</m:t>
            </m:r>
          </m:sub>
        </m:sSub>
      </m:oMath>
      <w:r w:rsidR="008F55EE" w:rsidRPr="008F55EE">
        <w:rPr>
          <w:color w:val="000000"/>
        </w:rPr>
        <w:t xml:space="preserve"> estimates. The inversion was done </w:t>
      </w:r>
      <w:r w:rsidR="00602A28" w:rsidRPr="008F55EE">
        <w:rPr>
          <w:lang w:bidi="he-IL"/>
        </w:rPr>
        <w:t>u</w:t>
      </w:r>
      <w:r w:rsidR="00602A28">
        <w:rPr>
          <w:lang w:bidi="he-IL"/>
        </w:rPr>
        <w:t xml:space="preserve">sing a non-linear least square approach, implemented </w:t>
      </w:r>
      <w:r w:rsidR="00AD2033">
        <w:rPr>
          <w:lang w:bidi="he-IL"/>
        </w:rPr>
        <w:t>via</w:t>
      </w:r>
      <w:r w:rsidR="00602A28">
        <w:rPr>
          <w:lang w:bidi="he-IL"/>
        </w:rPr>
        <w:t xml:space="preserve"> Python’s </w:t>
      </w:r>
      <w:r w:rsidR="00C1794C">
        <w:rPr>
          <w:lang w:bidi="he-IL"/>
        </w:rPr>
        <w:t>SciPy</w:t>
      </w:r>
      <w:r w:rsidR="00602A28">
        <w:rPr>
          <w:lang w:bidi="he-IL"/>
        </w:rPr>
        <w:t xml:space="preserve"> curve</w:t>
      </w:r>
      <w:r w:rsidR="00104902">
        <w:rPr>
          <w:lang w:bidi="he-IL"/>
        </w:rPr>
        <w:t>_</w:t>
      </w:r>
      <w:r w:rsidR="00602A28">
        <w:rPr>
          <w:lang w:bidi="he-IL"/>
        </w:rPr>
        <w:t>fit tool.</w:t>
      </w:r>
      <w:r w:rsidR="00CB188D">
        <w:rPr>
          <w:lang w:bidi="he-IL"/>
        </w:rPr>
        <w:t xml:space="preserve"> Parameter uncertainties were estimated </w:t>
      </w:r>
      <w:r w:rsidR="008F55EE">
        <w:rPr>
          <w:lang w:bidi="he-IL"/>
        </w:rPr>
        <w:t xml:space="preserve">by </w:t>
      </w:r>
      <w:r w:rsidR="00C43295">
        <w:rPr>
          <w:lang w:bidi="he-IL"/>
        </w:rPr>
        <w:t xml:space="preserve">varying the value of one parameter and </w:t>
      </w:r>
      <w:r w:rsidR="00A64C9A">
        <w:rPr>
          <w:lang w:bidi="he-IL"/>
        </w:rPr>
        <w:t>calculating</w:t>
      </w:r>
      <w:r w:rsidR="00C43295">
        <w:rPr>
          <w:lang w:bidi="he-IL"/>
        </w:rPr>
        <w:t xml:space="preserve"> the standard deviation of the fit </w:t>
      </w:r>
      <w:r w:rsidR="00C43295">
        <w:rPr>
          <w:lang w:bidi="he-IL"/>
        </w:rPr>
        <w:lastRenderedPageBreak/>
        <w:t>while treating the other two parameters as free fitting coefficients.</w:t>
      </w:r>
      <w:r w:rsidR="002071E0">
        <w:rPr>
          <w:lang w:bidi="he-IL"/>
        </w:rPr>
        <w:t xml:space="preserve"> The parameter-specific uncertainty range is determined by a standard deviation increase of 5%.</w:t>
      </w:r>
    </w:p>
    <w:p w14:paraId="5E60D174" w14:textId="6951C6A7" w:rsidR="006372A4" w:rsidRDefault="00AD2033" w:rsidP="0075573E">
      <w:pPr>
        <w:pStyle w:val="Text"/>
        <w:rPr>
          <w:lang w:bidi="he-IL"/>
        </w:rPr>
      </w:pPr>
      <w:r>
        <w:rPr>
          <w:lang w:bidi="he-IL"/>
        </w:rPr>
        <w:t>The fit</w:t>
      </w:r>
      <w:r w:rsidR="008D07E5">
        <w:rPr>
          <w:lang w:bidi="he-IL"/>
        </w:rPr>
        <w:t>s</w:t>
      </w:r>
      <w:r>
        <w:rPr>
          <w:lang w:bidi="he-IL"/>
        </w:rPr>
        <w:t xml:space="preserve"> to the spectral ratios improve when the latter are stacked over longer fiber segments as demonstrated in Figure </w:t>
      </w:r>
      <w:r w:rsidR="001F33E5" w:rsidRPr="001F33E5">
        <w:rPr>
          <w:lang w:bidi="he-IL"/>
        </w:rPr>
        <w:fldChar w:fldCharType="begin"/>
      </w:r>
      <w:r w:rsidR="001F33E5" w:rsidRPr="001F33E5">
        <w:rPr>
          <w:lang w:bidi="he-IL"/>
        </w:rPr>
        <w:instrText xml:space="preserve"> REF FIG_RATIO_STACKS \h  \* MERGEFORMAT </w:instrText>
      </w:r>
      <w:r w:rsidR="001F33E5" w:rsidRPr="001F33E5">
        <w:rPr>
          <w:lang w:bidi="he-IL"/>
        </w:rPr>
      </w:r>
      <w:r w:rsidR="001F33E5" w:rsidRPr="001F33E5">
        <w:rPr>
          <w:lang w:bidi="he-IL"/>
        </w:rPr>
        <w:fldChar w:fldCharType="separate"/>
      </w:r>
      <w:r w:rsidR="001F33E5" w:rsidRPr="001F33E5">
        <w:t>2</w:t>
      </w:r>
      <w:r w:rsidR="001F33E5" w:rsidRPr="001F33E5">
        <w:rPr>
          <w:lang w:bidi="he-IL"/>
        </w:rPr>
        <w:fldChar w:fldCharType="end"/>
      </w:r>
      <w:r w:rsidR="00DC24F3">
        <w:rPr>
          <w:lang w:bidi="he-IL"/>
        </w:rPr>
        <w:t xml:space="preserve"> and S3</w:t>
      </w:r>
      <w:r>
        <w:rPr>
          <w:lang w:bidi="he-IL"/>
        </w:rPr>
        <w:t xml:space="preserve">. </w:t>
      </w:r>
      <w:r w:rsidR="00DC24F3">
        <w:rPr>
          <w:lang w:bidi="he-IL"/>
        </w:rPr>
        <w:t>In th</w:t>
      </w:r>
      <w:r w:rsidR="00872CD1">
        <w:rPr>
          <w:lang w:bidi="he-IL"/>
        </w:rPr>
        <w:t>e</w:t>
      </w:r>
      <w:r w:rsidR="00DC24F3">
        <w:rPr>
          <w:lang w:bidi="he-IL"/>
        </w:rPr>
        <w:t>s</w:t>
      </w:r>
      <w:r w:rsidR="00872CD1">
        <w:rPr>
          <w:lang w:bidi="he-IL"/>
        </w:rPr>
        <w:t>e</w:t>
      </w:r>
      <w:r w:rsidR="00DC24F3">
        <w:rPr>
          <w:lang w:bidi="he-IL"/>
        </w:rPr>
        <w:t xml:space="preserve"> example</w:t>
      </w:r>
      <w:r w:rsidR="00872CD1">
        <w:rPr>
          <w:lang w:bidi="he-IL"/>
        </w:rPr>
        <w:t>s</w:t>
      </w:r>
      <w:r w:rsidR="00DC24F3">
        <w:rPr>
          <w:lang w:bidi="he-IL"/>
        </w:rPr>
        <w:t>, s</w:t>
      </w:r>
      <w:r>
        <w:rPr>
          <w:lang w:bidi="he-IL"/>
        </w:rPr>
        <w:t xml:space="preserve">pectral ratios are obtained for magnitude 3.3 and 2.8 earthquakes using </w:t>
      </w:r>
      <w:r w:rsidR="00DC24F3">
        <w:rPr>
          <w:lang w:bidi="he-IL"/>
        </w:rPr>
        <w:t>MEFR accelerometer</w:t>
      </w:r>
      <w:r>
        <w:rPr>
          <w:lang w:bidi="he-IL"/>
        </w:rPr>
        <w:t xml:space="preserve"> (panel a), a single DAS channel (panel b), stacks of 1, 5 and 19 km (panels c, d and e, </w:t>
      </w:r>
      <w:r w:rsidR="00C1794C">
        <w:rPr>
          <w:lang w:bidi="he-IL"/>
        </w:rPr>
        <w:t>respectively</w:t>
      </w:r>
      <w:r>
        <w:rPr>
          <w:lang w:bidi="he-IL"/>
        </w:rPr>
        <w:t>), and the full fiber (panel f).</w:t>
      </w:r>
      <w:r w:rsidR="00C9631E">
        <w:rPr>
          <w:lang w:bidi="he-IL"/>
        </w:rPr>
        <w:t xml:space="preserve"> </w:t>
      </w:r>
      <w:r w:rsidR="00DC24F3">
        <w:rPr>
          <w:lang w:bidi="he-IL"/>
        </w:rPr>
        <w:t>F</w:t>
      </w:r>
      <w:r w:rsidR="006B17D7">
        <w:rPr>
          <w:lang w:bidi="he-IL"/>
        </w:rPr>
        <w:t>it</w:t>
      </w:r>
      <w:r w:rsidR="00DC24F3">
        <w:rPr>
          <w:lang w:bidi="he-IL"/>
        </w:rPr>
        <w:t xml:space="preserve">s are </w:t>
      </w:r>
      <w:r w:rsidR="006B17D7">
        <w:rPr>
          <w:lang w:bidi="he-IL"/>
        </w:rPr>
        <w:t xml:space="preserve">quantified using the standard deviation and </w:t>
      </w:r>
      <m:oMath>
        <m:sSup>
          <m:sSupPr>
            <m:ctrlPr>
              <w:rPr>
                <w:rFonts w:ascii="Cambria Math" w:hAnsi="Cambria Math"/>
                <w:i/>
                <w:lang w:bidi="he-IL"/>
              </w:rPr>
            </m:ctrlPr>
          </m:sSupPr>
          <m:e>
            <m:r>
              <w:rPr>
                <w:rFonts w:ascii="Cambria Math" w:hAnsi="Cambria Math"/>
                <w:lang w:bidi="he-IL"/>
              </w:rPr>
              <m:t>R</m:t>
            </m:r>
          </m:e>
          <m:sup>
            <m:r>
              <w:rPr>
                <w:rFonts w:ascii="Cambria Math" w:hAnsi="Cambria Math"/>
                <w:lang w:bidi="he-IL"/>
              </w:rPr>
              <m:t>2</m:t>
            </m:r>
          </m:sup>
        </m:sSup>
      </m:oMath>
      <w:r w:rsidR="00DC24F3">
        <w:rPr>
          <w:lang w:bidi="he-IL"/>
        </w:rPr>
        <w:t xml:space="preserve"> </w:t>
      </w:r>
      <w:r w:rsidR="006B17D7">
        <w:rPr>
          <w:lang w:bidi="he-IL"/>
        </w:rPr>
        <w:t>(panel legends)</w:t>
      </w:r>
      <w:r w:rsidR="00DC24F3">
        <w:rPr>
          <w:lang w:bidi="he-IL"/>
        </w:rPr>
        <w:t>,</w:t>
      </w:r>
      <w:r w:rsidR="006B17D7">
        <w:rPr>
          <w:lang w:bidi="he-IL"/>
        </w:rPr>
        <w:t xml:space="preserve"> and corner frequency </w:t>
      </w:r>
      <w:r w:rsidR="00DC24F3">
        <w:rPr>
          <w:lang w:bidi="he-IL"/>
        </w:rPr>
        <w:t>uncertainties (error bars)</w:t>
      </w:r>
      <w:r w:rsidR="006B17D7">
        <w:rPr>
          <w:lang w:bidi="he-IL"/>
        </w:rPr>
        <w:t xml:space="preserve">. </w:t>
      </w:r>
      <w:r w:rsidR="00A546DF">
        <w:rPr>
          <w:lang w:bidi="he-IL"/>
        </w:rPr>
        <w:t>The fits in Figures</w:t>
      </w:r>
      <w:r w:rsidR="00A546DF" w:rsidRPr="001F33E5">
        <w:rPr>
          <w:lang w:bidi="he-IL"/>
        </w:rPr>
        <w:t xml:space="preserve"> </w:t>
      </w:r>
      <w:r w:rsidR="001F33E5" w:rsidRPr="001F33E5">
        <w:rPr>
          <w:lang w:bidi="he-IL"/>
        </w:rPr>
        <w:fldChar w:fldCharType="begin"/>
      </w:r>
      <w:r w:rsidR="001F33E5" w:rsidRPr="001F33E5">
        <w:rPr>
          <w:lang w:bidi="he-IL"/>
        </w:rPr>
        <w:instrText xml:space="preserve"> REF FIG_RATIO_STACKS \h  \* MERGEFORMAT </w:instrText>
      </w:r>
      <w:r w:rsidR="001F33E5" w:rsidRPr="001F33E5">
        <w:rPr>
          <w:lang w:bidi="he-IL"/>
        </w:rPr>
      </w:r>
      <w:r w:rsidR="001F33E5" w:rsidRPr="001F33E5">
        <w:rPr>
          <w:lang w:bidi="he-IL"/>
        </w:rPr>
        <w:fldChar w:fldCharType="separate"/>
      </w:r>
      <w:r w:rsidR="001F33E5" w:rsidRPr="001F33E5">
        <w:t>2</w:t>
      </w:r>
      <w:r w:rsidR="001F33E5" w:rsidRPr="001F33E5">
        <w:rPr>
          <w:lang w:bidi="he-IL"/>
        </w:rPr>
        <w:fldChar w:fldCharType="end"/>
      </w:r>
      <w:r w:rsidR="00A546DF">
        <w:rPr>
          <w:lang w:bidi="he-IL"/>
        </w:rPr>
        <w:t xml:space="preserve"> and S3 are obtained using the Boatwright </w:t>
      </w:r>
      <w:r w:rsidR="00872CD1">
        <w:rPr>
          <w:lang w:bidi="he-IL"/>
        </w:rPr>
        <w:t>(</w:t>
      </w:r>
      <m:oMath>
        <m:r>
          <w:rPr>
            <w:rFonts w:ascii="Cambria Math" w:hAnsi="Cambria Math"/>
            <w:lang w:bidi="he-IL"/>
          </w:rPr>
          <m:t>γ=2</m:t>
        </m:r>
      </m:oMath>
      <w:r w:rsidR="00872CD1">
        <w:rPr>
          <w:lang w:bidi="he-IL"/>
        </w:rPr>
        <w:t xml:space="preserve"> in </w:t>
      </w:r>
      <w:r w:rsidR="00872CD1" w:rsidRPr="00872CD1">
        <w:rPr>
          <w:rFonts w:asciiTheme="majorBidi" w:hAnsiTheme="majorBidi" w:cstheme="majorBidi"/>
          <w:lang w:bidi="he-IL"/>
        </w:rPr>
        <w:t xml:space="preserve">Equation </w:t>
      </w:r>
      <w:r w:rsidR="00872CD1" w:rsidRPr="00872CD1">
        <w:rPr>
          <w:rFonts w:asciiTheme="majorBidi" w:hAnsiTheme="majorBidi" w:cstheme="majorBidi"/>
          <w:lang w:bidi="he-IL"/>
        </w:rPr>
        <w:fldChar w:fldCharType="begin"/>
      </w:r>
      <w:r w:rsidR="00872CD1" w:rsidRPr="00872CD1">
        <w:rPr>
          <w:rFonts w:asciiTheme="majorBidi" w:hAnsiTheme="majorBidi" w:cstheme="majorBidi"/>
          <w:lang w:bidi="he-IL"/>
        </w:rPr>
        <w:instrText xml:space="preserve"> REF EQ_EGF \h  \* MERGEFORMAT </w:instrText>
      </w:r>
      <w:r w:rsidR="00872CD1" w:rsidRPr="00872CD1">
        <w:rPr>
          <w:rFonts w:asciiTheme="majorBidi" w:hAnsiTheme="majorBidi" w:cstheme="majorBidi"/>
          <w:lang w:bidi="he-IL"/>
        </w:rPr>
      </w:r>
      <w:r w:rsidR="00872CD1" w:rsidRPr="00872CD1">
        <w:rPr>
          <w:rFonts w:asciiTheme="majorBidi" w:hAnsiTheme="majorBidi" w:cstheme="majorBidi"/>
          <w:lang w:bidi="he-IL"/>
        </w:rPr>
        <w:fldChar w:fldCharType="separate"/>
      </w:r>
      <w:r w:rsidR="001F33E5" w:rsidRPr="00350BDD">
        <w:rPr>
          <w:rFonts w:asciiTheme="majorBidi" w:hAnsiTheme="majorBidi" w:cstheme="majorBidi"/>
          <w:noProof/>
        </w:rPr>
        <w:t>3</w:t>
      </w:r>
      <w:r w:rsidR="00872CD1" w:rsidRPr="00872CD1">
        <w:rPr>
          <w:rFonts w:asciiTheme="majorBidi" w:hAnsiTheme="majorBidi" w:cstheme="majorBidi"/>
          <w:lang w:bidi="he-IL"/>
        </w:rPr>
        <w:fldChar w:fldCharType="end"/>
      </w:r>
      <w:r w:rsidR="00872CD1">
        <w:rPr>
          <w:rFonts w:asciiTheme="majorBidi" w:hAnsiTheme="majorBidi" w:cstheme="majorBidi"/>
          <w:lang w:bidi="he-IL"/>
        </w:rPr>
        <w:t xml:space="preserve">) </w:t>
      </w:r>
      <w:r w:rsidR="00A546DF">
        <w:rPr>
          <w:lang w:bidi="he-IL"/>
        </w:rPr>
        <w:t>and Brune (</w:t>
      </w:r>
      <m:oMath>
        <m:r>
          <w:rPr>
            <w:rFonts w:ascii="Cambria Math" w:hAnsi="Cambria Math"/>
            <w:lang w:bidi="he-IL"/>
          </w:rPr>
          <m:t>γ=1</m:t>
        </m:r>
      </m:oMath>
      <w:r w:rsidR="00A546DF">
        <w:rPr>
          <w:lang w:bidi="he-IL"/>
        </w:rPr>
        <w:t xml:space="preserve"> in </w:t>
      </w:r>
      <w:r w:rsidR="00A546DF" w:rsidRPr="00872CD1">
        <w:rPr>
          <w:rFonts w:asciiTheme="majorBidi" w:hAnsiTheme="majorBidi" w:cstheme="majorBidi"/>
          <w:lang w:bidi="he-IL"/>
        </w:rPr>
        <w:t xml:space="preserve">Equation </w:t>
      </w:r>
      <w:r w:rsidR="00A546DF" w:rsidRPr="00872CD1">
        <w:rPr>
          <w:rFonts w:asciiTheme="majorBidi" w:hAnsiTheme="majorBidi" w:cstheme="majorBidi"/>
          <w:lang w:bidi="he-IL"/>
        </w:rPr>
        <w:fldChar w:fldCharType="begin"/>
      </w:r>
      <w:r w:rsidR="00A546DF" w:rsidRPr="00872CD1">
        <w:rPr>
          <w:rFonts w:asciiTheme="majorBidi" w:hAnsiTheme="majorBidi" w:cstheme="majorBidi"/>
          <w:lang w:bidi="he-IL"/>
        </w:rPr>
        <w:instrText xml:space="preserve"> REF EQ_EGF \h </w:instrText>
      </w:r>
      <w:r w:rsidR="00872CD1" w:rsidRPr="00872CD1">
        <w:rPr>
          <w:rFonts w:asciiTheme="majorBidi" w:hAnsiTheme="majorBidi" w:cstheme="majorBidi"/>
          <w:lang w:bidi="he-IL"/>
        </w:rPr>
        <w:instrText xml:space="preserve"> \* MERGEFORMAT </w:instrText>
      </w:r>
      <w:r w:rsidR="00A546DF" w:rsidRPr="00872CD1">
        <w:rPr>
          <w:rFonts w:asciiTheme="majorBidi" w:hAnsiTheme="majorBidi" w:cstheme="majorBidi"/>
          <w:lang w:bidi="he-IL"/>
        </w:rPr>
      </w:r>
      <w:r w:rsidR="00A546DF" w:rsidRPr="00872CD1">
        <w:rPr>
          <w:rFonts w:asciiTheme="majorBidi" w:hAnsiTheme="majorBidi" w:cstheme="majorBidi"/>
          <w:lang w:bidi="he-IL"/>
        </w:rPr>
        <w:fldChar w:fldCharType="separate"/>
      </w:r>
      <w:r w:rsidR="001F33E5" w:rsidRPr="00350BDD">
        <w:rPr>
          <w:rFonts w:asciiTheme="majorBidi" w:hAnsiTheme="majorBidi" w:cstheme="majorBidi"/>
          <w:noProof/>
        </w:rPr>
        <w:t>3</w:t>
      </w:r>
      <w:r w:rsidR="00A546DF" w:rsidRPr="00872CD1">
        <w:rPr>
          <w:rFonts w:asciiTheme="majorBidi" w:hAnsiTheme="majorBidi" w:cstheme="majorBidi"/>
          <w:lang w:bidi="he-IL"/>
        </w:rPr>
        <w:fldChar w:fldCharType="end"/>
      </w:r>
      <w:r w:rsidR="00A546DF">
        <w:rPr>
          <w:lang w:bidi="he-IL"/>
        </w:rPr>
        <w:t>)</w:t>
      </w:r>
      <w:r w:rsidR="00872CD1">
        <w:rPr>
          <w:lang w:bidi="he-IL"/>
        </w:rPr>
        <w:t xml:space="preserve"> models</w:t>
      </w:r>
      <w:r w:rsidR="00A546DF">
        <w:rPr>
          <w:lang w:bidi="he-IL"/>
        </w:rPr>
        <w:t>, respectively.</w:t>
      </w:r>
      <w:r w:rsidR="00263B17">
        <w:rPr>
          <w:lang w:bidi="he-IL"/>
        </w:rPr>
        <w:t xml:space="preserve"> </w:t>
      </w:r>
      <w:r w:rsidR="002324BA">
        <w:rPr>
          <w:lang w:bidi="he-IL"/>
        </w:rPr>
        <w:t>The Boatwright model</w:t>
      </w:r>
      <w:r w:rsidR="0091797A">
        <w:rPr>
          <w:lang w:bidi="he-IL"/>
        </w:rPr>
        <w:t>, with sharper corner frequencies,</w:t>
      </w:r>
      <w:r w:rsidR="002324BA">
        <w:rPr>
          <w:lang w:bidi="he-IL"/>
        </w:rPr>
        <w:t xml:space="preserve"> clearly outperforms the Brune model, producing better fits and lower parameter uncertainties. </w:t>
      </w:r>
      <w:r w:rsidR="00967839">
        <w:rPr>
          <w:lang w:bidi="he-IL"/>
        </w:rPr>
        <w:t xml:space="preserve">Thus, the Boatwright model is used in following analysis. </w:t>
      </w:r>
      <w:r w:rsidR="0077505D">
        <w:rPr>
          <w:lang w:bidi="he-IL"/>
        </w:rPr>
        <w:t>While u</w:t>
      </w:r>
      <w:r w:rsidR="0091797A">
        <w:rPr>
          <w:lang w:bidi="he-IL"/>
        </w:rPr>
        <w:t xml:space="preserve">sing a single accelerometer (panels a) produced slightly better fits </w:t>
      </w:r>
      <w:r w:rsidR="00FD3030">
        <w:rPr>
          <w:lang w:bidi="he-IL"/>
        </w:rPr>
        <w:t xml:space="preserve">than </w:t>
      </w:r>
      <w:r w:rsidR="0091797A">
        <w:rPr>
          <w:lang w:bidi="he-IL"/>
        </w:rPr>
        <w:t>a single DAS channel (panels b)</w:t>
      </w:r>
      <w:r w:rsidR="0077505D">
        <w:rPr>
          <w:lang w:bidi="he-IL"/>
        </w:rPr>
        <w:t xml:space="preserve">, </w:t>
      </w:r>
      <w:r w:rsidR="009549C6">
        <w:rPr>
          <w:lang w:bidi="he-IL"/>
        </w:rPr>
        <w:t>stacking over longer segments</w:t>
      </w:r>
      <w:r w:rsidR="00FD3030">
        <w:rPr>
          <w:lang w:bidi="he-IL"/>
        </w:rPr>
        <w:t xml:space="preserve"> significantly reduces</w:t>
      </w:r>
      <w:r w:rsidR="009549C6">
        <w:rPr>
          <w:lang w:bidi="he-IL"/>
        </w:rPr>
        <w:t xml:space="preserve"> </w:t>
      </w:r>
      <w:r w:rsidR="00654A22">
        <w:rPr>
          <w:lang w:bidi="he-IL"/>
        </w:rPr>
        <w:t>t</w:t>
      </w:r>
      <w:r w:rsidR="0091797A">
        <w:rPr>
          <w:lang w:bidi="he-IL"/>
        </w:rPr>
        <w:t xml:space="preserve">he scatter in the spectral ratios and </w:t>
      </w:r>
      <w:r w:rsidR="00654A22">
        <w:rPr>
          <w:lang w:bidi="he-IL"/>
        </w:rPr>
        <w:t xml:space="preserve">dramatically </w:t>
      </w:r>
      <w:r w:rsidR="0091797A">
        <w:rPr>
          <w:lang w:bidi="he-IL"/>
        </w:rPr>
        <w:t>improve</w:t>
      </w:r>
      <w:r w:rsidR="00FD3030">
        <w:rPr>
          <w:lang w:bidi="he-IL"/>
        </w:rPr>
        <w:t>s the fits (panels c-f)</w:t>
      </w:r>
      <w:r w:rsidR="0091797A">
        <w:rPr>
          <w:lang w:bidi="he-IL"/>
        </w:rPr>
        <w:t>.</w:t>
      </w:r>
    </w:p>
    <w:p w14:paraId="17A595C4" w14:textId="2B073E17" w:rsidR="00CF6279" w:rsidRDefault="00325307" w:rsidP="00FD76B2">
      <w:pPr>
        <w:pStyle w:val="Text"/>
        <w:rPr>
          <w:lang w:bidi="he-IL"/>
        </w:rPr>
      </w:pPr>
      <w:r>
        <w:rPr>
          <w:noProof/>
          <w:lang w:bidi="he-IL"/>
        </w:rPr>
        <mc:AlternateContent>
          <mc:Choice Requires="wps">
            <w:drawing>
              <wp:anchor distT="45720" distB="45720" distL="114300" distR="114300" simplePos="0" relativeHeight="251661312" behindDoc="0" locked="0" layoutInCell="1" allowOverlap="1" wp14:anchorId="484F767B" wp14:editId="755E44CF">
                <wp:simplePos x="0" y="0"/>
                <wp:positionH relativeFrom="margin">
                  <wp:align>right</wp:align>
                </wp:positionH>
                <wp:positionV relativeFrom="paragraph">
                  <wp:posOffset>1236172</wp:posOffset>
                </wp:positionV>
                <wp:extent cx="5915660" cy="4446905"/>
                <wp:effectExtent l="0" t="0" r="8890" b="0"/>
                <wp:wrapSquare wrapText="bothSides"/>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5660" cy="4446905"/>
                        </a:xfrm>
                        <a:prstGeom prst="rect">
                          <a:avLst/>
                        </a:prstGeom>
                        <a:solidFill>
                          <a:srgbClr val="FFFFFF"/>
                        </a:solidFill>
                        <a:ln w="9525">
                          <a:noFill/>
                          <a:miter lim="800000"/>
                          <a:headEnd/>
                          <a:tailEnd/>
                        </a:ln>
                      </wps:spPr>
                      <wps:txbx>
                        <w:txbxContent>
                          <w:p w14:paraId="03557E4D" w14:textId="77777777" w:rsidR="0074563C" w:rsidRDefault="0074563C" w:rsidP="00325307">
                            <w:pPr>
                              <w:pStyle w:val="FigureorTableCaption"/>
                              <w:spacing w:before="0"/>
                              <w:jc w:val="center"/>
                              <w:rPr>
                                <w:b/>
                              </w:rPr>
                            </w:pPr>
                            <w:r>
                              <w:rPr>
                                <w:b/>
                                <w:noProof/>
                              </w:rPr>
                              <w:drawing>
                                <wp:inline distT="0" distB="0" distL="0" distR="0" wp14:anchorId="4C39AC44" wp14:editId="5B9282B9">
                                  <wp:extent cx="3960000" cy="3239076"/>
                                  <wp:effectExtent l="0" t="0" r="254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960000" cy="3239076"/>
                                          </a:xfrm>
                                          <a:prstGeom prst="rect">
                                            <a:avLst/>
                                          </a:prstGeom>
                                          <a:noFill/>
                                          <a:ln>
                                            <a:noFill/>
                                          </a:ln>
                                        </pic:spPr>
                                      </pic:pic>
                                    </a:graphicData>
                                  </a:graphic>
                                </wp:inline>
                              </w:drawing>
                            </w:r>
                          </w:p>
                          <w:p w14:paraId="2172C4AF" w14:textId="01DB1177" w:rsidR="0074563C" w:rsidRPr="00325307" w:rsidRDefault="0074563C" w:rsidP="00325307">
                            <w:pPr>
                              <w:pStyle w:val="FigureorTableCaption"/>
                              <w:spacing w:before="0"/>
                              <w:rPr>
                                <w:b/>
                                <w:sz w:val="22"/>
                                <w:szCs w:val="22"/>
                              </w:rPr>
                            </w:pPr>
                            <w:r w:rsidRPr="00325307">
                              <w:rPr>
                                <w:b/>
                                <w:sz w:val="22"/>
                                <w:szCs w:val="22"/>
                              </w:rPr>
                              <w:t xml:space="preserve">Figure </w:t>
                            </w:r>
                            <w:bookmarkStart w:id="8" w:name="FIG_RATIO_STACKS"/>
                            <w:r w:rsidRPr="00325307">
                              <w:rPr>
                                <w:b/>
                                <w:sz w:val="22"/>
                                <w:szCs w:val="22"/>
                              </w:rPr>
                              <w:t>2</w:t>
                            </w:r>
                            <w:bookmarkEnd w:id="8"/>
                            <w:r w:rsidRPr="00325307">
                              <w:rPr>
                                <w:sz w:val="22"/>
                                <w:szCs w:val="22"/>
                              </w:rPr>
                              <w:t>. Spectral ratios and fits using the Boatwright (</w:t>
                            </w:r>
                            <m:oMath>
                              <m:r>
                                <w:rPr>
                                  <w:rFonts w:ascii="Cambria Math" w:hAnsi="Cambria Math"/>
                                  <w:sz w:val="22"/>
                                  <w:szCs w:val="22"/>
                                </w:rPr>
                                <m:t>γ=2</m:t>
                              </m:r>
                            </m:oMath>
                            <w:r w:rsidRPr="00325307">
                              <w:rPr>
                                <w:sz w:val="22"/>
                                <w:szCs w:val="22"/>
                              </w:rPr>
                              <w:t xml:space="preserve"> in Equation</w:t>
                            </w:r>
                            <w:r w:rsidRPr="00325307">
                              <w:rPr>
                                <w:rFonts w:asciiTheme="majorBidi" w:hAnsiTheme="majorBidi" w:cstheme="majorBidi"/>
                                <w:sz w:val="22"/>
                                <w:szCs w:val="22"/>
                              </w:rPr>
                              <w:t xml:space="preserve"> </w:t>
                            </w:r>
                            <w:r w:rsidRPr="00325307">
                              <w:rPr>
                                <w:rFonts w:asciiTheme="majorBidi" w:hAnsiTheme="majorBidi" w:cstheme="majorBidi"/>
                                <w:sz w:val="22"/>
                                <w:szCs w:val="22"/>
                                <w:lang w:bidi="he-IL"/>
                              </w:rPr>
                              <w:fldChar w:fldCharType="begin"/>
                            </w:r>
                            <w:r w:rsidRPr="00325307">
                              <w:rPr>
                                <w:rFonts w:asciiTheme="majorBidi" w:hAnsiTheme="majorBidi" w:cstheme="majorBidi"/>
                                <w:sz w:val="22"/>
                                <w:szCs w:val="22"/>
                                <w:lang w:bidi="he-IL"/>
                              </w:rPr>
                              <w:instrText xml:space="preserve"> REF EQ_EGF \h  \* MERGEFORMAT </w:instrText>
                            </w:r>
                            <w:r w:rsidRPr="00325307">
                              <w:rPr>
                                <w:rFonts w:asciiTheme="majorBidi" w:hAnsiTheme="majorBidi" w:cstheme="majorBidi"/>
                                <w:sz w:val="22"/>
                                <w:szCs w:val="22"/>
                                <w:lang w:bidi="he-IL"/>
                              </w:rPr>
                            </w:r>
                            <w:r w:rsidRPr="00325307">
                              <w:rPr>
                                <w:rFonts w:asciiTheme="majorBidi" w:hAnsiTheme="majorBidi" w:cstheme="majorBidi"/>
                                <w:sz w:val="22"/>
                                <w:szCs w:val="22"/>
                                <w:lang w:bidi="he-IL"/>
                              </w:rPr>
                              <w:fldChar w:fldCharType="separate"/>
                            </w:r>
                            <w:r w:rsidRPr="00325307">
                              <w:rPr>
                                <w:rFonts w:asciiTheme="majorBidi" w:hAnsiTheme="majorBidi" w:cstheme="majorBidi"/>
                                <w:noProof/>
                                <w:sz w:val="22"/>
                                <w:szCs w:val="22"/>
                              </w:rPr>
                              <w:t>3</w:t>
                            </w:r>
                            <w:r w:rsidRPr="00325307">
                              <w:rPr>
                                <w:rFonts w:asciiTheme="majorBidi" w:hAnsiTheme="majorBidi" w:cstheme="majorBidi"/>
                                <w:sz w:val="22"/>
                                <w:szCs w:val="22"/>
                                <w:lang w:bidi="he-IL"/>
                              </w:rPr>
                              <w:fldChar w:fldCharType="end"/>
                            </w:r>
                            <w:r w:rsidRPr="00325307">
                              <w:rPr>
                                <w:sz w:val="22"/>
                                <w:szCs w:val="22"/>
                              </w:rPr>
                              <w:t xml:space="preserve">) model for magnitudes 3.3 and 2.8. Spectral ratios at (a) MEFR station (geometric mean of both horizontal components), (b) a single DAS channel, and stacks of (c) 1 km, (d) 5 km, (e) 19 km and (f) the full fiber. DAS stacks were centered around km 19 along the fiber. Spectral ratios or stacked ratios, resampled ratios, and model fits are indicated by thin grey curves, black curves, and blue curves, respectively. Standard deviations and </w:t>
                            </w:r>
                            <m:oMath>
                              <m:sSup>
                                <m:sSupPr>
                                  <m:ctrlPr>
                                    <w:rPr>
                                      <w:rFonts w:ascii="Cambria Math" w:hAnsi="Cambria Math"/>
                                      <w:i/>
                                      <w:sz w:val="22"/>
                                      <w:szCs w:val="22"/>
                                    </w:rPr>
                                  </m:ctrlPr>
                                </m:sSupPr>
                                <m:e>
                                  <m:r>
                                    <w:rPr>
                                      <w:rFonts w:ascii="Cambria Math" w:hAnsi="Cambria Math"/>
                                      <w:sz w:val="22"/>
                                      <w:szCs w:val="22"/>
                                    </w:rPr>
                                    <m:t>R</m:t>
                                  </m:r>
                                </m:e>
                                <m:sup>
                                  <m:r>
                                    <w:rPr>
                                      <w:rFonts w:ascii="Cambria Math" w:hAnsi="Cambria Math"/>
                                      <w:sz w:val="22"/>
                                      <w:szCs w:val="22"/>
                                    </w:rPr>
                                    <m:t>2</m:t>
                                  </m:r>
                                </m:sup>
                              </m:sSup>
                            </m:oMath>
                            <w:r w:rsidRPr="00325307">
                              <w:rPr>
                                <w:sz w:val="22"/>
                                <w:szCs w:val="22"/>
                              </w:rPr>
                              <w:t xml:space="preserve"> are indicated in the panel legends, corner frequency uncertainties are indicated by red error bars.</w:t>
                            </w:r>
                          </w:p>
                          <w:p w14:paraId="4AF022EC" w14:textId="490EBE85" w:rsidR="0074563C" w:rsidRPr="00325307" w:rsidRDefault="0074563C" w:rsidP="00325307">
                            <w:pPr>
                              <w:rPr>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4F767B" id="_x0000_s1027" type="#_x0000_t202" style="position:absolute;left:0;text-align:left;margin-left:414.6pt;margin-top:97.35pt;width:465.8pt;height:350.15pt;z-index:25166131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" stroked="f">
                <v:textbox>
                  <w:txbxContent>
                    <w:p w14:paraId="03557E4D" w14:textId="77777777" w:rsidR="0074563C" w:rsidRDefault="0074563C" w:rsidP="00325307">
                      <w:pPr>
                        <w:pStyle w:val="FigureorTableCaption"/>
                        <w:spacing w:before="0"/>
                        <w:jc w:val="center"/>
                        <w:rPr>
                          <w:b/>
                        </w:rPr>
                      </w:pPr>
                      <w:r>
                        <w:rPr>
                          <w:b/>
                          <w:noProof/>
                        </w:rPr>
                        <w:drawing>
                          <wp:inline distT="0" distB="0" distL="0" distR="0" wp14:anchorId="4C39AC44" wp14:editId="5B9282B9">
                            <wp:extent cx="3960000" cy="3239076"/>
                            <wp:effectExtent l="0" t="0" r="254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960000" cy="3239076"/>
                                    </a:xfrm>
                                    <a:prstGeom prst="rect">
                                      <a:avLst/>
                                    </a:prstGeom>
                                    <a:noFill/>
                                    <a:ln>
                                      <a:noFill/>
                                    </a:ln>
                                  </pic:spPr>
                                </pic:pic>
                              </a:graphicData>
                            </a:graphic>
                          </wp:inline>
                        </w:drawing>
                      </w:r>
                    </w:p>
                    <w:p w14:paraId="2172C4AF" w14:textId="01DB1177" w:rsidR="0074563C" w:rsidRPr="00325307" w:rsidRDefault="0074563C" w:rsidP="00325307">
                      <w:pPr>
                        <w:pStyle w:val="FigureorTableCaption"/>
                        <w:spacing w:before="0"/>
                        <w:rPr>
                          <w:b/>
                          <w:sz w:val="22"/>
                          <w:szCs w:val="22"/>
                        </w:rPr>
                      </w:pPr>
                      <w:r w:rsidRPr="00325307">
                        <w:rPr>
                          <w:b/>
                          <w:sz w:val="22"/>
                          <w:szCs w:val="22"/>
                        </w:rPr>
                        <w:t xml:space="preserve">Figure </w:t>
                      </w:r>
                      <w:bookmarkStart w:id="9" w:name="FIG_RATIO_STACKS"/>
                      <w:r w:rsidRPr="00325307">
                        <w:rPr>
                          <w:b/>
                          <w:sz w:val="22"/>
                          <w:szCs w:val="22"/>
                        </w:rPr>
                        <w:t>2</w:t>
                      </w:r>
                      <w:bookmarkEnd w:id="9"/>
                      <w:r w:rsidRPr="00325307">
                        <w:rPr>
                          <w:sz w:val="22"/>
                          <w:szCs w:val="22"/>
                        </w:rPr>
                        <w:t>. Spectral ratios and fits using the Boatwright (</w:t>
                      </w:r>
                      <m:oMath>
                        <m:r>
                          <w:rPr>
                            <w:rFonts w:ascii="Cambria Math" w:hAnsi="Cambria Math"/>
                            <w:sz w:val="22"/>
                            <w:szCs w:val="22"/>
                          </w:rPr>
                          <m:t>γ=2</m:t>
                        </m:r>
                      </m:oMath>
                      <w:r w:rsidRPr="00325307">
                        <w:rPr>
                          <w:sz w:val="22"/>
                          <w:szCs w:val="22"/>
                        </w:rPr>
                        <w:t xml:space="preserve"> in Equation</w:t>
                      </w:r>
                      <w:r w:rsidRPr="00325307">
                        <w:rPr>
                          <w:rFonts w:asciiTheme="majorBidi" w:hAnsiTheme="majorBidi" w:cstheme="majorBidi"/>
                          <w:sz w:val="22"/>
                          <w:szCs w:val="22"/>
                        </w:rPr>
                        <w:t xml:space="preserve"> </w:t>
                      </w:r>
                      <w:r w:rsidRPr="00325307">
                        <w:rPr>
                          <w:rFonts w:asciiTheme="majorBidi" w:hAnsiTheme="majorBidi" w:cstheme="majorBidi"/>
                          <w:sz w:val="22"/>
                          <w:szCs w:val="22"/>
                          <w:lang w:bidi="he-IL"/>
                        </w:rPr>
                        <w:fldChar w:fldCharType="begin"/>
                      </w:r>
                      <w:r w:rsidRPr="00325307">
                        <w:rPr>
                          <w:rFonts w:asciiTheme="majorBidi" w:hAnsiTheme="majorBidi" w:cstheme="majorBidi"/>
                          <w:sz w:val="22"/>
                          <w:szCs w:val="22"/>
                          <w:lang w:bidi="he-IL"/>
                        </w:rPr>
                        <w:instrText xml:space="preserve"> REF EQ_EGF \h  \* MERGEFORMAT </w:instrText>
                      </w:r>
                      <w:r w:rsidRPr="00325307">
                        <w:rPr>
                          <w:rFonts w:asciiTheme="majorBidi" w:hAnsiTheme="majorBidi" w:cstheme="majorBidi"/>
                          <w:sz w:val="22"/>
                          <w:szCs w:val="22"/>
                          <w:lang w:bidi="he-IL"/>
                        </w:rPr>
                      </w:r>
                      <w:r w:rsidRPr="00325307">
                        <w:rPr>
                          <w:rFonts w:asciiTheme="majorBidi" w:hAnsiTheme="majorBidi" w:cstheme="majorBidi"/>
                          <w:sz w:val="22"/>
                          <w:szCs w:val="22"/>
                          <w:lang w:bidi="he-IL"/>
                        </w:rPr>
                        <w:fldChar w:fldCharType="separate"/>
                      </w:r>
                      <w:r w:rsidRPr="00325307">
                        <w:rPr>
                          <w:rFonts w:asciiTheme="majorBidi" w:hAnsiTheme="majorBidi" w:cstheme="majorBidi"/>
                          <w:noProof/>
                          <w:sz w:val="22"/>
                          <w:szCs w:val="22"/>
                        </w:rPr>
                        <w:t>3</w:t>
                      </w:r>
                      <w:r w:rsidRPr="00325307">
                        <w:rPr>
                          <w:rFonts w:asciiTheme="majorBidi" w:hAnsiTheme="majorBidi" w:cstheme="majorBidi"/>
                          <w:sz w:val="22"/>
                          <w:szCs w:val="22"/>
                          <w:lang w:bidi="he-IL"/>
                        </w:rPr>
                        <w:fldChar w:fldCharType="end"/>
                      </w:r>
                      <w:r w:rsidRPr="00325307">
                        <w:rPr>
                          <w:sz w:val="22"/>
                          <w:szCs w:val="22"/>
                        </w:rPr>
                        <w:t xml:space="preserve">) model for magnitudes 3.3 and 2.8. Spectral ratios at (a) MEFR station (geometric mean of both horizontal components), (b) a single DAS channel, and stacks of (c) 1 km, (d) 5 km, (e) 19 km and (f) the full fiber. DAS stacks were centered around km 19 along the fiber. Spectral ratios or stacked ratios, resampled ratios, and model fits are indicated by thin grey curves, black curves, and blue curves, respectively. Standard deviations and </w:t>
                      </w:r>
                      <m:oMath>
                        <m:sSup>
                          <m:sSupPr>
                            <m:ctrlPr>
                              <w:rPr>
                                <w:rFonts w:ascii="Cambria Math" w:hAnsi="Cambria Math"/>
                                <w:i/>
                                <w:sz w:val="22"/>
                                <w:szCs w:val="22"/>
                              </w:rPr>
                            </m:ctrlPr>
                          </m:sSupPr>
                          <m:e>
                            <m:r>
                              <w:rPr>
                                <w:rFonts w:ascii="Cambria Math" w:hAnsi="Cambria Math"/>
                                <w:sz w:val="22"/>
                                <w:szCs w:val="22"/>
                              </w:rPr>
                              <m:t>R</m:t>
                            </m:r>
                          </m:e>
                          <m:sup>
                            <m:r>
                              <w:rPr>
                                <w:rFonts w:ascii="Cambria Math" w:hAnsi="Cambria Math"/>
                                <w:sz w:val="22"/>
                                <w:szCs w:val="22"/>
                              </w:rPr>
                              <m:t>2</m:t>
                            </m:r>
                          </m:sup>
                        </m:sSup>
                      </m:oMath>
                      <w:r w:rsidRPr="00325307">
                        <w:rPr>
                          <w:sz w:val="22"/>
                          <w:szCs w:val="22"/>
                        </w:rPr>
                        <w:t xml:space="preserve"> are indicated in the panel legends, corner frequency uncertainties are indicated by red error bars.</w:t>
                      </w:r>
                    </w:p>
                    <w:p w14:paraId="4AF022EC" w14:textId="490EBE85" w:rsidR="0074563C" w:rsidRPr="00325307" w:rsidRDefault="0074563C" w:rsidP="00325307">
                      <w:pPr>
                        <w:rPr>
                          <w:sz w:val="24"/>
                          <w:szCs w:val="24"/>
                        </w:rPr>
                      </w:pPr>
                    </w:p>
                  </w:txbxContent>
                </v:textbox>
                <w10:wrap type="square" anchorx="margin"/>
              </v:shape>
            </w:pict>
          </mc:Fallback>
        </mc:AlternateContent>
      </w:r>
      <w:r w:rsidR="003F1BE5">
        <w:rPr>
          <w:lang w:bidi="he-IL"/>
        </w:rPr>
        <w:t xml:space="preserve">I calculate model fits to all EGF pairs using full fiber stacks, </w:t>
      </w:r>
      <w:r w:rsidR="003F1BE5" w:rsidRPr="00CB281B">
        <w:rPr>
          <w:lang w:bidi="he-IL"/>
        </w:rPr>
        <w:t>only considering pairs whose magnitudes differ by at least 0.4 units</w:t>
      </w:r>
      <w:r w:rsidR="00CB281B">
        <w:rPr>
          <w:lang w:bidi="he-IL"/>
        </w:rPr>
        <w:t>.</w:t>
      </w:r>
      <w:r w:rsidR="00CF6279">
        <w:rPr>
          <w:lang w:bidi="he-IL"/>
        </w:rPr>
        <w:t xml:space="preserve"> The spectral ratios, fits and goodness of fit parameters are shown in Figure </w:t>
      </w:r>
      <w:r w:rsidR="001F33E5" w:rsidRPr="001F33E5">
        <w:rPr>
          <w:lang w:bidi="he-IL"/>
        </w:rPr>
        <w:fldChar w:fldCharType="begin"/>
      </w:r>
      <w:r w:rsidR="001F33E5" w:rsidRPr="001F33E5">
        <w:rPr>
          <w:lang w:bidi="he-IL"/>
        </w:rPr>
        <w:instrText xml:space="preserve"> REF FIG_RATIO_STACKS_ALL \h  \* MERGEFORMAT </w:instrText>
      </w:r>
      <w:r w:rsidR="001F33E5" w:rsidRPr="001F33E5">
        <w:rPr>
          <w:lang w:bidi="he-IL"/>
        </w:rPr>
      </w:r>
      <w:r w:rsidR="001F33E5" w:rsidRPr="001F33E5">
        <w:rPr>
          <w:lang w:bidi="he-IL"/>
        </w:rPr>
        <w:fldChar w:fldCharType="separate"/>
      </w:r>
      <w:r w:rsidR="001F33E5" w:rsidRPr="001F33E5">
        <w:t>3</w:t>
      </w:r>
      <w:r w:rsidR="001F33E5" w:rsidRPr="001F33E5">
        <w:rPr>
          <w:lang w:bidi="he-IL"/>
        </w:rPr>
        <w:fldChar w:fldCharType="end"/>
      </w:r>
      <w:r w:rsidR="00CF6279">
        <w:rPr>
          <w:lang w:bidi="he-IL"/>
        </w:rPr>
        <w:t xml:space="preserve"> for </w:t>
      </w:r>
      <w:r w:rsidR="00CF6279" w:rsidRPr="00C55991">
        <w:rPr>
          <w:lang w:bidi="he-IL"/>
        </w:rPr>
        <w:t xml:space="preserve">12 </w:t>
      </w:r>
      <w:r w:rsidR="00770BA2">
        <w:rPr>
          <w:lang w:bidi="he-IL"/>
        </w:rPr>
        <w:t>earthquake</w:t>
      </w:r>
      <w:r w:rsidR="00CF6279">
        <w:rPr>
          <w:lang w:bidi="he-IL"/>
        </w:rPr>
        <w:t xml:space="preserve"> pairs. </w:t>
      </w:r>
      <w:r w:rsidR="00320374">
        <w:rPr>
          <w:lang w:bidi="he-IL"/>
        </w:rPr>
        <w:t>Highly r</w:t>
      </w:r>
      <w:r w:rsidR="00CF6279">
        <w:rPr>
          <w:lang w:bidi="he-IL"/>
        </w:rPr>
        <w:t xml:space="preserve">eliable fits are obtained, </w:t>
      </w:r>
      <w:r w:rsidR="00FD76B2">
        <w:rPr>
          <w:lang w:bidi="he-IL"/>
        </w:rPr>
        <w:t xml:space="preserve">with consistent (within </w:t>
      </w:r>
      <w:r w:rsidR="00C1794C">
        <w:rPr>
          <w:lang w:bidi="he-IL"/>
        </w:rPr>
        <w:t>error bars</w:t>
      </w:r>
      <w:r w:rsidR="00FD76B2">
        <w:rPr>
          <w:lang w:bidi="he-IL"/>
        </w:rPr>
        <w:t xml:space="preserve">) </w:t>
      </w:r>
      <w:r w:rsidR="00CF6279">
        <w:rPr>
          <w:lang w:bidi="he-IL"/>
        </w:rPr>
        <w:t>earthquake-specific corner frequencies among different EGF pairs.</w:t>
      </w:r>
    </w:p>
    <w:p w14:paraId="7B1CE6B4" w14:textId="70FAFABF" w:rsidR="005012D3" w:rsidRDefault="007E2B7E" w:rsidP="0075573E">
      <w:pPr>
        <w:pStyle w:val="Heading-Main"/>
      </w:pPr>
      <w:r>
        <w:rPr>
          <w:noProof/>
          <w:lang w:bidi="he-IL"/>
        </w:rPr>
        <w:lastRenderedPageBreak/>
        <mc:AlternateContent>
          <mc:Choice Requires="wps">
            <w:drawing>
              <wp:anchor distT="45720" distB="45720" distL="114300" distR="114300" simplePos="0" relativeHeight="251663360" behindDoc="0" locked="0" layoutInCell="1" allowOverlap="1" wp14:anchorId="3737D950" wp14:editId="1DC80C63">
                <wp:simplePos x="0" y="0"/>
                <wp:positionH relativeFrom="margin">
                  <wp:align>right</wp:align>
                </wp:positionH>
                <wp:positionV relativeFrom="paragraph">
                  <wp:posOffset>346</wp:posOffset>
                </wp:positionV>
                <wp:extent cx="5915660" cy="4391660"/>
                <wp:effectExtent l="0" t="0" r="8890" b="8890"/>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5660" cy="4391660"/>
                        </a:xfrm>
                        <a:prstGeom prst="rect">
                          <a:avLst/>
                        </a:prstGeom>
                        <a:solidFill>
                          <a:srgbClr val="FFFFFF"/>
                        </a:solidFill>
                        <a:ln w="9525">
                          <a:noFill/>
                          <a:miter lim="800000"/>
                          <a:headEnd/>
                          <a:tailEnd/>
                        </a:ln>
                      </wps:spPr>
                      <wps:txbx>
                        <w:txbxContent>
                          <w:p w14:paraId="6247FD29" w14:textId="77777777" w:rsidR="0074563C" w:rsidRDefault="0074563C" w:rsidP="00325307">
                            <w:pPr>
                              <w:pStyle w:val="FigureorTableCaption"/>
                              <w:spacing w:before="0"/>
                              <w:jc w:val="center"/>
                              <w:rPr>
                                <w:b/>
                              </w:rPr>
                            </w:pPr>
                            <w:r>
                              <w:rPr>
                                <w:b/>
                                <w:noProof/>
                              </w:rPr>
                              <w:drawing>
                                <wp:inline distT="0" distB="0" distL="0" distR="0" wp14:anchorId="5A6D36CA" wp14:editId="2ADBC936">
                                  <wp:extent cx="3960000" cy="3299223"/>
                                  <wp:effectExtent l="0" t="0" r="254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60000" cy="3299223"/>
                                          </a:xfrm>
                                          <a:prstGeom prst="rect">
                                            <a:avLst/>
                                          </a:prstGeom>
                                          <a:noFill/>
                                          <a:ln>
                                            <a:noFill/>
                                          </a:ln>
                                        </pic:spPr>
                                      </pic:pic>
                                    </a:graphicData>
                                  </a:graphic>
                                </wp:inline>
                              </w:drawing>
                            </w:r>
                          </w:p>
                          <w:p w14:paraId="5CF7F293" w14:textId="7EC804CD" w:rsidR="0074563C" w:rsidRPr="007E2B7E" w:rsidRDefault="0074563C" w:rsidP="00325307">
                            <w:pPr>
                              <w:rPr>
                                <w:sz w:val="22"/>
                                <w:szCs w:val="22"/>
                              </w:rPr>
                            </w:pPr>
                            <w:r w:rsidRPr="007E2B7E">
                              <w:rPr>
                                <w:b/>
                                <w:sz w:val="22"/>
                                <w:szCs w:val="22"/>
                              </w:rPr>
                              <w:t xml:space="preserve">Figure </w:t>
                            </w:r>
                            <w:bookmarkStart w:id="10" w:name="FIG_RATIO_STACKS_ALL"/>
                            <w:r w:rsidRPr="007E2B7E">
                              <w:rPr>
                                <w:b/>
                                <w:sz w:val="22"/>
                                <w:szCs w:val="22"/>
                              </w:rPr>
                              <w:t>3</w:t>
                            </w:r>
                            <w:bookmarkEnd w:id="10"/>
                            <w:r w:rsidRPr="007E2B7E">
                              <w:rPr>
                                <w:sz w:val="22"/>
                                <w:szCs w:val="22"/>
                              </w:rPr>
                              <w:t>. Spectral ratios fits using the Boatwright (</w:t>
                            </w:r>
                            <m:oMath>
                              <m:r>
                                <w:rPr>
                                  <w:rFonts w:ascii="Cambria Math" w:hAnsi="Cambria Math"/>
                                  <w:sz w:val="22"/>
                                  <w:szCs w:val="22"/>
                                </w:rPr>
                                <m:t>γ=2</m:t>
                              </m:r>
                            </m:oMath>
                            <w:r w:rsidRPr="007E2B7E">
                              <w:rPr>
                                <w:sz w:val="22"/>
                                <w:szCs w:val="22"/>
                              </w:rPr>
                              <w:t xml:space="preserve"> </w:t>
                            </w:r>
                            <w:r w:rsidRPr="007E2B7E">
                              <w:rPr>
                                <w:rFonts w:asciiTheme="majorBidi" w:hAnsiTheme="majorBidi" w:cstheme="majorBidi"/>
                                <w:sz w:val="22"/>
                                <w:szCs w:val="22"/>
                              </w:rPr>
                              <w:t xml:space="preserve">in Equation </w:t>
                            </w:r>
                            <w:r w:rsidRPr="007E2B7E">
                              <w:rPr>
                                <w:rFonts w:asciiTheme="majorBidi" w:hAnsiTheme="majorBidi" w:cstheme="majorBidi"/>
                                <w:sz w:val="22"/>
                                <w:szCs w:val="22"/>
                                <w:lang w:bidi="he-IL"/>
                              </w:rPr>
                              <w:fldChar w:fldCharType="begin"/>
                            </w:r>
                            <w:r w:rsidRPr="007E2B7E">
                              <w:rPr>
                                <w:rFonts w:asciiTheme="majorBidi" w:hAnsiTheme="majorBidi" w:cstheme="majorBidi"/>
                                <w:sz w:val="22"/>
                                <w:szCs w:val="22"/>
                                <w:lang w:bidi="he-IL"/>
                              </w:rPr>
                              <w:instrText xml:space="preserve"> REF EQ_EGF \h  \* MERGEFORMAT </w:instrText>
                            </w:r>
                            <w:r w:rsidRPr="007E2B7E">
                              <w:rPr>
                                <w:rFonts w:asciiTheme="majorBidi" w:hAnsiTheme="majorBidi" w:cstheme="majorBidi"/>
                                <w:sz w:val="22"/>
                                <w:szCs w:val="22"/>
                                <w:lang w:bidi="he-IL"/>
                              </w:rPr>
                            </w:r>
                            <w:r w:rsidRPr="007E2B7E">
                              <w:rPr>
                                <w:rFonts w:asciiTheme="majorBidi" w:hAnsiTheme="majorBidi" w:cstheme="majorBidi"/>
                                <w:sz w:val="22"/>
                                <w:szCs w:val="22"/>
                                <w:lang w:bidi="he-IL"/>
                              </w:rPr>
                              <w:fldChar w:fldCharType="separate"/>
                            </w:r>
                            <w:r w:rsidRPr="007E2B7E">
                              <w:rPr>
                                <w:rFonts w:asciiTheme="majorBidi" w:hAnsiTheme="majorBidi" w:cstheme="majorBidi"/>
                                <w:noProof/>
                                <w:sz w:val="22"/>
                                <w:szCs w:val="22"/>
                              </w:rPr>
                              <w:t>3</w:t>
                            </w:r>
                            <w:r w:rsidRPr="007E2B7E">
                              <w:rPr>
                                <w:rFonts w:asciiTheme="majorBidi" w:hAnsiTheme="majorBidi" w:cstheme="majorBidi"/>
                                <w:sz w:val="22"/>
                                <w:szCs w:val="22"/>
                                <w:lang w:bidi="he-IL"/>
                              </w:rPr>
                              <w:fldChar w:fldCharType="end"/>
                            </w:r>
                            <w:r w:rsidRPr="007E2B7E">
                              <w:rPr>
                                <w:sz w:val="22"/>
                                <w:szCs w:val="22"/>
                              </w:rPr>
                              <w:t xml:space="preserve">) model for different earthquake pairs. Stacked spectral ratios, resampled ratios and model fits are indicated by thin grey curves, black curves, and colored curves, respectively. Standard deviations and </w:t>
                            </w:r>
                            <m:oMath>
                              <m:sSup>
                                <m:sSupPr>
                                  <m:ctrlPr>
                                    <w:rPr>
                                      <w:rFonts w:ascii="Cambria Math" w:hAnsi="Cambria Math"/>
                                      <w:i/>
                                      <w:sz w:val="22"/>
                                      <w:szCs w:val="22"/>
                                    </w:rPr>
                                  </m:ctrlPr>
                                </m:sSupPr>
                                <m:e>
                                  <m:r>
                                    <w:rPr>
                                      <w:rFonts w:ascii="Cambria Math" w:hAnsi="Cambria Math"/>
                                      <w:sz w:val="22"/>
                                      <w:szCs w:val="22"/>
                                    </w:rPr>
                                    <m:t>R</m:t>
                                  </m:r>
                                </m:e>
                                <m:sup>
                                  <m:r>
                                    <w:rPr>
                                      <w:rFonts w:ascii="Cambria Math" w:hAnsi="Cambria Math"/>
                                      <w:sz w:val="22"/>
                                      <w:szCs w:val="22"/>
                                    </w:rPr>
                                    <m:t>2</m:t>
                                  </m:r>
                                </m:sup>
                              </m:sSup>
                            </m:oMath>
                            <w:r w:rsidRPr="007E2B7E">
                              <w:rPr>
                                <w:sz w:val="22"/>
                                <w:szCs w:val="22"/>
                              </w:rPr>
                              <w:t xml:space="preserve"> are indicated in the panel legends, corner frequency uncertainties are indicated by horizontal error bars. Red, blue and purple curves correspond to different larger earthquake while each panel shows a specific smaller earthquake.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37D950" id="_x0000_s1028" type="#_x0000_t202" style="position:absolute;margin-left:414.6pt;margin-top:.05pt;width:465.8pt;height:345.8pt;z-index:25166336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" stroked="f">
                <v:textbox>
                  <w:txbxContent>
                    <w:p w14:paraId="6247FD29" w14:textId="77777777" w:rsidR="0074563C" w:rsidRDefault="0074563C" w:rsidP="00325307">
                      <w:pPr>
                        <w:pStyle w:val="FigureorTableCaption"/>
                        <w:spacing w:before="0"/>
                        <w:jc w:val="center"/>
                        <w:rPr>
                          <w:b/>
                        </w:rPr>
                      </w:pPr>
                      <w:r>
                        <w:rPr>
                          <w:b/>
                          <w:noProof/>
                        </w:rPr>
                        <w:drawing>
                          <wp:inline distT="0" distB="0" distL="0" distR="0" wp14:anchorId="5A6D36CA" wp14:editId="2ADBC936">
                            <wp:extent cx="3960000" cy="3299223"/>
                            <wp:effectExtent l="0" t="0" r="254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60000" cy="3299223"/>
                                    </a:xfrm>
                                    <a:prstGeom prst="rect">
                                      <a:avLst/>
                                    </a:prstGeom>
                                    <a:noFill/>
                                    <a:ln>
                                      <a:noFill/>
                                    </a:ln>
                                  </pic:spPr>
                                </pic:pic>
                              </a:graphicData>
                            </a:graphic>
                          </wp:inline>
                        </w:drawing>
                      </w:r>
                    </w:p>
                    <w:p w14:paraId="5CF7F293" w14:textId="7EC804CD" w:rsidR="0074563C" w:rsidRPr="007E2B7E" w:rsidRDefault="0074563C" w:rsidP="00325307">
                      <w:pPr>
                        <w:rPr>
                          <w:sz w:val="22"/>
                          <w:szCs w:val="22"/>
                        </w:rPr>
                      </w:pPr>
                      <w:r w:rsidRPr="007E2B7E">
                        <w:rPr>
                          <w:b/>
                          <w:sz w:val="22"/>
                          <w:szCs w:val="22"/>
                        </w:rPr>
                        <w:t xml:space="preserve">Figure </w:t>
                      </w:r>
                      <w:bookmarkStart w:id="11" w:name="FIG_RATIO_STACKS_ALL"/>
                      <w:r w:rsidRPr="007E2B7E">
                        <w:rPr>
                          <w:b/>
                          <w:sz w:val="22"/>
                          <w:szCs w:val="22"/>
                        </w:rPr>
                        <w:t>3</w:t>
                      </w:r>
                      <w:bookmarkEnd w:id="11"/>
                      <w:r w:rsidRPr="007E2B7E">
                        <w:rPr>
                          <w:sz w:val="22"/>
                          <w:szCs w:val="22"/>
                        </w:rPr>
                        <w:t>. Spectral ratios fits using the Boatwright (</w:t>
                      </w:r>
                      <m:oMath>
                        <m:r>
                          <w:rPr>
                            <w:rFonts w:ascii="Cambria Math" w:hAnsi="Cambria Math"/>
                            <w:sz w:val="22"/>
                            <w:szCs w:val="22"/>
                          </w:rPr>
                          <m:t>γ=2</m:t>
                        </m:r>
                      </m:oMath>
                      <w:r w:rsidRPr="007E2B7E">
                        <w:rPr>
                          <w:sz w:val="22"/>
                          <w:szCs w:val="22"/>
                        </w:rPr>
                        <w:t xml:space="preserve"> </w:t>
                      </w:r>
                      <w:r w:rsidRPr="007E2B7E">
                        <w:rPr>
                          <w:rFonts w:asciiTheme="majorBidi" w:hAnsiTheme="majorBidi" w:cstheme="majorBidi"/>
                          <w:sz w:val="22"/>
                          <w:szCs w:val="22"/>
                        </w:rPr>
                        <w:t xml:space="preserve">in Equation </w:t>
                      </w:r>
                      <w:r w:rsidRPr="007E2B7E">
                        <w:rPr>
                          <w:rFonts w:asciiTheme="majorBidi" w:hAnsiTheme="majorBidi" w:cstheme="majorBidi"/>
                          <w:sz w:val="22"/>
                          <w:szCs w:val="22"/>
                          <w:lang w:bidi="he-IL"/>
                        </w:rPr>
                        <w:fldChar w:fldCharType="begin"/>
                      </w:r>
                      <w:r w:rsidRPr="007E2B7E">
                        <w:rPr>
                          <w:rFonts w:asciiTheme="majorBidi" w:hAnsiTheme="majorBidi" w:cstheme="majorBidi"/>
                          <w:sz w:val="22"/>
                          <w:szCs w:val="22"/>
                          <w:lang w:bidi="he-IL"/>
                        </w:rPr>
                        <w:instrText xml:space="preserve"> REF EQ_EGF \h  \* MERGEFORMAT </w:instrText>
                      </w:r>
                      <w:r w:rsidRPr="007E2B7E">
                        <w:rPr>
                          <w:rFonts w:asciiTheme="majorBidi" w:hAnsiTheme="majorBidi" w:cstheme="majorBidi"/>
                          <w:sz w:val="22"/>
                          <w:szCs w:val="22"/>
                          <w:lang w:bidi="he-IL"/>
                        </w:rPr>
                      </w:r>
                      <w:r w:rsidRPr="007E2B7E">
                        <w:rPr>
                          <w:rFonts w:asciiTheme="majorBidi" w:hAnsiTheme="majorBidi" w:cstheme="majorBidi"/>
                          <w:sz w:val="22"/>
                          <w:szCs w:val="22"/>
                          <w:lang w:bidi="he-IL"/>
                        </w:rPr>
                        <w:fldChar w:fldCharType="separate"/>
                      </w:r>
                      <w:r w:rsidRPr="007E2B7E">
                        <w:rPr>
                          <w:rFonts w:asciiTheme="majorBidi" w:hAnsiTheme="majorBidi" w:cstheme="majorBidi"/>
                          <w:noProof/>
                          <w:sz w:val="22"/>
                          <w:szCs w:val="22"/>
                        </w:rPr>
                        <w:t>3</w:t>
                      </w:r>
                      <w:r w:rsidRPr="007E2B7E">
                        <w:rPr>
                          <w:rFonts w:asciiTheme="majorBidi" w:hAnsiTheme="majorBidi" w:cstheme="majorBidi"/>
                          <w:sz w:val="22"/>
                          <w:szCs w:val="22"/>
                          <w:lang w:bidi="he-IL"/>
                        </w:rPr>
                        <w:fldChar w:fldCharType="end"/>
                      </w:r>
                      <w:r w:rsidRPr="007E2B7E">
                        <w:rPr>
                          <w:sz w:val="22"/>
                          <w:szCs w:val="22"/>
                        </w:rPr>
                        <w:t xml:space="preserve">) model for different earthquake pairs. Stacked spectral ratios, resampled ratios and model fits are indicated by thin grey curves, black curves, and colored curves, respectively. Standard deviations and </w:t>
                      </w:r>
                      <m:oMath>
                        <m:sSup>
                          <m:sSupPr>
                            <m:ctrlPr>
                              <w:rPr>
                                <w:rFonts w:ascii="Cambria Math" w:hAnsi="Cambria Math"/>
                                <w:i/>
                                <w:sz w:val="22"/>
                                <w:szCs w:val="22"/>
                              </w:rPr>
                            </m:ctrlPr>
                          </m:sSupPr>
                          <m:e>
                            <m:r>
                              <w:rPr>
                                <w:rFonts w:ascii="Cambria Math" w:hAnsi="Cambria Math"/>
                                <w:sz w:val="22"/>
                                <w:szCs w:val="22"/>
                              </w:rPr>
                              <m:t>R</m:t>
                            </m:r>
                          </m:e>
                          <m:sup>
                            <m:r>
                              <w:rPr>
                                <w:rFonts w:ascii="Cambria Math" w:hAnsi="Cambria Math"/>
                                <w:sz w:val="22"/>
                                <w:szCs w:val="22"/>
                              </w:rPr>
                              <m:t>2</m:t>
                            </m:r>
                          </m:sup>
                        </m:sSup>
                      </m:oMath>
                      <w:r w:rsidRPr="007E2B7E">
                        <w:rPr>
                          <w:sz w:val="22"/>
                          <w:szCs w:val="22"/>
                        </w:rPr>
                        <w:t xml:space="preserve"> are indicated in the panel legends, corner frequency uncertainties are indicated by horizontal error bars. Red, blue and purple curves correspond to different larger earthquake while each panel shows a specific smaller earthquake.</w:t>
                      </w:r>
                    </w:p>
                  </w:txbxContent>
                </v:textbox>
                <w10:wrap type="square" anchorx="margin"/>
              </v:shape>
            </w:pict>
          </mc:Fallback>
        </mc:AlternateContent>
      </w:r>
      <w:r w:rsidR="005012D3">
        <w:t xml:space="preserve">4 Implications for Source </w:t>
      </w:r>
      <w:r w:rsidR="00467596">
        <w:t>P</w:t>
      </w:r>
      <w:r w:rsidR="000A0EAA">
        <w:t xml:space="preserve">arameter </w:t>
      </w:r>
      <w:r w:rsidR="00467596">
        <w:t>S</w:t>
      </w:r>
      <w:r w:rsidR="000A0EAA">
        <w:t>tudies</w:t>
      </w:r>
    </w:p>
    <w:p w14:paraId="19D3A92B" w14:textId="07E8B5DD" w:rsidR="009B53AF" w:rsidRDefault="00EC7965" w:rsidP="00174EA6">
      <w:pPr>
        <w:pStyle w:val="Text"/>
        <w:rPr>
          <w:lang w:bidi="he-IL"/>
        </w:rPr>
      </w:pPr>
      <w:r>
        <w:rPr>
          <w:lang w:bidi="he-IL"/>
        </w:rPr>
        <w:t>T</w:t>
      </w:r>
      <w:r w:rsidR="00320374">
        <w:rPr>
          <w:lang w:bidi="he-IL"/>
        </w:rPr>
        <w:t xml:space="preserve">he </w:t>
      </w:r>
      <w:r w:rsidR="00863D31">
        <w:rPr>
          <w:lang w:bidi="he-IL"/>
        </w:rPr>
        <w:t>spectral ratios</w:t>
      </w:r>
      <w:r w:rsidR="00320374">
        <w:rPr>
          <w:lang w:bidi="he-IL"/>
        </w:rPr>
        <w:t xml:space="preserve"> </w:t>
      </w:r>
      <w:r w:rsidR="000B5FE2">
        <w:rPr>
          <w:lang w:bidi="he-IL"/>
        </w:rPr>
        <w:t>method</w:t>
      </w:r>
      <w:r w:rsidR="00320374">
        <w:rPr>
          <w:lang w:bidi="he-IL"/>
        </w:rPr>
        <w:t xml:space="preserve"> produces </w:t>
      </w:r>
      <w:r w:rsidR="0056180E">
        <w:rPr>
          <w:lang w:bidi="he-IL"/>
        </w:rPr>
        <w:t xml:space="preserve">accurate corner frequencies, but only </w:t>
      </w:r>
      <w:r w:rsidR="00320374">
        <w:rPr>
          <w:lang w:bidi="he-IL"/>
        </w:rPr>
        <w:t>relative seismic moments</w:t>
      </w:r>
      <w:r w:rsidR="00556ED7">
        <w:rPr>
          <w:lang w:bidi="he-IL"/>
        </w:rPr>
        <w:t>;</w:t>
      </w:r>
      <w:r w:rsidR="00320374">
        <w:rPr>
          <w:lang w:bidi="he-IL"/>
        </w:rPr>
        <w:t xml:space="preserve"> </w:t>
      </w:r>
      <w:r w:rsidR="0056180E">
        <w:rPr>
          <w:lang w:bidi="he-IL"/>
        </w:rPr>
        <w:t>for accurate stress drop</w:t>
      </w:r>
      <w:r w:rsidR="00655E3B">
        <w:rPr>
          <w:lang w:bidi="he-IL"/>
        </w:rPr>
        <w:t>s</w:t>
      </w:r>
      <w:r w:rsidR="0056180E">
        <w:rPr>
          <w:lang w:bidi="he-IL"/>
        </w:rPr>
        <w:t xml:space="preserve">, reliable moment </w:t>
      </w:r>
      <w:r w:rsidR="00655E3B">
        <w:rPr>
          <w:lang w:bidi="he-IL"/>
        </w:rPr>
        <w:t>estimations are</w:t>
      </w:r>
      <w:r w:rsidR="0056180E">
        <w:rPr>
          <w:lang w:bidi="he-IL"/>
        </w:rPr>
        <w:t xml:space="preserve"> needed</w:t>
      </w:r>
      <w:r w:rsidR="00491D5D">
        <w:rPr>
          <w:lang w:bidi="he-IL"/>
        </w:rPr>
        <w:t xml:space="preserve"> (Equation </w:t>
      </w:r>
      <w:r w:rsidR="00491D5D" w:rsidRPr="00027B81">
        <w:rPr>
          <w:rFonts w:asciiTheme="majorBidi" w:hAnsiTheme="majorBidi" w:cstheme="majorBidi"/>
          <w:lang w:bidi="he-IL"/>
        </w:rPr>
        <w:fldChar w:fldCharType="begin"/>
      </w:r>
      <w:r w:rsidR="00491D5D" w:rsidRPr="00027B81">
        <w:rPr>
          <w:rFonts w:asciiTheme="majorBidi" w:hAnsiTheme="majorBidi" w:cstheme="majorBidi"/>
          <w:lang w:bidi="he-IL"/>
        </w:rPr>
        <w:instrText xml:space="preserve"> REF SD_M0_F0 \h  \* MERGEFORMAT </w:instrText>
      </w:r>
      <w:r w:rsidR="00491D5D" w:rsidRPr="00027B81">
        <w:rPr>
          <w:rFonts w:asciiTheme="majorBidi" w:hAnsiTheme="majorBidi" w:cstheme="majorBidi"/>
          <w:lang w:bidi="he-IL"/>
        </w:rPr>
      </w:r>
      <w:r w:rsidR="00491D5D" w:rsidRPr="00027B81">
        <w:rPr>
          <w:rFonts w:asciiTheme="majorBidi" w:hAnsiTheme="majorBidi" w:cstheme="majorBidi"/>
          <w:lang w:bidi="he-IL"/>
        </w:rPr>
        <w:fldChar w:fldCharType="separate"/>
      </w:r>
      <w:r w:rsidR="00491D5D" w:rsidRPr="00027B81">
        <w:rPr>
          <w:rFonts w:asciiTheme="majorBidi" w:hAnsiTheme="majorBidi" w:cstheme="majorBidi"/>
          <w:noProof/>
        </w:rPr>
        <w:t>2</w:t>
      </w:r>
      <w:r w:rsidR="00491D5D" w:rsidRPr="00027B81">
        <w:rPr>
          <w:rFonts w:asciiTheme="majorBidi" w:hAnsiTheme="majorBidi" w:cstheme="majorBidi"/>
          <w:lang w:bidi="he-IL"/>
        </w:rPr>
        <w:fldChar w:fldCharType="end"/>
      </w:r>
      <w:r w:rsidR="00491D5D">
        <w:rPr>
          <w:lang w:bidi="he-IL"/>
        </w:rPr>
        <w:t>)</w:t>
      </w:r>
      <w:r w:rsidR="0056180E">
        <w:rPr>
          <w:lang w:bidi="he-IL"/>
        </w:rPr>
        <w:t xml:space="preserve">. </w:t>
      </w:r>
      <w:r w:rsidR="00655E3B">
        <w:rPr>
          <w:lang w:bidi="he-IL"/>
        </w:rPr>
        <w:t xml:space="preserve">The obtained results are unique in that each </w:t>
      </w:r>
      <w:r w:rsidR="00200DA9">
        <w:rPr>
          <w:lang w:bidi="he-IL"/>
        </w:rPr>
        <w:t xml:space="preserve">of the 7 </w:t>
      </w:r>
      <w:r w:rsidR="00655E3B">
        <w:rPr>
          <w:lang w:bidi="he-IL"/>
        </w:rPr>
        <w:t>earthquake</w:t>
      </w:r>
      <w:r w:rsidR="00200DA9">
        <w:rPr>
          <w:lang w:bidi="he-IL"/>
        </w:rPr>
        <w:t>s</w:t>
      </w:r>
      <w:r w:rsidR="00655E3B">
        <w:rPr>
          <w:lang w:bidi="he-IL"/>
        </w:rPr>
        <w:t xml:space="preserve"> </w:t>
      </w:r>
      <w:r w:rsidR="00200DA9">
        <w:rPr>
          <w:lang w:bidi="he-IL"/>
        </w:rPr>
        <w:t>is used for</w:t>
      </w:r>
      <w:r w:rsidR="00655E3B">
        <w:rPr>
          <w:lang w:bidi="he-IL"/>
        </w:rPr>
        <w:t xml:space="preserve"> 3</w:t>
      </w:r>
      <w:r w:rsidR="00C55991">
        <w:rPr>
          <w:lang w:bidi="he-IL"/>
        </w:rPr>
        <w:t xml:space="preserve"> or 4</w:t>
      </w:r>
      <w:r w:rsidR="00655E3B">
        <w:rPr>
          <w:lang w:bidi="he-IL"/>
        </w:rPr>
        <w:t xml:space="preserve"> different EGF pairs (Figure </w:t>
      </w:r>
      <w:r w:rsidR="001F33E5" w:rsidRPr="001F33E5">
        <w:rPr>
          <w:lang w:bidi="he-IL"/>
        </w:rPr>
        <w:fldChar w:fldCharType="begin"/>
      </w:r>
      <w:r w:rsidR="001F33E5" w:rsidRPr="001F33E5">
        <w:rPr>
          <w:lang w:bidi="he-IL"/>
        </w:rPr>
        <w:instrText xml:space="preserve"> REF FIG_RATIO_STACKS_ALL \h  \* MERGEFORMAT </w:instrText>
      </w:r>
      <w:r w:rsidR="001F33E5" w:rsidRPr="001F33E5">
        <w:rPr>
          <w:lang w:bidi="he-IL"/>
        </w:rPr>
      </w:r>
      <w:r w:rsidR="001F33E5" w:rsidRPr="001F33E5">
        <w:rPr>
          <w:lang w:bidi="he-IL"/>
        </w:rPr>
        <w:fldChar w:fldCharType="separate"/>
      </w:r>
      <w:r w:rsidR="001F33E5" w:rsidRPr="001F33E5">
        <w:t>3</w:t>
      </w:r>
      <w:r w:rsidR="001F33E5" w:rsidRPr="001F33E5">
        <w:rPr>
          <w:lang w:bidi="he-IL"/>
        </w:rPr>
        <w:fldChar w:fldCharType="end"/>
      </w:r>
      <w:r w:rsidR="00655E3B">
        <w:rPr>
          <w:lang w:bidi="he-IL"/>
        </w:rPr>
        <w:t>)</w:t>
      </w:r>
      <w:r w:rsidR="00200DA9">
        <w:rPr>
          <w:lang w:bidi="he-IL"/>
        </w:rPr>
        <w:t>, resulting in several corner frequency and relative moment estimates</w:t>
      </w:r>
      <w:r w:rsidR="00116BDE">
        <w:rPr>
          <w:lang w:bidi="he-IL"/>
        </w:rPr>
        <w:t xml:space="preserve"> per earthquake</w:t>
      </w:r>
      <w:r w:rsidR="008E3D4C">
        <w:rPr>
          <w:lang w:bidi="he-IL"/>
        </w:rPr>
        <w:t>, such that all moments may be estimated if one is known</w:t>
      </w:r>
      <w:r w:rsidR="00A151E5">
        <w:rPr>
          <w:lang w:bidi="he-IL"/>
        </w:rPr>
        <w:t xml:space="preserve">. </w:t>
      </w:r>
      <w:r w:rsidR="00E6338E">
        <w:rPr>
          <w:lang w:bidi="he-IL"/>
        </w:rPr>
        <w:t>Here</w:t>
      </w:r>
      <w:r w:rsidR="009B53AF">
        <w:rPr>
          <w:lang w:bidi="he-IL"/>
        </w:rPr>
        <w:t xml:space="preserve">, seismic moments </w:t>
      </w:r>
      <w:r w:rsidR="00181041">
        <w:rPr>
          <w:lang w:bidi="he-IL"/>
        </w:rPr>
        <w:t>were</w:t>
      </w:r>
      <w:r w:rsidR="009B53AF">
        <w:rPr>
          <w:lang w:bidi="he-IL"/>
        </w:rPr>
        <w:t xml:space="preserve"> determined </w:t>
      </w:r>
      <w:r w:rsidR="00F14FEE">
        <w:rPr>
          <w:lang w:bidi="he-IL"/>
        </w:rPr>
        <w:t xml:space="preserve">using a </w:t>
      </w:r>
      <w:r w:rsidR="00C0497C">
        <w:rPr>
          <w:lang w:bidi="he-IL"/>
        </w:rPr>
        <w:t xml:space="preserve">linear </w:t>
      </w:r>
      <w:r w:rsidR="00F14FEE">
        <w:rPr>
          <w:lang w:bidi="he-IL"/>
        </w:rPr>
        <w:t xml:space="preserve">least-squares </w:t>
      </w:r>
      <w:r w:rsidR="00C55991">
        <w:rPr>
          <w:lang w:bidi="he-IL"/>
        </w:rPr>
        <w:t>inversion</w:t>
      </w:r>
      <w:r w:rsidR="00F14FEE">
        <w:rPr>
          <w:lang w:bidi="he-IL"/>
        </w:rPr>
        <w:t>, detailed in Text S2</w:t>
      </w:r>
      <w:r w:rsidR="002679C1">
        <w:rPr>
          <w:lang w:bidi="he-IL"/>
        </w:rPr>
        <w:t xml:space="preserve">, </w:t>
      </w:r>
      <w:bookmarkStart w:id="12" w:name="_Hlk135124661"/>
      <w:r w:rsidR="002679C1">
        <w:rPr>
          <w:lang w:bidi="he-IL"/>
        </w:rPr>
        <w:t xml:space="preserve">where </w:t>
      </w:r>
      <w:r w:rsidR="005F37EE">
        <w:rPr>
          <w:lang w:bidi="he-IL"/>
        </w:rPr>
        <w:t xml:space="preserve">the magnitude of the largest earthquake </w:t>
      </w:r>
      <w:r w:rsidR="00E7224E">
        <w:rPr>
          <w:lang w:bidi="he-IL"/>
        </w:rPr>
        <w:t>was</w:t>
      </w:r>
      <w:r w:rsidR="002679C1">
        <w:rPr>
          <w:lang w:bidi="he-IL"/>
        </w:rPr>
        <w:t xml:space="preserve"> fixed </w:t>
      </w:r>
      <w:r w:rsidR="005F37EE">
        <w:rPr>
          <w:lang w:bidi="he-IL"/>
        </w:rPr>
        <w:t xml:space="preserve">to its catalog </w:t>
      </w:r>
      <w:r w:rsidR="001718E4">
        <w:rPr>
          <w:lang w:bidi="he-IL"/>
        </w:rPr>
        <w:t>moment magnitude</w:t>
      </w:r>
      <w:r w:rsidR="005F37EE">
        <w:rPr>
          <w:lang w:bidi="he-IL"/>
        </w:rPr>
        <w:t xml:space="preserve"> of 4.3</w:t>
      </w:r>
      <w:bookmarkEnd w:id="12"/>
      <w:r w:rsidR="005F37EE">
        <w:rPr>
          <w:lang w:bidi="he-IL"/>
        </w:rPr>
        <w:t xml:space="preserve"> (Table </w:t>
      </w:r>
      <w:r w:rsidR="00144E29">
        <w:rPr>
          <w:lang w:bidi="he-IL"/>
        </w:rPr>
        <w:t>S</w:t>
      </w:r>
      <w:r w:rsidR="005F37EE">
        <w:rPr>
          <w:lang w:bidi="he-IL"/>
        </w:rPr>
        <w:t>1).</w:t>
      </w:r>
      <w:r w:rsidR="00A678E9">
        <w:rPr>
          <w:lang w:bidi="he-IL"/>
        </w:rPr>
        <w:t xml:space="preserve"> The inversion produced stable earthquake specific seismic moment</w:t>
      </w:r>
      <w:r w:rsidR="000745B7">
        <w:rPr>
          <w:lang w:bidi="he-IL"/>
        </w:rPr>
        <w:t>s</w:t>
      </w:r>
      <w:r w:rsidR="002475EC">
        <w:rPr>
          <w:lang w:bidi="he-IL"/>
        </w:rPr>
        <w:t xml:space="preserve"> </w:t>
      </w:r>
      <w:r w:rsidR="00181041">
        <w:rPr>
          <w:lang w:bidi="he-IL"/>
        </w:rPr>
        <w:t>(Figure S4)</w:t>
      </w:r>
      <w:r w:rsidR="00A678E9">
        <w:rPr>
          <w:lang w:bidi="he-IL"/>
        </w:rPr>
        <w:t>.</w:t>
      </w:r>
      <w:r w:rsidR="00D67A28">
        <w:rPr>
          <w:lang w:bidi="he-IL"/>
        </w:rPr>
        <w:t xml:space="preserve"> Stress drops were then estimated via Equation </w:t>
      </w:r>
      <w:r w:rsidR="00D67A28" w:rsidRPr="00027B81">
        <w:rPr>
          <w:rFonts w:asciiTheme="majorBidi" w:hAnsiTheme="majorBidi" w:cstheme="majorBidi"/>
          <w:lang w:bidi="he-IL"/>
        </w:rPr>
        <w:fldChar w:fldCharType="begin"/>
      </w:r>
      <w:r w:rsidR="00D67A28" w:rsidRPr="00027B81">
        <w:rPr>
          <w:rFonts w:asciiTheme="majorBidi" w:hAnsiTheme="majorBidi" w:cstheme="majorBidi"/>
          <w:lang w:bidi="he-IL"/>
        </w:rPr>
        <w:instrText xml:space="preserve"> REF SD_M0_F0 \h  \* MERGEFORMAT </w:instrText>
      </w:r>
      <w:r w:rsidR="00D67A28" w:rsidRPr="00027B81">
        <w:rPr>
          <w:rFonts w:asciiTheme="majorBidi" w:hAnsiTheme="majorBidi" w:cstheme="majorBidi"/>
          <w:lang w:bidi="he-IL"/>
        </w:rPr>
      </w:r>
      <w:r w:rsidR="00D67A28" w:rsidRPr="00027B81">
        <w:rPr>
          <w:rFonts w:asciiTheme="majorBidi" w:hAnsiTheme="majorBidi" w:cstheme="majorBidi"/>
          <w:lang w:bidi="he-IL"/>
        </w:rPr>
        <w:fldChar w:fldCharType="separate"/>
      </w:r>
      <w:r w:rsidR="00D67A28" w:rsidRPr="00027B81">
        <w:rPr>
          <w:rFonts w:asciiTheme="majorBidi" w:hAnsiTheme="majorBidi" w:cstheme="majorBidi"/>
          <w:noProof/>
        </w:rPr>
        <w:t>2</w:t>
      </w:r>
      <w:r w:rsidR="00D67A28" w:rsidRPr="00027B81">
        <w:rPr>
          <w:rFonts w:asciiTheme="majorBidi" w:hAnsiTheme="majorBidi" w:cstheme="majorBidi"/>
          <w:lang w:bidi="he-IL"/>
        </w:rPr>
        <w:fldChar w:fldCharType="end"/>
      </w:r>
      <w:r w:rsidR="00D67A28">
        <w:rPr>
          <w:lang w:bidi="he-IL"/>
        </w:rPr>
        <w:t xml:space="preserve"> using the earthquake-specific seismic moments, the different corner frequencies, </w:t>
      </w:r>
      <m:oMath>
        <m:r>
          <w:rPr>
            <w:rFonts w:ascii="Cambria Math" w:hAnsi="Cambria Math"/>
            <w:lang w:bidi="he-IL"/>
          </w:rPr>
          <m:t>k=0.21</m:t>
        </m:r>
      </m:oMath>
      <w:r w:rsidR="00D67A28">
        <w:rPr>
          <w:lang w:bidi="he-IL"/>
        </w:rPr>
        <w:t xml:space="preserve"> </w:t>
      </w:r>
      <w:r w:rsidR="00D67A28">
        <w:rPr>
          <w:lang w:bidi="he-IL"/>
        </w:rPr>
        <w:fldChar w:fldCharType="begin"/>
      </w:r>
      <w:r w:rsidR="00D67A28">
        <w:rPr>
          <w:lang w:bidi="he-IL"/>
        </w:rPr>
        <w:instrText xml:space="preserve"> ADDIN ZOTERO_ITEM CSL_CITATION {"citationID":"JETjsm15","properties":{"formattedCitation":"(Madariaga, 1976)","plainCitation":"(Madariaga, 1976)","noteIndex":0},"citationItems":[{"id":181,"uris":["http://zotero.org/users/6318414/items/M4H9VLIS"],"itemData":{"id":181,"type":"article-journal","abstract":"We study a plane circular model of a frictional fault using numerical methods. The model is dynamic since we specify the effective stress at the fault. In one model we assume that the fault appears instantaneously in the medium; in another, that the rupture nucleates at the center and that rupture proceeds at constant subsonic velocity until it suddenly stops. The total source slip is larger at the center and the rise time is also longer at the center of the fault. The dynamic slip overshoots the static slip by 15 to 35 per cent. As a consequence, the stress drop is larger than the effective stress and the apparent stress is less than one half the effective stress.The far-field radiation is discussed in detail. We distinguish three spectral regions. First, the usual constant low-frequency level. Second, an intermediate region controlled by the fault size and, finally, the high-frequency asymptote. The central region includes the corner frequency and is quite complicated. The corner frequency is shown to be inversely proportional to the width of the far-field displacement pulse which, in turn, is related to the time lag between the stopping phases. The average corner frequency of S waves v0s is related to the final source radius, a, by v0s = 0.21 β/α. The corner frequency of P waves is larger than v0s by an average factor of 1.5.","container-title":"Bulletin of the Seismological Society of America","ISSN":"0037-1106","issue":"3","journalAbbreviation":"Bulletin of the Seismological Society of America","page":"639-666","title":"Dynamics of an expanding circular fault","volume":"66","author":[{"family":"Madariaga","given":"Raul"}],"issued":{"date-parts":[["1976",6,1]]}}}],"schema":"https://github.com/citation-style-language/schema/raw/master/csl-citation.json"} </w:instrText>
      </w:r>
      <w:r w:rsidR="00D67A28">
        <w:rPr>
          <w:lang w:bidi="he-IL"/>
        </w:rPr>
        <w:fldChar w:fldCharType="separate"/>
      </w:r>
      <w:r w:rsidR="00D67A28" w:rsidRPr="00027B81">
        <w:t>(Madariaga, 1976)</w:t>
      </w:r>
      <w:r w:rsidR="00D67A28">
        <w:rPr>
          <w:lang w:bidi="he-IL"/>
        </w:rPr>
        <w:fldChar w:fldCharType="end"/>
      </w:r>
      <w:r w:rsidR="00D67A28">
        <w:rPr>
          <w:lang w:bidi="he-IL"/>
        </w:rPr>
        <w:t xml:space="preserve"> and </w:t>
      </w:r>
      <m:oMath>
        <m:r>
          <w:rPr>
            <w:rFonts w:ascii="Cambria Math" w:hAnsi="Cambria Math"/>
            <w:lang w:bidi="he-IL"/>
          </w:rPr>
          <m:t>Cs=3.2</m:t>
        </m:r>
      </m:oMath>
      <w:r w:rsidR="00D67A28">
        <w:rPr>
          <w:lang w:bidi="he-IL"/>
        </w:rPr>
        <w:t xml:space="preserve"> km/s.</w:t>
      </w:r>
      <w:r w:rsidR="00823519" w:rsidRPr="00823519">
        <w:rPr>
          <w:lang w:bidi="he-IL"/>
        </w:rPr>
        <w:t xml:space="preserve"> </w:t>
      </w:r>
      <w:r w:rsidR="00174EA6">
        <w:rPr>
          <w:lang w:bidi="he-IL"/>
        </w:rPr>
        <w:t>Even</w:t>
      </w:r>
      <w:r w:rsidR="0049526B">
        <w:rPr>
          <w:lang w:bidi="he-IL"/>
        </w:rPr>
        <w:t>t</w:t>
      </w:r>
      <w:r w:rsidR="00174EA6">
        <w:rPr>
          <w:lang w:bidi="he-IL"/>
        </w:rPr>
        <w:t xml:space="preserve"> averaged source parameters are listed in Table S1. </w:t>
      </w:r>
      <w:r w:rsidR="00823519">
        <w:rPr>
          <w:lang w:bidi="he-IL"/>
        </w:rPr>
        <w:t xml:space="preserve">Figure </w:t>
      </w:r>
      <w:r w:rsidR="001F33E5" w:rsidRPr="001F33E5">
        <w:rPr>
          <w:lang w:bidi="he-IL"/>
        </w:rPr>
        <w:fldChar w:fldCharType="begin"/>
      </w:r>
      <w:r w:rsidR="001F33E5" w:rsidRPr="001F33E5">
        <w:rPr>
          <w:lang w:bidi="he-IL"/>
        </w:rPr>
        <w:instrText xml:space="preserve"> REF FIG_SCALING \h  \* MERGEFORMAT </w:instrText>
      </w:r>
      <w:r w:rsidR="001F33E5" w:rsidRPr="001F33E5">
        <w:rPr>
          <w:lang w:bidi="he-IL"/>
        </w:rPr>
      </w:r>
      <w:r w:rsidR="001F33E5" w:rsidRPr="001F33E5">
        <w:rPr>
          <w:lang w:bidi="he-IL"/>
        </w:rPr>
        <w:fldChar w:fldCharType="separate"/>
      </w:r>
      <w:r w:rsidR="001F33E5" w:rsidRPr="001F33E5">
        <w:t>4</w:t>
      </w:r>
      <w:r w:rsidR="001F33E5" w:rsidRPr="001F33E5">
        <w:rPr>
          <w:lang w:bidi="he-IL"/>
        </w:rPr>
        <w:fldChar w:fldCharType="end"/>
      </w:r>
      <w:r w:rsidR="00823519">
        <w:rPr>
          <w:lang w:bidi="he-IL"/>
        </w:rPr>
        <w:t xml:space="preserve"> plots corner frequencies (panel a) and stress drops (panel b) as functions of earthquake-specific seismic moments. Fit-specific corner frequencies and stress drops are indicated by grey circles while event averages are indicated by red circles.</w:t>
      </w:r>
    </w:p>
    <w:p w14:paraId="1EF71576" w14:textId="56870AE7" w:rsidR="00080B27" w:rsidRDefault="00080B27" w:rsidP="00080B27">
      <w:pPr>
        <w:pStyle w:val="Text"/>
        <w:rPr>
          <w:lang w:bidi="he-IL"/>
        </w:rPr>
      </w:pPr>
      <w:r>
        <w:rPr>
          <w:lang w:bidi="he-IL"/>
        </w:rPr>
        <w:t>Corner frequency and stress drop</w:t>
      </w:r>
      <w:r w:rsidR="00B27443">
        <w:rPr>
          <w:lang w:bidi="he-IL"/>
        </w:rPr>
        <w:t xml:space="preserve"> within-event</w:t>
      </w:r>
      <w:r>
        <w:rPr>
          <w:lang w:bidi="he-IL"/>
        </w:rPr>
        <w:t xml:space="preserve"> variabilities are larger for the 3 largest earthquakes compared to the 4 smallest ones</w:t>
      </w:r>
      <w:r w:rsidR="00237246">
        <w:rPr>
          <w:lang w:bidi="he-IL"/>
        </w:rPr>
        <w:t xml:space="preserve"> (Figure </w:t>
      </w:r>
      <w:r w:rsidR="001F33E5" w:rsidRPr="001F33E5">
        <w:rPr>
          <w:lang w:bidi="he-IL"/>
        </w:rPr>
        <w:fldChar w:fldCharType="begin"/>
      </w:r>
      <w:r w:rsidR="001F33E5" w:rsidRPr="001F33E5">
        <w:rPr>
          <w:lang w:bidi="he-IL"/>
        </w:rPr>
        <w:instrText xml:space="preserve"> REF FIG_SCALING \h  \* MERGEFORMAT </w:instrText>
      </w:r>
      <w:r w:rsidR="001F33E5" w:rsidRPr="001F33E5">
        <w:rPr>
          <w:lang w:bidi="he-IL"/>
        </w:rPr>
      </w:r>
      <w:r w:rsidR="001F33E5" w:rsidRPr="001F33E5">
        <w:rPr>
          <w:lang w:bidi="he-IL"/>
        </w:rPr>
        <w:fldChar w:fldCharType="separate"/>
      </w:r>
      <w:r w:rsidR="001F33E5" w:rsidRPr="001F33E5">
        <w:t>4</w:t>
      </w:r>
      <w:r w:rsidR="001F33E5" w:rsidRPr="001F33E5">
        <w:rPr>
          <w:lang w:bidi="he-IL"/>
        </w:rPr>
        <w:fldChar w:fldCharType="end"/>
      </w:r>
      <w:r w:rsidR="00237246">
        <w:rPr>
          <w:lang w:bidi="he-IL"/>
        </w:rPr>
        <w:t>)</w:t>
      </w:r>
      <w:r>
        <w:rPr>
          <w:lang w:bidi="he-IL"/>
        </w:rPr>
        <w:t xml:space="preserve">, possibly since the larger corner of the EGF pairs, associated with the smallest earthquakes, is </w:t>
      </w:r>
      <w:r w:rsidR="00967839">
        <w:rPr>
          <w:lang w:bidi="he-IL"/>
        </w:rPr>
        <w:t xml:space="preserve">typically </w:t>
      </w:r>
      <w:r>
        <w:rPr>
          <w:lang w:bidi="he-IL"/>
        </w:rPr>
        <w:t xml:space="preserve">sharper than the smaller corner, associated with the largest earthquakes (Figure </w:t>
      </w:r>
      <w:r w:rsidR="001F33E5" w:rsidRPr="001F33E5">
        <w:rPr>
          <w:lang w:bidi="he-IL"/>
        </w:rPr>
        <w:fldChar w:fldCharType="begin"/>
      </w:r>
      <w:r w:rsidR="001F33E5" w:rsidRPr="001F33E5">
        <w:rPr>
          <w:lang w:bidi="he-IL"/>
        </w:rPr>
        <w:instrText xml:space="preserve"> REF FIG_RATIO_STACKS_ALL \h  \* MERGEFORMAT </w:instrText>
      </w:r>
      <w:r w:rsidR="001F33E5" w:rsidRPr="001F33E5">
        <w:rPr>
          <w:lang w:bidi="he-IL"/>
        </w:rPr>
      </w:r>
      <w:r w:rsidR="001F33E5" w:rsidRPr="001F33E5">
        <w:rPr>
          <w:lang w:bidi="he-IL"/>
        </w:rPr>
        <w:fldChar w:fldCharType="separate"/>
      </w:r>
      <w:r w:rsidR="001F33E5" w:rsidRPr="001F33E5">
        <w:t>3</w:t>
      </w:r>
      <w:r w:rsidR="001F33E5" w:rsidRPr="001F33E5">
        <w:rPr>
          <w:lang w:bidi="he-IL"/>
        </w:rPr>
        <w:fldChar w:fldCharType="end"/>
      </w:r>
      <w:r>
        <w:rPr>
          <w:lang w:bidi="he-IL"/>
        </w:rPr>
        <w:t xml:space="preserve">). This may be an </w:t>
      </w:r>
      <w:r w:rsidR="002B0DD4">
        <w:rPr>
          <w:color w:val="000000"/>
        </w:rPr>
        <w:t xml:space="preserve">artifact </w:t>
      </w:r>
      <w:r>
        <w:rPr>
          <w:lang w:bidi="he-IL"/>
        </w:rPr>
        <w:t xml:space="preserve">of the limited bandwidth, although corner frequencies are well resolved, present small uncertainties and are </w:t>
      </w:r>
      <w:r w:rsidR="0090057A">
        <w:rPr>
          <w:noProof/>
          <w:lang w:bidi="he-IL"/>
        </w:rPr>
        <w:lastRenderedPageBreak/>
        <mc:AlternateContent>
          <mc:Choice Requires="wps">
            <w:drawing>
              <wp:anchor distT="45720" distB="45720" distL="114300" distR="114300" simplePos="0" relativeHeight="251665408" behindDoc="0" locked="0" layoutInCell="1" allowOverlap="1" wp14:anchorId="5851E56F" wp14:editId="3BBB4D74">
                <wp:simplePos x="0" y="0"/>
                <wp:positionH relativeFrom="margin">
                  <wp:align>right</wp:align>
                </wp:positionH>
                <wp:positionV relativeFrom="paragraph">
                  <wp:posOffset>0</wp:posOffset>
                </wp:positionV>
                <wp:extent cx="5915660" cy="3054350"/>
                <wp:effectExtent l="0" t="0" r="8890" b="0"/>
                <wp:wrapSquare wrapText="bothSides"/>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5660" cy="3054350"/>
                        </a:xfrm>
                        <a:prstGeom prst="rect">
                          <a:avLst/>
                        </a:prstGeom>
                        <a:solidFill>
                          <a:srgbClr val="FFFFFF"/>
                        </a:solidFill>
                        <a:ln w="9525">
                          <a:noFill/>
                          <a:miter lim="800000"/>
                          <a:headEnd/>
                          <a:tailEnd/>
                        </a:ln>
                      </wps:spPr>
                      <wps:txbx>
                        <w:txbxContent>
                          <w:p w14:paraId="75557145" w14:textId="77777777" w:rsidR="0074563C" w:rsidRDefault="0074563C" w:rsidP="0090057A">
                            <w:pPr>
                              <w:pStyle w:val="FigureorTableCaption"/>
                              <w:spacing w:before="0"/>
                              <w:jc w:val="center"/>
                              <w:rPr>
                                <w:b/>
                              </w:rPr>
                            </w:pPr>
                            <w:r>
                              <w:rPr>
                                <w:b/>
                                <w:noProof/>
                              </w:rPr>
                              <w:drawing>
                                <wp:inline distT="0" distB="0" distL="0" distR="0" wp14:anchorId="6A245DA9" wp14:editId="102A07B2">
                                  <wp:extent cx="3960000" cy="1802310"/>
                                  <wp:effectExtent l="0" t="0" r="2540" b="762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60000" cy="1802310"/>
                                          </a:xfrm>
                                          <a:prstGeom prst="rect">
                                            <a:avLst/>
                                          </a:prstGeom>
                                          <a:noFill/>
                                          <a:ln>
                                            <a:noFill/>
                                          </a:ln>
                                        </pic:spPr>
                                      </pic:pic>
                                    </a:graphicData>
                                  </a:graphic>
                                </wp:inline>
                              </w:drawing>
                            </w:r>
                          </w:p>
                          <w:p w14:paraId="583FDDB2" w14:textId="69E7513C" w:rsidR="0074563C" w:rsidRPr="0090057A" w:rsidRDefault="0074563C" w:rsidP="0090057A">
                            <w:pPr>
                              <w:rPr>
                                <w:sz w:val="22"/>
                                <w:szCs w:val="22"/>
                              </w:rPr>
                            </w:pPr>
                            <w:r w:rsidRPr="0090057A">
                              <w:rPr>
                                <w:b/>
                                <w:sz w:val="22"/>
                                <w:szCs w:val="22"/>
                              </w:rPr>
                              <w:t xml:space="preserve">Figure </w:t>
                            </w:r>
                            <w:bookmarkStart w:id="13" w:name="FIG_SCALING"/>
                            <w:r w:rsidRPr="0090057A">
                              <w:rPr>
                                <w:b/>
                                <w:sz w:val="22"/>
                                <w:szCs w:val="22"/>
                              </w:rPr>
                              <w:t>4</w:t>
                            </w:r>
                            <w:bookmarkEnd w:id="13"/>
                            <w:r w:rsidRPr="0090057A">
                              <w:rPr>
                                <w:sz w:val="22"/>
                                <w:szCs w:val="22"/>
                              </w:rPr>
                              <w:t xml:space="preserve">. The logarithms of (a) corner frequencies and (b) stress drops as functions of the logarithm of seismic moments. Seismic moments were obtained using the least-squares inversion (Text S2) per earthquakes. Fit-specific and event averaged </w:t>
                            </w:r>
                            <m:oMath>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0</m:t>
                                  </m:r>
                                </m:sub>
                              </m:sSub>
                            </m:oMath>
                            <w:r w:rsidRPr="0090057A">
                              <w:rPr>
                                <w:sz w:val="22"/>
                                <w:szCs w:val="22"/>
                              </w:rPr>
                              <w:t xml:space="preserve"> and </w:t>
                            </w:r>
                            <m:oMath>
                              <m:r>
                                <m:rPr>
                                  <m:sty m:val="p"/>
                                </m:rPr>
                                <w:rPr>
                                  <w:rFonts w:ascii="Cambria Math" w:hAnsi="Cambria Math"/>
                                  <w:sz w:val="22"/>
                                  <w:szCs w:val="22"/>
                                </w:rPr>
                                <m:t>Δ</m:t>
                              </m:r>
                              <m:r>
                                <w:rPr>
                                  <w:rFonts w:ascii="Cambria Math" w:hAnsi="Cambria Math"/>
                                  <w:sz w:val="22"/>
                                  <w:szCs w:val="22"/>
                                </w:rPr>
                                <m:t>τ</m:t>
                              </m:r>
                            </m:oMath>
                            <w:r w:rsidRPr="0090057A">
                              <w:rPr>
                                <w:sz w:val="22"/>
                                <w:szCs w:val="22"/>
                              </w:rPr>
                              <w:t xml:space="preserve"> are indicated by grey and red circles, respectively. Vertical error bars are the standard deviations to the different estimates. Linear fits to event averages are indicated by dashed black lines with slopes and standard deviations indicated in panel legends. The dotted curve in (a) is the fit assuming earthquake self-similarity (constant stress drop), i.e., a slope of -</w:t>
                            </w:r>
                            <m:oMath>
                              <m:r>
                                <w:rPr>
                                  <w:rFonts w:ascii="Cambria Math" w:hAnsi="Cambria Math"/>
                                  <w:sz w:val="22"/>
                                  <w:szCs w:val="22"/>
                                </w:rPr>
                                <m:t>1/3</m:t>
                              </m:r>
                            </m:oMath>
                            <w:r w:rsidRPr="0090057A">
                              <w:rPr>
                                <w:sz w:val="22"/>
                                <w:szCs w:val="22"/>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51E56F" id="_x0000_s1029" type="#_x0000_t202" style="position:absolute;left:0;text-align:left;margin-left:414.6pt;margin-top:0;width:465.8pt;height:240.5pt;z-index:25166540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" stroked="f">
                <v:textbox>
                  <w:txbxContent>
                    <w:p w14:paraId="75557145" w14:textId="77777777" w:rsidR="0074563C" w:rsidRDefault="0074563C" w:rsidP="0090057A">
                      <w:pPr>
                        <w:pStyle w:val="FigureorTableCaption"/>
                        <w:spacing w:before="0"/>
                        <w:jc w:val="center"/>
                        <w:rPr>
                          <w:b/>
                        </w:rPr>
                      </w:pPr>
                      <w:r>
                        <w:rPr>
                          <w:b/>
                          <w:noProof/>
                        </w:rPr>
                        <w:drawing>
                          <wp:inline distT="0" distB="0" distL="0" distR="0" wp14:anchorId="6A245DA9" wp14:editId="102A07B2">
                            <wp:extent cx="3960000" cy="1802310"/>
                            <wp:effectExtent l="0" t="0" r="2540" b="762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60000" cy="1802310"/>
                                    </a:xfrm>
                                    <a:prstGeom prst="rect">
                                      <a:avLst/>
                                    </a:prstGeom>
                                    <a:noFill/>
                                    <a:ln>
                                      <a:noFill/>
                                    </a:ln>
                                  </pic:spPr>
                                </pic:pic>
                              </a:graphicData>
                            </a:graphic>
                          </wp:inline>
                        </w:drawing>
                      </w:r>
                    </w:p>
                    <w:p w14:paraId="583FDDB2" w14:textId="69E7513C" w:rsidR="0074563C" w:rsidRPr="0090057A" w:rsidRDefault="0074563C" w:rsidP="0090057A">
                      <w:pPr>
                        <w:rPr>
                          <w:sz w:val="22"/>
                          <w:szCs w:val="22"/>
                        </w:rPr>
                      </w:pPr>
                      <w:r w:rsidRPr="0090057A">
                        <w:rPr>
                          <w:b/>
                          <w:sz w:val="22"/>
                          <w:szCs w:val="22"/>
                        </w:rPr>
                        <w:t xml:space="preserve">Figure </w:t>
                      </w:r>
                      <w:bookmarkStart w:id="14" w:name="FIG_SCALING"/>
                      <w:r w:rsidRPr="0090057A">
                        <w:rPr>
                          <w:b/>
                          <w:sz w:val="22"/>
                          <w:szCs w:val="22"/>
                        </w:rPr>
                        <w:t>4</w:t>
                      </w:r>
                      <w:bookmarkEnd w:id="14"/>
                      <w:r w:rsidRPr="0090057A">
                        <w:rPr>
                          <w:sz w:val="22"/>
                          <w:szCs w:val="22"/>
                        </w:rPr>
                        <w:t xml:space="preserve">. The logarithms of (a) corner frequencies and (b) stress drops as functions of the logarithm of seismic moments. Seismic moments were obtained using the least-squares inversion (Text S2) per earthquakes. Fit-specific and event averaged </w:t>
                      </w:r>
                      <m:oMath>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0</m:t>
                            </m:r>
                          </m:sub>
                        </m:sSub>
                      </m:oMath>
                      <w:r w:rsidRPr="0090057A">
                        <w:rPr>
                          <w:sz w:val="22"/>
                          <w:szCs w:val="22"/>
                        </w:rPr>
                        <w:t xml:space="preserve"> and </w:t>
                      </w:r>
                      <m:oMath>
                        <m:r>
                          <m:rPr>
                            <m:sty m:val="p"/>
                          </m:rPr>
                          <w:rPr>
                            <w:rFonts w:ascii="Cambria Math" w:hAnsi="Cambria Math"/>
                            <w:sz w:val="22"/>
                            <w:szCs w:val="22"/>
                          </w:rPr>
                          <m:t>Δ</m:t>
                        </m:r>
                        <m:r>
                          <w:rPr>
                            <w:rFonts w:ascii="Cambria Math" w:hAnsi="Cambria Math"/>
                            <w:sz w:val="22"/>
                            <w:szCs w:val="22"/>
                          </w:rPr>
                          <m:t>τ</m:t>
                        </m:r>
                      </m:oMath>
                      <w:r w:rsidRPr="0090057A">
                        <w:rPr>
                          <w:sz w:val="22"/>
                          <w:szCs w:val="22"/>
                        </w:rPr>
                        <w:t xml:space="preserve"> are indicated by grey and red circles, respectively. Vertical error bars are the standard deviations to the different estimates. Linear fits to event averages are indicated by dashed black lines with slopes and standard deviations indicated in panel legends. The dotted curve in (a) is the fit assuming earthquake self-similarity (constant stress drop), i.e., a slope of -</w:t>
                      </w:r>
                      <m:oMath>
                        <m:r>
                          <w:rPr>
                            <w:rFonts w:ascii="Cambria Math" w:hAnsi="Cambria Math"/>
                            <w:sz w:val="22"/>
                            <w:szCs w:val="22"/>
                          </w:rPr>
                          <m:t>1/3</m:t>
                        </m:r>
                      </m:oMath>
                      <w:r w:rsidRPr="0090057A">
                        <w:rPr>
                          <w:sz w:val="22"/>
                          <w:szCs w:val="22"/>
                        </w:rPr>
                        <w:t>.</w:t>
                      </w:r>
                    </w:p>
                  </w:txbxContent>
                </v:textbox>
                <w10:wrap type="square" anchorx="margin"/>
              </v:shape>
            </w:pict>
          </mc:Fallback>
        </mc:AlternateContent>
      </w:r>
      <w:r>
        <w:rPr>
          <w:lang w:bidi="he-IL"/>
        </w:rPr>
        <w:t xml:space="preserve">sufficiently </w:t>
      </w:r>
      <w:r w:rsidR="00B27443">
        <w:rPr>
          <w:lang w:bidi="he-IL"/>
        </w:rPr>
        <w:t>within</w:t>
      </w:r>
      <w:r>
        <w:rPr>
          <w:lang w:bidi="he-IL"/>
        </w:rPr>
        <w:t xml:space="preserve"> the </w:t>
      </w:r>
      <w:r w:rsidR="00B27443">
        <w:rPr>
          <w:lang w:bidi="he-IL"/>
        </w:rPr>
        <w:t xml:space="preserve">bandwidth limits (2 to </w:t>
      </w:r>
      <w:r>
        <w:rPr>
          <w:lang w:bidi="he-IL"/>
        </w:rPr>
        <w:t>20 Hz</w:t>
      </w:r>
      <w:r w:rsidR="00B27443">
        <w:rPr>
          <w:lang w:bidi="he-IL"/>
        </w:rPr>
        <w:t>)</w:t>
      </w:r>
      <w:r>
        <w:rPr>
          <w:lang w:bidi="he-IL"/>
        </w:rPr>
        <w:t>. Alternatively, the observed scatter in the corner frequencies of the larger earthquakes may suggest complexities and variabilities among the</w:t>
      </w:r>
      <w:r w:rsidR="00967839">
        <w:rPr>
          <w:lang w:bidi="he-IL"/>
        </w:rPr>
        <w:t xml:space="preserve"> noise conditions or</w:t>
      </w:r>
      <w:r>
        <w:rPr>
          <w:lang w:bidi="he-IL"/>
        </w:rPr>
        <w:t xml:space="preserve"> source functions of the smaller earthquakes, that </w:t>
      </w:r>
      <w:r w:rsidR="0057381D">
        <w:rPr>
          <w:lang w:bidi="he-IL"/>
        </w:rPr>
        <w:t xml:space="preserve">thus </w:t>
      </w:r>
      <w:r>
        <w:rPr>
          <w:lang w:bidi="he-IL"/>
        </w:rPr>
        <w:t>do not perform as ideal Green’s functions.</w:t>
      </w:r>
    </w:p>
    <w:p w14:paraId="4936BF0C" w14:textId="1230D0A2" w:rsidR="00823519" w:rsidRDefault="00370E79" w:rsidP="006605D4">
      <w:pPr>
        <w:pStyle w:val="Text"/>
        <w:rPr>
          <w:lang w:bidi="he-IL"/>
        </w:rPr>
      </w:pPr>
      <w:r>
        <w:rPr>
          <w:lang w:bidi="he-IL"/>
        </w:rPr>
        <w:t>Stress drop within-event variabilities are generally smaller th</w:t>
      </w:r>
      <w:r w:rsidR="002B0DD4">
        <w:rPr>
          <w:lang w:bidi="he-IL"/>
        </w:rPr>
        <w:t>a</w:t>
      </w:r>
      <w:r>
        <w:rPr>
          <w:lang w:bidi="he-IL"/>
        </w:rPr>
        <w:t xml:space="preserve">n between-event variabilities </w:t>
      </w:r>
      <w:r w:rsidR="00237246">
        <w:rPr>
          <w:lang w:bidi="he-IL"/>
        </w:rPr>
        <w:t xml:space="preserve">(Figure </w:t>
      </w:r>
      <w:r w:rsidR="001F33E5" w:rsidRPr="001F33E5">
        <w:rPr>
          <w:lang w:bidi="he-IL"/>
        </w:rPr>
        <w:fldChar w:fldCharType="begin"/>
      </w:r>
      <w:r w:rsidR="001F33E5" w:rsidRPr="001F33E5">
        <w:rPr>
          <w:lang w:bidi="he-IL"/>
        </w:rPr>
        <w:instrText xml:space="preserve"> REF FIG_SCALING \h  \* MERGEFORMAT </w:instrText>
      </w:r>
      <w:r w:rsidR="001F33E5" w:rsidRPr="001F33E5">
        <w:rPr>
          <w:lang w:bidi="he-IL"/>
        </w:rPr>
      </w:r>
      <w:r w:rsidR="001F33E5" w:rsidRPr="001F33E5">
        <w:rPr>
          <w:lang w:bidi="he-IL"/>
        </w:rPr>
        <w:fldChar w:fldCharType="separate"/>
      </w:r>
      <w:r w:rsidR="001F33E5" w:rsidRPr="001F33E5">
        <w:t>4</w:t>
      </w:r>
      <w:r w:rsidR="001F33E5" w:rsidRPr="001F33E5">
        <w:rPr>
          <w:lang w:bidi="he-IL"/>
        </w:rPr>
        <w:fldChar w:fldCharType="end"/>
      </w:r>
      <w:r w:rsidR="00237246">
        <w:rPr>
          <w:lang w:bidi="he-IL"/>
        </w:rPr>
        <w:t xml:space="preserve">b) </w:t>
      </w:r>
      <w:r>
        <w:rPr>
          <w:lang w:bidi="he-IL"/>
        </w:rPr>
        <w:t>demonstrating the robustness of these estimates</w:t>
      </w:r>
      <w:r w:rsidR="00306609">
        <w:rPr>
          <w:lang w:bidi="he-IL"/>
        </w:rPr>
        <w:t xml:space="preserve"> and allowing for </w:t>
      </w:r>
      <w:r w:rsidR="000A0EAA">
        <w:rPr>
          <w:lang w:bidi="he-IL"/>
        </w:rPr>
        <w:t xml:space="preserve">the </w:t>
      </w:r>
      <w:r w:rsidR="00306609">
        <w:rPr>
          <w:lang w:bidi="he-IL"/>
        </w:rPr>
        <w:t>ana</w:t>
      </w:r>
      <w:r w:rsidR="0057381D">
        <w:rPr>
          <w:lang w:bidi="he-IL"/>
        </w:rPr>
        <w:t xml:space="preserve">lysis of </w:t>
      </w:r>
      <w:r w:rsidR="00CA75A5">
        <w:rPr>
          <w:lang w:bidi="he-IL"/>
        </w:rPr>
        <w:t xml:space="preserve">stress drop </w:t>
      </w:r>
      <w:r w:rsidR="00C1794C">
        <w:rPr>
          <w:lang w:bidi="he-IL"/>
        </w:rPr>
        <w:t>variations</w:t>
      </w:r>
      <w:r w:rsidR="00CA75A5">
        <w:rPr>
          <w:lang w:bidi="he-IL"/>
        </w:rPr>
        <w:t xml:space="preserve"> with seismic moment. Stress drops span ~0.4</w:t>
      </w:r>
      <w:r w:rsidR="00CC5F04">
        <w:rPr>
          <w:lang w:bidi="he-IL"/>
        </w:rPr>
        <w:t xml:space="preserve"> </w:t>
      </w:r>
      <w:r w:rsidR="00CC5F04" w:rsidRPr="00CC5F04">
        <w:rPr>
          <w:lang w:bidi="he-IL"/>
        </w:rPr>
        <w:t>order</w:t>
      </w:r>
      <w:r w:rsidR="00CC5F04">
        <w:rPr>
          <w:lang w:bidi="he-IL"/>
        </w:rPr>
        <w:t>s</w:t>
      </w:r>
      <w:r w:rsidR="00CC5F04" w:rsidRPr="00CC5F04">
        <w:rPr>
          <w:lang w:bidi="he-IL"/>
        </w:rPr>
        <w:t xml:space="preserve"> of magnitude</w:t>
      </w:r>
      <w:r w:rsidR="00CA75A5">
        <w:rPr>
          <w:lang w:bidi="he-IL"/>
        </w:rPr>
        <w:t xml:space="preserve"> while the availab</w:t>
      </w:r>
      <w:r w:rsidR="00A83162">
        <w:rPr>
          <w:lang w:bidi="he-IL"/>
        </w:rPr>
        <w:t>l</w:t>
      </w:r>
      <w:r w:rsidR="00CA75A5">
        <w:rPr>
          <w:lang w:bidi="he-IL"/>
        </w:rPr>
        <w:t xml:space="preserve">e </w:t>
      </w:r>
      <w:r w:rsidR="000A0EAA">
        <w:rPr>
          <w:lang w:bidi="he-IL"/>
        </w:rPr>
        <w:t xml:space="preserve">seismic </w:t>
      </w:r>
      <w:r w:rsidR="00CA75A5">
        <w:rPr>
          <w:lang w:bidi="he-IL"/>
        </w:rPr>
        <w:t>moment</w:t>
      </w:r>
      <w:r w:rsidR="000A0EAA">
        <w:rPr>
          <w:lang w:bidi="he-IL"/>
        </w:rPr>
        <w:t>s</w:t>
      </w:r>
      <w:r w:rsidR="00CA75A5">
        <w:rPr>
          <w:lang w:bidi="he-IL"/>
        </w:rPr>
        <w:t xml:space="preserve"> </w:t>
      </w:r>
      <w:r w:rsidR="00A83162">
        <w:rPr>
          <w:lang w:bidi="he-IL"/>
        </w:rPr>
        <w:t xml:space="preserve">span 1.3 </w:t>
      </w:r>
      <w:r w:rsidR="00A66D32">
        <w:rPr>
          <w:lang w:bidi="he-IL"/>
        </w:rPr>
        <w:t>orders of magnitude</w:t>
      </w:r>
      <w:r w:rsidR="00A83162">
        <w:rPr>
          <w:lang w:bidi="he-IL"/>
        </w:rPr>
        <w:t>.</w:t>
      </w:r>
      <w:r w:rsidR="00A22129">
        <w:rPr>
          <w:lang w:bidi="he-IL"/>
        </w:rPr>
        <w:t xml:space="preserve"> </w:t>
      </w:r>
      <w:r w:rsidR="00C1794C">
        <w:rPr>
          <w:lang w:bidi="he-IL"/>
        </w:rPr>
        <w:t>In spite</w:t>
      </w:r>
      <w:r w:rsidR="0057381D">
        <w:rPr>
          <w:lang w:bidi="he-IL"/>
        </w:rPr>
        <w:t xml:space="preserve"> of the </w:t>
      </w:r>
      <w:r w:rsidR="00237246">
        <w:rPr>
          <w:lang w:bidi="he-IL"/>
        </w:rPr>
        <w:t xml:space="preserve">limited </w:t>
      </w:r>
      <w:r w:rsidR="00FA5677">
        <w:rPr>
          <w:lang w:bidi="he-IL"/>
        </w:rPr>
        <w:t>parameter</w:t>
      </w:r>
      <w:r w:rsidR="0057381D">
        <w:rPr>
          <w:lang w:bidi="he-IL"/>
        </w:rPr>
        <w:t xml:space="preserve"> range</w:t>
      </w:r>
      <w:r w:rsidR="00FA5677">
        <w:rPr>
          <w:lang w:bidi="he-IL"/>
        </w:rPr>
        <w:t>s</w:t>
      </w:r>
      <w:r w:rsidR="0057381D">
        <w:rPr>
          <w:lang w:bidi="he-IL"/>
        </w:rPr>
        <w:t>, i</w:t>
      </w:r>
      <w:r w:rsidR="00A22129">
        <w:rPr>
          <w:lang w:bidi="he-IL"/>
        </w:rPr>
        <w:t>t is clear</w:t>
      </w:r>
      <w:r w:rsidR="0057381D">
        <w:rPr>
          <w:lang w:bidi="he-IL"/>
        </w:rPr>
        <w:t>ly seen</w:t>
      </w:r>
      <w:r w:rsidR="00A22129">
        <w:rPr>
          <w:lang w:bidi="he-IL"/>
        </w:rPr>
        <w:t xml:space="preserve"> that the stress drops of the large</w:t>
      </w:r>
      <w:r w:rsidR="0057381D">
        <w:rPr>
          <w:lang w:bidi="he-IL"/>
        </w:rPr>
        <w:t>st</w:t>
      </w:r>
      <w:r w:rsidR="00A22129">
        <w:rPr>
          <w:lang w:bidi="he-IL"/>
        </w:rPr>
        <w:t xml:space="preserve"> earthquakes </w:t>
      </w:r>
      <w:r w:rsidR="0057381D">
        <w:rPr>
          <w:lang w:bidi="he-IL"/>
        </w:rPr>
        <w:t>are</w:t>
      </w:r>
      <w:r w:rsidR="00A22129">
        <w:rPr>
          <w:lang w:bidi="he-IL"/>
        </w:rPr>
        <w:t xml:space="preserve"> larger than </w:t>
      </w:r>
      <w:r w:rsidR="0057381D">
        <w:rPr>
          <w:lang w:bidi="he-IL"/>
        </w:rPr>
        <w:t>those</w:t>
      </w:r>
      <w:r w:rsidR="00A22129">
        <w:rPr>
          <w:lang w:bidi="he-IL"/>
        </w:rPr>
        <w:t xml:space="preserve"> of the smaller ones by a difference of ~0.4 </w:t>
      </w:r>
      <w:r w:rsidR="000E5904">
        <w:rPr>
          <w:lang w:bidi="he-IL"/>
        </w:rPr>
        <w:t>order</w:t>
      </w:r>
      <w:r w:rsidR="00237246">
        <w:rPr>
          <w:lang w:bidi="he-IL"/>
        </w:rPr>
        <w:t>s</w:t>
      </w:r>
      <w:r w:rsidR="000E5904">
        <w:rPr>
          <w:lang w:bidi="he-IL"/>
        </w:rPr>
        <w:t xml:space="preserve"> of magnitude</w:t>
      </w:r>
      <w:r w:rsidR="00237246">
        <w:rPr>
          <w:lang w:bidi="he-IL"/>
        </w:rPr>
        <w:t xml:space="preserve"> (Figure </w:t>
      </w:r>
      <w:r w:rsidR="001F33E5" w:rsidRPr="001F33E5">
        <w:rPr>
          <w:lang w:bidi="he-IL"/>
        </w:rPr>
        <w:fldChar w:fldCharType="begin"/>
      </w:r>
      <w:r w:rsidR="001F33E5" w:rsidRPr="001F33E5">
        <w:rPr>
          <w:lang w:bidi="he-IL"/>
        </w:rPr>
        <w:instrText xml:space="preserve"> REF FIG_SCALING \h  \* MERGEFORMAT </w:instrText>
      </w:r>
      <w:r w:rsidR="001F33E5" w:rsidRPr="001F33E5">
        <w:rPr>
          <w:lang w:bidi="he-IL"/>
        </w:rPr>
      </w:r>
      <w:r w:rsidR="001F33E5" w:rsidRPr="001F33E5">
        <w:rPr>
          <w:lang w:bidi="he-IL"/>
        </w:rPr>
        <w:fldChar w:fldCharType="separate"/>
      </w:r>
      <w:r w:rsidR="001F33E5" w:rsidRPr="001F33E5">
        <w:t>4</w:t>
      </w:r>
      <w:r w:rsidR="001F33E5" w:rsidRPr="001F33E5">
        <w:rPr>
          <w:lang w:bidi="he-IL"/>
        </w:rPr>
        <w:fldChar w:fldCharType="end"/>
      </w:r>
      <w:r w:rsidR="00237246">
        <w:rPr>
          <w:lang w:bidi="he-IL"/>
        </w:rPr>
        <w:t xml:space="preserve"> and Table S1)</w:t>
      </w:r>
      <w:r w:rsidR="000E5904">
        <w:rPr>
          <w:lang w:bidi="he-IL"/>
        </w:rPr>
        <w:t>.</w:t>
      </w:r>
      <w:r w:rsidR="0057381D">
        <w:rPr>
          <w:lang w:bidi="he-IL"/>
        </w:rPr>
        <w:t xml:space="preserve"> </w:t>
      </w:r>
      <w:r w:rsidR="00237246">
        <w:rPr>
          <w:lang w:bidi="he-IL"/>
        </w:rPr>
        <w:t xml:space="preserve">Linear fits to event averages in Figure </w:t>
      </w:r>
      <w:r w:rsidR="001F33E5" w:rsidRPr="001F33E5">
        <w:rPr>
          <w:lang w:bidi="he-IL"/>
        </w:rPr>
        <w:fldChar w:fldCharType="begin"/>
      </w:r>
      <w:r w:rsidR="001F33E5" w:rsidRPr="001F33E5">
        <w:rPr>
          <w:lang w:bidi="he-IL"/>
        </w:rPr>
        <w:instrText xml:space="preserve"> REF FIG_SCALING \h  \* MERGEFORMAT </w:instrText>
      </w:r>
      <w:r w:rsidR="001F33E5" w:rsidRPr="001F33E5">
        <w:rPr>
          <w:lang w:bidi="he-IL"/>
        </w:rPr>
      </w:r>
      <w:r w:rsidR="001F33E5" w:rsidRPr="001F33E5">
        <w:rPr>
          <w:lang w:bidi="he-IL"/>
        </w:rPr>
        <w:fldChar w:fldCharType="separate"/>
      </w:r>
      <w:r w:rsidR="001F33E5" w:rsidRPr="001F33E5">
        <w:t>4</w:t>
      </w:r>
      <w:r w:rsidR="001F33E5" w:rsidRPr="001F33E5">
        <w:rPr>
          <w:lang w:bidi="he-IL"/>
        </w:rPr>
        <w:fldChar w:fldCharType="end"/>
      </w:r>
      <w:r w:rsidR="008A34F7">
        <w:rPr>
          <w:lang w:bidi="he-IL"/>
        </w:rPr>
        <w:t xml:space="preserve"> </w:t>
      </w:r>
      <w:r w:rsidR="00D90FCF">
        <w:rPr>
          <w:lang w:bidi="he-IL"/>
        </w:rPr>
        <w:t>support this trend</w:t>
      </w:r>
      <w:r w:rsidR="002F0253">
        <w:rPr>
          <w:lang w:bidi="he-IL"/>
        </w:rPr>
        <w:t xml:space="preserve">, </w:t>
      </w:r>
      <w:r w:rsidR="003A6CF9">
        <w:rPr>
          <w:lang w:bidi="he-IL"/>
        </w:rPr>
        <w:t>ind</w:t>
      </w:r>
      <w:r w:rsidR="00FA5677">
        <w:rPr>
          <w:lang w:bidi="he-IL"/>
        </w:rPr>
        <w:t>i</w:t>
      </w:r>
      <w:r w:rsidR="003A6CF9">
        <w:rPr>
          <w:lang w:bidi="he-IL"/>
        </w:rPr>
        <w:t xml:space="preserve">cating that </w:t>
      </w:r>
      <m:oMath>
        <m:func>
          <m:funcPr>
            <m:ctrlPr>
              <w:rPr>
                <w:rFonts w:ascii="Cambria Math" w:hAnsi="Cambria Math"/>
                <w:i/>
                <w:lang w:bidi="he-IL"/>
              </w:rPr>
            </m:ctrlPr>
          </m:funcPr>
          <m:fName>
            <m:r>
              <m:rPr>
                <m:sty m:val="p"/>
              </m:rPr>
              <w:rPr>
                <w:rFonts w:ascii="Cambria Math" w:hAnsi="Cambria Math"/>
                <w:lang w:bidi="he-IL"/>
              </w:rPr>
              <m:t>log</m:t>
            </m:r>
          </m:fName>
          <m:e>
            <m:d>
              <m:dPr>
                <m:ctrlPr>
                  <w:rPr>
                    <w:rFonts w:ascii="Cambria Math" w:hAnsi="Cambria Math"/>
                    <w:i/>
                    <w:lang w:bidi="he-IL"/>
                  </w:rPr>
                </m:ctrlPr>
              </m:dPr>
              <m:e>
                <m:r>
                  <w:rPr>
                    <w:rFonts w:ascii="Cambria Math" w:hAnsi="Cambria Math"/>
                    <w:lang w:bidi="he-IL"/>
                  </w:rPr>
                  <m:t>Δτ</m:t>
                </m:r>
              </m:e>
            </m:d>
          </m:e>
        </m:func>
        <m:r>
          <w:rPr>
            <w:rFonts w:ascii="Cambria Math" w:hAnsi="Cambria Math"/>
            <w:lang w:bidi="he-IL"/>
          </w:rPr>
          <m:t>∝0.22</m:t>
        </m:r>
        <m:func>
          <m:funcPr>
            <m:ctrlPr>
              <w:rPr>
                <w:rFonts w:ascii="Cambria Math" w:hAnsi="Cambria Math"/>
                <w:i/>
                <w:lang w:bidi="he-IL"/>
              </w:rPr>
            </m:ctrlPr>
          </m:funcPr>
          <m:fName>
            <m:r>
              <m:rPr>
                <m:sty m:val="p"/>
              </m:rPr>
              <w:rPr>
                <w:rFonts w:ascii="Cambria Math" w:hAnsi="Cambria Math"/>
                <w:lang w:bidi="he-IL"/>
              </w:rPr>
              <m:t>log</m:t>
            </m:r>
          </m:fName>
          <m:e>
            <m:d>
              <m:dPr>
                <m:ctrlPr>
                  <w:rPr>
                    <w:rFonts w:ascii="Cambria Math" w:hAnsi="Cambria Math"/>
                    <w:i/>
                    <w:lang w:bidi="he-IL"/>
                  </w:rPr>
                </m:ctrlPr>
              </m:dPr>
              <m:e>
                <m:sSub>
                  <m:sSubPr>
                    <m:ctrlPr>
                      <w:rPr>
                        <w:rFonts w:ascii="Cambria Math" w:hAnsi="Cambria Math"/>
                        <w:i/>
                        <w:lang w:bidi="he-IL"/>
                      </w:rPr>
                    </m:ctrlPr>
                  </m:sSubPr>
                  <m:e>
                    <m:r>
                      <w:rPr>
                        <w:rFonts w:ascii="Cambria Math" w:hAnsi="Cambria Math"/>
                        <w:lang w:bidi="he-IL"/>
                      </w:rPr>
                      <m:t>M</m:t>
                    </m:r>
                  </m:e>
                  <m:sub>
                    <m:r>
                      <w:rPr>
                        <w:rFonts w:ascii="Cambria Math" w:hAnsi="Cambria Math"/>
                        <w:lang w:bidi="he-IL"/>
                      </w:rPr>
                      <m:t>0</m:t>
                    </m:r>
                  </m:sub>
                </m:sSub>
              </m:e>
            </m:d>
          </m:e>
        </m:func>
      </m:oMath>
      <w:r w:rsidR="00D90FCF">
        <w:rPr>
          <w:lang w:bidi="he-IL"/>
        </w:rPr>
        <w:t>. However, given the small number of observations and limited magnitude range, this scaling relation</w:t>
      </w:r>
      <w:r w:rsidR="006605D4">
        <w:rPr>
          <w:lang w:bidi="he-IL"/>
        </w:rPr>
        <w:t xml:space="preserve"> should be treated with caution and</w:t>
      </w:r>
      <w:r w:rsidR="00D90FCF">
        <w:rPr>
          <w:lang w:bidi="he-IL"/>
        </w:rPr>
        <w:t xml:space="preserve"> cannot </w:t>
      </w:r>
      <w:r w:rsidR="000A0EAA">
        <w:rPr>
          <w:lang w:bidi="he-IL"/>
        </w:rPr>
        <w:t xml:space="preserve">be reliably extrapolated. </w:t>
      </w:r>
      <w:r w:rsidR="00EE7975">
        <w:rPr>
          <w:lang w:bidi="he-IL"/>
        </w:rPr>
        <w:t>Further investigations into the temporal evolution of the studied earthquake</w:t>
      </w:r>
      <w:r w:rsidR="006605D4">
        <w:rPr>
          <w:lang w:bidi="he-IL"/>
        </w:rPr>
        <w:t>s</w:t>
      </w:r>
      <w:r w:rsidR="00EE7975">
        <w:rPr>
          <w:lang w:bidi="he-IL"/>
        </w:rPr>
        <w:t xml:space="preserve"> considering </w:t>
      </w:r>
      <w:r w:rsidR="006605D4">
        <w:rPr>
          <w:lang w:bidi="he-IL"/>
        </w:rPr>
        <w:t xml:space="preserve">both </w:t>
      </w:r>
      <w:r w:rsidR="00EE7975">
        <w:rPr>
          <w:lang w:bidi="he-IL"/>
        </w:rPr>
        <w:t xml:space="preserve">local </w:t>
      </w:r>
      <w:r w:rsidR="006605D4">
        <w:rPr>
          <w:lang w:bidi="he-IL"/>
        </w:rPr>
        <w:t>(</w:t>
      </w:r>
      <w:r w:rsidR="00FA5677">
        <w:rPr>
          <w:lang w:bidi="he-IL"/>
        </w:rPr>
        <w:t xml:space="preserve">seismicity patterns near </w:t>
      </w:r>
      <w:r w:rsidR="006605D4">
        <w:rPr>
          <w:lang w:bidi="he-IL"/>
        </w:rPr>
        <w:t xml:space="preserve">the Dead-Sea Transform) </w:t>
      </w:r>
      <w:r w:rsidR="00EE7975">
        <w:rPr>
          <w:lang w:bidi="he-IL"/>
        </w:rPr>
        <w:t>and regional</w:t>
      </w:r>
      <w:r w:rsidR="006605D4">
        <w:rPr>
          <w:lang w:bidi="he-IL"/>
        </w:rPr>
        <w:t xml:space="preserve"> (</w:t>
      </w:r>
      <w:r w:rsidR="00FA5677">
        <w:rPr>
          <w:lang w:bidi="he-IL"/>
        </w:rPr>
        <w:t>t</w:t>
      </w:r>
      <w:r w:rsidR="006605D4">
        <w:rPr>
          <w:lang w:bidi="he-IL"/>
        </w:rPr>
        <w:t>he relation to the 2023 Turkey earthquakes)</w:t>
      </w:r>
      <w:r w:rsidR="00EE7975">
        <w:rPr>
          <w:lang w:bidi="he-IL"/>
        </w:rPr>
        <w:t xml:space="preserve"> </w:t>
      </w:r>
      <w:r w:rsidR="00FA5677">
        <w:rPr>
          <w:lang w:bidi="he-IL"/>
        </w:rPr>
        <w:t>effects</w:t>
      </w:r>
      <w:r w:rsidR="007D2805">
        <w:rPr>
          <w:lang w:bidi="he-IL"/>
        </w:rPr>
        <w:t xml:space="preserve"> is required to better interpret the obtained source parameters.</w:t>
      </w:r>
    </w:p>
    <w:p w14:paraId="2F853695" w14:textId="77777777" w:rsidR="005012D3" w:rsidRDefault="005012D3" w:rsidP="005C39E1">
      <w:pPr>
        <w:pStyle w:val="Heading-Main"/>
      </w:pPr>
      <w:r>
        <w:t>5 Conclusions</w:t>
      </w:r>
    </w:p>
    <w:p w14:paraId="0E4E09B1" w14:textId="74E29CE2" w:rsidR="00516422" w:rsidRDefault="002B7FB3" w:rsidP="0091753B">
      <w:pPr>
        <w:pStyle w:val="Text"/>
        <w:rPr>
          <w:lang w:bidi="he-IL"/>
        </w:rPr>
      </w:pPr>
      <w:r>
        <w:rPr>
          <w:lang w:bidi="he-IL"/>
        </w:rPr>
        <w:t xml:space="preserve">In this work, I demonstrated the robustness of DAS for source parameter estimation via the spectral </w:t>
      </w:r>
      <w:proofErr w:type="gramStart"/>
      <w:r>
        <w:rPr>
          <w:lang w:bidi="he-IL"/>
        </w:rPr>
        <w:t>ratios</w:t>
      </w:r>
      <w:proofErr w:type="gramEnd"/>
      <w:r>
        <w:rPr>
          <w:lang w:bidi="he-IL"/>
        </w:rPr>
        <w:t xml:space="preserve"> method</w:t>
      </w:r>
      <w:r w:rsidR="004D262F">
        <w:rPr>
          <w:lang w:bidi="he-IL"/>
        </w:rPr>
        <w:t xml:space="preserve"> </w:t>
      </w:r>
      <w:r w:rsidR="00A37625">
        <w:rPr>
          <w:lang w:bidi="he-IL"/>
        </w:rPr>
        <w:t xml:space="preserve">applied to </w:t>
      </w:r>
      <w:r w:rsidR="004D262F">
        <w:rPr>
          <w:lang w:bidi="he-IL"/>
        </w:rPr>
        <w:t xml:space="preserve">7 </w:t>
      </w:r>
      <w:r w:rsidR="00991066">
        <w:rPr>
          <w:lang w:bidi="he-IL"/>
        </w:rPr>
        <w:t>repeating</w:t>
      </w:r>
      <w:r w:rsidR="004D262F">
        <w:rPr>
          <w:lang w:bidi="he-IL"/>
        </w:rPr>
        <w:t xml:space="preserve"> earthquakes in central Israel</w:t>
      </w:r>
      <w:r>
        <w:rPr>
          <w:lang w:bidi="he-IL"/>
        </w:rPr>
        <w:t xml:space="preserve">. Stacking </w:t>
      </w:r>
      <w:r w:rsidR="00A37625">
        <w:rPr>
          <w:lang w:bidi="he-IL"/>
        </w:rPr>
        <w:t xml:space="preserve">move-out corrected </w:t>
      </w:r>
      <w:r>
        <w:rPr>
          <w:lang w:bidi="he-IL"/>
        </w:rPr>
        <w:t xml:space="preserve">amplitude spectra along the fiber </w:t>
      </w:r>
      <w:r w:rsidR="00516422">
        <w:rPr>
          <w:lang w:bidi="he-IL"/>
        </w:rPr>
        <w:t xml:space="preserve">significantly </w:t>
      </w:r>
      <w:r>
        <w:rPr>
          <w:lang w:bidi="he-IL"/>
        </w:rPr>
        <w:t>reduce</w:t>
      </w:r>
      <w:r w:rsidR="00516422">
        <w:rPr>
          <w:lang w:bidi="he-IL"/>
        </w:rPr>
        <w:t>d</w:t>
      </w:r>
      <w:r>
        <w:rPr>
          <w:lang w:bidi="he-IL"/>
        </w:rPr>
        <w:t xml:space="preserve"> the effect of incoherent and locally-coherent noises</w:t>
      </w:r>
      <w:r w:rsidR="00EA7F51">
        <w:rPr>
          <w:lang w:bidi="he-IL"/>
        </w:rPr>
        <w:t xml:space="preserve">, </w:t>
      </w:r>
      <w:r w:rsidR="00516422">
        <w:rPr>
          <w:lang w:bidi="he-IL"/>
        </w:rPr>
        <w:t xml:space="preserve">producing a smoother and more coherent </w:t>
      </w:r>
      <w:r w:rsidR="0091753B">
        <w:rPr>
          <w:lang w:bidi="he-IL"/>
        </w:rPr>
        <w:t xml:space="preserve">earthquake </w:t>
      </w:r>
      <w:r w:rsidR="00516422">
        <w:rPr>
          <w:lang w:bidi="he-IL"/>
        </w:rPr>
        <w:t xml:space="preserve">spectra. </w:t>
      </w:r>
      <w:r w:rsidR="0071792C">
        <w:rPr>
          <w:lang w:bidi="he-IL"/>
        </w:rPr>
        <w:t>T</w:t>
      </w:r>
      <w:r w:rsidR="00516422">
        <w:rPr>
          <w:lang w:bidi="he-IL"/>
        </w:rPr>
        <w:t>hese stacked</w:t>
      </w:r>
      <w:r w:rsidR="0071792C">
        <w:rPr>
          <w:lang w:bidi="he-IL"/>
        </w:rPr>
        <w:t xml:space="preserve"> </w:t>
      </w:r>
      <w:r w:rsidR="00516422">
        <w:rPr>
          <w:lang w:bidi="he-IL"/>
        </w:rPr>
        <w:t xml:space="preserve">spectra allow for the application of the EGF method even for similar sized earthquakes. </w:t>
      </w:r>
      <w:r w:rsidR="0091753B">
        <w:rPr>
          <w:lang w:bidi="he-IL"/>
        </w:rPr>
        <w:t xml:space="preserve">I calculated spectral ratios for different EGF pairs, and obtained </w:t>
      </w:r>
      <w:r w:rsidR="00516422">
        <w:rPr>
          <w:lang w:bidi="he-IL"/>
        </w:rPr>
        <w:t>excellent fit</w:t>
      </w:r>
      <w:r w:rsidR="0091753B">
        <w:rPr>
          <w:lang w:bidi="he-IL"/>
        </w:rPr>
        <w:t>s</w:t>
      </w:r>
      <w:r w:rsidR="00516422">
        <w:rPr>
          <w:lang w:bidi="he-IL"/>
        </w:rPr>
        <w:t xml:space="preserve"> to the model </w:t>
      </w:r>
      <w:r w:rsidR="00797876">
        <w:rPr>
          <w:lang w:bidi="he-IL"/>
        </w:rPr>
        <w:t>with</w:t>
      </w:r>
      <w:r w:rsidR="00516422">
        <w:rPr>
          <w:lang w:bidi="he-IL"/>
        </w:rPr>
        <w:t xml:space="preserve"> robust and stable estimates of seismic moment ratio</w:t>
      </w:r>
      <w:r w:rsidR="0091753B">
        <w:rPr>
          <w:lang w:bidi="he-IL"/>
        </w:rPr>
        <w:t>s</w:t>
      </w:r>
      <w:r w:rsidR="00516422">
        <w:rPr>
          <w:lang w:bidi="he-IL"/>
        </w:rPr>
        <w:t xml:space="preserve"> and both corner frequencies. </w:t>
      </w:r>
      <w:r w:rsidR="0071792C">
        <w:rPr>
          <w:lang w:bidi="he-IL"/>
        </w:rPr>
        <w:t>Fits obtained using</w:t>
      </w:r>
      <w:r w:rsidR="003C54E8">
        <w:rPr>
          <w:lang w:bidi="he-IL"/>
        </w:rPr>
        <w:t xml:space="preserve"> </w:t>
      </w:r>
      <w:r w:rsidR="0071792C">
        <w:rPr>
          <w:lang w:bidi="he-IL"/>
        </w:rPr>
        <w:t>the Boatwright model (Figure</w:t>
      </w:r>
      <w:r w:rsidR="001F33E5">
        <w:rPr>
          <w:lang w:bidi="he-IL"/>
        </w:rPr>
        <w:t xml:space="preserve"> </w:t>
      </w:r>
      <w:r w:rsidR="001F33E5" w:rsidRPr="001F33E5">
        <w:rPr>
          <w:lang w:bidi="he-IL"/>
        </w:rPr>
        <w:fldChar w:fldCharType="begin"/>
      </w:r>
      <w:r w:rsidR="001F33E5" w:rsidRPr="001F33E5">
        <w:rPr>
          <w:lang w:bidi="he-IL"/>
        </w:rPr>
        <w:instrText xml:space="preserve"> REF FIG_RATIO_STACKS \h  \* MERGEFORMAT </w:instrText>
      </w:r>
      <w:r w:rsidR="001F33E5" w:rsidRPr="001F33E5">
        <w:rPr>
          <w:lang w:bidi="he-IL"/>
        </w:rPr>
      </w:r>
      <w:r w:rsidR="001F33E5" w:rsidRPr="001F33E5">
        <w:rPr>
          <w:lang w:bidi="he-IL"/>
        </w:rPr>
        <w:fldChar w:fldCharType="separate"/>
      </w:r>
      <w:r w:rsidR="001F33E5" w:rsidRPr="001F33E5">
        <w:t>2</w:t>
      </w:r>
      <w:r w:rsidR="001F33E5" w:rsidRPr="001F33E5">
        <w:rPr>
          <w:lang w:bidi="he-IL"/>
        </w:rPr>
        <w:fldChar w:fldCharType="end"/>
      </w:r>
      <w:r w:rsidR="0071792C">
        <w:rPr>
          <w:rFonts w:asciiTheme="majorBidi" w:hAnsiTheme="majorBidi" w:cstheme="majorBidi"/>
          <w:lang w:bidi="he-IL"/>
        </w:rPr>
        <w:t xml:space="preserve">) </w:t>
      </w:r>
      <w:r w:rsidR="003C54E8">
        <w:rPr>
          <w:rFonts w:asciiTheme="majorBidi" w:hAnsiTheme="majorBidi" w:cstheme="majorBidi"/>
          <w:lang w:bidi="he-IL"/>
        </w:rPr>
        <w:t xml:space="preserve">significantly outperform those obtained using the </w:t>
      </w:r>
      <w:r w:rsidR="0071792C">
        <w:rPr>
          <w:lang w:bidi="he-IL"/>
        </w:rPr>
        <w:t xml:space="preserve">Brune </w:t>
      </w:r>
      <w:r w:rsidR="003C54E8">
        <w:rPr>
          <w:lang w:bidi="he-IL"/>
        </w:rPr>
        <w:t xml:space="preserve">model </w:t>
      </w:r>
      <w:r w:rsidR="0071792C">
        <w:rPr>
          <w:lang w:bidi="he-IL"/>
        </w:rPr>
        <w:t>(</w:t>
      </w:r>
      <w:r w:rsidR="003C54E8">
        <w:rPr>
          <w:lang w:bidi="he-IL"/>
        </w:rPr>
        <w:t>Figure S3</w:t>
      </w:r>
      <w:r w:rsidR="0071792C">
        <w:rPr>
          <w:lang w:bidi="he-IL"/>
        </w:rPr>
        <w:t>)</w:t>
      </w:r>
      <w:r w:rsidR="00C93E96">
        <w:rPr>
          <w:lang w:bidi="he-IL"/>
        </w:rPr>
        <w:t xml:space="preserve">. </w:t>
      </w:r>
      <w:r w:rsidR="00516422">
        <w:rPr>
          <w:lang w:bidi="he-IL"/>
        </w:rPr>
        <w:t xml:space="preserve">Having </w:t>
      </w:r>
      <w:r w:rsidR="00C1794C">
        <w:rPr>
          <w:lang w:bidi="he-IL"/>
        </w:rPr>
        <w:t>prior</w:t>
      </w:r>
      <w:r w:rsidR="00516422">
        <w:rPr>
          <w:lang w:bidi="he-IL"/>
        </w:rPr>
        <w:t xml:space="preserve"> knowledge of one earthquake moment magnitude, I performed a linear least-squares inversion to obtain </w:t>
      </w:r>
      <w:r w:rsidR="00E93F5E">
        <w:rPr>
          <w:lang w:bidi="he-IL"/>
        </w:rPr>
        <w:t xml:space="preserve">earthquake specific </w:t>
      </w:r>
      <w:r w:rsidR="00516422">
        <w:rPr>
          <w:lang w:bidi="he-IL"/>
        </w:rPr>
        <w:t>seismic moments and stress drop.</w:t>
      </w:r>
    </w:p>
    <w:p w14:paraId="3F1DF777" w14:textId="7E8805BC" w:rsidR="00560032" w:rsidRDefault="00560032" w:rsidP="00551CA1">
      <w:pPr>
        <w:pStyle w:val="Text"/>
        <w:rPr>
          <w:lang w:bidi="he-IL"/>
        </w:rPr>
      </w:pPr>
      <w:r>
        <w:rPr>
          <w:lang w:bidi="he-IL"/>
        </w:rPr>
        <w:lastRenderedPageBreak/>
        <w:t xml:space="preserve">The obtained source parameters are very reliable, as indicated by the excellent spectral ratios model fits, </w:t>
      </w:r>
      <w:r w:rsidR="00551CA1">
        <w:rPr>
          <w:lang w:bidi="he-IL"/>
        </w:rPr>
        <w:t xml:space="preserve">allowing for in-depth investigations of source properties and stress drop scaling with seismic moment. For these earthquakes, Source parameter analysis revealed that stress drop increases with seismic moment. However, a more </w:t>
      </w:r>
      <w:r w:rsidR="00C1794C">
        <w:rPr>
          <w:lang w:bidi="he-IL"/>
        </w:rPr>
        <w:t>in-depth</w:t>
      </w:r>
      <w:r w:rsidR="00551CA1">
        <w:rPr>
          <w:lang w:bidi="he-IL"/>
        </w:rPr>
        <w:t xml:space="preserve"> analysis of stress drop behavior considering the temporal evolution of the analyzed sequence is required.</w:t>
      </w:r>
    </w:p>
    <w:p w14:paraId="70EE27C5" w14:textId="1C4B21A1" w:rsidR="00EE1301" w:rsidRDefault="00551CA1" w:rsidP="00033DFF">
      <w:pPr>
        <w:pStyle w:val="Text"/>
        <w:rPr>
          <w:lang w:bidi="he-IL"/>
        </w:rPr>
      </w:pPr>
      <w:r>
        <w:rPr>
          <w:lang w:bidi="he-IL"/>
        </w:rPr>
        <w:t>The results demonstrate the great potential of DAS for earthquake source studies</w:t>
      </w:r>
      <w:r w:rsidR="003007F9">
        <w:rPr>
          <w:lang w:bidi="he-IL"/>
        </w:rPr>
        <w:t>:</w:t>
      </w:r>
      <w:r>
        <w:rPr>
          <w:lang w:bidi="he-IL"/>
        </w:rPr>
        <w:t xml:space="preserve"> </w:t>
      </w:r>
      <w:r w:rsidR="003007F9">
        <w:rPr>
          <w:lang w:bidi="he-IL"/>
        </w:rPr>
        <w:t xml:space="preserve">1) Owing to the abundance of DAS </w:t>
      </w:r>
      <w:r w:rsidR="002B0DD4">
        <w:rPr>
          <w:color w:val="000000"/>
        </w:rPr>
        <w:t>measurements</w:t>
      </w:r>
      <w:r w:rsidR="003007F9">
        <w:rPr>
          <w:lang w:bidi="he-IL"/>
        </w:rPr>
        <w:t xml:space="preserve">, stacked along the fiber, SNR requirements were reduced to SNR&gt;1.1, allowing for less restrictive application of the EGF method. This property is </w:t>
      </w:r>
      <w:r>
        <w:rPr>
          <w:lang w:bidi="he-IL"/>
        </w:rPr>
        <w:t xml:space="preserve">especially </w:t>
      </w:r>
      <w:r w:rsidR="003007F9">
        <w:rPr>
          <w:lang w:bidi="he-IL"/>
        </w:rPr>
        <w:t xml:space="preserve">beneficial </w:t>
      </w:r>
      <w:r>
        <w:rPr>
          <w:lang w:bidi="he-IL"/>
        </w:rPr>
        <w:t xml:space="preserve">for small earthquakes (M&lt;3) that </w:t>
      </w:r>
      <w:r w:rsidR="00074C70">
        <w:rPr>
          <w:lang w:bidi="he-IL"/>
        </w:rPr>
        <w:t xml:space="preserve">typically </w:t>
      </w:r>
      <w:r w:rsidR="00936421">
        <w:rPr>
          <w:lang w:bidi="he-IL"/>
        </w:rPr>
        <w:t xml:space="preserve">suffer from low SNR and </w:t>
      </w:r>
      <w:r w:rsidR="002B0DD4">
        <w:rPr>
          <w:lang w:bidi="he-IL"/>
        </w:rPr>
        <w:t xml:space="preserve">are </w:t>
      </w:r>
      <w:r w:rsidR="00936421">
        <w:rPr>
          <w:lang w:bidi="he-IL"/>
        </w:rPr>
        <w:t>reliably recorded by fewer stations</w:t>
      </w:r>
      <w:r w:rsidR="00074C70">
        <w:rPr>
          <w:lang w:bidi="he-IL"/>
        </w:rPr>
        <w:t>.</w:t>
      </w:r>
      <w:r w:rsidR="002B0DD4">
        <w:rPr>
          <w:lang w:bidi="he-IL"/>
        </w:rPr>
        <w:t xml:space="preserve"> Furthermore, having additional possible earthquake pairs for the same dataset, improves the stability of source parameter inversion.</w:t>
      </w:r>
      <w:r w:rsidR="00074C70">
        <w:rPr>
          <w:lang w:bidi="he-IL"/>
        </w:rPr>
        <w:t xml:space="preserve"> </w:t>
      </w:r>
      <w:r w:rsidR="003007F9">
        <w:rPr>
          <w:lang w:bidi="he-IL"/>
        </w:rPr>
        <w:t xml:space="preserve">2) Spectral ratios stacked along the fiber exhibit excellent fits to the model and circumvent the need to stack over many seismic stations in a broad azimuthal range, potentially </w:t>
      </w:r>
      <w:r w:rsidR="00847965">
        <w:rPr>
          <w:lang w:bidi="he-IL"/>
        </w:rPr>
        <w:t>facilitat</w:t>
      </w:r>
      <w:r w:rsidR="003007F9">
        <w:rPr>
          <w:lang w:bidi="he-IL"/>
        </w:rPr>
        <w:t>ing</w:t>
      </w:r>
      <w:r w:rsidR="00847965">
        <w:rPr>
          <w:lang w:bidi="he-IL"/>
        </w:rPr>
        <w:t xml:space="preserve"> investigation of a</w:t>
      </w:r>
      <w:r w:rsidR="00847965" w:rsidRPr="00847965">
        <w:rPr>
          <w:lang w:bidi="he-IL"/>
        </w:rPr>
        <w:t xml:space="preserve">zimuthal </w:t>
      </w:r>
      <w:r w:rsidR="00847965">
        <w:rPr>
          <w:lang w:bidi="he-IL"/>
        </w:rPr>
        <w:t>s</w:t>
      </w:r>
      <w:r w:rsidR="00847965" w:rsidRPr="00847965">
        <w:rPr>
          <w:lang w:bidi="he-IL"/>
        </w:rPr>
        <w:t xml:space="preserve">ource parameter </w:t>
      </w:r>
      <w:r w:rsidR="00CB4FA5">
        <w:rPr>
          <w:lang w:bidi="he-IL"/>
        </w:rPr>
        <w:t>variations</w:t>
      </w:r>
      <w:r w:rsidR="003007F9">
        <w:rPr>
          <w:lang w:bidi="he-IL"/>
        </w:rPr>
        <w:t>.</w:t>
      </w:r>
      <w:r w:rsidR="00847965">
        <w:rPr>
          <w:lang w:bidi="he-IL"/>
        </w:rPr>
        <w:t xml:space="preserve"> </w:t>
      </w:r>
      <w:r w:rsidR="003007F9">
        <w:rPr>
          <w:lang w:bidi="he-IL"/>
        </w:rPr>
        <w:t xml:space="preserve">This property may also </w:t>
      </w:r>
      <w:r w:rsidR="00847965">
        <w:rPr>
          <w:lang w:bidi="he-IL"/>
        </w:rPr>
        <w:t>allow for better separation of source from path and site effects</w:t>
      </w:r>
      <w:r w:rsidR="00AE470B">
        <w:rPr>
          <w:lang w:bidi="he-IL"/>
        </w:rPr>
        <w:t>.</w:t>
      </w:r>
      <w:r w:rsidR="00847965">
        <w:rPr>
          <w:lang w:bidi="he-IL"/>
        </w:rPr>
        <w:t xml:space="preserve"> </w:t>
      </w:r>
      <w:r w:rsidR="003007F9">
        <w:rPr>
          <w:lang w:bidi="he-IL"/>
        </w:rPr>
        <w:t xml:space="preserve">3) The EGF method applied to DAS circumvents the need to convert DAS measurements to ground motions for source parameter inversion </w:t>
      </w:r>
      <w:r w:rsidR="003007F9">
        <w:rPr>
          <w:lang w:bidi="he-IL"/>
        </w:rPr>
        <w:fldChar w:fldCharType="begin"/>
      </w:r>
      <w:r w:rsidR="00033DFF">
        <w:rPr>
          <w:lang w:bidi="he-IL"/>
        </w:rPr>
        <w:instrText xml:space="preserve"> ADDIN ZOTERO_ITEM CSL_CITATION {"citationID":"ypJaVUJF","properties":{"formattedCitation":"(Lior et al., 2023; Lior, Sladen, Mercerat, et al., 2021)","plainCitation":"(Lior et al., 2023; Lior, Sladen, Mercerat, et al., 2021)","noteIndex":0},"citationItems":[{"id":954,"uris":["http://zotero.org/users/6318414/items/9HIFMNV3"],"itemData":{"id":954,"type":"article-journal","abstract":"Earthquake early warning (EEW) systems provide seconds to tens of seconds of warning time before potentially-damaging ground motions are felt. For optimal warning times, seismic sensors should be installed as close as possible to expected earthquake sources. However, while the most hazardous earthquakes on Earth occur underwater, most seismological stations are located on-land; precious seconds may go by before these earthquakes are detected. In this work, we harness available optical fiber infrastructure for EEW using the novel approach of distributed acoustic sensing (DAS). DAS strain measurements of earthquakes from different regions are converted to ground motions using a real-time slant-stack approach, magnitudes are estimated using a theoretical earthquake source model, and ground shaking intensities are predicted via ground motion prediction equations. The results demonstrate the potential of DAS-based EEW and the significant time-gains that can be achieved compared to the use of standard sensors, in particular for offshore earthquakes.","container-title":"Scientific Reports","DOI":"10.1038/s41598-023-27444-3","ISSN":"2045-2322","issue":"1","journalAbbreviation":"Sci Rep","language":"en","license":"2023 The Author(s)","note":"number: 1\npublisher: Nature Publishing Group","page":"424","source":"www.nature.com","title":"Magnitude estimation and ground motion prediction to harness fiber optic distributed acoustic sensing for earthquake early warning","volume":"13","author":[{"family":"Lior","given":"Itzhak"},{"family":"Rivet","given":"Diane"},{"family":"Ampuero","given":"Jean-Paul"},{"family":"Sladen","given":"Anthony"},{"family":"Barrientos","given":"Sergio"},{"family":"Sánchez-Olavarría","given":"Rodrigo"},{"family":"Villarroel Opazo","given":"German Alberto"},{"family":"Bustamante Prado","given":"Jose Antonio"}],"issued":{"date-parts":[["2023",1,9]]}}},{"id":48,"uris":["http://zotero.org/users/6318414/items/NIRIBAWR"],"itemData":{"id":48,"type":"article-journal","abstract":"Abstract. The use of distributed acoustic sensing (DAS) presents unique advantages for earthquake monitoring compared with standard seismic networks: spatially dense measurements adapted for harsh environments and designed for remote operation. However, the ability to determine earthquake source parameters using DAS is yet to be fully established. In particular, resolving the magnitude and stress drop is a fundamental objective for seismic monitoring and earthquake early warning. To apply existing methods for source parameter estimation to DAS signals, they must first be converted from strain to ground motions. This conversion can be achieved using the waves' apparent phase velocity, which varies for different seismic phases ranging from fast body waves to slow surface and scattered waves. To facilitate this conversion and improve its reliability, an algorithm for slowness determination is presented, based on the local slant-stack transform. This approach yields a unique slowness value at each time instance of a DAS time series. The ability to convert strain-rate signals to ground accelerations is validated using simulated data and applied to several earthquakes recorded by dark fibers of three ocean-bottom telecommunication cables in the Mediterranean Sea. The conversion emphasizes fast body waves compared to slow scattered waves and ambient noise and is robust even in the presence of correlated noise and varying wave propagation directions. Good agreement is found between source parameters determined using converted DAS waveforms and on-land seismometers for both P and S wave records. The demonstrated ability to resolve source parameters using P waves on horizontal ocean-bottom fibers is key for the implementation of DAS-based earthquake early warning, which will significantly improve hazard mitigation capabilities for offshore earthquakes, including those capable of generating tsunami.","container-title":"Solid Earth","DOI":"10.5194/se-12-1421-2021","ISSN":"1869-9529","issue":"6","journalAbbreviation":"Solid Earth","language":"en","page":"1421-1442","source":"DOI.org (Crossref)","title":"Strain to ground motion conversion of distributed acoustic sensing data for earthquake magnitude and stress drop determination","volume":"12","author":[{"family":"Lior","given":"Itzhak"},{"family":"Sladen","given":"Anthony"},{"family":"Mercerat","given":"Diego"},{"family":"Ampuero","given":"Jean-Paul"},{"family":"Rivet","given":"Diane"},{"family":"Sambolian","given":"Serge"}],"issued":{"date-parts":[["2021",6,17]]}}}],"schema":"https://github.com/citation-style-language/schema/raw/master/csl-citation.json"} </w:instrText>
      </w:r>
      <w:r w:rsidR="003007F9">
        <w:rPr>
          <w:lang w:bidi="he-IL"/>
        </w:rPr>
        <w:fldChar w:fldCharType="separate"/>
      </w:r>
      <w:r w:rsidR="00033DFF" w:rsidRPr="00033DFF">
        <w:t>(Lior et al., 2023; Lior, Sladen, Mercerat, et al., 2021)</w:t>
      </w:r>
      <w:r w:rsidR="003007F9">
        <w:rPr>
          <w:lang w:bidi="he-IL"/>
        </w:rPr>
        <w:fldChar w:fldCharType="end"/>
      </w:r>
      <w:r w:rsidR="004C1189">
        <w:rPr>
          <w:lang w:bidi="he-IL"/>
        </w:rPr>
        <w:t>. Finally</w:t>
      </w:r>
      <w:r w:rsidR="00AE470B">
        <w:rPr>
          <w:lang w:bidi="he-IL"/>
        </w:rPr>
        <w:t xml:space="preserve">, DAS can improve our knowledge of the relation between source parameters and ground motion variabilities, as well as our </w:t>
      </w:r>
      <w:r w:rsidR="00CB4FA5">
        <w:rPr>
          <w:lang w:bidi="he-IL"/>
        </w:rPr>
        <w:t xml:space="preserve">understanding of source complexities in various </w:t>
      </w:r>
      <w:r w:rsidR="00AE470B">
        <w:rPr>
          <w:lang w:bidi="he-IL"/>
        </w:rPr>
        <w:t>sized earthquakes.</w:t>
      </w:r>
    </w:p>
    <w:p w14:paraId="3BB30AAB" w14:textId="2A6E9F9E" w:rsidR="00995CAA" w:rsidRPr="00995CAA" w:rsidRDefault="00995CAA" w:rsidP="00EE1301">
      <w:pPr>
        <w:pStyle w:val="Heading-Main"/>
      </w:pPr>
      <w:r w:rsidRPr="00EE1301">
        <w:t>Acknowledgments</w:t>
      </w:r>
    </w:p>
    <w:p w14:paraId="6119FAA2" w14:textId="53BC5A42" w:rsidR="00995CAA" w:rsidRPr="0068525A" w:rsidRDefault="00095427" w:rsidP="0068525A">
      <w:pPr>
        <w:pStyle w:val="Text"/>
        <w:rPr>
          <w:rtl/>
          <w:lang w:bidi="he-IL"/>
        </w:rPr>
      </w:pPr>
      <w:r w:rsidRPr="0068525A">
        <w:rPr>
          <w:lang w:bidi="he-IL"/>
        </w:rPr>
        <w:t xml:space="preserve">The author </w:t>
      </w:r>
      <w:r w:rsidR="00C817B3" w:rsidRPr="0068525A">
        <w:rPr>
          <w:lang w:bidi="he-IL"/>
        </w:rPr>
        <w:t>thanks Prisma Photonics for</w:t>
      </w:r>
      <w:r w:rsidR="00322F35">
        <w:rPr>
          <w:lang w:bidi="he-IL"/>
        </w:rPr>
        <w:t xml:space="preserve"> their</w:t>
      </w:r>
      <w:r w:rsidR="00C817B3" w:rsidRPr="0068525A">
        <w:rPr>
          <w:lang w:bidi="he-IL"/>
        </w:rPr>
        <w:t xml:space="preserve"> extensive </w:t>
      </w:r>
      <w:r w:rsidR="00322F35">
        <w:rPr>
          <w:lang w:bidi="he-IL"/>
        </w:rPr>
        <w:t xml:space="preserve">help and </w:t>
      </w:r>
      <w:r w:rsidR="00C817B3" w:rsidRPr="0068525A">
        <w:rPr>
          <w:lang w:bidi="he-IL"/>
        </w:rPr>
        <w:t>support in data acquisition</w:t>
      </w:r>
      <w:r w:rsidR="001D6566">
        <w:rPr>
          <w:lang w:bidi="he-IL"/>
        </w:rPr>
        <w:t>, handling</w:t>
      </w:r>
      <w:r w:rsidR="00C817B3" w:rsidRPr="0068525A">
        <w:rPr>
          <w:lang w:bidi="he-IL"/>
        </w:rPr>
        <w:t xml:space="preserve"> and </w:t>
      </w:r>
      <w:r w:rsidR="0068525A" w:rsidRPr="0068525A">
        <w:rPr>
          <w:lang w:bidi="he-IL"/>
        </w:rPr>
        <w:t>transfer</w:t>
      </w:r>
      <w:r w:rsidR="00322F35">
        <w:rPr>
          <w:lang w:bidi="he-IL"/>
        </w:rPr>
        <w:t>.</w:t>
      </w:r>
    </w:p>
    <w:p w14:paraId="3CB0FA2F" w14:textId="77777777" w:rsidR="00995CAA" w:rsidRPr="00995CAA" w:rsidRDefault="00995CAA" w:rsidP="0068525A">
      <w:pPr>
        <w:pStyle w:val="Heading-Main"/>
      </w:pPr>
      <w:r w:rsidRPr="0068525A">
        <w:t>Open Research</w:t>
      </w:r>
    </w:p>
    <w:p w14:paraId="6C7AB50A" w14:textId="1E78CC6B" w:rsidR="00995CAA" w:rsidRPr="00325307" w:rsidRDefault="002B0DD4" w:rsidP="00C1794C">
      <w:pPr>
        <w:pStyle w:val="Text"/>
        <w:rPr>
          <w:lang w:bidi="he-IL"/>
        </w:rPr>
      </w:pPr>
      <w:r>
        <w:rPr>
          <w:color w:val="000000"/>
        </w:rPr>
        <w:t xml:space="preserve">Seismometer </w:t>
      </w:r>
      <w:r w:rsidR="00E951DB" w:rsidRPr="00325307">
        <w:rPr>
          <w:lang w:bidi="he-IL"/>
        </w:rPr>
        <w:t>dat</w:t>
      </w:r>
      <w:r w:rsidR="00104086" w:rsidRPr="00325307">
        <w:rPr>
          <w:lang w:bidi="he-IL"/>
        </w:rPr>
        <w:t>a</w:t>
      </w:r>
      <w:r w:rsidR="00E951DB" w:rsidRPr="00325307">
        <w:rPr>
          <w:lang w:bidi="he-IL"/>
        </w:rPr>
        <w:t xml:space="preserve"> can be downloaded from </w:t>
      </w:r>
      <w:r w:rsidR="00104086" w:rsidRPr="00325307">
        <w:rPr>
          <w:lang w:bidi="he-IL"/>
        </w:rPr>
        <w:t>the Geological Survey of Israel (</w:t>
      </w:r>
      <w:r w:rsidR="00F55F0A" w:rsidRPr="00F55F0A">
        <w:rPr>
          <w:lang w:bidi="he-IL"/>
        </w:rPr>
        <w:t>https://eq.gsi.gov.il/en/earthquake/searchEQS.php</w:t>
      </w:r>
      <w:r w:rsidR="00104086" w:rsidRPr="00325307">
        <w:rPr>
          <w:lang w:bidi="he-IL"/>
        </w:rPr>
        <w:t>),</w:t>
      </w:r>
      <w:r w:rsidR="00325307">
        <w:rPr>
          <w:lang w:bidi="he-IL"/>
        </w:rPr>
        <w:t xml:space="preserve"> </w:t>
      </w:r>
      <w:r w:rsidR="002C38FF">
        <w:rPr>
          <w:lang w:bidi="he-IL"/>
        </w:rPr>
        <w:t xml:space="preserve">and </w:t>
      </w:r>
      <w:r w:rsidR="00104086" w:rsidRPr="00325307">
        <w:rPr>
          <w:lang w:bidi="he-IL"/>
        </w:rPr>
        <w:t xml:space="preserve">data to </w:t>
      </w:r>
      <w:r w:rsidR="006F5842" w:rsidRPr="00325307">
        <w:rPr>
          <w:lang w:bidi="he-IL"/>
        </w:rPr>
        <w:t xml:space="preserve">reproduce the results is found at </w:t>
      </w:r>
      <w:r w:rsidR="0024183C" w:rsidRPr="00325307">
        <w:rPr>
          <w:lang w:bidi="he-IL"/>
        </w:rPr>
        <w:t>https://osf.io/y8csp/</w:t>
      </w:r>
      <w:r w:rsidR="00325307" w:rsidRPr="00325307">
        <w:rPr>
          <w:lang w:bidi="he-IL"/>
        </w:rPr>
        <w:t>.</w:t>
      </w:r>
      <w:bookmarkStart w:id="15" w:name="_GoBack"/>
      <w:bookmarkEnd w:id="15"/>
    </w:p>
    <w:p w14:paraId="3BE6A8F9" w14:textId="4F46802E" w:rsidR="00995CAA" w:rsidRPr="00995CAA" w:rsidRDefault="00995CAA" w:rsidP="00C1794C">
      <w:pPr>
        <w:pStyle w:val="Heading-Main"/>
      </w:pPr>
      <w:r w:rsidRPr="00995CAA">
        <w:t> </w:t>
      </w:r>
      <w:r w:rsidRPr="00C1794C">
        <w:t>References</w:t>
      </w:r>
    </w:p>
    <w:p w14:paraId="6D61FE8B" w14:textId="2AC03D1B" w:rsidR="00033DFF" w:rsidRPr="00033DFF" w:rsidRDefault="00995CAA" w:rsidP="00033DFF">
      <w:pPr>
        <w:pStyle w:val="Bibliography"/>
        <w:rPr>
          <w:sz w:val="24"/>
          <w:szCs w:val="24"/>
        </w:rPr>
      </w:pPr>
      <w:r w:rsidRPr="00995CAA">
        <w:t> </w:t>
      </w:r>
      <w:r w:rsidR="004B04EA">
        <w:fldChar w:fldCharType="begin"/>
      </w:r>
      <w:r w:rsidR="00033DFF">
        <w:instrText xml:space="preserve"> ADDIN ZOTERO_BIBL {"uncited":[["http://zotero.org/users/6318414/items/JG3PXTZB"]],"omitted":[],"custom":[]} CSL_BIBLIOGRAPHY </w:instrText>
      </w:r>
      <w:r w:rsidR="004B04EA">
        <w:fldChar w:fldCharType="separate"/>
      </w:r>
      <w:r w:rsidR="00033DFF" w:rsidRPr="00033DFF">
        <w:rPr>
          <w:sz w:val="24"/>
          <w:szCs w:val="24"/>
        </w:rPr>
        <w:t xml:space="preserve">Abercrombie, R. E. (2013). Comparison of direct and coda wave stress drop measurements for the Wells, Nevada, earthquake sequence: Comparison of Direct and Coda Wave Stress Drop </w:t>
      </w:r>
      <w:r w:rsidR="002B0DD4" w:rsidRPr="002B0DD4">
        <w:rPr>
          <w:sz w:val="24"/>
          <w:szCs w:val="24"/>
        </w:rPr>
        <w:t>Measurements</w:t>
      </w:r>
      <w:r w:rsidR="00033DFF" w:rsidRPr="00033DFF">
        <w:rPr>
          <w:sz w:val="24"/>
          <w:szCs w:val="24"/>
        </w:rPr>
        <w:t xml:space="preserve">. </w:t>
      </w:r>
      <w:r w:rsidR="00033DFF" w:rsidRPr="00033DFF">
        <w:rPr>
          <w:i/>
          <w:iCs/>
          <w:sz w:val="24"/>
          <w:szCs w:val="24"/>
        </w:rPr>
        <w:t>Journal of Geophysical Research: Solid Earth</w:t>
      </w:r>
      <w:r w:rsidR="00033DFF" w:rsidRPr="00033DFF">
        <w:rPr>
          <w:sz w:val="24"/>
          <w:szCs w:val="24"/>
        </w:rPr>
        <w:t xml:space="preserve">, </w:t>
      </w:r>
      <w:r w:rsidR="00033DFF" w:rsidRPr="00033DFF">
        <w:rPr>
          <w:i/>
          <w:iCs/>
          <w:sz w:val="24"/>
          <w:szCs w:val="24"/>
        </w:rPr>
        <w:t>118</w:t>
      </w:r>
      <w:r w:rsidR="00033DFF" w:rsidRPr="00033DFF">
        <w:rPr>
          <w:sz w:val="24"/>
          <w:szCs w:val="24"/>
        </w:rPr>
        <w:t>(4), 1458–1470. https://doi.org/10.1029/2012JB009638</w:t>
      </w:r>
    </w:p>
    <w:p w14:paraId="636EFD40" w14:textId="77777777" w:rsidR="00033DFF" w:rsidRPr="00033DFF" w:rsidRDefault="00033DFF" w:rsidP="00033DFF">
      <w:pPr>
        <w:pStyle w:val="Bibliography"/>
        <w:rPr>
          <w:sz w:val="24"/>
          <w:szCs w:val="24"/>
        </w:rPr>
      </w:pPr>
      <w:r w:rsidRPr="00033DFF">
        <w:rPr>
          <w:sz w:val="24"/>
          <w:szCs w:val="24"/>
        </w:rPr>
        <w:t xml:space="preserve">Abercrombie, R. E. (2021). Resolution and uncertainties in estimates of earthquake stress drop and energy release. </w:t>
      </w:r>
      <w:r w:rsidRPr="00033DFF">
        <w:rPr>
          <w:i/>
          <w:iCs/>
          <w:sz w:val="24"/>
          <w:szCs w:val="24"/>
        </w:rPr>
        <w:t>Philosophical Transactions of the Royal Society A: Mathematical, Physical and Engineering Sciences</w:t>
      </w:r>
      <w:r w:rsidRPr="00033DFF">
        <w:rPr>
          <w:sz w:val="24"/>
          <w:szCs w:val="24"/>
        </w:rPr>
        <w:t xml:space="preserve">, </w:t>
      </w:r>
      <w:r w:rsidRPr="00033DFF">
        <w:rPr>
          <w:i/>
          <w:iCs/>
          <w:sz w:val="24"/>
          <w:szCs w:val="24"/>
        </w:rPr>
        <w:t>379</w:t>
      </w:r>
      <w:r w:rsidRPr="00033DFF">
        <w:rPr>
          <w:sz w:val="24"/>
          <w:szCs w:val="24"/>
        </w:rPr>
        <w:t>(2196), 20200131. https://doi.org/10.1098/rsta.2020.0131</w:t>
      </w:r>
    </w:p>
    <w:p w14:paraId="33F669AD" w14:textId="77777777" w:rsidR="00033DFF" w:rsidRPr="00033DFF" w:rsidRDefault="00033DFF" w:rsidP="00033DFF">
      <w:pPr>
        <w:pStyle w:val="Bibliography"/>
        <w:rPr>
          <w:sz w:val="24"/>
          <w:szCs w:val="24"/>
        </w:rPr>
      </w:pPr>
      <w:r w:rsidRPr="00033DFF">
        <w:rPr>
          <w:sz w:val="24"/>
          <w:szCs w:val="24"/>
        </w:rPr>
        <w:lastRenderedPageBreak/>
        <w:t xml:space="preserve">Abercrombie, R. E., Bannister, S., Ristau, J., &amp; Doser, D. (2017). Variability of earthquake stress drop in a subduction setting, the Hikurangi Margin, New Zealand. </w:t>
      </w:r>
      <w:r w:rsidRPr="00033DFF">
        <w:rPr>
          <w:i/>
          <w:iCs/>
          <w:sz w:val="24"/>
          <w:szCs w:val="24"/>
        </w:rPr>
        <w:t>Geophysical Journal International</w:t>
      </w:r>
      <w:r w:rsidRPr="00033DFF">
        <w:rPr>
          <w:sz w:val="24"/>
          <w:szCs w:val="24"/>
        </w:rPr>
        <w:t xml:space="preserve">, </w:t>
      </w:r>
      <w:r w:rsidRPr="00033DFF">
        <w:rPr>
          <w:i/>
          <w:iCs/>
          <w:sz w:val="24"/>
          <w:szCs w:val="24"/>
        </w:rPr>
        <w:t>208</w:t>
      </w:r>
      <w:r w:rsidRPr="00033DFF">
        <w:rPr>
          <w:sz w:val="24"/>
          <w:szCs w:val="24"/>
        </w:rPr>
        <w:t>(1), 306–320. https://doi.org/10.1093/gji/ggw393</w:t>
      </w:r>
    </w:p>
    <w:p w14:paraId="0F40DB21" w14:textId="77777777" w:rsidR="00033DFF" w:rsidRPr="00033DFF" w:rsidRDefault="00033DFF" w:rsidP="00033DFF">
      <w:pPr>
        <w:pStyle w:val="Bibliography"/>
        <w:rPr>
          <w:sz w:val="24"/>
          <w:szCs w:val="24"/>
        </w:rPr>
      </w:pPr>
      <w:r w:rsidRPr="00033DFF">
        <w:rPr>
          <w:sz w:val="24"/>
          <w:szCs w:val="24"/>
        </w:rPr>
        <w:t xml:space="preserve">Aki, K., &amp; Richards, P. G. (2002). </w:t>
      </w:r>
      <w:r w:rsidRPr="00033DFF">
        <w:rPr>
          <w:i/>
          <w:iCs/>
          <w:sz w:val="24"/>
          <w:szCs w:val="24"/>
        </w:rPr>
        <w:t>Quantitative seismology</w:t>
      </w:r>
      <w:r w:rsidRPr="00033DFF">
        <w:rPr>
          <w:sz w:val="24"/>
          <w:szCs w:val="24"/>
        </w:rPr>
        <w:t xml:space="preserve"> (2nd ed). University Science Books.</w:t>
      </w:r>
    </w:p>
    <w:p w14:paraId="46234D31" w14:textId="77777777" w:rsidR="00033DFF" w:rsidRPr="00033DFF" w:rsidRDefault="00033DFF" w:rsidP="00033DFF">
      <w:pPr>
        <w:pStyle w:val="Bibliography"/>
        <w:rPr>
          <w:sz w:val="24"/>
          <w:szCs w:val="24"/>
        </w:rPr>
      </w:pPr>
      <w:r w:rsidRPr="00033DFF">
        <w:rPr>
          <w:sz w:val="24"/>
          <w:szCs w:val="24"/>
        </w:rPr>
        <w:t xml:space="preserve">Al‐Ismail, F., Ellsworth, W. L., &amp; Beroza, G. C. (2023). A Time‐Domain Approach for Accurate Spectral Source Estimation with Application to Ridgecrest, California, Earthquakes. </w:t>
      </w:r>
      <w:r w:rsidRPr="00033DFF">
        <w:rPr>
          <w:i/>
          <w:iCs/>
          <w:sz w:val="24"/>
          <w:szCs w:val="24"/>
        </w:rPr>
        <w:t>Bulletin of the Seismological Society of America</w:t>
      </w:r>
      <w:r w:rsidRPr="00033DFF">
        <w:rPr>
          <w:sz w:val="24"/>
          <w:szCs w:val="24"/>
        </w:rPr>
        <w:t xml:space="preserve">, </w:t>
      </w:r>
      <w:r w:rsidRPr="00033DFF">
        <w:rPr>
          <w:i/>
          <w:iCs/>
          <w:sz w:val="24"/>
          <w:szCs w:val="24"/>
        </w:rPr>
        <w:t>113</w:t>
      </w:r>
      <w:r w:rsidRPr="00033DFF">
        <w:rPr>
          <w:sz w:val="24"/>
          <w:szCs w:val="24"/>
        </w:rPr>
        <w:t>(3), 1091–1101. https://doi.org/10.1785/0120220228</w:t>
      </w:r>
    </w:p>
    <w:p w14:paraId="53552039" w14:textId="77777777" w:rsidR="00033DFF" w:rsidRPr="00033DFF" w:rsidRDefault="00033DFF" w:rsidP="00033DFF">
      <w:pPr>
        <w:pStyle w:val="Bibliography"/>
        <w:rPr>
          <w:sz w:val="24"/>
          <w:szCs w:val="24"/>
        </w:rPr>
      </w:pPr>
      <w:r w:rsidRPr="00033DFF">
        <w:rPr>
          <w:sz w:val="24"/>
          <w:szCs w:val="24"/>
        </w:rPr>
        <w:t xml:space="preserve">Baltay, A., Prieto, G., &amp; Beroza, G. C. (2010). Radiated seismic energy from coda measurements and no scaling in apparent stress with seismic moment. </w:t>
      </w:r>
      <w:r w:rsidRPr="00033DFF">
        <w:rPr>
          <w:i/>
          <w:iCs/>
          <w:sz w:val="24"/>
          <w:szCs w:val="24"/>
        </w:rPr>
        <w:t>Journal of Geophysical Research: Solid Earth</w:t>
      </w:r>
      <w:r w:rsidRPr="00033DFF">
        <w:rPr>
          <w:sz w:val="24"/>
          <w:szCs w:val="24"/>
        </w:rPr>
        <w:t xml:space="preserve">, </w:t>
      </w:r>
      <w:r w:rsidRPr="00033DFF">
        <w:rPr>
          <w:i/>
          <w:iCs/>
          <w:sz w:val="24"/>
          <w:szCs w:val="24"/>
        </w:rPr>
        <w:t>115</w:t>
      </w:r>
      <w:r w:rsidRPr="00033DFF">
        <w:rPr>
          <w:sz w:val="24"/>
          <w:szCs w:val="24"/>
        </w:rPr>
        <w:t>(B8). https://doi.org/10.1029/2009JB006736</w:t>
      </w:r>
    </w:p>
    <w:p w14:paraId="03C2193B" w14:textId="77777777" w:rsidR="00033DFF" w:rsidRPr="00033DFF" w:rsidRDefault="00033DFF" w:rsidP="00033DFF">
      <w:pPr>
        <w:pStyle w:val="Bibliography"/>
        <w:rPr>
          <w:sz w:val="24"/>
          <w:szCs w:val="24"/>
        </w:rPr>
      </w:pPr>
      <w:r w:rsidRPr="00033DFF">
        <w:rPr>
          <w:sz w:val="24"/>
          <w:szCs w:val="24"/>
        </w:rPr>
        <w:t xml:space="preserve">Boatwright, J. (1980). A spectral theory for circular seismic sources; simple estimates of source dimension, dynamic stress drop, and radiated seismic energy. </w:t>
      </w:r>
      <w:r w:rsidRPr="00033DFF">
        <w:rPr>
          <w:i/>
          <w:iCs/>
          <w:sz w:val="24"/>
          <w:szCs w:val="24"/>
        </w:rPr>
        <w:t>Bulletin of the Seismological Society of America</w:t>
      </w:r>
      <w:r w:rsidRPr="00033DFF">
        <w:rPr>
          <w:sz w:val="24"/>
          <w:szCs w:val="24"/>
        </w:rPr>
        <w:t xml:space="preserve">, </w:t>
      </w:r>
      <w:r w:rsidRPr="00033DFF">
        <w:rPr>
          <w:i/>
          <w:iCs/>
          <w:sz w:val="24"/>
          <w:szCs w:val="24"/>
        </w:rPr>
        <w:t>70</w:t>
      </w:r>
      <w:r w:rsidRPr="00033DFF">
        <w:rPr>
          <w:sz w:val="24"/>
          <w:szCs w:val="24"/>
        </w:rPr>
        <w:t>(1), 1–27. https://doi.org/10.1785/BSSA0700010001</w:t>
      </w:r>
    </w:p>
    <w:p w14:paraId="484E9CD6" w14:textId="77777777" w:rsidR="00033DFF" w:rsidRPr="00033DFF" w:rsidRDefault="00033DFF" w:rsidP="00033DFF">
      <w:pPr>
        <w:pStyle w:val="Bibliography"/>
        <w:rPr>
          <w:sz w:val="24"/>
          <w:szCs w:val="24"/>
        </w:rPr>
      </w:pPr>
      <w:r w:rsidRPr="00033DFF">
        <w:rPr>
          <w:sz w:val="24"/>
          <w:szCs w:val="24"/>
        </w:rPr>
        <w:t xml:space="preserve">Brune, J. N. (1970). Tectonic stress and the spectra of seismic shear waves from earthquakes. </w:t>
      </w:r>
      <w:r w:rsidRPr="00033DFF">
        <w:rPr>
          <w:i/>
          <w:iCs/>
          <w:sz w:val="24"/>
          <w:szCs w:val="24"/>
        </w:rPr>
        <w:t>Journal of Geophysical Research</w:t>
      </w:r>
      <w:r w:rsidRPr="00033DFF">
        <w:rPr>
          <w:sz w:val="24"/>
          <w:szCs w:val="24"/>
        </w:rPr>
        <w:t xml:space="preserve">, </w:t>
      </w:r>
      <w:r w:rsidRPr="00033DFF">
        <w:rPr>
          <w:i/>
          <w:iCs/>
          <w:sz w:val="24"/>
          <w:szCs w:val="24"/>
        </w:rPr>
        <w:t>75</w:t>
      </w:r>
      <w:r w:rsidRPr="00033DFF">
        <w:rPr>
          <w:sz w:val="24"/>
          <w:szCs w:val="24"/>
        </w:rPr>
        <w:t>(26), 4997–5009. https://doi.org/10.1029/JB075i026p04997</w:t>
      </w:r>
    </w:p>
    <w:p w14:paraId="0AE3A49F" w14:textId="77777777" w:rsidR="00033DFF" w:rsidRPr="00033DFF" w:rsidRDefault="00033DFF" w:rsidP="00033DFF">
      <w:pPr>
        <w:pStyle w:val="Bibliography"/>
        <w:rPr>
          <w:sz w:val="24"/>
          <w:szCs w:val="24"/>
        </w:rPr>
      </w:pPr>
      <w:r w:rsidRPr="00033DFF">
        <w:rPr>
          <w:sz w:val="24"/>
          <w:szCs w:val="24"/>
        </w:rPr>
        <w:t xml:space="preserve">Chen, X. (2023). Source parameter analysis using distributed acoustic sensing – an example with the PoroTomo array. </w:t>
      </w:r>
      <w:r w:rsidRPr="00033DFF">
        <w:rPr>
          <w:i/>
          <w:iCs/>
          <w:sz w:val="24"/>
          <w:szCs w:val="24"/>
        </w:rPr>
        <w:t>Geophysical Journal International</w:t>
      </w:r>
      <w:r w:rsidRPr="00033DFF">
        <w:rPr>
          <w:sz w:val="24"/>
          <w:szCs w:val="24"/>
        </w:rPr>
        <w:t xml:space="preserve">, </w:t>
      </w:r>
      <w:r w:rsidRPr="00033DFF">
        <w:rPr>
          <w:i/>
          <w:iCs/>
          <w:sz w:val="24"/>
          <w:szCs w:val="24"/>
        </w:rPr>
        <w:t>233</w:t>
      </w:r>
      <w:r w:rsidRPr="00033DFF">
        <w:rPr>
          <w:sz w:val="24"/>
          <w:szCs w:val="24"/>
        </w:rPr>
        <w:t>(3), 2207–2213. https://doi.org/10.1093/gji/ggad061</w:t>
      </w:r>
    </w:p>
    <w:p w14:paraId="5A2F2A4C" w14:textId="77777777" w:rsidR="00033DFF" w:rsidRPr="00033DFF" w:rsidRDefault="00033DFF" w:rsidP="00033DFF">
      <w:pPr>
        <w:pStyle w:val="Bibliography"/>
        <w:rPr>
          <w:sz w:val="24"/>
          <w:szCs w:val="24"/>
        </w:rPr>
      </w:pPr>
      <w:r w:rsidRPr="00033DFF">
        <w:rPr>
          <w:sz w:val="24"/>
          <w:szCs w:val="24"/>
        </w:rPr>
        <w:lastRenderedPageBreak/>
        <w:t xml:space="preserve">Eshelby, J. D. (1957). The determination of the elastic field of an ellipsoidal inclusion, and related problems. </w:t>
      </w:r>
      <w:r w:rsidRPr="00033DFF">
        <w:rPr>
          <w:i/>
          <w:iCs/>
          <w:sz w:val="24"/>
          <w:szCs w:val="24"/>
        </w:rPr>
        <w:t>Proceedings of the Royal Society of London. Series A. Mathematical and Physical Sciences</w:t>
      </w:r>
      <w:r w:rsidRPr="00033DFF">
        <w:rPr>
          <w:sz w:val="24"/>
          <w:szCs w:val="24"/>
        </w:rPr>
        <w:t xml:space="preserve">, </w:t>
      </w:r>
      <w:r w:rsidRPr="00033DFF">
        <w:rPr>
          <w:i/>
          <w:iCs/>
          <w:sz w:val="24"/>
          <w:szCs w:val="24"/>
        </w:rPr>
        <w:t>241</w:t>
      </w:r>
      <w:r w:rsidRPr="00033DFF">
        <w:rPr>
          <w:sz w:val="24"/>
          <w:szCs w:val="24"/>
        </w:rPr>
        <w:t>(1226), 376–396. https://doi.org/10.1098/rspa.1957.0133</w:t>
      </w:r>
    </w:p>
    <w:p w14:paraId="5E768AD6" w14:textId="77777777" w:rsidR="00033DFF" w:rsidRPr="00033DFF" w:rsidRDefault="00033DFF" w:rsidP="00033DFF">
      <w:pPr>
        <w:pStyle w:val="Bibliography"/>
        <w:rPr>
          <w:sz w:val="24"/>
          <w:szCs w:val="24"/>
        </w:rPr>
      </w:pPr>
      <w:r w:rsidRPr="00033DFF">
        <w:rPr>
          <w:sz w:val="24"/>
          <w:szCs w:val="24"/>
        </w:rPr>
        <w:t xml:space="preserve">Huang, Y., Ellsworth, W. L., &amp; Beroza, G. C. (2017). Stress drops of induced and tectonic earthquakes in the central United States are indistinguishable. </w:t>
      </w:r>
      <w:r w:rsidRPr="00033DFF">
        <w:rPr>
          <w:i/>
          <w:iCs/>
          <w:sz w:val="24"/>
          <w:szCs w:val="24"/>
        </w:rPr>
        <w:t>Science Advances</w:t>
      </w:r>
      <w:r w:rsidRPr="00033DFF">
        <w:rPr>
          <w:sz w:val="24"/>
          <w:szCs w:val="24"/>
        </w:rPr>
        <w:t xml:space="preserve">, </w:t>
      </w:r>
      <w:r w:rsidRPr="00033DFF">
        <w:rPr>
          <w:i/>
          <w:iCs/>
          <w:sz w:val="24"/>
          <w:szCs w:val="24"/>
        </w:rPr>
        <w:t>3</w:t>
      </w:r>
      <w:r w:rsidRPr="00033DFF">
        <w:rPr>
          <w:sz w:val="24"/>
          <w:szCs w:val="24"/>
        </w:rPr>
        <w:t>(8), e1700772. https://doi.org/10.1126/sciadv.1700772</w:t>
      </w:r>
    </w:p>
    <w:p w14:paraId="04B91CCC" w14:textId="77777777" w:rsidR="00033DFF" w:rsidRPr="00033DFF" w:rsidRDefault="00033DFF" w:rsidP="00033DFF">
      <w:pPr>
        <w:pStyle w:val="Bibliography"/>
        <w:rPr>
          <w:sz w:val="24"/>
          <w:szCs w:val="24"/>
        </w:rPr>
      </w:pPr>
      <w:r w:rsidRPr="00033DFF">
        <w:rPr>
          <w:sz w:val="24"/>
          <w:szCs w:val="24"/>
        </w:rPr>
        <w:t xml:space="preserve">Ide, S., &amp; Beroza, G. C. (2001). Does apparent stress vary with earthquake size? </w:t>
      </w:r>
      <w:r w:rsidRPr="00033DFF">
        <w:rPr>
          <w:i/>
          <w:iCs/>
          <w:sz w:val="24"/>
          <w:szCs w:val="24"/>
        </w:rPr>
        <w:t>Geophysical Research Letters</w:t>
      </w:r>
      <w:r w:rsidRPr="00033DFF">
        <w:rPr>
          <w:sz w:val="24"/>
          <w:szCs w:val="24"/>
        </w:rPr>
        <w:t xml:space="preserve">, </w:t>
      </w:r>
      <w:r w:rsidRPr="00033DFF">
        <w:rPr>
          <w:i/>
          <w:iCs/>
          <w:sz w:val="24"/>
          <w:szCs w:val="24"/>
        </w:rPr>
        <w:t>28</w:t>
      </w:r>
      <w:r w:rsidRPr="00033DFF">
        <w:rPr>
          <w:sz w:val="24"/>
          <w:szCs w:val="24"/>
        </w:rPr>
        <w:t>(17), 3349–3352. https://doi.org/10.1029/2001GL013106</w:t>
      </w:r>
    </w:p>
    <w:p w14:paraId="4C92648C" w14:textId="77777777" w:rsidR="00033DFF" w:rsidRPr="00033DFF" w:rsidRDefault="00033DFF" w:rsidP="00033DFF">
      <w:pPr>
        <w:pStyle w:val="Bibliography"/>
        <w:rPr>
          <w:sz w:val="24"/>
          <w:szCs w:val="24"/>
        </w:rPr>
      </w:pPr>
      <w:r w:rsidRPr="00033DFF">
        <w:rPr>
          <w:sz w:val="24"/>
          <w:szCs w:val="24"/>
        </w:rPr>
        <w:t xml:space="preserve">Kaneko, Y., &amp; Shearer, P. M. (2015). Variability of seismic source spectra, estimated stress drop, and radiated energy, derived from cohesive‐zone models of symmetrical and asymmetrical circular and elliptical ruptures. </w:t>
      </w:r>
      <w:r w:rsidRPr="00033DFF">
        <w:rPr>
          <w:i/>
          <w:iCs/>
          <w:sz w:val="24"/>
          <w:szCs w:val="24"/>
        </w:rPr>
        <w:t>Journal of Geophysical Research: Solid Earth</w:t>
      </w:r>
      <w:r w:rsidRPr="00033DFF">
        <w:rPr>
          <w:sz w:val="24"/>
          <w:szCs w:val="24"/>
        </w:rPr>
        <w:t xml:space="preserve">, </w:t>
      </w:r>
      <w:r w:rsidRPr="00033DFF">
        <w:rPr>
          <w:i/>
          <w:iCs/>
          <w:sz w:val="24"/>
          <w:szCs w:val="24"/>
        </w:rPr>
        <w:t>120</w:t>
      </w:r>
      <w:r w:rsidRPr="00033DFF">
        <w:rPr>
          <w:sz w:val="24"/>
          <w:szCs w:val="24"/>
        </w:rPr>
        <w:t>(2), 1053–1079. https://doi.org/10.1002/2014JB011642</w:t>
      </w:r>
    </w:p>
    <w:p w14:paraId="27282FAB" w14:textId="77777777" w:rsidR="00033DFF" w:rsidRPr="00033DFF" w:rsidRDefault="00033DFF" w:rsidP="00033DFF">
      <w:pPr>
        <w:pStyle w:val="Bibliography"/>
        <w:rPr>
          <w:sz w:val="24"/>
          <w:szCs w:val="24"/>
        </w:rPr>
      </w:pPr>
      <w:r w:rsidRPr="00033DFF">
        <w:rPr>
          <w:sz w:val="24"/>
          <w:szCs w:val="24"/>
        </w:rPr>
        <w:t xml:space="preserve">Kurzon, I., Nof, R. N., Laporte, M., Lutzky, H., Polozov, A., Zakosky, D., Shulman, H., Goldenberg, A., Tatham, B., &amp; Hamiel, Y. (2020). The “TRUAA” Seismic Network: Upgrading the Israel Seismic Network—Toward National Earthquake Early Warning System. </w:t>
      </w:r>
      <w:r w:rsidRPr="00033DFF">
        <w:rPr>
          <w:i/>
          <w:iCs/>
          <w:sz w:val="24"/>
          <w:szCs w:val="24"/>
        </w:rPr>
        <w:t>Seismological Research Letters</w:t>
      </w:r>
      <w:r w:rsidRPr="00033DFF">
        <w:rPr>
          <w:sz w:val="24"/>
          <w:szCs w:val="24"/>
        </w:rPr>
        <w:t xml:space="preserve">, </w:t>
      </w:r>
      <w:r w:rsidRPr="00033DFF">
        <w:rPr>
          <w:i/>
          <w:iCs/>
          <w:sz w:val="24"/>
          <w:szCs w:val="24"/>
        </w:rPr>
        <w:t>91</w:t>
      </w:r>
      <w:r w:rsidRPr="00033DFF">
        <w:rPr>
          <w:sz w:val="24"/>
          <w:szCs w:val="24"/>
        </w:rPr>
        <w:t>(6), 3236–3255. https://doi.org/10.1785/0220200169</w:t>
      </w:r>
    </w:p>
    <w:p w14:paraId="4BB980AC" w14:textId="77777777" w:rsidR="00033DFF" w:rsidRPr="00033DFF" w:rsidRDefault="00033DFF" w:rsidP="00033DFF">
      <w:pPr>
        <w:pStyle w:val="Bibliography"/>
        <w:rPr>
          <w:sz w:val="24"/>
          <w:szCs w:val="24"/>
        </w:rPr>
      </w:pPr>
      <w:r w:rsidRPr="00033DFF">
        <w:rPr>
          <w:sz w:val="24"/>
          <w:szCs w:val="24"/>
        </w:rPr>
        <w:t xml:space="preserve">Lior, I., Rivet, D., Ampuero, J.-P., Sladen, A., Barrientos, S., Sánchez-Olavarría, R., Villarroel Opazo, G. A., &amp; Bustamante Prado, J. A. (2023). Magnitude estimation and ground motion prediction to harness fiber optic distributed acoustic sensing for earthquake early warning. </w:t>
      </w:r>
      <w:r w:rsidRPr="00033DFF">
        <w:rPr>
          <w:i/>
          <w:iCs/>
          <w:sz w:val="24"/>
          <w:szCs w:val="24"/>
        </w:rPr>
        <w:t>Scientific Reports</w:t>
      </w:r>
      <w:r w:rsidRPr="00033DFF">
        <w:rPr>
          <w:sz w:val="24"/>
          <w:szCs w:val="24"/>
        </w:rPr>
        <w:t xml:space="preserve">, </w:t>
      </w:r>
      <w:r w:rsidRPr="00033DFF">
        <w:rPr>
          <w:i/>
          <w:iCs/>
          <w:sz w:val="24"/>
          <w:szCs w:val="24"/>
        </w:rPr>
        <w:t>13</w:t>
      </w:r>
      <w:r w:rsidRPr="00033DFF">
        <w:rPr>
          <w:sz w:val="24"/>
          <w:szCs w:val="24"/>
        </w:rPr>
        <w:t>(1), Article 1. https://doi.org/10.1038/s41598-023-27444-3</w:t>
      </w:r>
    </w:p>
    <w:p w14:paraId="268A2040" w14:textId="77777777" w:rsidR="00033DFF" w:rsidRPr="00033DFF" w:rsidRDefault="00033DFF" w:rsidP="00033DFF">
      <w:pPr>
        <w:pStyle w:val="Bibliography"/>
        <w:rPr>
          <w:sz w:val="24"/>
          <w:szCs w:val="24"/>
        </w:rPr>
      </w:pPr>
      <w:r w:rsidRPr="00033DFF">
        <w:rPr>
          <w:sz w:val="24"/>
          <w:szCs w:val="24"/>
        </w:rPr>
        <w:t xml:space="preserve">Lior, I., Sladen, A., Mercerat, D., Ampuero, J.-P., Rivet, D., &amp; Sambolian, S. (2021). Strain to ground motion conversion of distributed acoustic sensing data for earthquake magnitude </w:t>
      </w:r>
      <w:r w:rsidRPr="00033DFF">
        <w:rPr>
          <w:sz w:val="24"/>
          <w:szCs w:val="24"/>
        </w:rPr>
        <w:lastRenderedPageBreak/>
        <w:t xml:space="preserve">and stress drop determination. </w:t>
      </w:r>
      <w:r w:rsidRPr="00033DFF">
        <w:rPr>
          <w:i/>
          <w:iCs/>
          <w:sz w:val="24"/>
          <w:szCs w:val="24"/>
        </w:rPr>
        <w:t>Solid Earth</w:t>
      </w:r>
      <w:r w:rsidRPr="00033DFF">
        <w:rPr>
          <w:sz w:val="24"/>
          <w:szCs w:val="24"/>
        </w:rPr>
        <w:t xml:space="preserve">, </w:t>
      </w:r>
      <w:r w:rsidRPr="00033DFF">
        <w:rPr>
          <w:i/>
          <w:iCs/>
          <w:sz w:val="24"/>
          <w:szCs w:val="24"/>
        </w:rPr>
        <w:t>12</w:t>
      </w:r>
      <w:r w:rsidRPr="00033DFF">
        <w:rPr>
          <w:sz w:val="24"/>
          <w:szCs w:val="24"/>
        </w:rPr>
        <w:t>(6), 1421–1442. https://doi.org/10.5194/se-12-1421-2021</w:t>
      </w:r>
    </w:p>
    <w:p w14:paraId="1C0401F5" w14:textId="77777777" w:rsidR="00033DFF" w:rsidRPr="00033DFF" w:rsidRDefault="00033DFF" w:rsidP="00033DFF">
      <w:pPr>
        <w:pStyle w:val="Bibliography"/>
        <w:rPr>
          <w:sz w:val="24"/>
          <w:szCs w:val="24"/>
        </w:rPr>
      </w:pPr>
      <w:r w:rsidRPr="00033DFF">
        <w:rPr>
          <w:sz w:val="24"/>
          <w:szCs w:val="24"/>
        </w:rPr>
        <w:t xml:space="preserve">Lior, I., Sladen, A., Rivet, D., Ampuero, J., Hello, Y., Becerril, C., Martins, H. F., Lamare, P., Jestin, C., Tsagkli, S., &amp; Markou, C. (2021). On the Detection Capabilities of Underwater Distributed Acoustic Sensing. </w:t>
      </w:r>
      <w:r w:rsidRPr="00033DFF">
        <w:rPr>
          <w:i/>
          <w:iCs/>
          <w:sz w:val="24"/>
          <w:szCs w:val="24"/>
        </w:rPr>
        <w:t>Journal of Geophysical Research: Solid Earth</w:t>
      </w:r>
      <w:r w:rsidRPr="00033DFF">
        <w:rPr>
          <w:sz w:val="24"/>
          <w:szCs w:val="24"/>
        </w:rPr>
        <w:t xml:space="preserve">, </w:t>
      </w:r>
      <w:r w:rsidRPr="00033DFF">
        <w:rPr>
          <w:i/>
          <w:iCs/>
          <w:sz w:val="24"/>
          <w:szCs w:val="24"/>
        </w:rPr>
        <w:t>126</w:t>
      </w:r>
      <w:r w:rsidRPr="00033DFF">
        <w:rPr>
          <w:sz w:val="24"/>
          <w:szCs w:val="24"/>
        </w:rPr>
        <w:t>(3). https://doi.org/10.1029/2020JB020925</w:t>
      </w:r>
    </w:p>
    <w:p w14:paraId="60CBCB26" w14:textId="77777777" w:rsidR="00033DFF" w:rsidRPr="00033DFF" w:rsidRDefault="00033DFF" w:rsidP="00033DFF">
      <w:pPr>
        <w:pStyle w:val="Bibliography"/>
        <w:rPr>
          <w:sz w:val="24"/>
          <w:szCs w:val="24"/>
        </w:rPr>
      </w:pPr>
      <w:r w:rsidRPr="00033DFF">
        <w:rPr>
          <w:sz w:val="24"/>
          <w:szCs w:val="24"/>
        </w:rPr>
        <w:t xml:space="preserve">Lior, I., &amp; Ziv, A. (2017). The Relation between Ground Acceleration and Earthquake Source Parameters: Theory and Observations. </w:t>
      </w:r>
      <w:r w:rsidRPr="00033DFF">
        <w:rPr>
          <w:i/>
          <w:iCs/>
          <w:sz w:val="24"/>
          <w:szCs w:val="24"/>
        </w:rPr>
        <w:t>Bulletin of the Seismological Society of America</w:t>
      </w:r>
      <w:r w:rsidRPr="00033DFF">
        <w:rPr>
          <w:sz w:val="24"/>
          <w:szCs w:val="24"/>
        </w:rPr>
        <w:t xml:space="preserve">, </w:t>
      </w:r>
      <w:r w:rsidRPr="00033DFF">
        <w:rPr>
          <w:i/>
          <w:iCs/>
          <w:sz w:val="24"/>
          <w:szCs w:val="24"/>
        </w:rPr>
        <w:t>107</w:t>
      </w:r>
      <w:r w:rsidRPr="00033DFF">
        <w:rPr>
          <w:sz w:val="24"/>
          <w:szCs w:val="24"/>
        </w:rPr>
        <w:t>(2), 1012–1018. https://doi.org/10.1785/0120160251</w:t>
      </w:r>
    </w:p>
    <w:p w14:paraId="053D6506" w14:textId="77777777" w:rsidR="00033DFF" w:rsidRPr="00033DFF" w:rsidRDefault="00033DFF" w:rsidP="00033DFF">
      <w:pPr>
        <w:pStyle w:val="Bibliography"/>
        <w:rPr>
          <w:sz w:val="24"/>
          <w:szCs w:val="24"/>
        </w:rPr>
      </w:pPr>
      <w:r w:rsidRPr="00033DFF">
        <w:rPr>
          <w:sz w:val="24"/>
          <w:szCs w:val="24"/>
        </w:rPr>
        <w:t xml:space="preserve">Lior, I., &amp; Ziv, A. (2018). The Relation Between Ground Motion, Earthquake Source Parameters, and Attenuation: Implications for Source Parameter Inversion and Ground Motion Prediction Equations. </w:t>
      </w:r>
      <w:r w:rsidRPr="00033DFF">
        <w:rPr>
          <w:i/>
          <w:iCs/>
          <w:sz w:val="24"/>
          <w:szCs w:val="24"/>
        </w:rPr>
        <w:t>Journal of Geophysical Research: Solid Earth</w:t>
      </w:r>
      <w:r w:rsidRPr="00033DFF">
        <w:rPr>
          <w:sz w:val="24"/>
          <w:szCs w:val="24"/>
        </w:rPr>
        <w:t xml:space="preserve">, </w:t>
      </w:r>
      <w:r w:rsidRPr="00033DFF">
        <w:rPr>
          <w:i/>
          <w:iCs/>
          <w:sz w:val="24"/>
          <w:szCs w:val="24"/>
        </w:rPr>
        <w:t>123</w:t>
      </w:r>
      <w:r w:rsidRPr="00033DFF">
        <w:rPr>
          <w:sz w:val="24"/>
          <w:szCs w:val="24"/>
        </w:rPr>
        <w:t>(7), 5886–5901. https://doi.org/10.1029/2018JB015504</w:t>
      </w:r>
    </w:p>
    <w:p w14:paraId="1F594018" w14:textId="77777777" w:rsidR="00033DFF" w:rsidRPr="00033DFF" w:rsidRDefault="00033DFF" w:rsidP="00033DFF">
      <w:pPr>
        <w:pStyle w:val="Bibliography"/>
        <w:rPr>
          <w:sz w:val="24"/>
          <w:szCs w:val="24"/>
        </w:rPr>
      </w:pPr>
      <w:r w:rsidRPr="00033DFF">
        <w:rPr>
          <w:sz w:val="24"/>
          <w:szCs w:val="24"/>
        </w:rPr>
        <w:t xml:space="preserve">Madariaga, R. (1976). Dynamics of an expanding circular fault. </w:t>
      </w:r>
      <w:r w:rsidRPr="00033DFF">
        <w:rPr>
          <w:i/>
          <w:iCs/>
          <w:sz w:val="24"/>
          <w:szCs w:val="24"/>
        </w:rPr>
        <w:t>Bulletin of the Seismological Society of America</w:t>
      </w:r>
      <w:r w:rsidRPr="00033DFF">
        <w:rPr>
          <w:sz w:val="24"/>
          <w:szCs w:val="24"/>
        </w:rPr>
        <w:t xml:space="preserve">, </w:t>
      </w:r>
      <w:r w:rsidRPr="00033DFF">
        <w:rPr>
          <w:i/>
          <w:iCs/>
          <w:sz w:val="24"/>
          <w:szCs w:val="24"/>
        </w:rPr>
        <w:t>66</w:t>
      </w:r>
      <w:r w:rsidRPr="00033DFF">
        <w:rPr>
          <w:sz w:val="24"/>
          <w:szCs w:val="24"/>
        </w:rPr>
        <w:t>(3), 639–666.</w:t>
      </w:r>
    </w:p>
    <w:p w14:paraId="3DFC92F0" w14:textId="77777777" w:rsidR="00033DFF" w:rsidRPr="00033DFF" w:rsidRDefault="00033DFF" w:rsidP="00033DFF">
      <w:pPr>
        <w:pStyle w:val="Bibliography"/>
        <w:rPr>
          <w:sz w:val="24"/>
          <w:szCs w:val="24"/>
        </w:rPr>
      </w:pPr>
      <w:r w:rsidRPr="00033DFF">
        <w:rPr>
          <w:sz w:val="24"/>
          <w:szCs w:val="24"/>
        </w:rPr>
        <w:t xml:space="preserve">Mateeva, A., Lopez, J., Potters, H., Mestayer, J., Cox, B., Kiyashchenko, D., Wills, P., Grandi, S., Hornman, K., Kuvshinov, B., Berlang, W., Yang, Z., &amp; Detomo, R. (2014). Distributed acoustic sensing for reservoir monitoring with vertical seismic profiling: Distributed acoustic sensing (DAS) for reservoir monitoring with VSP. </w:t>
      </w:r>
      <w:r w:rsidRPr="00033DFF">
        <w:rPr>
          <w:i/>
          <w:iCs/>
          <w:sz w:val="24"/>
          <w:szCs w:val="24"/>
        </w:rPr>
        <w:t>Geophysical Prospecting</w:t>
      </w:r>
      <w:r w:rsidRPr="00033DFF">
        <w:rPr>
          <w:sz w:val="24"/>
          <w:szCs w:val="24"/>
        </w:rPr>
        <w:t xml:space="preserve">, </w:t>
      </w:r>
      <w:r w:rsidRPr="00033DFF">
        <w:rPr>
          <w:i/>
          <w:iCs/>
          <w:sz w:val="24"/>
          <w:szCs w:val="24"/>
        </w:rPr>
        <w:t>62</w:t>
      </w:r>
      <w:r w:rsidRPr="00033DFF">
        <w:rPr>
          <w:sz w:val="24"/>
          <w:szCs w:val="24"/>
        </w:rPr>
        <w:t>(4), 679–692. https://doi.org/10.1111/1365-2478.12116</w:t>
      </w:r>
    </w:p>
    <w:p w14:paraId="1D9DE033" w14:textId="77777777" w:rsidR="00033DFF" w:rsidRPr="00033DFF" w:rsidRDefault="00033DFF" w:rsidP="00033DFF">
      <w:pPr>
        <w:pStyle w:val="Bibliography"/>
        <w:rPr>
          <w:sz w:val="24"/>
          <w:szCs w:val="24"/>
        </w:rPr>
      </w:pPr>
      <w:r w:rsidRPr="00033DFF">
        <w:rPr>
          <w:sz w:val="24"/>
          <w:szCs w:val="24"/>
        </w:rPr>
        <w:t xml:space="preserve">Mayeda, K., Malagnini, L., &amp; Walter, W. R. (2007). A new spectral ratio method using narrow band coda envelopes: Evidence for non-self-similarity in the Hector Mine sequence. </w:t>
      </w:r>
      <w:r w:rsidRPr="00033DFF">
        <w:rPr>
          <w:i/>
          <w:iCs/>
          <w:sz w:val="24"/>
          <w:szCs w:val="24"/>
        </w:rPr>
        <w:t>Geophysical Research Letters</w:t>
      </w:r>
      <w:r w:rsidRPr="00033DFF">
        <w:rPr>
          <w:sz w:val="24"/>
          <w:szCs w:val="24"/>
        </w:rPr>
        <w:t xml:space="preserve">, </w:t>
      </w:r>
      <w:r w:rsidRPr="00033DFF">
        <w:rPr>
          <w:i/>
          <w:iCs/>
          <w:sz w:val="24"/>
          <w:szCs w:val="24"/>
        </w:rPr>
        <w:t>34</w:t>
      </w:r>
      <w:r w:rsidRPr="00033DFF">
        <w:rPr>
          <w:sz w:val="24"/>
          <w:szCs w:val="24"/>
        </w:rPr>
        <w:t>(11). https://doi.org/10.1029/2007GL030041</w:t>
      </w:r>
    </w:p>
    <w:p w14:paraId="4CAEC44A" w14:textId="77777777" w:rsidR="00033DFF" w:rsidRPr="00033DFF" w:rsidRDefault="00033DFF" w:rsidP="00033DFF">
      <w:pPr>
        <w:pStyle w:val="Bibliography"/>
        <w:rPr>
          <w:sz w:val="24"/>
          <w:szCs w:val="24"/>
        </w:rPr>
      </w:pPr>
      <w:r w:rsidRPr="00033DFF">
        <w:rPr>
          <w:sz w:val="24"/>
          <w:szCs w:val="24"/>
        </w:rPr>
        <w:lastRenderedPageBreak/>
        <w:t xml:space="preserve">Papp, B., Donno, D., Martin, J. E., &amp; Hartog, A. H. (2017). A study of the geophysical response of distributed fibre optic acoustic sensors through laboratory-scale experiments: Geophysical response of fibre optic sensors. </w:t>
      </w:r>
      <w:r w:rsidRPr="00033DFF">
        <w:rPr>
          <w:i/>
          <w:iCs/>
          <w:sz w:val="24"/>
          <w:szCs w:val="24"/>
        </w:rPr>
        <w:t>Geophysical Prospecting</w:t>
      </w:r>
      <w:r w:rsidRPr="00033DFF">
        <w:rPr>
          <w:sz w:val="24"/>
          <w:szCs w:val="24"/>
        </w:rPr>
        <w:t xml:space="preserve">, </w:t>
      </w:r>
      <w:r w:rsidRPr="00033DFF">
        <w:rPr>
          <w:i/>
          <w:iCs/>
          <w:sz w:val="24"/>
          <w:szCs w:val="24"/>
        </w:rPr>
        <w:t>65</w:t>
      </w:r>
      <w:r w:rsidRPr="00033DFF">
        <w:rPr>
          <w:sz w:val="24"/>
          <w:szCs w:val="24"/>
        </w:rPr>
        <w:t>(5), 1186–1204. https://doi.org/10.1111/1365-2478.12471</w:t>
      </w:r>
    </w:p>
    <w:p w14:paraId="67AD3AD3" w14:textId="77777777" w:rsidR="00033DFF" w:rsidRPr="00033DFF" w:rsidRDefault="00033DFF" w:rsidP="00033DFF">
      <w:pPr>
        <w:pStyle w:val="Bibliography"/>
        <w:rPr>
          <w:sz w:val="24"/>
          <w:szCs w:val="24"/>
        </w:rPr>
      </w:pPr>
      <w:r w:rsidRPr="00033DFF">
        <w:rPr>
          <w:sz w:val="24"/>
          <w:szCs w:val="24"/>
        </w:rPr>
        <w:t xml:space="preserve">Sato, T., &amp; Hirasawa, T. (1973). Body wave spectra from propagating shear cracks. </w:t>
      </w:r>
      <w:r w:rsidRPr="00033DFF">
        <w:rPr>
          <w:i/>
          <w:iCs/>
          <w:sz w:val="24"/>
          <w:szCs w:val="24"/>
        </w:rPr>
        <w:t>Journal of Physics of the Earth</w:t>
      </w:r>
      <w:r w:rsidRPr="00033DFF">
        <w:rPr>
          <w:sz w:val="24"/>
          <w:szCs w:val="24"/>
        </w:rPr>
        <w:t xml:space="preserve">, </w:t>
      </w:r>
      <w:r w:rsidRPr="00033DFF">
        <w:rPr>
          <w:i/>
          <w:iCs/>
          <w:sz w:val="24"/>
          <w:szCs w:val="24"/>
        </w:rPr>
        <w:t>21</w:t>
      </w:r>
      <w:r w:rsidRPr="00033DFF">
        <w:rPr>
          <w:sz w:val="24"/>
          <w:szCs w:val="24"/>
        </w:rPr>
        <w:t>(4), 415–431. https://doi.org/10.4294/jpe1952.21.415</w:t>
      </w:r>
    </w:p>
    <w:p w14:paraId="7BB698B9" w14:textId="77777777" w:rsidR="00033DFF" w:rsidRPr="00033DFF" w:rsidRDefault="00033DFF" w:rsidP="00033DFF">
      <w:pPr>
        <w:pStyle w:val="Bibliography"/>
        <w:rPr>
          <w:sz w:val="24"/>
          <w:szCs w:val="24"/>
        </w:rPr>
      </w:pPr>
      <w:r w:rsidRPr="00033DFF">
        <w:rPr>
          <w:sz w:val="24"/>
          <w:szCs w:val="24"/>
        </w:rPr>
        <w:t xml:space="preserve">Sharon, M., Sagy, A., Kurzon, I., Marco, S., &amp; Rosensaft, M. (2020). Assessment of seismic sources and capable faults through hierarchic tectonic criteria: Implications for seismic hazard in the Levant. </w:t>
      </w:r>
      <w:r w:rsidRPr="00033DFF">
        <w:rPr>
          <w:i/>
          <w:iCs/>
          <w:sz w:val="24"/>
          <w:szCs w:val="24"/>
        </w:rPr>
        <w:t>Natural Hazards and Earth System Sciences</w:t>
      </w:r>
      <w:r w:rsidRPr="00033DFF">
        <w:rPr>
          <w:sz w:val="24"/>
          <w:szCs w:val="24"/>
        </w:rPr>
        <w:t xml:space="preserve">, </w:t>
      </w:r>
      <w:r w:rsidRPr="00033DFF">
        <w:rPr>
          <w:i/>
          <w:iCs/>
          <w:sz w:val="24"/>
          <w:szCs w:val="24"/>
        </w:rPr>
        <w:t>20</w:t>
      </w:r>
      <w:r w:rsidRPr="00033DFF">
        <w:rPr>
          <w:sz w:val="24"/>
          <w:szCs w:val="24"/>
        </w:rPr>
        <w:t>(1), 125–148. https://doi.org/10.5194/nhess-20-125-2020</w:t>
      </w:r>
    </w:p>
    <w:p w14:paraId="270DFCE0" w14:textId="77777777" w:rsidR="00033DFF" w:rsidRPr="00033DFF" w:rsidRDefault="00033DFF" w:rsidP="00033DFF">
      <w:pPr>
        <w:pStyle w:val="Bibliography"/>
        <w:rPr>
          <w:sz w:val="24"/>
          <w:szCs w:val="24"/>
        </w:rPr>
      </w:pPr>
      <w:r w:rsidRPr="00033DFF">
        <w:rPr>
          <w:sz w:val="24"/>
          <w:szCs w:val="24"/>
        </w:rPr>
        <w:t xml:space="preserve">Shearer, P. M., Abercrombie, R. E., Trugman, D. T., &amp; Wang, W. (2019). Comparing EGF Methods for Estimating Corner Frequency and Stress Drop From </w:t>
      </w:r>
      <w:r w:rsidRPr="00033DFF">
        <w:rPr>
          <w:i/>
          <w:iCs/>
          <w:sz w:val="24"/>
          <w:szCs w:val="24"/>
        </w:rPr>
        <w:t>P</w:t>
      </w:r>
      <w:r w:rsidRPr="00033DFF">
        <w:rPr>
          <w:sz w:val="24"/>
          <w:szCs w:val="24"/>
        </w:rPr>
        <w:t xml:space="preserve"> Wave Spectra. </w:t>
      </w:r>
      <w:r w:rsidRPr="00033DFF">
        <w:rPr>
          <w:i/>
          <w:iCs/>
          <w:sz w:val="24"/>
          <w:szCs w:val="24"/>
        </w:rPr>
        <w:t>Journal of Geophysical Research: Solid Earth</w:t>
      </w:r>
      <w:r w:rsidRPr="00033DFF">
        <w:rPr>
          <w:sz w:val="24"/>
          <w:szCs w:val="24"/>
        </w:rPr>
        <w:t xml:space="preserve">, </w:t>
      </w:r>
      <w:r w:rsidRPr="00033DFF">
        <w:rPr>
          <w:i/>
          <w:iCs/>
          <w:sz w:val="24"/>
          <w:szCs w:val="24"/>
        </w:rPr>
        <w:t>124</w:t>
      </w:r>
      <w:r w:rsidRPr="00033DFF">
        <w:rPr>
          <w:sz w:val="24"/>
          <w:szCs w:val="24"/>
        </w:rPr>
        <w:t>(4), 3966–3986. https://doi.org/10.1029/2018JB016957</w:t>
      </w:r>
    </w:p>
    <w:p w14:paraId="5EAAE707" w14:textId="77777777" w:rsidR="00033DFF" w:rsidRPr="00033DFF" w:rsidRDefault="00033DFF" w:rsidP="00033DFF">
      <w:pPr>
        <w:pStyle w:val="Bibliography"/>
        <w:rPr>
          <w:sz w:val="24"/>
          <w:szCs w:val="24"/>
        </w:rPr>
      </w:pPr>
      <w:r w:rsidRPr="00033DFF">
        <w:rPr>
          <w:sz w:val="24"/>
          <w:szCs w:val="24"/>
        </w:rPr>
        <w:t xml:space="preserve">van den Ende, M. P. A., &amp; Ampuero, J.-P. (2021). Evaluating seismic beamforming capabilities of distributed acoustic sensing arrays. </w:t>
      </w:r>
      <w:r w:rsidRPr="00033DFF">
        <w:rPr>
          <w:i/>
          <w:iCs/>
          <w:sz w:val="24"/>
          <w:szCs w:val="24"/>
        </w:rPr>
        <w:t>Solid Earth</w:t>
      </w:r>
      <w:r w:rsidRPr="00033DFF">
        <w:rPr>
          <w:sz w:val="24"/>
          <w:szCs w:val="24"/>
        </w:rPr>
        <w:t xml:space="preserve">, </w:t>
      </w:r>
      <w:r w:rsidRPr="00033DFF">
        <w:rPr>
          <w:i/>
          <w:iCs/>
          <w:sz w:val="24"/>
          <w:szCs w:val="24"/>
        </w:rPr>
        <w:t>12</w:t>
      </w:r>
      <w:r w:rsidRPr="00033DFF">
        <w:rPr>
          <w:sz w:val="24"/>
          <w:szCs w:val="24"/>
        </w:rPr>
        <w:t>(4), 915–934. https://doi.org/10.5194/se-12-915-2021</w:t>
      </w:r>
    </w:p>
    <w:p w14:paraId="5D6DE696" w14:textId="77777777" w:rsidR="00033DFF" w:rsidRPr="00033DFF" w:rsidRDefault="00033DFF" w:rsidP="00033DFF">
      <w:pPr>
        <w:pStyle w:val="Bibliography"/>
        <w:rPr>
          <w:sz w:val="24"/>
          <w:szCs w:val="24"/>
        </w:rPr>
      </w:pPr>
      <w:r w:rsidRPr="00033DFF">
        <w:rPr>
          <w:sz w:val="24"/>
          <w:szCs w:val="24"/>
        </w:rPr>
        <w:t xml:space="preserve">Viegas, G., Abercrombie, R. E., &amp; Kim, W.-Y. (2010). The 2002 M5 Au Sable Forks, NY, earthquake sequence: Source scaling relationships and energy budget. </w:t>
      </w:r>
      <w:r w:rsidRPr="00033DFF">
        <w:rPr>
          <w:i/>
          <w:iCs/>
          <w:sz w:val="24"/>
          <w:szCs w:val="24"/>
        </w:rPr>
        <w:t>Journal of Geophysical Research: Solid Earth</w:t>
      </w:r>
      <w:r w:rsidRPr="00033DFF">
        <w:rPr>
          <w:sz w:val="24"/>
          <w:szCs w:val="24"/>
        </w:rPr>
        <w:t xml:space="preserve">, </w:t>
      </w:r>
      <w:r w:rsidRPr="00033DFF">
        <w:rPr>
          <w:i/>
          <w:iCs/>
          <w:sz w:val="24"/>
          <w:szCs w:val="24"/>
        </w:rPr>
        <w:t>115</w:t>
      </w:r>
      <w:r w:rsidRPr="00033DFF">
        <w:rPr>
          <w:sz w:val="24"/>
          <w:szCs w:val="24"/>
        </w:rPr>
        <w:t>(B7). https://doi.org/10.1029/2009JB006799</w:t>
      </w:r>
    </w:p>
    <w:p w14:paraId="5C33E9AC" w14:textId="77777777" w:rsidR="00033DFF" w:rsidRPr="00033DFF" w:rsidRDefault="00033DFF" w:rsidP="00033DFF">
      <w:pPr>
        <w:pStyle w:val="Bibliography"/>
        <w:rPr>
          <w:sz w:val="24"/>
          <w:szCs w:val="24"/>
        </w:rPr>
      </w:pPr>
      <w:r w:rsidRPr="00033DFF">
        <w:rPr>
          <w:sz w:val="24"/>
          <w:szCs w:val="24"/>
        </w:rPr>
        <w:t xml:space="preserve">Wu, Q., Chen, X., &amp; Abercrombie, R. E. (2019). Source Complexity of the 2015 Mw 4.0 Guthrie, Oklahoma Earthquake. </w:t>
      </w:r>
      <w:r w:rsidRPr="00033DFF">
        <w:rPr>
          <w:i/>
          <w:iCs/>
          <w:sz w:val="24"/>
          <w:szCs w:val="24"/>
        </w:rPr>
        <w:t>Geophysical Research Letters</w:t>
      </w:r>
      <w:r w:rsidRPr="00033DFF">
        <w:rPr>
          <w:sz w:val="24"/>
          <w:szCs w:val="24"/>
        </w:rPr>
        <w:t xml:space="preserve">, </w:t>
      </w:r>
      <w:r w:rsidRPr="00033DFF">
        <w:rPr>
          <w:i/>
          <w:iCs/>
          <w:sz w:val="24"/>
          <w:szCs w:val="24"/>
        </w:rPr>
        <w:t>46</w:t>
      </w:r>
      <w:r w:rsidRPr="00033DFF">
        <w:rPr>
          <w:sz w:val="24"/>
          <w:szCs w:val="24"/>
        </w:rPr>
        <w:t>(9), 4674–4684. https://doi.org/10.1029/2019GL082690</w:t>
      </w:r>
    </w:p>
    <w:p w14:paraId="2B7C9A8E" w14:textId="18CB1328" w:rsidR="00BF0028" w:rsidRPr="00CA004D" w:rsidRDefault="004B04EA" w:rsidP="00CA004D">
      <w:pPr>
        <w:shd w:val="clear" w:color="auto" w:fill="FFFFFF"/>
        <w:spacing w:line="480" w:lineRule="auto"/>
        <w:rPr>
          <w:bCs/>
          <w:kern w:val="28"/>
        </w:rPr>
      </w:pPr>
      <w:r>
        <w:rPr>
          <w:rFonts w:eastAsia="Times New Roman"/>
          <w:b/>
          <w:bCs/>
          <w:color w:val="262626"/>
          <w:sz w:val="24"/>
          <w:szCs w:val="24"/>
        </w:rPr>
        <w:fldChar w:fldCharType="end"/>
      </w:r>
    </w:p>
    <w:sectPr w:rsidR="00BF0028" w:rsidRPr="00CA004D" w:rsidSect="00BD47BB">
      <w:headerReference w:type="default" r:id="rId13"/>
      <w:footerReference w:type="default" r:id="rId14"/>
      <w:headerReference w:type="first" r:id="rId15"/>
      <w:type w:val="continuous"/>
      <w:pgSz w:w="12240" w:h="15840"/>
      <w:pgMar w:top="1440" w:right="1440" w:bottom="1440" w:left="1440" w:header="432"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25931BC" w14:textId="77777777" w:rsidR="00A60ABB" w:rsidRDefault="00A60ABB" w:rsidP="000379AB">
      <w:r>
        <w:separator/>
      </w:r>
    </w:p>
  </w:endnote>
  <w:endnote w:type="continuationSeparator" w:id="0">
    <w:p w14:paraId="1F5F7F68" w14:textId="77777777" w:rsidR="00A60ABB" w:rsidRDefault="00A60ABB" w:rsidP="000379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yriad Pro">
    <w:altName w:val="Segoe UI"/>
    <w:panose1 w:val="00000000000000000000"/>
    <w:charset w:val="00"/>
    <w:family w:val="swiss"/>
    <w:notTrueType/>
    <w:pitch w:val="variable"/>
    <w:sig w:usb0="20000287" w:usb1="00000001"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4ED28E" w14:textId="2FE9AD18" w:rsidR="0074563C" w:rsidRDefault="0074563C" w:rsidP="00B719C8">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4831C8B" w14:textId="77777777" w:rsidR="00A60ABB" w:rsidRDefault="00A60ABB" w:rsidP="000379AB">
      <w:r>
        <w:separator/>
      </w:r>
    </w:p>
  </w:footnote>
  <w:footnote w:type="continuationSeparator" w:id="0">
    <w:p w14:paraId="01CC7B26" w14:textId="77777777" w:rsidR="00A60ABB" w:rsidRDefault="00A60ABB" w:rsidP="000379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25FE63" w14:textId="00CEB435" w:rsidR="0074563C" w:rsidRDefault="0074563C" w:rsidP="007778ED">
    <w:pPr>
      <w:pStyle w:val="Header"/>
      <w:jc w:val="center"/>
    </w:pPr>
    <w:r>
      <w:t xml:space="preserve">manuscript submitted to </w:t>
    </w:r>
    <w:r>
      <w:rPr>
        <w:i/>
      </w:rPr>
      <w:t>Geophysical Research Letters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B75CCC" w14:textId="2816AD77" w:rsidR="0074563C" w:rsidRDefault="0074563C" w:rsidP="00E31404">
    <w:pPr>
      <w:pStyle w:val="Header"/>
      <w:jc w:val="center"/>
    </w:pPr>
    <w:r>
      <w:t xml:space="preserve">Confidential manuscript submitted to </w:t>
    </w:r>
    <w:r>
      <w:rPr>
        <w:i/>
      </w:rPr>
      <w:t xml:space="preserve">replace this text with name of </w:t>
    </w:r>
    <w:r w:rsidRPr="007778ED">
      <w:rPr>
        <w:i/>
      </w:rPr>
      <w:t>AGU journal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DD472D"/>
    <w:multiLevelType w:val="hybridMultilevel"/>
    <w:tmpl w:val="880A865A"/>
    <w:lvl w:ilvl="0" w:tplc="04090001">
      <w:start w:val="1"/>
      <w:numFmt w:val="bullet"/>
      <w:lvlText w:val=""/>
      <w:lvlJc w:val="left"/>
      <w:pPr>
        <w:ind w:left="1080" w:hanging="360"/>
      </w:pPr>
      <w:rPr>
        <w:rFonts w:ascii="Symbol" w:hAnsi="Symbol"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125E64BC"/>
    <w:multiLevelType w:val="hybridMultilevel"/>
    <w:tmpl w:val="A4B06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478067D"/>
    <w:multiLevelType w:val="hybridMultilevel"/>
    <w:tmpl w:val="9FB67F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24A61D63"/>
    <w:multiLevelType w:val="hybridMultilevel"/>
    <w:tmpl w:val="773CD9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F047978"/>
    <w:multiLevelType w:val="hybridMultilevel"/>
    <w:tmpl w:val="7E889D8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3C9B5536"/>
    <w:multiLevelType w:val="hybridMultilevel"/>
    <w:tmpl w:val="CBCCF77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04E3973"/>
    <w:multiLevelType w:val="hybridMultilevel"/>
    <w:tmpl w:val="8C6689B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0FD43D8"/>
    <w:multiLevelType w:val="hybridMultilevel"/>
    <w:tmpl w:val="00E46F2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8" w15:restartNumberingAfterBreak="0">
    <w:nsid w:val="5C811597"/>
    <w:multiLevelType w:val="hybridMultilevel"/>
    <w:tmpl w:val="4E48B8C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40D0A31"/>
    <w:multiLevelType w:val="multilevel"/>
    <w:tmpl w:val="65BEA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4351C9F"/>
    <w:multiLevelType w:val="multilevel"/>
    <w:tmpl w:val="8196B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B5208B2"/>
    <w:multiLevelType w:val="hybridMultilevel"/>
    <w:tmpl w:val="EF94B784"/>
    <w:lvl w:ilvl="0" w:tplc="9B9AD5D6">
      <w:start w:val="1"/>
      <w:numFmt w:val="upperLetter"/>
      <w:lvlText w:val="%1t"/>
      <w:lvlJc w:val="left"/>
      <w:pPr>
        <w:ind w:left="440" w:hanging="360"/>
      </w:pPr>
      <w:rPr>
        <w:rFonts w:hint="default"/>
      </w:rPr>
    </w:lvl>
    <w:lvl w:ilvl="1" w:tplc="04090019" w:tentative="1">
      <w:start w:val="1"/>
      <w:numFmt w:val="lowerLetter"/>
      <w:lvlText w:val="%2."/>
      <w:lvlJc w:val="left"/>
      <w:pPr>
        <w:ind w:left="1160" w:hanging="360"/>
      </w:pPr>
    </w:lvl>
    <w:lvl w:ilvl="2" w:tplc="0409001B" w:tentative="1">
      <w:start w:val="1"/>
      <w:numFmt w:val="lowerRoman"/>
      <w:lvlText w:val="%3."/>
      <w:lvlJc w:val="right"/>
      <w:pPr>
        <w:ind w:left="1880" w:hanging="180"/>
      </w:pPr>
    </w:lvl>
    <w:lvl w:ilvl="3" w:tplc="0409000F" w:tentative="1">
      <w:start w:val="1"/>
      <w:numFmt w:val="decimal"/>
      <w:lvlText w:val="%4."/>
      <w:lvlJc w:val="left"/>
      <w:pPr>
        <w:ind w:left="2600" w:hanging="360"/>
      </w:pPr>
    </w:lvl>
    <w:lvl w:ilvl="4" w:tplc="04090019" w:tentative="1">
      <w:start w:val="1"/>
      <w:numFmt w:val="lowerLetter"/>
      <w:lvlText w:val="%5."/>
      <w:lvlJc w:val="left"/>
      <w:pPr>
        <w:ind w:left="3320" w:hanging="360"/>
      </w:pPr>
    </w:lvl>
    <w:lvl w:ilvl="5" w:tplc="0409001B" w:tentative="1">
      <w:start w:val="1"/>
      <w:numFmt w:val="lowerRoman"/>
      <w:lvlText w:val="%6."/>
      <w:lvlJc w:val="right"/>
      <w:pPr>
        <w:ind w:left="4040" w:hanging="180"/>
      </w:pPr>
    </w:lvl>
    <w:lvl w:ilvl="6" w:tplc="0409000F" w:tentative="1">
      <w:start w:val="1"/>
      <w:numFmt w:val="decimal"/>
      <w:lvlText w:val="%7."/>
      <w:lvlJc w:val="left"/>
      <w:pPr>
        <w:ind w:left="4760" w:hanging="360"/>
      </w:pPr>
    </w:lvl>
    <w:lvl w:ilvl="7" w:tplc="04090019" w:tentative="1">
      <w:start w:val="1"/>
      <w:numFmt w:val="lowerLetter"/>
      <w:lvlText w:val="%8."/>
      <w:lvlJc w:val="left"/>
      <w:pPr>
        <w:ind w:left="5480" w:hanging="360"/>
      </w:pPr>
    </w:lvl>
    <w:lvl w:ilvl="8" w:tplc="0409001B" w:tentative="1">
      <w:start w:val="1"/>
      <w:numFmt w:val="lowerRoman"/>
      <w:lvlText w:val="%9."/>
      <w:lvlJc w:val="right"/>
      <w:pPr>
        <w:ind w:left="6200" w:hanging="180"/>
      </w:pPr>
    </w:lvl>
  </w:abstractNum>
  <w:abstractNum w:abstractNumId="12" w15:restartNumberingAfterBreak="0">
    <w:nsid w:val="7B47206B"/>
    <w:multiLevelType w:val="hybridMultilevel"/>
    <w:tmpl w:val="058C0FC8"/>
    <w:lvl w:ilvl="0" w:tplc="EB9E9560">
      <w:numFmt w:val="bullet"/>
      <w:lvlText w:val="·"/>
      <w:lvlJc w:val="left"/>
      <w:pPr>
        <w:ind w:left="1080" w:hanging="360"/>
      </w:pPr>
      <w:rPr>
        <w:rFonts w:ascii="Times New Roman" w:eastAsia="Times New Roman" w:hAnsi="Times New Roman" w:cs="Times New Roman"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2"/>
  </w:num>
  <w:num w:numId="2">
    <w:abstractNumId w:val="1"/>
  </w:num>
  <w:num w:numId="3">
    <w:abstractNumId w:val="11"/>
  </w:num>
  <w:num w:numId="4">
    <w:abstractNumId w:val="5"/>
  </w:num>
  <w:num w:numId="5">
    <w:abstractNumId w:val="6"/>
  </w:num>
  <w:num w:numId="6">
    <w:abstractNumId w:val="8"/>
  </w:num>
  <w:num w:numId="7">
    <w:abstractNumId w:val="9"/>
  </w:num>
  <w:num w:numId="8">
    <w:abstractNumId w:val="10"/>
  </w:num>
  <w:num w:numId="9">
    <w:abstractNumId w:val="3"/>
  </w:num>
  <w:num w:numId="10">
    <w:abstractNumId w:val="7"/>
  </w:num>
  <w:num w:numId="11">
    <w:abstractNumId w:val="4"/>
  </w:num>
  <w:num w:numId="12">
    <w:abstractNumId w:val="12"/>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hideGrammaticalErrors/>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6077"/>
    <w:rsid w:val="0000516A"/>
    <w:rsid w:val="0000722C"/>
    <w:rsid w:val="00027B81"/>
    <w:rsid w:val="000317A9"/>
    <w:rsid w:val="00031829"/>
    <w:rsid w:val="00033DFF"/>
    <w:rsid w:val="00034CD3"/>
    <w:rsid w:val="00035624"/>
    <w:rsid w:val="00036BED"/>
    <w:rsid w:val="00036CD0"/>
    <w:rsid w:val="000379AB"/>
    <w:rsid w:val="00053731"/>
    <w:rsid w:val="0005691B"/>
    <w:rsid w:val="00057724"/>
    <w:rsid w:val="00060B93"/>
    <w:rsid w:val="00061870"/>
    <w:rsid w:val="00064ABC"/>
    <w:rsid w:val="000722BD"/>
    <w:rsid w:val="000729AF"/>
    <w:rsid w:val="0007414F"/>
    <w:rsid w:val="000745B7"/>
    <w:rsid w:val="00074C70"/>
    <w:rsid w:val="00075040"/>
    <w:rsid w:val="00076346"/>
    <w:rsid w:val="0007737E"/>
    <w:rsid w:val="00077BE7"/>
    <w:rsid w:val="00080B27"/>
    <w:rsid w:val="00082E28"/>
    <w:rsid w:val="00087A46"/>
    <w:rsid w:val="00095427"/>
    <w:rsid w:val="000960B4"/>
    <w:rsid w:val="00096E46"/>
    <w:rsid w:val="00097FF8"/>
    <w:rsid w:val="000A0EAA"/>
    <w:rsid w:val="000A1238"/>
    <w:rsid w:val="000A2AFB"/>
    <w:rsid w:val="000A3E72"/>
    <w:rsid w:val="000A548E"/>
    <w:rsid w:val="000A79AC"/>
    <w:rsid w:val="000B5FE2"/>
    <w:rsid w:val="000C3AA6"/>
    <w:rsid w:val="000C483B"/>
    <w:rsid w:val="000C7549"/>
    <w:rsid w:val="000D0F32"/>
    <w:rsid w:val="000D1339"/>
    <w:rsid w:val="000D55C2"/>
    <w:rsid w:val="000D58C5"/>
    <w:rsid w:val="000D6BB7"/>
    <w:rsid w:val="000E0C27"/>
    <w:rsid w:val="000E0E29"/>
    <w:rsid w:val="000E53B1"/>
    <w:rsid w:val="000E5904"/>
    <w:rsid w:val="000E6AD9"/>
    <w:rsid w:val="000F14B0"/>
    <w:rsid w:val="000F44FF"/>
    <w:rsid w:val="000F5868"/>
    <w:rsid w:val="00104086"/>
    <w:rsid w:val="00104902"/>
    <w:rsid w:val="00104B27"/>
    <w:rsid w:val="00111636"/>
    <w:rsid w:val="00114D05"/>
    <w:rsid w:val="00116BDE"/>
    <w:rsid w:val="00124D6B"/>
    <w:rsid w:val="00125794"/>
    <w:rsid w:val="00126169"/>
    <w:rsid w:val="001338F9"/>
    <w:rsid w:val="00134A96"/>
    <w:rsid w:val="0014015B"/>
    <w:rsid w:val="00143A2B"/>
    <w:rsid w:val="00144E29"/>
    <w:rsid w:val="0014654F"/>
    <w:rsid w:val="001475F3"/>
    <w:rsid w:val="00156806"/>
    <w:rsid w:val="0015680F"/>
    <w:rsid w:val="00157B03"/>
    <w:rsid w:val="00161A38"/>
    <w:rsid w:val="00161EE9"/>
    <w:rsid w:val="001718E4"/>
    <w:rsid w:val="00174EA6"/>
    <w:rsid w:val="001753C5"/>
    <w:rsid w:val="0018010F"/>
    <w:rsid w:val="00180AE2"/>
    <w:rsid w:val="00181041"/>
    <w:rsid w:val="001869B9"/>
    <w:rsid w:val="00190C18"/>
    <w:rsid w:val="00193433"/>
    <w:rsid w:val="00195F5A"/>
    <w:rsid w:val="001A2B8E"/>
    <w:rsid w:val="001B3EB8"/>
    <w:rsid w:val="001B6EF5"/>
    <w:rsid w:val="001C0A8E"/>
    <w:rsid w:val="001C0B2E"/>
    <w:rsid w:val="001C2B0D"/>
    <w:rsid w:val="001C2DC0"/>
    <w:rsid w:val="001C3D28"/>
    <w:rsid w:val="001C6172"/>
    <w:rsid w:val="001D02F1"/>
    <w:rsid w:val="001D0E3B"/>
    <w:rsid w:val="001D17AE"/>
    <w:rsid w:val="001D5E19"/>
    <w:rsid w:val="001D6566"/>
    <w:rsid w:val="001E171D"/>
    <w:rsid w:val="001E33EF"/>
    <w:rsid w:val="001E4DEA"/>
    <w:rsid w:val="001F1386"/>
    <w:rsid w:val="001F33E5"/>
    <w:rsid w:val="001F4680"/>
    <w:rsid w:val="001F473D"/>
    <w:rsid w:val="001F7CD6"/>
    <w:rsid w:val="00200DA9"/>
    <w:rsid w:val="00201BC7"/>
    <w:rsid w:val="00205265"/>
    <w:rsid w:val="002071E0"/>
    <w:rsid w:val="002112A2"/>
    <w:rsid w:val="002112B8"/>
    <w:rsid w:val="00220492"/>
    <w:rsid w:val="0023062A"/>
    <w:rsid w:val="00232463"/>
    <w:rsid w:val="002324BA"/>
    <w:rsid w:val="0023426A"/>
    <w:rsid w:val="00237246"/>
    <w:rsid w:val="00240493"/>
    <w:rsid w:val="0024183C"/>
    <w:rsid w:val="00244203"/>
    <w:rsid w:val="0024624F"/>
    <w:rsid w:val="002475EC"/>
    <w:rsid w:val="002523AA"/>
    <w:rsid w:val="00254D6A"/>
    <w:rsid w:val="0026240D"/>
    <w:rsid w:val="00263B17"/>
    <w:rsid w:val="00264939"/>
    <w:rsid w:val="002653A8"/>
    <w:rsid w:val="00266B03"/>
    <w:rsid w:val="0026714F"/>
    <w:rsid w:val="00267495"/>
    <w:rsid w:val="002679C1"/>
    <w:rsid w:val="00267EDD"/>
    <w:rsid w:val="00273CF3"/>
    <w:rsid w:val="00275A4D"/>
    <w:rsid w:val="00281A5D"/>
    <w:rsid w:val="002843F1"/>
    <w:rsid w:val="00285281"/>
    <w:rsid w:val="002916D0"/>
    <w:rsid w:val="002923A6"/>
    <w:rsid w:val="00293C66"/>
    <w:rsid w:val="00294310"/>
    <w:rsid w:val="002A044E"/>
    <w:rsid w:val="002A1892"/>
    <w:rsid w:val="002B0DD4"/>
    <w:rsid w:val="002B449F"/>
    <w:rsid w:val="002B6F74"/>
    <w:rsid w:val="002B7FB3"/>
    <w:rsid w:val="002C08E1"/>
    <w:rsid w:val="002C0C85"/>
    <w:rsid w:val="002C3263"/>
    <w:rsid w:val="002C38FF"/>
    <w:rsid w:val="002C53D2"/>
    <w:rsid w:val="002D06F5"/>
    <w:rsid w:val="002D17A2"/>
    <w:rsid w:val="002D2557"/>
    <w:rsid w:val="002D29C7"/>
    <w:rsid w:val="002D4557"/>
    <w:rsid w:val="002D56C8"/>
    <w:rsid w:val="002D6056"/>
    <w:rsid w:val="002D6863"/>
    <w:rsid w:val="002E28F9"/>
    <w:rsid w:val="002E57A2"/>
    <w:rsid w:val="002E6EE9"/>
    <w:rsid w:val="002E7898"/>
    <w:rsid w:val="002F0253"/>
    <w:rsid w:val="002F026F"/>
    <w:rsid w:val="002F2289"/>
    <w:rsid w:val="002F33CF"/>
    <w:rsid w:val="002F3B11"/>
    <w:rsid w:val="002F6AAC"/>
    <w:rsid w:val="002F6E67"/>
    <w:rsid w:val="003007F9"/>
    <w:rsid w:val="003025E8"/>
    <w:rsid w:val="003035AC"/>
    <w:rsid w:val="00305AB8"/>
    <w:rsid w:val="00306609"/>
    <w:rsid w:val="003137C3"/>
    <w:rsid w:val="00315D6B"/>
    <w:rsid w:val="003166B1"/>
    <w:rsid w:val="00316C0C"/>
    <w:rsid w:val="00320374"/>
    <w:rsid w:val="00320AEA"/>
    <w:rsid w:val="00320F48"/>
    <w:rsid w:val="003214F4"/>
    <w:rsid w:val="00321596"/>
    <w:rsid w:val="003215D2"/>
    <w:rsid w:val="00322F35"/>
    <w:rsid w:val="0032482C"/>
    <w:rsid w:val="00325307"/>
    <w:rsid w:val="00330C1C"/>
    <w:rsid w:val="00332CC6"/>
    <w:rsid w:val="003342F6"/>
    <w:rsid w:val="003372C4"/>
    <w:rsid w:val="0035098C"/>
    <w:rsid w:val="00350BDD"/>
    <w:rsid w:val="00356541"/>
    <w:rsid w:val="00357ACB"/>
    <w:rsid w:val="00366917"/>
    <w:rsid w:val="00370E79"/>
    <w:rsid w:val="00372ACD"/>
    <w:rsid w:val="0037466A"/>
    <w:rsid w:val="003809E9"/>
    <w:rsid w:val="00382541"/>
    <w:rsid w:val="003835E5"/>
    <w:rsid w:val="00385B01"/>
    <w:rsid w:val="0039009E"/>
    <w:rsid w:val="003A487A"/>
    <w:rsid w:val="003A6CF9"/>
    <w:rsid w:val="003B0DFA"/>
    <w:rsid w:val="003B0F11"/>
    <w:rsid w:val="003B109D"/>
    <w:rsid w:val="003B58F5"/>
    <w:rsid w:val="003B638F"/>
    <w:rsid w:val="003B63DC"/>
    <w:rsid w:val="003C54E8"/>
    <w:rsid w:val="003C5541"/>
    <w:rsid w:val="003D4895"/>
    <w:rsid w:val="003E1E14"/>
    <w:rsid w:val="003E2351"/>
    <w:rsid w:val="003E660A"/>
    <w:rsid w:val="003E701E"/>
    <w:rsid w:val="003E7FF1"/>
    <w:rsid w:val="003F199B"/>
    <w:rsid w:val="003F1BE5"/>
    <w:rsid w:val="003F1CF1"/>
    <w:rsid w:val="003F2B81"/>
    <w:rsid w:val="003F339C"/>
    <w:rsid w:val="003F6BC2"/>
    <w:rsid w:val="00400425"/>
    <w:rsid w:val="004009A6"/>
    <w:rsid w:val="00402705"/>
    <w:rsid w:val="00405169"/>
    <w:rsid w:val="00407EF1"/>
    <w:rsid w:val="00417EB4"/>
    <w:rsid w:val="00431479"/>
    <w:rsid w:val="00436C7D"/>
    <w:rsid w:val="004375A9"/>
    <w:rsid w:val="00440A22"/>
    <w:rsid w:val="00444250"/>
    <w:rsid w:val="00450A4F"/>
    <w:rsid w:val="00462550"/>
    <w:rsid w:val="004646A0"/>
    <w:rsid w:val="0046739F"/>
    <w:rsid w:val="00467596"/>
    <w:rsid w:val="004740B0"/>
    <w:rsid w:val="004754C0"/>
    <w:rsid w:val="004768EC"/>
    <w:rsid w:val="00482C0F"/>
    <w:rsid w:val="00491D19"/>
    <w:rsid w:val="00491D5D"/>
    <w:rsid w:val="00492EB4"/>
    <w:rsid w:val="0049526B"/>
    <w:rsid w:val="0049546B"/>
    <w:rsid w:val="004966A2"/>
    <w:rsid w:val="0049724D"/>
    <w:rsid w:val="004A46A3"/>
    <w:rsid w:val="004A6267"/>
    <w:rsid w:val="004A6F0D"/>
    <w:rsid w:val="004B04EA"/>
    <w:rsid w:val="004B0A03"/>
    <w:rsid w:val="004B0D2A"/>
    <w:rsid w:val="004B3A78"/>
    <w:rsid w:val="004B5797"/>
    <w:rsid w:val="004B61E4"/>
    <w:rsid w:val="004C1189"/>
    <w:rsid w:val="004C5820"/>
    <w:rsid w:val="004C5C95"/>
    <w:rsid w:val="004C5DC8"/>
    <w:rsid w:val="004D0909"/>
    <w:rsid w:val="004D0DD1"/>
    <w:rsid w:val="004D262F"/>
    <w:rsid w:val="004D299F"/>
    <w:rsid w:val="004D53C9"/>
    <w:rsid w:val="004E2175"/>
    <w:rsid w:val="004E698B"/>
    <w:rsid w:val="004F15E3"/>
    <w:rsid w:val="005012D3"/>
    <w:rsid w:val="0050204F"/>
    <w:rsid w:val="00507B04"/>
    <w:rsid w:val="00510A41"/>
    <w:rsid w:val="00514B45"/>
    <w:rsid w:val="00516422"/>
    <w:rsid w:val="005167EA"/>
    <w:rsid w:val="00523035"/>
    <w:rsid w:val="00523FAE"/>
    <w:rsid w:val="00524DF3"/>
    <w:rsid w:val="00526ECA"/>
    <w:rsid w:val="00530B3E"/>
    <w:rsid w:val="00531B15"/>
    <w:rsid w:val="00533C21"/>
    <w:rsid w:val="005358D5"/>
    <w:rsid w:val="00535B0C"/>
    <w:rsid w:val="00543551"/>
    <w:rsid w:val="00545225"/>
    <w:rsid w:val="00545B6C"/>
    <w:rsid w:val="005463A5"/>
    <w:rsid w:val="00551862"/>
    <w:rsid w:val="00551CA1"/>
    <w:rsid w:val="00556ED7"/>
    <w:rsid w:val="00560032"/>
    <w:rsid w:val="0056180E"/>
    <w:rsid w:val="00562C9F"/>
    <w:rsid w:val="00562D64"/>
    <w:rsid w:val="00566467"/>
    <w:rsid w:val="00572227"/>
    <w:rsid w:val="005735A6"/>
    <w:rsid w:val="0057381D"/>
    <w:rsid w:val="0057441D"/>
    <w:rsid w:val="00575C0B"/>
    <w:rsid w:val="005806C2"/>
    <w:rsid w:val="005844EE"/>
    <w:rsid w:val="0058663D"/>
    <w:rsid w:val="00590786"/>
    <w:rsid w:val="00591A37"/>
    <w:rsid w:val="00591BA5"/>
    <w:rsid w:val="00593E57"/>
    <w:rsid w:val="005A34A2"/>
    <w:rsid w:val="005A58BB"/>
    <w:rsid w:val="005A5DBC"/>
    <w:rsid w:val="005B3FF7"/>
    <w:rsid w:val="005B5079"/>
    <w:rsid w:val="005B6ACB"/>
    <w:rsid w:val="005C39E1"/>
    <w:rsid w:val="005C3DC2"/>
    <w:rsid w:val="005D2FB4"/>
    <w:rsid w:val="005D64C8"/>
    <w:rsid w:val="005D6779"/>
    <w:rsid w:val="005E1969"/>
    <w:rsid w:val="005E1D88"/>
    <w:rsid w:val="005E4A3C"/>
    <w:rsid w:val="005E7539"/>
    <w:rsid w:val="005F37EE"/>
    <w:rsid w:val="005F7D81"/>
    <w:rsid w:val="00602A28"/>
    <w:rsid w:val="0060394E"/>
    <w:rsid w:val="00605538"/>
    <w:rsid w:val="00605755"/>
    <w:rsid w:val="00606B7A"/>
    <w:rsid w:val="00606C88"/>
    <w:rsid w:val="0061073F"/>
    <w:rsid w:val="006161E9"/>
    <w:rsid w:val="00624AA1"/>
    <w:rsid w:val="00626796"/>
    <w:rsid w:val="00630A1F"/>
    <w:rsid w:val="00636CAD"/>
    <w:rsid w:val="006372A4"/>
    <w:rsid w:val="00645131"/>
    <w:rsid w:val="00652317"/>
    <w:rsid w:val="0065238D"/>
    <w:rsid w:val="00654A22"/>
    <w:rsid w:val="00655E3B"/>
    <w:rsid w:val="006605D4"/>
    <w:rsid w:val="00664C20"/>
    <w:rsid w:val="0066738F"/>
    <w:rsid w:val="00670CEC"/>
    <w:rsid w:val="00671D51"/>
    <w:rsid w:val="006757E7"/>
    <w:rsid w:val="006842EE"/>
    <w:rsid w:val="0068525A"/>
    <w:rsid w:val="00685D19"/>
    <w:rsid w:val="00687A77"/>
    <w:rsid w:val="0069642E"/>
    <w:rsid w:val="006B17D7"/>
    <w:rsid w:val="006B5161"/>
    <w:rsid w:val="006B575C"/>
    <w:rsid w:val="006B66DB"/>
    <w:rsid w:val="006C4619"/>
    <w:rsid w:val="006C7491"/>
    <w:rsid w:val="006D0189"/>
    <w:rsid w:val="006D19B4"/>
    <w:rsid w:val="006D2F57"/>
    <w:rsid w:val="006D4107"/>
    <w:rsid w:val="006D4EEA"/>
    <w:rsid w:val="006E02E5"/>
    <w:rsid w:val="006E0B15"/>
    <w:rsid w:val="006E1FA8"/>
    <w:rsid w:val="006E2CFD"/>
    <w:rsid w:val="006E566F"/>
    <w:rsid w:val="006F0D4D"/>
    <w:rsid w:val="006F2A16"/>
    <w:rsid w:val="006F5842"/>
    <w:rsid w:val="006F59FC"/>
    <w:rsid w:val="006F662E"/>
    <w:rsid w:val="00703C27"/>
    <w:rsid w:val="00703C5B"/>
    <w:rsid w:val="00706AC6"/>
    <w:rsid w:val="007078CC"/>
    <w:rsid w:val="00707CB6"/>
    <w:rsid w:val="007128D4"/>
    <w:rsid w:val="00716D60"/>
    <w:rsid w:val="007172BA"/>
    <w:rsid w:val="0071792C"/>
    <w:rsid w:val="00717E18"/>
    <w:rsid w:val="00720657"/>
    <w:rsid w:val="00733C69"/>
    <w:rsid w:val="00734BD8"/>
    <w:rsid w:val="007402E2"/>
    <w:rsid w:val="0074563C"/>
    <w:rsid w:val="00751B1C"/>
    <w:rsid w:val="00752003"/>
    <w:rsid w:val="0075233F"/>
    <w:rsid w:val="0075573E"/>
    <w:rsid w:val="007620B2"/>
    <w:rsid w:val="00764357"/>
    <w:rsid w:val="00770BA2"/>
    <w:rsid w:val="00773EB3"/>
    <w:rsid w:val="0077505D"/>
    <w:rsid w:val="007778ED"/>
    <w:rsid w:val="0077799B"/>
    <w:rsid w:val="00780221"/>
    <w:rsid w:val="00784CB4"/>
    <w:rsid w:val="00784F6A"/>
    <w:rsid w:val="007916CE"/>
    <w:rsid w:val="00795127"/>
    <w:rsid w:val="0079539E"/>
    <w:rsid w:val="00796068"/>
    <w:rsid w:val="00796FB8"/>
    <w:rsid w:val="00797876"/>
    <w:rsid w:val="00797901"/>
    <w:rsid w:val="007A210E"/>
    <w:rsid w:val="007A307D"/>
    <w:rsid w:val="007B4B93"/>
    <w:rsid w:val="007C1733"/>
    <w:rsid w:val="007C36E3"/>
    <w:rsid w:val="007C692A"/>
    <w:rsid w:val="007D0814"/>
    <w:rsid w:val="007D2805"/>
    <w:rsid w:val="007D3AE0"/>
    <w:rsid w:val="007D607C"/>
    <w:rsid w:val="007E04C4"/>
    <w:rsid w:val="007E13D2"/>
    <w:rsid w:val="007E2B7E"/>
    <w:rsid w:val="007F0B8C"/>
    <w:rsid w:val="007F4627"/>
    <w:rsid w:val="007F55D1"/>
    <w:rsid w:val="00811B53"/>
    <w:rsid w:val="00813315"/>
    <w:rsid w:val="00814039"/>
    <w:rsid w:val="008150F8"/>
    <w:rsid w:val="00823519"/>
    <w:rsid w:val="0082579C"/>
    <w:rsid w:val="0082793E"/>
    <w:rsid w:val="008321AB"/>
    <w:rsid w:val="0083282E"/>
    <w:rsid w:val="008355E9"/>
    <w:rsid w:val="008356B2"/>
    <w:rsid w:val="008401C0"/>
    <w:rsid w:val="00842927"/>
    <w:rsid w:val="00843F78"/>
    <w:rsid w:val="00847965"/>
    <w:rsid w:val="00850015"/>
    <w:rsid w:val="008526DB"/>
    <w:rsid w:val="00853555"/>
    <w:rsid w:val="0085470D"/>
    <w:rsid w:val="00855B07"/>
    <w:rsid w:val="00857101"/>
    <w:rsid w:val="0086235D"/>
    <w:rsid w:val="00862E7E"/>
    <w:rsid w:val="0086336B"/>
    <w:rsid w:val="00863D31"/>
    <w:rsid w:val="008716A0"/>
    <w:rsid w:val="00872CD1"/>
    <w:rsid w:val="00883D85"/>
    <w:rsid w:val="008929F8"/>
    <w:rsid w:val="008951F6"/>
    <w:rsid w:val="00895B51"/>
    <w:rsid w:val="008976AA"/>
    <w:rsid w:val="008A098B"/>
    <w:rsid w:val="008A2622"/>
    <w:rsid w:val="008A2BB7"/>
    <w:rsid w:val="008A34F7"/>
    <w:rsid w:val="008A6077"/>
    <w:rsid w:val="008A6F28"/>
    <w:rsid w:val="008C33CD"/>
    <w:rsid w:val="008C3F16"/>
    <w:rsid w:val="008C5D5B"/>
    <w:rsid w:val="008D07E5"/>
    <w:rsid w:val="008D0C68"/>
    <w:rsid w:val="008D25D5"/>
    <w:rsid w:val="008D3087"/>
    <w:rsid w:val="008E209C"/>
    <w:rsid w:val="008E3D4C"/>
    <w:rsid w:val="008E58E5"/>
    <w:rsid w:val="008E6ABB"/>
    <w:rsid w:val="008F55EE"/>
    <w:rsid w:val="008F773D"/>
    <w:rsid w:val="0090057A"/>
    <w:rsid w:val="00903D13"/>
    <w:rsid w:val="00904903"/>
    <w:rsid w:val="00905316"/>
    <w:rsid w:val="00914C50"/>
    <w:rsid w:val="0091753B"/>
    <w:rsid w:val="0091797A"/>
    <w:rsid w:val="0092129B"/>
    <w:rsid w:val="0092338E"/>
    <w:rsid w:val="00932398"/>
    <w:rsid w:val="0093253B"/>
    <w:rsid w:val="009337A7"/>
    <w:rsid w:val="00936421"/>
    <w:rsid w:val="00937F52"/>
    <w:rsid w:val="00942B9C"/>
    <w:rsid w:val="00943BC0"/>
    <w:rsid w:val="00944542"/>
    <w:rsid w:val="0095037A"/>
    <w:rsid w:val="00952757"/>
    <w:rsid w:val="00953654"/>
    <w:rsid w:val="00953DC4"/>
    <w:rsid w:val="009541DD"/>
    <w:rsid w:val="009549C6"/>
    <w:rsid w:val="00955E37"/>
    <w:rsid w:val="00956736"/>
    <w:rsid w:val="00957C67"/>
    <w:rsid w:val="00960A2E"/>
    <w:rsid w:val="00961A21"/>
    <w:rsid w:val="0096248C"/>
    <w:rsid w:val="00962A34"/>
    <w:rsid w:val="00967839"/>
    <w:rsid w:val="0097213C"/>
    <w:rsid w:val="00975D9D"/>
    <w:rsid w:val="00976174"/>
    <w:rsid w:val="00980419"/>
    <w:rsid w:val="009850C2"/>
    <w:rsid w:val="00991066"/>
    <w:rsid w:val="0099229E"/>
    <w:rsid w:val="00995CAA"/>
    <w:rsid w:val="009A214F"/>
    <w:rsid w:val="009A3AE3"/>
    <w:rsid w:val="009A42EA"/>
    <w:rsid w:val="009A6D21"/>
    <w:rsid w:val="009A7879"/>
    <w:rsid w:val="009B1384"/>
    <w:rsid w:val="009B1605"/>
    <w:rsid w:val="009B23DB"/>
    <w:rsid w:val="009B53AF"/>
    <w:rsid w:val="009B5631"/>
    <w:rsid w:val="009B68DA"/>
    <w:rsid w:val="009B7462"/>
    <w:rsid w:val="009C07CA"/>
    <w:rsid w:val="009C1627"/>
    <w:rsid w:val="009C358A"/>
    <w:rsid w:val="009C56E0"/>
    <w:rsid w:val="009C63D9"/>
    <w:rsid w:val="009D2FC4"/>
    <w:rsid w:val="009E5F50"/>
    <w:rsid w:val="009F0C7D"/>
    <w:rsid w:val="009F17BE"/>
    <w:rsid w:val="009F24BA"/>
    <w:rsid w:val="009F270F"/>
    <w:rsid w:val="009F2F5C"/>
    <w:rsid w:val="009F5E10"/>
    <w:rsid w:val="009F72C0"/>
    <w:rsid w:val="00A058D2"/>
    <w:rsid w:val="00A1073D"/>
    <w:rsid w:val="00A151E5"/>
    <w:rsid w:val="00A157AB"/>
    <w:rsid w:val="00A20786"/>
    <w:rsid w:val="00A22129"/>
    <w:rsid w:val="00A2358B"/>
    <w:rsid w:val="00A24F5B"/>
    <w:rsid w:val="00A315A6"/>
    <w:rsid w:val="00A366A6"/>
    <w:rsid w:val="00A37625"/>
    <w:rsid w:val="00A37BB7"/>
    <w:rsid w:val="00A44E37"/>
    <w:rsid w:val="00A47542"/>
    <w:rsid w:val="00A479BC"/>
    <w:rsid w:val="00A546DF"/>
    <w:rsid w:val="00A56685"/>
    <w:rsid w:val="00A60ABB"/>
    <w:rsid w:val="00A62E73"/>
    <w:rsid w:val="00A6491E"/>
    <w:rsid w:val="00A64C9A"/>
    <w:rsid w:val="00A66D32"/>
    <w:rsid w:val="00A67777"/>
    <w:rsid w:val="00A678E9"/>
    <w:rsid w:val="00A67F94"/>
    <w:rsid w:val="00A713A9"/>
    <w:rsid w:val="00A714F5"/>
    <w:rsid w:val="00A75607"/>
    <w:rsid w:val="00A83162"/>
    <w:rsid w:val="00A84646"/>
    <w:rsid w:val="00A8492D"/>
    <w:rsid w:val="00A90C1E"/>
    <w:rsid w:val="00A9789F"/>
    <w:rsid w:val="00AA11F3"/>
    <w:rsid w:val="00AA142E"/>
    <w:rsid w:val="00AA48DB"/>
    <w:rsid w:val="00AA4C72"/>
    <w:rsid w:val="00AA6C69"/>
    <w:rsid w:val="00AB46CF"/>
    <w:rsid w:val="00AC0212"/>
    <w:rsid w:val="00AC4F29"/>
    <w:rsid w:val="00AD03B0"/>
    <w:rsid w:val="00AD2033"/>
    <w:rsid w:val="00AD65D0"/>
    <w:rsid w:val="00AD6E74"/>
    <w:rsid w:val="00AE160E"/>
    <w:rsid w:val="00AE2F1B"/>
    <w:rsid w:val="00AE470B"/>
    <w:rsid w:val="00AE65CB"/>
    <w:rsid w:val="00AF33DA"/>
    <w:rsid w:val="00AF6536"/>
    <w:rsid w:val="00B07A8B"/>
    <w:rsid w:val="00B07D16"/>
    <w:rsid w:val="00B120F3"/>
    <w:rsid w:val="00B147D2"/>
    <w:rsid w:val="00B161F0"/>
    <w:rsid w:val="00B1731C"/>
    <w:rsid w:val="00B214AC"/>
    <w:rsid w:val="00B25CBF"/>
    <w:rsid w:val="00B271EB"/>
    <w:rsid w:val="00B27443"/>
    <w:rsid w:val="00B30E0C"/>
    <w:rsid w:val="00B315F8"/>
    <w:rsid w:val="00B32D8C"/>
    <w:rsid w:val="00B34DD2"/>
    <w:rsid w:val="00B37B34"/>
    <w:rsid w:val="00B438D9"/>
    <w:rsid w:val="00B44342"/>
    <w:rsid w:val="00B452AF"/>
    <w:rsid w:val="00B56A6E"/>
    <w:rsid w:val="00B60CF3"/>
    <w:rsid w:val="00B63C33"/>
    <w:rsid w:val="00B65EE3"/>
    <w:rsid w:val="00B719C8"/>
    <w:rsid w:val="00B81126"/>
    <w:rsid w:val="00B81762"/>
    <w:rsid w:val="00B81C79"/>
    <w:rsid w:val="00B82556"/>
    <w:rsid w:val="00B828C4"/>
    <w:rsid w:val="00B8569C"/>
    <w:rsid w:val="00BA1F79"/>
    <w:rsid w:val="00BA304A"/>
    <w:rsid w:val="00BA3F56"/>
    <w:rsid w:val="00BB3285"/>
    <w:rsid w:val="00BC3586"/>
    <w:rsid w:val="00BC62E1"/>
    <w:rsid w:val="00BC7F80"/>
    <w:rsid w:val="00BD45AF"/>
    <w:rsid w:val="00BD47BB"/>
    <w:rsid w:val="00BD6B07"/>
    <w:rsid w:val="00BE3032"/>
    <w:rsid w:val="00BE6B07"/>
    <w:rsid w:val="00BF0028"/>
    <w:rsid w:val="00BF0D49"/>
    <w:rsid w:val="00BF6125"/>
    <w:rsid w:val="00BF6373"/>
    <w:rsid w:val="00BF6AD7"/>
    <w:rsid w:val="00C01C88"/>
    <w:rsid w:val="00C0464D"/>
    <w:rsid w:val="00C0497C"/>
    <w:rsid w:val="00C05B1C"/>
    <w:rsid w:val="00C06242"/>
    <w:rsid w:val="00C062FF"/>
    <w:rsid w:val="00C104BF"/>
    <w:rsid w:val="00C10E20"/>
    <w:rsid w:val="00C16EA7"/>
    <w:rsid w:val="00C1794C"/>
    <w:rsid w:val="00C17ED7"/>
    <w:rsid w:val="00C253B3"/>
    <w:rsid w:val="00C263BF"/>
    <w:rsid w:val="00C2761E"/>
    <w:rsid w:val="00C32815"/>
    <w:rsid w:val="00C3475A"/>
    <w:rsid w:val="00C42319"/>
    <w:rsid w:val="00C43295"/>
    <w:rsid w:val="00C44DDA"/>
    <w:rsid w:val="00C46A72"/>
    <w:rsid w:val="00C55991"/>
    <w:rsid w:val="00C63CB6"/>
    <w:rsid w:val="00C72769"/>
    <w:rsid w:val="00C733DB"/>
    <w:rsid w:val="00C75812"/>
    <w:rsid w:val="00C75C5C"/>
    <w:rsid w:val="00C777A4"/>
    <w:rsid w:val="00C81368"/>
    <w:rsid w:val="00C81692"/>
    <w:rsid w:val="00C817B3"/>
    <w:rsid w:val="00C8361D"/>
    <w:rsid w:val="00C8740D"/>
    <w:rsid w:val="00C90532"/>
    <w:rsid w:val="00C93037"/>
    <w:rsid w:val="00C93E96"/>
    <w:rsid w:val="00C94AA5"/>
    <w:rsid w:val="00C9631E"/>
    <w:rsid w:val="00CA004D"/>
    <w:rsid w:val="00CA264A"/>
    <w:rsid w:val="00CA5F4B"/>
    <w:rsid w:val="00CA75A5"/>
    <w:rsid w:val="00CB188D"/>
    <w:rsid w:val="00CB1B46"/>
    <w:rsid w:val="00CB281B"/>
    <w:rsid w:val="00CB4FA5"/>
    <w:rsid w:val="00CB5577"/>
    <w:rsid w:val="00CB6391"/>
    <w:rsid w:val="00CB7BED"/>
    <w:rsid w:val="00CC4CBE"/>
    <w:rsid w:val="00CC5F04"/>
    <w:rsid w:val="00CD3A80"/>
    <w:rsid w:val="00CD5B33"/>
    <w:rsid w:val="00CD751E"/>
    <w:rsid w:val="00CD7E28"/>
    <w:rsid w:val="00CE2462"/>
    <w:rsid w:val="00CE4417"/>
    <w:rsid w:val="00CE5142"/>
    <w:rsid w:val="00CE5BF7"/>
    <w:rsid w:val="00CE66F2"/>
    <w:rsid w:val="00CF137F"/>
    <w:rsid w:val="00CF3DEE"/>
    <w:rsid w:val="00CF4074"/>
    <w:rsid w:val="00CF6279"/>
    <w:rsid w:val="00D00224"/>
    <w:rsid w:val="00D023E5"/>
    <w:rsid w:val="00D12A5E"/>
    <w:rsid w:val="00D16150"/>
    <w:rsid w:val="00D226D1"/>
    <w:rsid w:val="00D2278A"/>
    <w:rsid w:val="00D2733E"/>
    <w:rsid w:val="00D3052A"/>
    <w:rsid w:val="00D30911"/>
    <w:rsid w:val="00D3307F"/>
    <w:rsid w:val="00D340DC"/>
    <w:rsid w:val="00D34752"/>
    <w:rsid w:val="00D3691D"/>
    <w:rsid w:val="00D41E49"/>
    <w:rsid w:val="00D41E78"/>
    <w:rsid w:val="00D44273"/>
    <w:rsid w:val="00D44277"/>
    <w:rsid w:val="00D45077"/>
    <w:rsid w:val="00D45533"/>
    <w:rsid w:val="00D471C2"/>
    <w:rsid w:val="00D50A01"/>
    <w:rsid w:val="00D55C0C"/>
    <w:rsid w:val="00D55D4A"/>
    <w:rsid w:val="00D5625E"/>
    <w:rsid w:val="00D60B9B"/>
    <w:rsid w:val="00D6147B"/>
    <w:rsid w:val="00D635ED"/>
    <w:rsid w:val="00D67A28"/>
    <w:rsid w:val="00D810E5"/>
    <w:rsid w:val="00D829BF"/>
    <w:rsid w:val="00D84DDF"/>
    <w:rsid w:val="00D86FD4"/>
    <w:rsid w:val="00D90FCF"/>
    <w:rsid w:val="00D94839"/>
    <w:rsid w:val="00D9528F"/>
    <w:rsid w:val="00DA2FFD"/>
    <w:rsid w:val="00DA3F79"/>
    <w:rsid w:val="00DA67C1"/>
    <w:rsid w:val="00DB0314"/>
    <w:rsid w:val="00DB2D3F"/>
    <w:rsid w:val="00DB3AF2"/>
    <w:rsid w:val="00DC24F3"/>
    <w:rsid w:val="00DC34EB"/>
    <w:rsid w:val="00DC40C6"/>
    <w:rsid w:val="00DD1932"/>
    <w:rsid w:val="00DD4394"/>
    <w:rsid w:val="00DD4397"/>
    <w:rsid w:val="00DD6745"/>
    <w:rsid w:val="00DE085F"/>
    <w:rsid w:val="00DE12B8"/>
    <w:rsid w:val="00DE3F91"/>
    <w:rsid w:val="00DE664B"/>
    <w:rsid w:val="00DF1FB8"/>
    <w:rsid w:val="00DF3FB4"/>
    <w:rsid w:val="00DF42AC"/>
    <w:rsid w:val="00DF4CD8"/>
    <w:rsid w:val="00DF5924"/>
    <w:rsid w:val="00E01D5C"/>
    <w:rsid w:val="00E02F89"/>
    <w:rsid w:val="00E077C0"/>
    <w:rsid w:val="00E07B6D"/>
    <w:rsid w:val="00E12F61"/>
    <w:rsid w:val="00E14C33"/>
    <w:rsid w:val="00E20655"/>
    <w:rsid w:val="00E20821"/>
    <w:rsid w:val="00E231A6"/>
    <w:rsid w:val="00E24476"/>
    <w:rsid w:val="00E300C8"/>
    <w:rsid w:val="00E31404"/>
    <w:rsid w:val="00E31513"/>
    <w:rsid w:val="00E3572C"/>
    <w:rsid w:val="00E373CB"/>
    <w:rsid w:val="00E50C38"/>
    <w:rsid w:val="00E614AE"/>
    <w:rsid w:val="00E6252E"/>
    <w:rsid w:val="00E6338E"/>
    <w:rsid w:val="00E64057"/>
    <w:rsid w:val="00E6544D"/>
    <w:rsid w:val="00E664DF"/>
    <w:rsid w:val="00E67B96"/>
    <w:rsid w:val="00E7103E"/>
    <w:rsid w:val="00E7224E"/>
    <w:rsid w:val="00E74100"/>
    <w:rsid w:val="00E75E3C"/>
    <w:rsid w:val="00E8192C"/>
    <w:rsid w:val="00E82242"/>
    <w:rsid w:val="00E86FD4"/>
    <w:rsid w:val="00E87215"/>
    <w:rsid w:val="00E90724"/>
    <w:rsid w:val="00E93F5E"/>
    <w:rsid w:val="00E94DEA"/>
    <w:rsid w:val="00E951DB"/>
    <w:rsid w:val="00E95AB2"/>
    <w:rsid w:val="00E95E65"/>
    <w:rsid w:val="00EA1DC5"/>
    <w:rsid w:val="00EA2621"/>
    <w:rsid w:val="00EA2831"/>
    <w:rsid w:val="00EA3C0B"/>
    <w:rsid w:val="00EA7F51"/>
    <w:rsid w:val="00EB010A"/>
    <w:rsid w:val="00EB3D44"/>
    <w:rsid w:val="00EC3AB7"/>
    <w:rsid w:val="00EC407D"/>
    <w:rsid w:val="00EC4940"/>
    <w:rsid w:val="00EC5211"/>
    <w:rsid w:val="00EC582D"/>
    <w:rsid w:val="00EC7965"/>
    <w:rsid w:val="00ED0585"/>
    <w:rsid w:val="00ED0D07"/>
    <w:rsid w:val="00ED3003"/>
    <w:rsid w:val="00EE1301"/>
    <w:rsid w:val="00EE201B"/>
    <w:rsid w:val="00EE25E9"/>
    <w:rsid w:val="00EE3DD6"/>
    <w:rsid w:val="00EE433D"/>
    <w:rsid w:val="00EE7975"/>
    <w:rsid w:val="00EF04CF"/>
    <w:rsid w:val="00EF2A7A"/>
    <w:rsid w:val="00EF6E51"/>
    <w:rsid w:val="00F022F9"/>
    <w:rsid w:val="00F13598"/>
    <w:rsid w:val="00F138C8"/>
    <w:rsid w:val="00F14617"/>
    <w:rsid w:val="00F14FEE"/>
    <w:rsid w:val="00F1547B"/>
    <w:rsid w:val="00F2033A"/>
    <w:rsid w:val="00F21080"/>
    <w:rsid w:val="00F22DB5"/>
    <w:rsid w:val="00F26286"/>
    <w:rsid w:val="00F26403"/>
    <w:rsid w:val="00F26CBF"/>
    <w:rsid w:val="00F352E4"/>
    <w:rsid w:val="00F370F6"/>
    <w:rsid w:val="00F375E5"/>
    <w:rsid w:val="00F436A4"/>
    <w:rsid w:val="00F45763"/>
    <w:rsid w:val="00F45E57"/>
    <w:rsid w:val="00F51083"/>
    <w:rsid w:val="00F51941"/>
    <w:rsid w:val="00F555AC"/>
    <w:rsid w:val="00F55F0A"/>
    <w:rsid w:val="00F6036C"/>
    <w:rsid w:val="00F61997"/>
    <w:rsid w:val="00F62992"/>
    <w:rsid w:val="00F640FF"/>
    <w:rsid w:val="00F65E52"/>
    <w:rsid w:val="00F67556"/>
    <w:rsid w:val="00F67FDA"/>
    <w:rsid w:val="00F71CD1"/>
    <w:rsid w:val="00F77141"/>
    <w:rsid w:val="00F87F7D"/>
    <w:rsid w:val="00F93713"/>
    <w:rsid w:val="00F94185"/>
    <w:rsid w:val="00FA0332"/>
    <w:rsid w:val="00FA170D"/>
    <w:rsid w:val="00FA5677"/>
    <w:rsid w:val="00FB4CD9"/>
    <w:rsid w:val="00FC09EB"/>
    <w:rsid w:val="00FC174E"/>
    <w:rsid w:val="00FC3EAC"/>
    <w:rsid w:val="00FC49C6"/>
    <w:rsid w:val="00FC53B3"/>
    <w:rsid w:val="00FC54C2"/>
    <w:rsid w:val="00FD22BA"/>
    <w:rsid w:val="00FD3030"/>
    <w:rsid w:val="00FD31DD"/>
    <w:rsid w:val="00FD348A"/>
    <w:rsid w:val="00FD66DA"/>
    <w:rsid w:val="00FD76B2"/>
    <w:rsid w:val="00FE0750"/>
    <w:rsid w:val="00FE0F3A"/>
    <w:rsid w:val="00FE3796"/>
    <w:rsid w:val="00FE3F37"/>
    <w:rsid w:val="00FF052D"/>
    <w:rsid w:val="00FF222D"/>
    <w:rsid w:val="00FF344B"/>
    <w:rsid w:val="1ACF9879"/>
  </w:rsids>
  <m:mathPr>
    <m:mathFont m:val="Cambria Math"/>
    <m:brkBin m:val="before"/>
    <m:brkBinSub m:val="--"/>
    <m:smallFrac m:val="0"/>
    <m:dispDef/>
    <m:lMargin m:val="0"/>
    <m:rMargin m:val="0"/>
    <m:defJc m:val="centerGroup"/>
    <m:wrapIndent m:val="1440"/>
    <m:intLim m:val="subSup"/>
    <m:naryLim m:val="undOvr"/>
  </m:mathPr>
  <w:themeFontLang w:val="en-US" w:eastAsia="ja-JP" w:bidi="he-I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609C9FC"/>
  <w14:defaultImageDpi w14:val="32767"/>
  <w15:chartTrackingRefBased/>
  <w15:docId w15:val="{7B73414C-012C-4267-8864-091617B360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A6077"/>
    <w:rPr>
      <w:rFonts w:ascii="Times New Roman" w:eastAsia="Calibri" w:hAnsi="Times New Roman" w:cs="Times New Roman"/>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00425"/>
    <w:pPr>
      <w:contextualSpacing/>
      <w:jc w:val="center"/>
    </w:pPr>
    <w:rPr>
      <w:rFonts w:eastAsiaTheme="majorEastAsia" w:cstheme="majorBidi"/>
      <w:b/>
      <w:spacing w:val="-10"/>
      <w:kern w:val="28"/>
      <w:sz w:val="28"/>
      <w:szCs w:val="56"/>
    </w:rPr>
  </w:style>
  <w:style w:type="paragraph" w:customStyle="1" w:styleId="Reference">
    <w:name w:val="Reference"/>
    <w:basedOn w:val="Normal"/>
    <w:rsid w:val="008A6077"/>
    <w:pPr>
      <w:spacing w:before="120"/>
      <w:ind w:left="720" w:hanging="720"/>
    </w:pPr>
    <w:rPr>
      <w:rFonts w:eastAsia="Times New Roman"/>
      <w:sz w:val="24"/>
      <w:szCs w:val="24"/>
    </w:rPr>
  </w:style>
  <w:style w:type="paragraph" w:styleId="Header">
    <w:name w:val="header"/>
    <w:basedOn w:val="Normal"/>
    <w:link w:val="HeaderChar"/>
    <w:uiPriority w:val="99"/>
    <w:unhideWhenUsed/>
    <w:rsid w:val="000379AB"/>
    <w:pPr>
      <w:tabs>
        <w:tab w:val="center" w:pos="4680"/>
        <w:tab w:val="right" w:pos="9360"/>
      </w:tabs>
    </w:pPr>
  </w:style>
  <w:style w:type="paragraph" w:customStyle="1" w:styleId="Heading-Secondary">
    <w:name w:val="Heading-Secondary"/>
    <w:basedOn w:val="Heading-Main"/>
    <w:qFormat/>
    <w:rsid w:val="00C81368"/>
    <w:pPr>
      <w:ind w:left="720"/>
    </w:pPr>
    <w:rPr>
      <w:b w:val="0"/>
    </w:rPr>
  </w:style>
  <w:style w:type="paragraph" w:customStyle="1" w:styleId="Authors">
    <w:name w:val="Authors"/>
    <w:basedOn w:val="Normal"/>
    <w:rsid w:val="00B120F3"/>
    <w:pPr>
      <w:spacing w:before="120" w:after="360"/>
    </w:pPr>
    <w:rPr>
      <w:rFonts w:eastAsia="Times New Roman"/>
      <w:b/>
      <w:sz w:val="24"/>
      <w:szCs w:val="24"/>
    </w:rPr>
  </w:style>
  <w:style w:type="paragraph" w:customStyle="1" w:styleId="Text">
    <w:name w:val="Text"/>
    <w:basedOn w:val="Normal"/>
    <w:rsid w:val="008A6077"/>
    <w:pPr>
      <w:spacing w:before="120"/>
      <w:ind w:firstLine="720"/>
    </w:pPr>
    <w:rPr>
      <w:rFonts w:eastAsia="Times New Roman"/>
      <w:sz w:val="24"/>
      <w:szCs w:val="24"/>
    </w:rPr>
  </w:style>
  <w:style w:type="paragraph" w:customStyle="1" w:styleId="FigureorTableCaption">
    <w:name w:val="Figure or Table Caption"/>
    <w:basedOn w:val="Normal"/>
    <w:rsid w:val="008A6077"/>
    <w:pPr>
      <w:keepNext/>
      <w:spacing w:before="240"/>
      <w:outlineLvl w:val="0"/>
    </w:pPr>
    <w:rPr>
      <w:rFonts w:eastAsia="Times New Roman"/>
      <w:kern w:val="28"/>
      <w:sz w:val="24"/>
      <w:szCs w:val="24"/>
    </w:rPr>
  </w:style>
  <w:style w:type="character" w:customStyle="1" w:styleId="HeaderChar">
    <w:name w:val="Header Char"/>
    <w:basedOn w:val="DefaultParagraphFont"/>
    <w:link w:val="Header"/>
    <w:uiPriority w:val="99"/>
    <w:rsid w:val="000379AB"/>
    <w:rPr>
      <w:rFonts w:ascii="Times New Roman" w:eastAsia="Calibri" w:hAnsi="Times New Roman" w:cs="Times New Roman"/>
      <w:sz w:val="20"/>
      <w:szCs w:val="20"/>
    </w:rPr>
  </w:style>
  <w:style w:type="character" w:styleId="Hyperlink">
    <w:name w:val="Hyperlink"/>
    <w:rsid w:val="008A6077"/>
    <w:rPr>
      <w:color w:val="0000FF"/>
      <w:u w:val="single"/>
    </w:rPr>
  </w:style>
  <w:style w:type="paragraph" w:customStyle="1" w:styleId="Heading-Main">
    <w:name w:val="Heading-Main"/>
    <w:basedOn w:val="Normal"/>
    <w:rsid w:val="005358D5"/>
    <w:pPr>
      <w:keepNext/>
      <w:spacing w:before="240" w:after="120"/>
      <w:outlineLvl w:val="0"/>
    </w:pPr>
    <w:rPr>
      <w:rFonts w:eastAsia="Times New Roman"/>
      <w:b/>
      <w:bCs/>
      <w:kern w:val="28"/>
      <w:sz w:val="24"/>
      <w:szCs w:val="24"/>
    </w:rPr>
  </w:style>
  <w:style w:type="paragraph" w:customStyle="1" w:styleId="Affiliation">
    <w:name w:val="Affiliation"/>
    <w:basedOn w:val="Text"/>
    <w:qFormat/>
    <w:rsid w:val="00B719C8"/>
    <w:pPr>
      <w:ind w:firstLine="0"/>
    </w:pPr>
  </w:style>
  <w:style w:type="paragraph" w:customStyle="1" w:styleId="KeyPoints">
    <w:name w:val="Key Points"/>
    <w:basedOn w:val="Normal"/>
    <w:rsid w:val="008A6077"/>
    <w:pPr>
      <w:spacing w:before="120"/>
    </w:pPr>
    <w:rPr>
      <w:rFonts w:eastAsia="Times New Roman"/>
      <w:sz w:val="24"/>
      <w:szCs w:val="24"/>
    </w:rPr>
  </w:style>
  <w:style w:type="paragraph" w:customStyle="1" w:styleId="Abstract">
    <w:name w:val="Abstract"/>
    <w:basedOn w:val="Normal"/>
    <w:qFormat/>
    <w:rsid w:val="00400425"/>
    <w:pPr>
      <w:spacing w:before="120"/>
    </w:pPr>
    <w:rPr>
      <w:rFonts w:eastAsia="Times New Roman"/>
      <w:sz w:val="24"/>
      <w:szCs w:val="24"/>
    </w:rPr>
  </w:style>
  <w:style w:type="character" w:customStyle="1" w:styleId="TitleChar">
    <w:name w:val="Title Char"/>
    <w:basedOn w:val="DefaultParagraphFont"/>
    <w:link w:val="Title"/>
    <w:uiPriority w:val="10"/>
    <w:rsid w:val="00400425"/>
    <w:rPr>
      <w:rFonts w:ascii="Times New Roman" w:eastAsiaTheme="majorEastAsia" w:hAnsi="Times New Roman" w:cstheme="majorBidi"/>
      <w:b/>
      <w:spacing w:val="-10"/>
      <w:kern w:val="28"/>
      <w:sz w:val="28"/>
      <w:szCs w:val="56"/>
    </w:rPr>
  </w:style>
  <w:style w:type="paragraph" w:customStyle="1" w:styleId="Note">
    <w:name w:val="Note"/>
    <w:basedOn w:val="Normal"/>
    <w:qFormat/>
    <w:rsid w:val="0037466A"/>
    <w:pPr>
      <w:spacing w:before="240" w:after="240"/>
    </w:pPr>
    <w:rPr>
      <w:color w:val="00B0F0"/>
    </w:rPr>
  </w:style>
  <w:style w:type="paragraph" w:styleId="NormalWeb">
    <w:name w:val="Normal (Web)"/>
    <w:basedOn w:val="Normal"/>
    <w:uiPriority w:val="99"/>
    <w:semiHidden/>
    <w:unhideWhenUsed/>
    <w:rsid w:val="002F3B11"/>
    <w:rPr>
      <w:sz w:val="24"/>
      <w:szCs w:val="24"/>
    </w:rPr>
  </w:style>
  <w:style w:type="paragraph" w:styleId="Footer">
    <w:name w:val="footer"/>
    <w:basedOn w:val="Normal"/>
    <w:link w:val="FooterChar"/>
    <w:uiPriority w:val="99"/>
    <w:unhideWhenUsed/>
    <w:rsid w:val="000379AB"/>
    <w:pPr>
      <w:tabs>
        <w:tab w:val="center" w:pos="4680"/>
        <w:tab w:val="right" w:pos="9360"/>
      </w:tabs>
    </w:pPr>
  </w:style>
  <w:style w:type="character" w:customStyle="1" w:styleId="FooterChar">
    <w:name w:val="Footer Char"/>
    <w:basedOn w:val="DefaultParagraphFont"/>
    <w:link w:val="Footer"/>
    <w:uiPriority w:val="99"/>
    <w:rsid w:val="000379AB"/>
    <w:rPr>
      <w:rFonts w:ascii="Times New Roman" w:eastAsia="Calibri" w:hAnsi="Times New Roman" w:cs="Times New Roman"/>
      <w:sz w:val="20"/>
      <w:szCs w:val="20"/>
    </w:rPr>
  </w:style>
  <w:style w:type="paragraph" w:styleId="ListParagraph">
    <w:name w:val="List Paragraph"/>
    <w:basedOn w:val="Normal"/>
    <w:uiPriority w:val="34"/>
    <w:qFormat/>
    <w:rsid w:val="00D810E5"/>
    <w:pPr>
      <w:spacing w:after="200"/>
      <w:ind w:left="720"/>
      <w:contextualSpacing/>
    </w:pPr>
    <w:rPr>
      <w:rFonts w:asciiTheme="minorHAnsi" w:eastAsiaTheme="minorEastAsia" w:hAnsiTheme="minorHAnsi" w:cstheme="minorBidi"/>
      <w:sz w:val="24"/>
      <w:szCs w:val="24"/>
      <w:lang w:eastAsia="ja-JP"/>
    </w:rPr>
  </w:style>
  <w:style w:type="character" w:styleId="UnresolvedMention">
    <w:name w:val="Unresolved Mention"/>
    <w:basedOn w:val="DefaultParagraphFont"/>
    <w:uiPriority w:val="99"/>
    <w:rsid w:val="00B81C79"/>
    <w:rPr>
      <w:color w:val="808080"/>
      <w:shd w:val="clear" w:color="auto" w:fill="E6E6E6"/>
    </w:rPr>
  </w:style>
  <w:style w:type="paragraph" w:styleId="BalloonText">
    <w:name w:val="Balloon Text"/>
    <w:basedOn w:val="Normal"/>
    <w:link w:val="BalloonTextChar"/>
    <w:uiPriority w:val="99"/>
    <w:semiHidden/>
    <w:unhideWhenUsed/>
    <w:rsid w:val="007B4B93"/>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B4B93"/>
    <w:rPr>
      <w:rFonts w:ascii="Segoe UI" w:eastAsia="Calibri" w:hAnsi="Segoe UI" w:cs="Segoe UI"/>
      <w:sz w:val="18"/>
      <w:szCs w:val="18"/>
    </w:rPr>
  </w:style>
  <w:style w:type="character" w:styleId="Emphasis">
    <w:name w:val="Emphasis"/>
    <w:basedOn w:val="DefaultParagraphFont"/>
    <w:uiPriority w:val="20"/>
    <w:qFormat/>
    <w:rsid w:val="007B4B93"/>
    <w:rPr>
      <w:i/>
      <w:iCs/>
    </w:rPr>
  </w:style>
  <w:style w:type="character" w:styleId="FollowedHyperlink">
    <w:name w:val="FollowedHyperlink"/>
    <w:basedOn w:val="DefaultParagraphFont"/>
    <w:uiPriority w:val="99"/>
    <w:semiHidden/>
    <w:unhideWhenUsed/>
    <w:rsid w:val="00F45E57"/>
    <w:rPr>
      <w:color w:val="954F72" w:themeColor="followedHyperlink"/>
      <w:u w:val="single"/>
    </w:rPr>
  </w:style>
  <w:style w:type="character" w:styleId="LineNumber">
    <w:name w:val="line number"/>
    <w:basedOn w:val="DefaultParagraphFont"/>
    <w:uiPriority w:val="99"/>
    <w:semiHidden/>
    <w:unhideWhenUsed/>
    <w:rsid w:val="00BD47BB"/>
  </w:style>
  <w:style w:type="character" w:styleId="PlaceholderText">
    <w:name w:val="Placeholder Text"/>
    <w:basedOn w:val="DefaultParagraphFont"/>
    <w:uiPriority w:val="99"/>
    <w:semiHidden/>
    <w:rsid w:val="000A1238"/>
    <w:rPr>
      <w:color w:val="808080"/>
    </w:rPr>
  </w:style>
  <w:style w:type="table" w:styleId="TableGrid">
    <w:name w:val="Table Grid"/>
    <w:basedOn w:val="TableNormal"/>
    <w:uiPriority w:val="39"/>
    <w:rsid w:val="00B161F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unhideWhenUsed/>
    <w:rsid w:val="004B04EA"/>
    <w:pPr>
      <w:spacing w:line="480" w:lineRule="auto"/>
      <w:ind w:left="720" w:hanging="720"/>
    </w:pPr>
  </w:style>
  <w:style w:type="paragraph" w:styleId="Caption">
    <w:name w:val="caption"/>
    <w:basedOn w:val="Normal"/>
    <w:next w:val="Normal"/>
    <w:uiPriority w:val="35"/>
    <w:unhideWhenUsed/>
    <w:qFormat/>
    <w:rsid w:val="00F93713"/>
    <w:pPr>
      <w:spacing w:after="200"/>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0844717">
      <w:bodyDiv w:val="1"/>
      <w:marLeft w:val="0"/>
      <w:marRight w:val="0"/>
      <w:marTop w:val="0"/>
      <w:marBottom w:val="0"/>
      <w:divBdr>
        <w:top w:val="none" w:sz="0" w:space="0" w:color="auto"/>
        <w:left w:val="none" w:sz="0" w:space="0" w:color="auto"/>
        <w:bottom w:val="none" w:sz="0" w:space="0" w:color="auto"/>
        <w:right w:val="none" w:sz="0" w:space="0" w:color="auto"/>
      </w:divBdr>
    </w:div>
    <w:div w:id="241108731">
      <w:bodyDiv w:val="1"/>
      <w:marLeft w:val="0"/>
      <w:marRight w:val="0"/>
      <w:marTop w:val="0"/>
      <w:marBottom w:val="0"/>
      <w:divBdr>
        <w:top w:val="none" w:sz="0" w:space="0" w:color="auto"/>
        <w:left w:val="none" w:sz="0" w:space="0" w:color="auto"/>
        <w:bottom w:val="none" w:sz="0" w:space="0" w:color="auto"/>
        <w:right w:val="none" w:sz="0" w:space="0" w:color="auto"/>
      </w:divBdr>
    </w:div>
    <w:div w:id="345134175">
      <w:bodyDiv w:val="1"/>
      <w:marLeft w:val="0"/>
      <w:marRight w:val="0"/>
      <w:marTop w:val="0"/>
      <w:marBottom w:val="0"/>
      <w:divBdr>
        <w:top w:val="none" w:sz="0" w:space="0" w:color="auto"/>
        <w:left w:val="none" w:sz="0" w:space="0" w:color="auto"/>
        <w:bottom w:val="none" w:sz="0" w:space="0" w:color="auto"/>
        <w:right w:val="none" w:sz="0" w:space="0" w:color="auto"/>
      </w:divBdr>
    </w:div>
    <w:div w:id="704406528">
      <w:bodyDiv w:val="1"/>
      <w:marLeft w:val="0"/>
      <w:marRight w:val="0"/>
      <w:marTop w:val="0"/>
      <w:marBottom w:val="0"/>
      <w:divBdr>
        <w:top w:val="none" w:sz="0" w:space="0" w:color="auto"/>
        <w:left w:val="none" w:sz="0" w:space="0" w:color="auto"/>
        <w:bottom w:val="none" w:sz="0" w:space="0" w:color="auto"/>
        <w:right w:val="none" w:sz="0" w:space="0" w:color="auto"/>
      </w:divBdr>
    </w:div>
    <w:div w:id="812676312">
      <w:bodyDiv w:val="1"/>
      <w:marLeft w:val="0"/>
      <w:marRight w:val="0"/>
      <w:marTop w:val="0"/>
      <w:marBottom w:val="0"/>
      <w:divBdr>
        <w:top w:val="none" w:sz="0" w:space="0" w:color="auto"/>
        <w:left w:val="none" w:sz="0" w:space="0" w:color="auto"/>
        <w:bottom w:val="none" w:sz="0" w:space="0" w:color="auto"/>
        <w:right w:val="none" w:sz="0" w:space="0" w:color="auto"/>
      </w:divBdr>
    </w:div>
    <w:div w:id="877201397">
      <w:bodyDiv w:val="1"/>
      <w:marLeft w:val="0"/>
      <w:marRight w:val="0"/>
      <w:marTop w:val="0"/>
      <w:marBottom w:val="0"/>
      <w:divBdr>
        <w:top w:val="none" w:sz="0" w:space="0" w:color="auto"/>
        <w:left w:val="none" w:sz="0" w:space="0" w:color="auto"/>
        <w:bottom w:val="none" w:sz="0" w:space="0" w:color="auto"/>
        <w:right w:val="none" w:sz="0" w:space="0" w:color="auto"/>
      </w:divBdr>
    </w:div>
    <w:div w:id="993794968">
      <w:bodyDiv w:val="1"/>
      <w:marLeft w:val="0"/>
      <w:marRight w:val="0"/>
      <w:marTop w:val="0"/>
      <w:marBottom w:val="0"/>
      <w:divBdr>
        <w:top w:val="none" w:sz="0" w:space="0" w:color="auto"/>
        <w:left w:val="none" w:sz="0" w:space="0" w:color="auto"/>
        <w:bottom w:val="none" w:sz="0" w:space="0" w:color="auto"/>
        <w:right w:val="none" w:sz="0" w:space="0" w:color="auto"/>
      </w:divBdr>
    </w:div>
    <w:div w:id="1017734784">
      <w:bodyDiv w:val="1"/>
      <w:marLeft w:val="0"/>
      <w:marRight w:val="0"/>
      <w:marTop w:val="0"/>
      <w:marBottom w:val="0"/>
      <w:divBdr>
        <w:top w:val="none" w:sz="0" w:space="0" w:color="auto"/>
        <w:left w:val="none" w:sz="0" w:space="0" w:color="auto"/>
        <w:bottom w:val="none" w:sz="0" w:space="0" w:color="auto"/>
        <w:right w:val="none" w:sz="0" w:space="0" w:color="auto"/>
      </w:divBdr>
    </w:div>
    <w:div w:id="1254120579">
      <w:bodyDiv w:val="1"/>
      <w:marLeft w:val="0"/>
      <w:marRight w:val="0"/>
      <w:marTop w:val="0"/>
      <w:marBottom w:val="0"/>
      <w:divBdr>
        <w:top w:val="none" w:sz="0" w:space="0" w:color="auto"/>
        <w:left w:val="none" w:sz="0" w:space="0" w:color="auto"/>
        <w:bottom w:val="none" w:sz="0" w:space="0" w:color="auto"/>
        <w:right w:val="none" w:sz="0" w:space="0" w:color="auto"/>
      </w:divBdr>
    </w:div>
    <w:div w:id="1326199967">
      <w:bodyDiv w:val="1"/>
      <w:marLeft w:val="0"/>
      <w:marRight w:val="0"/>
      <w:marTop w:val="0"/>
      <w:marBottom w:val="0"/>
      <w:divBdr>
        <w:top w:val="none" w:sz="0" w:space="0" w:color="auto"/>
        <w:left w:val="none" w:sz="0" w:space="0" w:color="auto"/>
        <w:bottom w:val="none" w:sz="0" w:space="0" w:color="auto"/>
        <w:right w:val="none" w:sz="0" w:space="0" w:color="auto"/>
      </w:divBdr>
    </w:div>
    <w:div w:id="1496415768">
      <w:bodyDiv w:val="1"/>
      <w:marLeft w:val="0"/>
      <w:marRight w:val="0"/>
      <w:marTop w:val="0"/>
      <w:marBottom w:val="0"/>
      <w:divBdr>
        <w:top w:val="none" w:sz="0" w:space="0" w:color="auto"/>
        <w:left w:val="none" w:sz="0" w:space="0" w:color="auto"/>
        <w:bottom w:val="none" w:sz="0" w:space="0" w:color="auto"/>
        <w:right w:val="none" w:sz="0" w:space="0" w:color="auto"/>
      </w:divBdr>
    </w:div>
    <w:div w:id="1524050897">
      <w:bodyDiv w:val="1"/>
      <w:marLeft w:val="0"/>
      <w:marRight w:val="0"/>
      <w:marTop w:val="0"/>
      <w:marBottom w:val="0"/>
      <w:divBdr>
        <w:top w:val="none" w:sz="0" w:space="0" w:color="auto"/>
        <w:left w:val="none" w:sz="0" w:space="0" w:color="auto"/>
        <w:bottom w:val="none" w:sz="0" w:space="0" w:color="auto"/>
        <w:right w:val="none" w:sz="0" w:space="0" w:color="auto"/>
      </w:divBdr>
    </w:div>
    <w:div w:id="1572689984">
      <w:bodyDiv w:val="1"/>
      <w:marLeft w:val="0"/>
      <w:marRight w:val="0"/>
      <w:marTop w:val="0"/>
      <w:marBottom w:val="0"/>
      <w:divBdr>
        <w:top w:val="none" w:sz="0" w:space="0" w:color="auto"/>
        <w:left w:val="none" w:sz="0" w:space="0" w:color="auto"/>
        <w:bottom w:val="none" w:sz="0" w:space="0" w:color="auto"/>
        <w:right w:val="none" w:sz="0" w:space="0" w:color="auto"/>
      </w:divBdr>
    </w:div>
    <w:div w:id="1653018542">
      <w:bodyDiv w:val="1"/>
      <w:marLeft w:val="0"/>
      <w:marRight w:val="0"/>
      <w:marTop w:val="0"/>
      <w:marBottom w:val="0"/>
      <w:divBdr>
        <w:top w:val="none" w:sz="0" w:space="0" w:color="auto"/>
        <w:left w:val="none" w:sz="0" w:space="0" w:color="auto"/>
        <w:bottom w:val="none" w:sz="0" w:space="0" w:color="auto"/>
        <w:right w:val="none" w:sz="0" w:space="0" w:color="auto"/>
      </w:divBdr>
    </w:div>
    <w:div w:id="1699696663">
      <w:bodyDiv w:val="1"/>
      <w:marLeft w:val="0"/>
      <w:marRight w:val="0"/>
      <w:marTop w:val="0"/>
      <w:marBottom w:val="0"/>
      <w:divBdr>
        <w:top w:val="none" w:sz="0" w:space="0" w:color="auto"/>
        <w:left w:val="none" w:sz="0" w:space="0" w:color="auto"/>
        <w:bottom w:val="none" w:sz="0" w:space="0" w:color="auto"/>
        <w:right w:val="none" w:sz="0" w:space="0" w:color="auto"/>
      </w:divBdr>
    </w:div>
    <w:div w:id="1858538578">
      <w:bodyDiv w:val="1"/>
      <w:marLeft w:val="0"/>
      <w:marRight w:val="0"/>
      <w:marTop w:val="0"/>
      <w:marBottom w:val="0"/>
      <w:divBdr>
        <w:top w:val="none" w:sz="0" w:space="0" w:color="auto"/>
        <w:left w:val="none" w:sz="0" w:space="0" w:color="auto"/>
        <w:bottom w:val="none" w:sz="0" w:space="0" w:color="auto"/>
        <w:right w:val="none" w:sz="0" w:space="0" w:color="auto"/>
      </w:divBdr>
    </w:div>
    <w:div w:id="2086684072">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tzhak.lior@mail.huji.ac.il)" TargetMode="Externa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D0CC83-BEFB-4F43-B151-7E7288A240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TotalTime>
  <Pages>14</Pages>
  <Words>16766</Words>
  <Characters>95567</Characters>
  <Application>Microsoft Office Word</Application>
  <DocSecurity>0</DocSecurity>
  <Lines>796</Lines>
  <Paragraphs>224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112109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Brooks Hanson</dc:creator>
  <cp:keywords/>
  <dc:description/>
  <cp:lastModifiedBy>User</cp:lastModifiedBy>
  <cp:revision>6</cp:revision>
  <cp:lastPrinted>2023-06-23T20:21:00Z</cp:lastPrinted>
  <dcterms:created xsi:type="dcterms:W3CDTF">2023-06-23T20:05:00Z</dcterms:created>
  <dcterms:modified xsi:type="dcterms:W3CDTF">2023-06-26T20:13:00Z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zotero-version="6.0.26"&gt;&lt;session id="R6mPfDHh"/&gt;&lt;style id="http://www.zotero.org/styles/apa" locale="en-US" hasBibliography="1" bibliographyStyleHasBeenSet="1"/&gt;&lt;prefs&gt;&lt;pref name="fieldType" value="Field"/&gt;&lt;/prefs&gt;&lt;/data&gt;</vt:lpwstr>
  </property>
</Properties>
</file>