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F58F" w14:textId="71DDCD68" w:rsidR="00711D5E" w:rsidRPr="00D876FA" w:rsidRDefault="00843C0C" w:rsidP="00CA2E20">
      <w:pPr>
        <w:spacing w:line="480" w:lineRule="auto"/>
        <w:rPr>
          <w:rFonts w:ascii="Arial" w:hAnsi="Arial" w:cs="Arial"/>
          <w:b/>
          <w:bCs/>
          <w:caps/>
          <w:sz w:val="24"/>
          <w:szCs w:val="24"/>
          <w:lang w:val="en-US"/>
        </w:rPr>
      </w:pPr>
      <w:r w:rsidRPr="00D876FA">
        <w:rPr>
          <w:rFonts w:ascii="Arial" w:hAnsi="Arial" w:cs="Arial"/>
          <w:b/>
          <w:bCs/>
          <w:caps/>
          <w:sz w:val="24"/>
          <w:szCs w:val="24"/>
          <w:lang w:val="en-US"/>
        </w:rPr>
        <w:t>BEYOND IMAGE DEFINED RISK FACTORS (idrfS)</w:t>
      </w:r>
      <w:r w:rsidR="00550463">
        <w:rPr>
          <w:rFonts w:ascii="Arial" w:hAnsi="Arial" w:cs="Arial"/>
          <w:b/>
          <w:bCs/>
          <w:caps/>
          <w:sz w:val="24"/>
          <w:szCs w:val="24"/>
          <w:lang w:val="en-US"/>
        </w:rPr>
        <w:t>:</w:t>
      </w:r>
      <w:r w:rsidRPr="00D876FA">
        <w:rPr>
          <w:rFonts w:ascii="Arial" w:hAnsi="Arial" w:cs="Arial"/>
          <w:b/>
          <w:bCs/>
          <w:caps/>
          <w:sz w:val="24"/>
          <w:szCs w:val="24"/>
          <w:lang w:val="en-US"/>
        </w:rPr>
        <w:t xml:space="preserve"> A Delphi survey Highlighting definition of the Surgical Complexity Index (SCI) in Neuroblastoma</w:t>
      </w:r>
    </w:p>
    <w:p w14:paraId="65FBB9A5" w14:textId="14CBAF33" w:rsidR="00711D5E" w:rsidRPr="00D876FA" w:rsidRDefault="00843C0C" w:rsidP="00CA2E20">
      <w:pPr>
        <w:spacing w:line="480" w:lineRule="auto"/>
        <w:rPr>
          <w:rFonts w:ascii="Arial" w:hAnsi="Arial" w:cs="Arial"/>
          <w:sz w:val="24"/>
          <w:szCs w:val="24"/>
          <w:lang w:val="en-US"/>
        </w:rPr>
      </w:pPr>
      <w:r w:rsidRPr="00D876FA">
        <w:rPr>
          <w:rFonts w:ascii="Arial" w:hAnsi="Arial" w:cs="Arial"/>
          <w:sz w:val="24"/>
          <w:szCs w:val="24"/>
          <w:lang w:val="en-US"/>
        </w:rPr>
        <w:t>Avanzini S</w:t>
      </w:r>
      <w:r w:rsidRPr="00D876FA">
        <w:rPr>
          <w:rFonts w:ascii="Arial" w:hAnsi="Arial" w:cs="Arial"/>
          <w:sz w:val="24"/>
          <w:szCs w:val="24"/>
          <w:vertAlign w:val="superscript"/>
          <w:lang w:val="en-US"/>
        </w:rPr>
        <w:t>1</w:t>
      </w:r>
      <w:r w:rsidRPr="00D876FA">
        <w:rPr>
          <w:rFonts w:ascii="Arial" w:hAnsi="Arial" w:cs="Arial"/>
          <w:sz w:val="24"/>
          <w:szCs w:val="24"/>
          <w:lang w:val="en-US"/>
        </w:rPr>
        <w:t>, Dall’Igna P</w:t>
      </w:r>
      <w:r w:rsidRPr="00D876FA">
        <w:rPr>
          <w:rFonts w:ascii="Arial" w:hAnsi="Arial" w:cs="Arial"/>
          <w:sz w:val="24"/>
          <w:szCs w:val="24"/>
          <w:vertAlign w:val="superscript"/>
          <w:lang w:val="en-US"/>
        </w:rPr>
        <w:t>2</w:t>
      </w:r>
      <w:r w:rsidRPr="00D876FA">
        <w:rPr>
          <w:rFonts w:ascii="Arial" w:hAnsi="Arial" w:cs="Arial"/>
          <w:sz w:val="24"/>
          <w:szCs w:val="24"/>
          <w:lang w:val="en-US"/>
        </w:rPr>
        <w:t>, Bjornland K</w:t>
      </w:r>
      <w:r w:rsidRPr="00D876FA">
        <w:rPr>
          <w:rFonts w:ascii="Arial" w:hAnsi="Arial" w:cs="Arial"/>
          <w:sz w:val="24"/>
          <w:szCs w:val="24"/>
          <w:vertAlign w:val="superscript"/>
          <w:lang w:val="en-US"/>
        </w:rPr>
        <w:t>3</w:t>
      </w:r>
      <w:r w:rsidRPr="00D876FA">
        <w:rPr>
          <w:rFonts w:ascii="Arial" w:hAnsi="Arial" w:cs="Arial"/>
          <w:sz w:val="24"/>
          <w:szCs w:val="24"/>
          <w:lang w:val="en-US"/>
        </w:rPr>
        <w:t>, Braungart S</w:t>
      </w:r>
      <w:r w:rsidRPr="00D876FA">
        <w:rPr>
          <w:rFonts w:ascii="Arial" w:hAnsi="Arial" w:cs="Arial"/>
          <w:sz w:val="24"/>
          <w:szCs w:val="24"/>
          <w:vertAlign w:val="superscript"/>
          <w:lang w:val="en-US"/>
        </w:rPr>
        <w:t>4</w:t>
      </w:r>
      <w:r w:rsidRPr="00D876FA">
        <w:rPr>
          <w:rFonts w:ascii="Arial" w:hAnsi="Arial" w:cs="Arial"/>
          <w:sz w:val="24"/>
          <w:szCs w:val="24"/>
          <w:lang w:val="en-US"/>
        </w:rPr>
        <w:t>, Cross K</w:t>
      </w:r>
      <w:r w:rsidRPr="00D876FA">
        <w:rPr>
          <w:rFonts w:ascii="Arial" w:hAnsi="Arial" w:cs="Arial"/>
          <w:sz w:val="24"/>
          <w:szCs w:val="24"/>
          <w:vertAlign w:val="superscript"/>
          <w:lang w:val="en-US"/>
        </w:rPr>
        <w:t>5</w:t>
      </w:r>
      <w:r w:rsidRPr="00D876FA">
        <w:rPr>
          <w:rFonts w:ascii="Arial" w:hAnsi="Arial" w:cs="Arial"/>
          <w:sz w:val="24"/>
          <w:szCs w:val="24"/>
          <w:lang w:val="en-US"/>
        </w:rPr>
        <w:t>, Flores P</w:t>
      </w:r>
      <w:r w:rsidRPr="00D876FA">
        <w:rPr>
          <w:rFonts w:ascii="Arial" w:hAnsi="Arial" w:cs="Arial"/>
          <w:sz w:val="24"/>
          <w:szCs w:val="24"/>
          <w:vertAlign w:val="superscript"/>
          <w:lang w:val="en-US"/>
        </w:rPr>
        <w:t>6</w:t>
      </w:r>
      <w:r w:rsidRPr="00D876FA">
        <w:rPr>
          <w:rFonts w:ascii="Arial" w:hAnsi="Arial" w:cs="Arial"/>
          <w:sz w:val="24"/>
          <w:szCs w:val="24"/>
          <w:lang w:val="en-US"/>
        </w:rPr>
        <w:t>, Gabra H</w:t>
      </w:r>
      <w:r w:rsidR="00FE747A">
        <w:rPr>
          <w:rFonts w:ascii="Arial" w:hAnsi="Arial" w:cs="Arial"/>
          <w:sz w:val="24"/>
          <w:szCs w:val="24"/>
          <w:lang w:val="en-US"/>
        </w:rPr>
        <w:t>OS</w:t>
      </w:r>
      <w:r w:rsidRPr="00D876FA">
        <w:rPr>
          <w:rFonts w:ascii="Arial" w:hAnsi="Arial" w:cs="Arial"/>
          <w:sz w:val="24"/>
          <w:szCs w:val="24"/>
          <w:vertAlign w:val="superscript"/>
          <w:lang w:val="en-US"/>
        </w:rPr>
        <w:t>7</w:t>
      </w:r>
      <w:r w:rsidRPr="00D876FA">
        <w:rPr>
          <w:rFonts w:ascii="Arial" w:hAnsi="Arial" w:cs="Arial"/>
          <w:sz w:val="24"/>
          <w:szCs w:val="24"/>
          <w:lang w:val="en-US"/>
        </w:rPr>
        <w:t>, Gomez-Chacon J</w:t>
      </w:r>
      <w:r w:rsidRPr="00D876FA">
        <w:rPr>
          <w:rFonts w:ascii="Arial" w:hAnsi="Arial" w:cs="Arial"/>
          <w:sz w:val="24"/>
          <w:szCs w:val="24"/>
          <w:vertAlign w:val="superscript"/>
          <w:lang w:val="en-US"/>
        </w:rPr>
        <w:t>8</w:t>
      </w:r>
      <w:r w:rsidRPr="00D876FA">
        <w:rPr>
          <w:rFonts w:ascii="Arial" w:hAnsi="Arial" w:cs="Arial"/>
          <w:sz w:val="24"/>
          <w:szCs w:val="24"/>
          <w:lang w:val="en-US"/>
        </w:rPr>
        <w:t>, Irtan S</w:t>
      </w:r>
      <w:r w:rsidRPr="00D876FA">
        <w:rPr>
          <w:rFonts w:ascii="Arial" w:hAnsi="Arial" w:cs="Arial"/>
          <w:sz w:val="24"/>
          <w:szCs w:val="24"/>
          <w:vertAlign w:val="superscript"/>
          <w:lang w:val="en-US"/>
        </w:rPr>
        <w:t>9</w:t>
      </w:r>
      <w:r w:rsidRPr="00D876FA">
        <w:rPr>
          <w:rFonts w:ascii="Arial" w:hAnsi="Arial" w:cs="Arial"/>
          <w:sz w:val="24"/>
          <w:szCs w:val="24"/>
          <w:lang w:val="en-US"/>
        </w:rPr>
        <w:t>, Lobos P</w:t>
      </w:r>
      <w:r w:rsidRPr="00D876FA">
        <w:rPr>
          <w:rFonts w:ascii="Arial" w:hAnsi="Arial" w:cs="Arial"/>
          <w:sz w:val="24"/>
          <w:szCs w:val="24"/>
          <w:vertAlign w:val="superscript"/>
          <w:lang w:val="en-US"/>
        </w:rPr>
        <w:t>10</w:t>
      </w:r>
      <w:r w:rsidRPr="00D876FA">
        <w:rPr>
          <w:rFonts w:ascii="Arial" w:hAnsi="Arial" w:cs="Arial"/>
          <w:sz w:val="24"/>
          <w:szCs w:val="24"/>
          <w:lang w:val="en-US"/>
        </w:rPr>
        <w:t>, Loh A</w:t>
      </w:r>
      <w:r w:rsidRPr="00D876FA">
        <w:rPr>
          <w:rFonts w:ascii="Arial" w:hAnsi="Arial" w:cs="Arial"/>
          <w:sz w:val="24"/>
          <w:szCs w:val="24"/>
          <w:vertAlign w:val="superscript"/>
          <w:lang w:val="en-US"/>
        </w:rPr>
        <w:t>11</w:t>
      </w:r>
      <w:r w:rsidRPr="00D876FA">
        <w:rPr>
          <w:rFonts w:ascii="Arial" w:hAnsi="Arial" w:cs="Arial"/>
          <w:sz w:val="24"/>
          <w:szCs w:val="24"/>
          <w:lang w:val="en-US"/>
        </w:rPr>
        <w:t>, Matthyssens L</w:t>
      </w:r>
      <w:r w:rsidR="00B42E93">
        <w:rPr>
          <w:rFonts w:ascii="Arial" w:hAnsi="Arial" w:cs="Arial"/>
          <w:sz w:val="24"/>
          <w:szCs w:val="24"/>
          <w:lang w:val="en-US"/>
        </w:rPr>
        <w:t>E</w:t>
      </w:r>
      <w:r w:rsidRPr="00D876FA">
        <w:rPr>
          <w:rFonts w:ascii="Arial" w:hAnsi="Arial" w:cs="Arial"/>
          <w:sz w:val="24"/>
          <w:szCs w:val="24"/>
          <w:vertAlign w:val="superscript"/>
          <w:lang w:val="en-US"/>
        </w:rPr>
        <w:t>12</w:t>
      </w:r>
      <w:r w:rsidRPr="00D876FA">
        <w:rPr>
          <w:rFonts w:ascii="Arial" w:hAnsi="Arial" w:cs="Arial"/>
          <w:sz w:val="24"/>
          <w:szCs w:val="24"/>
          <w:lang w:val="en-US"/>
        </w:rPr>
        <w:t>, Metzelder M</w:t>
      </w:r>
      <w:r w:rsidRPr="00D876FA">
        <w:rPr>
          <w:rFonts w:ascii="Arial" w:hAnsi="Arial" w:cs="Arial"/>
          <w:sz w:val="24"/>
          <w:szCs w:val="24"/>
          <w:vertAlign w:val="superscript"/>
          <w:lang w:val="en-US"/>
        </w:rPr>
        <w:t>13</w:t>
      </w:r>
      <w:r w:rsidRPr="00D876FA">
        <w:rPr>
          <w:rFonts w:ascii="Arial" w:hAnsi="Arial" w:cs="Arial"/>
          <w:sz w:val="24"/>
          <w:szCs w:val="24"/>
          <w:lang w:val="en-US"/>
        </w:rPr>
        <w:t>, Parodi S</w:t>
      </w:r>
      <w:r w:rsidRPr="00D876FA">
        <w:rPr>
          <w:rFonts w:ascii="Arial" w:hAnsi="Arial" w:cs="Arial"/>
          <w:sz w:val="24"/>
          <w:szCs w:val="24"/>
          <w:vertAlign w:val="superscript"/>
          <w:lang w:val="en-US"/>
        </w:rPr>
        <w:t>14</w:t>
      </w:r>
      <w:r w:rsidRPr="00D876FA">
        <w:rPr>
          <w:rFonts w:ascii="Arial" w:hAnsi="Arial" w:cs="Arial"/>
          <w:sz w:val="24"/>
          <w:szCs w:val="24"/>
          <w:lang w:val="en-US"/>
        </w:rPr>
        <w:t>, Pio L</w:t>
      </w:r>
      <w:r w:rsidRPr="00D876FA">
        <w:rPr>
          <w:rFonts w:ascii="Arial" w:hAnsi="Arial" w:cs="Arial"/>
          <w:sz w:val="24"/>
          <w:szCs w:val="24"/>
          <w:vertAlign w:val="superscript"/>
          <w:lang w:val="en-US"/>
        </w:rPr>
        <w:t>1,15</w:t>
      </w:r>
      <w:r w:rsidRPr="00D876FA">
        <w:rPr>
          <w:rFonts w:ascii="Arial" w:hAnsi="Arial" w:cs="Arial"/>
          <w:sz w:val="24"/>
          <w:szCs w:val="24"/>
          <w:lang w:val="en-US"/>
        </w:rPr>
        <w:t>, Van de Ven CP</w:t>
      </w:r>
      <w:r w:rsidRPr="00D876FA">
        <w:rPr>
          <w:rFonts w:ascii="Arial" w:hAnsi="Arial" w:cs="Arial"/>
          <w:sz w:val="24"/>
          <w:szCs w:val="24"/>
          <w:vertAlign w:val="superscript"/>
          <w:lang w:val="en-US"/>
        </w:rPr>
        <w:t>16</w:t>
      </w:r>
      <w:r w:rsidRPr="00D876FA">
        <w:rPr>
          <w:rFonts w:ascii="Arial" w:hAnsi="Arial" w:cs="Arial"/>
          <w:sz w:val="24"/>
          <w:szCs w:val="24"/>
          <w:lang w:val="en-US"/>
        </w:rPr>
        <w:t>, Fuchs J</w:t>
      </w:r>
      <w:r w:rsidRPr="00D876FA">
        <w:rPr>
          <w:rFonts w:ascii="Arial" w:hAnsi="Arial" w:cs="Arial"/>
          <w:sz w:val="24"/>
          <w:szCs w:val="24"/>
          <w:vertAlign w:val="superscript"/>
          <w:lang w:val="en-US"/>
        </w:rPr>
        <w:t>17</w:t>
      </w:r>
      <w:r w:rsidRPr="00D876FA">
        <w:rPr>
          <w:rFonts w:ascii="Arial" w:hAnsi="Arial" w:cs="Arial"/>
          <w:sz w:val="24"/>
          <w:szCs w:val="24"/>
          <w:lang w:val="en-US"/>
        </w:rPr>
        <w:t>, Losty PD</w:t>
      </w:r>
      <w:r w:rsidRPr="00D876FA">
        <w:rPr>
          <w:rFonts w:ascii="Arial" w:hAnsi="Arial" w:cs="Arial"/>
          <w:sz w:val="24"/>
          <w:szCs w:val="24"/>
          <w:vertAlign w:val="superscript"/>
          <w:lang w:val="en-US"/>
        </w:rPr>
        <w:t>18</w:t>
      </w:r>
      <w:r w:rsidRPr="00D876FA">
        <w:rPr>
          <w:rFonts w:ascii="Arial" w:hAnsi="Arial" w:cs="Arial"/>
          <w:sz w:val="24"/>
          <w:szCs w:val="24"/>
          <w:lang w:val="en-US"/>
        </w:rPr>
        <w:t>, and Sarnacki S</w:t>
      </w:r>
      <w:r w:rsidRPr="00D876FA">
        <w:rPr>
          <w:rFonts w:ascii="Arial" w:hAnsi="Arial" w:cs="Arial"/>
          <w:sz w:val="24"/>
          <w:szCs w:val="24"/>
          <w:vertAlign w:val="superscript"/>
          <w:lang w:val="en-US"/>
        </w:rPr>
        <w:t>19</w:t>
      </w:r>
      <w:r w:rsidRPr="00D876FA">
        <w:rPr>
          <w:rFonts w:ascii="Arial" w:hAnsi="Arial" w:cs="Arial"/>
          <w:sz w:val="24"/>
          <w:szCs w:val="24"/>
          <w:lang w:val="en-US"/>
        </w:rPr>
        <w:br/>
      </w:r>
    </w:p>
    <w:p w14:paraId="050DE5A2" w14:textId="77777777" w:rsidR="00711D5E" w:rsidRPr="0059265A" w:rsidRDefault="00843C0C" w:rsidP="00CA2E20">
      <w:pPr>
        <w:spacing w:line="480" w:lineRule="auto"/>
        <w:rPr>
          <w:rFonts w:ascii="Arial" w:hAnsi="Arial" w:cs="Arial"/>
          <w:sz w:val="24"/>
          <w:szCs w:val="24"/>
        </w:rPr>
      </w:pPr>
      <w:r w:rsidRPr="0059265A">
        <w:rPr>
          <w:rFonts w:ascii="Arial" w:hAnsi="Arial" w:cs="Arial"/>
          <w:sz w:val="24"/>
          <w:szCs w:val="24"/>
          <w:vertAlign w:val="superscript"/>
        </w:rPr>
        <w:t>1</w:t>
      </w:r>
      <w:r w:rsidRPr="0059265A">
        <w:rPr>
          <w:rFonts w:ascii="Arial" w:hAnsi="Arial" w:cs="Arial"/>
          <w:sz w:val="24"/>
          <w:szCs w:val="24"/>
        </w:rPr>
        <w:t xml:space="preserve"> Pediatric Surgery Department – IRCCS Istituto Giannina Gaslini, Genoa, Italy</w:t>
      </w:r>
    </w:p>
    <w:p w14:paraId="012F208B" w14:textId="5BE2243F" w:rsidR="00711D5E" w:rsidRPr="0059265A" w:rsidRDefault="00843C0C" w:rsidP="00CA2E20">
      <w:pPr>
        <w:spacing w:line="480" w:lineRule="auto"/>
        <w:rPr>
          <w:rFonts w:ascii="Arial" w:hAnsi="Arial" w:cs="Arial"/>
          <w:sz w:val="24"/>
          <w:szCs w:val="24"/>
        </w:rPr>
      </w:pPr>
      <w:r w:rsidRPr="0059265A">
        <w:rPr>
          <w:rFonts w:ascii="Arial" w:hAnsi="Arial" w:cs="Arial"/>
          <w:sz w:val="24"/>
          <w:szCs w:val="24"/>
          <w:vertAlign w:val="superscript"/>
        </w:rPr>
        <w:t xml:space="preserve">2 </w:t>
      </w:r>
      <w:r w:rsidR="004045D6" w:rsidRPr="0059265A">
        <w:rPr>
          <w:rFonts w:ascii="Arial" w:hAnsi="Arial" w:cs="Arial"/>
          <w:sz w:val="24"/>
          <w:szCs w:val="24"/>
        </w:rPr>
        <w:t xml:space="preserve">Pediatric Surgery, </w:t>
      </w:r>
      <w:r w:rsidR="0059265A" w:rsidRPr="0059265A">
        <w:rPr>
          <w:rFonts w:ascii="Arial" w:hAnsi="Arial" w:cs="Arial"/>
          <w:sz w:val="24"/>
          <w:szCs w:val="24"/>
        </w:rPr>
        <w:t xml:space="preserve">Dipartimento di Medicina di </w:t>
      </w:r>
      <w:r w:rsidR="00BE42B3">
        <w:rPr>
          <w:rFonts w:ascii="Arial" w:hAnsi="Arial" w:cs="Arial"/>
          <w:sz w:val="24"/>
          <w:szCs w:val="24"/>
        </w:rPr>
        <w:t>Precisione e Rigenerativa a Area Jonica</w:t>
      </w:r>
      <w:r w:rsidR="004D4B3C">
        <w:rPr>
          <w:rFonts w:ascii="Arial" w:hAnsi="Arial" w:cs="Arial"/>
          <w:sz w:val="24"/>
          <w:szCs w:val="24"/>
        </w:rPr>
        <w:t xml:space="preserve">, Azienda Ospedaliera-Universitaria Consorziale </w:t>
      </w:r>
      <w:r w:rsidR="00164947">
        <w:rPr>
          <w:rFonts w:ascii="Arial" w:hAnsi="Arial" w:cs="Arial"/>
          <w:sz w:val="24"/>
          <w:szCs w:val="24"/>
        </w:rPr>
        <w:t>Ospedale Pediatrico Giovanni XXIII,</w:t>
      </w:r>
      <w:r w:rsidR="004045D6" w:rsidRPr="0059265A">
        <w:rPr>
          <w:rFonts w:ascii="Arial" w:hAnsi="Arial" w:cs="Arial"/>
          <w:sz w:val="24"/>
          <w:szCs w:val="24"/>
        </w:rPr>
        <w:t xml:space="preserve"> Bari, Italy</w:t>
      </w:r>
    </w:p>
    <w:p w14:paraId="080019D0"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 xml:space="preserve">3 </w:t>
      </w:r>
      <w:r w:rsidRPr="00D876FA">
        <w:rPr>
          <w:rFonts w:ascii="Arial" w:hAnsi="Arial" w:cs="Arial"/>
          <w:sz w:val="24"/>
          <w:szCs w:val="24"/>
          <w:lang w:val="en-US"/>
        </w:rPr>
        <w:t>Dep Ped Surg, Oslo University Hospital / University of Oslo, Oslo, Norway</w:t>
      </w:r>
    </w:p>
    <w:p w14:paraId="06EB0594"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4</w:t>
      </w:r>
      <w:r w:rsidRPr="00D876FA">
        <w:rPr>
          <w:rFonts w:ascii="Arial" w:hAnsi="Arial" w:cs="Arial"/>
          <w:sz w:val="24"/>
          <w:szCs w:val="24"/>
          <w:lang w:val="en-US"/>
        </w:rPr>
        <w:t xml:space="preserve"> Department of Paediatric Surgery, Leeds Teaching Hospitals NHS Trust, Leeds, UK</w:t>
      </w:r>
    </w:p>
    <w:p w14:paraId="0141A28C" w14:textId="566A8479" w:rsidR="00711D5E" w:rsidRPr="005976D0" w:rsidRDefault="00843C0C" w:rsidP="00CA2E20">
      <w:pPr>
        <w:spacing w:line="480" w:lineRule="auto"/>
        <w:rPr>
          <w:rFonts w:ascii="Arial" w:hAnsi="Arial" w:cs="Arial"/>
          <w:sz w:val="24"/>
          <w:szCs w:val="24"/>
          <w:lang w:val="en-US"/>
        </w:rPr>
      </w:pPr>
      <w:r w:rsidRPr="00D876FA">
        <w:rPr>
          <w:rFonts w:ascii="Arial" w:hAnsi="Arial" w:cs="Arial"/>
          <w:sz w:val="24"/>
          <w:szCs w:val="24"/>
          <w:vertAlign w:val="superscript"/>
          <w:lang w:val="en-US"/>
        </w:rPr>
        <w:t>5</w:t>
      </w:r>
      <w:r w:rsidR="005976D0" w:rsidRPr="005976D0">
        <w:rPr>
          <w:rFonts w:ascii="Fira Sans" w:hAnsi="Fira Sans"/>
          <w:color w:val="333333"/>
          <w:sz w:val="20"/>
          <w:szCs w:val="20"/>
          <w:shd w:val="clear" w:color="auto" w:fill="FFFFFF"/>
          <w:lang w:val="en-US"/>
        </w:rPr>
        <w:t xml:space="preserve"> </w:t>
      </w:r>
      <w:r w:rsidR="005976D0" w:rsidRPr="005976D0">
        <w:rPr>
          <w:rFonts w:ascii="Arial" w:hAnsi="Arial" w:cs="Arial"/>
          <w:sz w:val="24"/>
          <w:szCs w:val="24"/>
          <w:lang w:val="en-US"/>
        </w:rPr>
        <w:t>Specialist Neonatal and Pediatric Surgery, Great Ormond Street Hospital for Children, NHS Foundation Trust, London, United Kingdom</w:t>
      </w:r>
    </w:p>
    <w:p w14:paraId="4E05914A" w14:textId="2BC08EF6" w:rsidR="00711D5E" w:rsidRPr="00013165"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6</w:t>
      </w:r>
      <w:r w:rsidR="00013165">
        <w:rPr>
          <w:rFonts w:ascii="Arial" w:hAnsi="Arial" w:cs="Arial"/>
          <w:sz w:val="24"/>
          <w:szCs w:val="24"/>
          <w:lang w:val="en-US"/>
        </w:rPr>
        <w:t xml:space="preserve"> P</w:t>
      </w:r>
      <w:r w:rsidR="00013165" w:rsidRPr="00013165">
        <w:rPr>
          <w:rFonts w:ascii="Arial" w:hAnsi="Arial" w:cs="Arial"/>
          <w:sz w:val="24"/>
          <w:szCs w:val="24"/>
          <w:lang w:val="en-US"/>
        </w:rPr>
        <w:t>ediatric Surgery Department Garrahan Hospital, Buenos Aires, Argentina</w:t>
      </w:r>
    </w:p>
    <w:p w14:paraId="46A39D76" w14:textId="2CA70E71" w:rsidR="00711D5E" w:rsidRPr="005B61FF" w:rsidRDefault="00843C0C" w:rsidP="00CA2E20">
      <w:pPr>
        <w:spacing w:line="480" w:lineRule="auto"/>
        <w:rPr>
          <w:rFonts w:ascii="Arial" w:hAnsi="Arial" w:cs="Arial"/>
          <w:sz w:val="24"/>
          <w:szCs w:val="24"/>
          <w:lang w:val="en-US"/>
        </w:rPr>
      </w:pPr>
      <w:r w:rsidRPr="00D876FA">
        <w:rPr>
          <w:rFonts w:ascii="Arial" w:hAnsi="Arial" w:cs="Arial"/>
          <w:sz w:val="24"/>
          <w:szCs w:val="24"/>
          <w:vertAlign w:val="superscript"/>
          <w:lang w:val="en-US"/>
        </w:rPr>
        <w:t xml:space="preserve">7 </w:t>
      </w:r>
      <w:r w:rsidR="00875201" w:rsidRPr="00875201">
        <w:rPr>
          <w:rFonts w:ascii="Arial" w:hAnsi="Arial" w:cs="Arial"/>
          <w:sz w:val="24"/>
          <w:szCs w:val="24"/>
          <w:lang w:val="en-US"/>
        </w:rPr>
        <w:t>Department of Paediatric Surgery</w:t>
      </w:r>
      <w:r w:rsidR="005B61FF">
        <w:rPr>
          <w:rFonts w:ascii="Arial" w:hAnsi="Arial" w:cs="Arial"/>
          <w:sz w:val="24"/>
          <w:szCs w:val="24"/>
          <w:lang w:val="en-US"/>
        </w:rPr>
        <w:t xml:space="preserve">, </w:t>
      </w:r>
      <w:r w:rsidR="00875201" w:rsidRPr="00875201">
        <w:rPr>
          <w:rFonts w:ascii="Arial" w:hAnsi="Arial" w:cs="Arial"/>
          <w:sz w:val="24"/>
          <w:szCs w:val="24"/>
          <w:lang w:val="en-US"/>
        </w:rPr>
        <w:t>The Great North Children Hospital, Newcastle</w:t>
      </w:r>
      <w:r w:rsidR="005B61FF">
        <w:rPr>
          <w:rFonts w:ascii="Arial" w:hAnsi="Arial" w:cs="Arial"/>
          <w:sz w:val="24"/>
          <w:szCs w:val="24"/>
          <w:lang w:val="en-US"/>
        </w:rPr>
        <w:t xml:space="preserve"> </w:t>
      </w:r>
      <w:r w:rsidR="00875201" w:rsidRPr="00875201">
        <w:rPr>
          <w:rFonts w:ascii="Arial" w:hAnsi="Arial" w:cs="Arial"/>
          <w:sz w:val="24"/>
          <w:szCs w:val="24"/>
          <w:lang w:val="en-US"/>
        </w:rPr>
        <w:t>University Hospitals Foundation Trust, Newcastle Upon Tyne, UK</w:t>
      </w:r>
    </w:p>
    <w:p w14:paraId="0DDC8FD6" w14:textId="014FE762" w:rsidR="00711D5E" w:rsidRPr="00D876FA" w:rsidRDefault="00FE5867"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 xml:space="preserve">8 </w:t>
      </w:r>
      <w:r w:rsidRPr="00D876FA">
        <w:rPr>
          <w:rFonts w:ascii="Arial" w:hAnsi="Arial" w:cs="Arial"/>
          <w:sz w:val="24"/>
          <w:szCs w:val="24"/>
          <w:lang w:val="en-US"/>
        </w:rPr>
        <w:t>Department</w:t>
      </w:r>
      <w:r w:rsidR="00843C0C" w:rsidRPr="00D876FA">
        <w:rPr>
          <w:rFonts w:ascii="Arial" w:hAnsi="Arial" w:cs="Arial"/>
          <w:sz w:val="24"/>
          <w:szCs w:val="24"/>
          <w:lang w:val="en-US"/>
        </w:rPr>
        <w:t xml:space="preserve"> of Pediatric Surgery, Surgical Oncology Unit, Hospital Universitario y Politécnico La Fe, Valencia, Spain</w:t>
      </w:r>
    </w:p>
    <w:p w14:paraId="6186C1A8"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9</w:t>
      </w:r>
      <w:r w:rsidRPr="00D876FA">
        <w:rPr>
          <w:rFonts w:ascii="Arial" w:hAnsi="Arial" w:cs="Arial"/>
          <w:sz w:val="24"/>
          <w:szCs w:val="24"/>
          <w:lang w:val="en-US"/>
        </w:rPr>
        <w:t xml:space="preserve"> Sorbonne Université, Department of Visceral Pediatric and Neonatal Surgery, Armand Trousseau Hospital, AP-HP, Paris, France</w:t>
      </w:r>
    </w:p>
    <w:p w14:paraId="09C03DB9" w14:textId="0350FDBF" w:rsidR="00711D5E" w:rsidRPr="000567D9"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lastRenderedPageBreak/>
        <w:t>10</w:t>
      </w:r>
      <w:r w:rsidRPr="00D876FA">
        <w:rPr>
          <w:rFonts w:ascii="Arial" w:hAnsi="Arial" w:cs="Arial"/>
          <w:sz w:val="24"/>
          <w:szCs w:val="24"/>
          <w:lang w:val="en-US"/>
        </w:rPr>
        <w:t xml:space="preserve"> </w:t>
      </w:r>
      <w:r w:rsidR="000567D9" w:rsidRPr="000567D9">
        <w:rPr>
          <w:rFonts w:ascii="Arial" w:hAnsi="Arial" w:cs="Arial"/>
          <w:sz w:val="24"/>
          <w:szCs w:val="24"/>
          <w:lang w:val="en-US"/>
        </w:rPr>
        <w:t>Department of Pediatric Surgery, Hospital Italiano de Buenos Aires, Buenos Aires, Argentina</w:t>
      </w:r>
    </w:p>
    <w:p w14:paraId="2F0CA711"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11</w:t>
      </w:r>
      <w:r w:rsidRPr="00D876FA">
        <w:rPr>
          <w:rFonts w:ascii="Arial" w:hAnsi="Arial" w:cs="Arial"/>
          <w:sz w:val="24"/>
          <w:szCs w:val="24"/>
          <w:lang w:val="en-US"/>
        </w:rPr>
        <w:t xml:space="preserve"> Department of Paediatric Surgery, KK Women’s and Children’s Hospital, Singapore</w:t>
      </w:r>
    </w:p>
    <w:p w14:paraId="13720E3F" w14:textId="0D4BA617" w:rsidR="00711D5E" w:rsidRPr="005E27B1" w:rsidRDefault="00843C0C" w:rsidP="00CA2E20">
      <w:pPr>
        <w:spacing w:line="480" w:lineRule="auto"/>
        <w:rPr>
          <w:rFonts w:ascii="Arial" w:hAnsi="Arial" w:cs="Arial"/>
          <w:sz w:val="24"/>
          <w:szCs w:val="24"/>
          <w:lang w:val="en-US"/>
        </w:rPr>
      </w:pPr>
      <w:r w:rsidRPr="00D876FA">
        <w:rPr>
          <w:rFonts w:ascii="Arial" w:hAnsi="Arial" w:cs="Arial"/>
          <w:sz w:val="24"/>
          <w:szCs w:val="24"/>
          <w:vertAlign w:val="superscript"/>
          <w:lang w:val="en-US"/>
        </w:rPr>
        <w:t xml:space="preserve">12 </w:t>
      </w:r>
      <w:r w:rsidR="005E27B1" w:rsidRPr="005E27B1">
        <w:rPr>
          <w:rFonts w:ascii="Arial" w:hAnsi="Arial" w:cs="Arial"/>
          <w:sz w:val="24"/>
          <w:szCs w:val="24"/>
          <w:lang w:val="en-US"/>
        </w:rPr>
        <w:t>Department of Gastrointestinal and Pediatric Surgery, Princess Elisabeth Children's Hospital, Ghent University Hospital, Ghent</w:t>
      </w:r>
      <w:r w:rsidR="003C175D">
        <w:rPr>
          <w:rFonts w:ascii="Arial" w:hAnsi="Arial" w:cs="Arial"/>
          <w:sz w:val="24"/>
          <w:szCs w:val="24"/>
          <w:lang w:val="en-US"/>
        </w:rPr>
        <w:t xml:space="preserve"> </w:t>
      </w:r>
      <w:r w:rsidR="00F16182">
        <w:rPr>
          <w:rFonts w:ascii="Arial" w:hAnsi="Arial" w:cs="Arial"/>
          <w:sz w:val="24"/>
          <w:szCs w:val="24"/>
          <w:lang w:val="en-US"/>
        </w:rPr>
        <w:t>University, Ghent</w:t>
      </w:r>
      <w:r w:rsidR="005E27B1" w:rsidRPr="005E27B1">
        <w:rPr>
          <w:rFonts w:ascii="Arial" w:hAnsi="Arial" w:cs="Arial"/>
          <w:sz w:val="24"/>
          <w:szCs w:val="24"/>
          <w:lang w:val="en-US"/>
        </w:rPr>
        <w:t>, Belgium</w:t>
      </w:r>
    </w:p>
    <w:p w14:paraId="19993CEA"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13</w:t>
      </w:r>
      <w:r w:rsidRPr="00D876FA">
        <w:rPr>
          <w:rFonts w:ascii="Arial" w:hAnsi="Arial" w:cs="Arial"/>
          <w:sz w:val="24"/>
          <w:szCs w:val="24"/>
          <w:lang w:val="en-US"/>
        </w:rPr>
        <w:t xml:space="preserve"> Department of Pediatric and Adolescent Surgery, Medical University of Vienna, Vienna, Austria</w:t>
      </w:r>
    </w:p>
    <w:p w14:paraId="26C28F10" w14:textId="716C4396" w:rsidR="00711D5E" w:rsidRPr="00D876FA" w:rsidRDefault="00843C0C" w:rsidP="00CA2E20">
      <w:pPr>
        <w:spacing w:line="480" w:lineRule="auto"/>
        <w:rPr>
          <w:rFonts w:ascii="Arial" w:hAnsi="Arial" w:cs="Arial"/>
          <w:sz w:val="24"/>
          <w:szCs w:val="24"/>
        </w:rPr>
      </w:pPr>
      <w:r w:rsidRPr="00D876FA">
        <w:rPr>
          <w:rFonts w:ascii="Arial" w:hAnsi="Arial" w:cs="Arial"/>
          <w:sz w:val="24"/>
          <w:szCs w:val="24"/>
          <w:vertAlign w:val="superscript"/>
        </w:rPr>
        <w:t xml:space="preserve">14 </w:t>
      </w:r>
      <w:r w:rsidRPr="00D876FA">
        <w:rPr>
          <w:rFonts w:ascii="Arial" w:hAnsi="Arial" w:cs="Arial"/>
          <w:sz w:val="24"/>
          <w:szCs w:val="24"/>
        </w:rPr>
        <w:t>Scientific Directorate– IRCCS Istituto Giannina Gaslini, Genoa, Italy</w:t>
      </w:r>
    </w:p>
    <w:p w14:paraId="10F7192E"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15</w:t>
      </w:r>
      <w:r w:rsidRPr="00D876FA">
        <w:rPr>
          <w:rFonts w:ascii="Arial" w:hAnsi="Arial" w:cs="Arial"/>
          <w:sz w:val="24"/>
          <w:szCs w:val="24"/>
          <w:lang w:val="en-US"/>
        </w:rPr>
        <w:t xml:space="preserve"> Department of Surgery, St. Jude Children's Research Hospital, Memphis, TN 38105, USA.</w:t>
      </w:r>
    </w:p>
    <w:p w14:paraId="728DAE4F" w14:textId="79F25950" w:rsidR="00711D5E" w:rsidRPr="00546CB0" w:rsidRDefault="00843C0C" w:rsidP="00CA2E20">
      <w:pPr>
        <w:spacing w:line="480" w:lineRule="auto"/>
        <w:rPr>
          <w:rFonts w:ascii="Arial" w:hAnsi="Arial" w:cs="Arial"/>
          <w:sz w:val="24"/>
          <w:szCs w:val="24"/>
          <w:lang w:val="en-US"/>
        </w:rPr>
      </w:pPr>
      <w:r w:rsidRPr="00D876FA">
        <w:rPr>
          <w:rFonts w:ascii="Arial" w:hAnsi="Arial" w:cs="Arial"/>
          <w:sz w:val="24"/>
          <w:szCs w:val="24"/>
          <w:vertAlign w:val="superscript"/>
          <w:lang w:val="en-US"/>
        </w:rPr>
        <w:t>16</w:t>
      </w:r>
      <w:r w:rsidRPr="00D876FA">
        <w:rPr>
          <w:rFonts w:ascii="Arial" w:hAnsi="Arial" w:cs="Arial"/>
          <w:sz w:val="24"/>
          <w:szCs w:val="24"/>
          <w:lang w:val="en-US"/>
        </w:rPr>
        <w:t xml:space="preserve"> </w:t>
      </w:r>
      <w:r w:rsidR="00546CB0" w:rsidRPr="00546CB0">
        <w:rPr>
          <w:rFonts w:ascii="Arial" w:hAnsi="Arial" w:cs="Arial"/>
          <w:sz w:val="24"/>
          <w:szCs w:val="24"/>
          <w:lang w:val="en-US"/>
        </w:rPr>
        <w:t>Department of Pediatric Surgery, Princess Maxima Center for Pediatric Oncology, Utrecht, The Netherlands</w:t>
      </w:r>
    </w:p>
    <w:p w14:paraId="4064FA2B"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17</w:t>
      </w:r>
      <w:r w:rsidRPr="00D876FA">
        <w:rPr>
          <w:rFonts w:ascii="Arial" w:hAnsi="Arial" w:cs="Arial"/>
          <w:sz w:val="24"/>
          <w:szCs w:val="24"/>
          <w:lang w:val="en-US"/>
        </w:rPr>
        <w:t xml:space="preserve"> Department of Pediatric Surgery and Pediatric Urology, University of Tuebingen, Germany</w:t>
      </w:r>
    </w:p>
    <w:p w14:paraId="7CDE2BFE" w14:textId="77777777" w:rsidR="00711D5E" w:rsidRPr="00D876FA" w:rsidRDefault="00843C0C" w:rsidP="00CA2E20">
      <w:pPr>
        <w:spacing w:line="480" w:lineRule="auto"/>
        <w:rPr>
          <w:rFonts w:ascii="Arial" w:hAnsi="Arial" w:cs="Arial"/>
          <w:sz w:val="24"/>
          <w:szCs w:val="24"/>
          <w:vertAlign w:val="superscript"/>
          <w:lang w:val="en-US"/>
        </w:rPr>
      </w:pPr>
      <w:r w:rsidRPr="00D876FA">
        <w:rPr>
          <w:rFonts w:ascii="Arial" w:hAnsi="Arial" w:cs="Arial"/>
          <w:sz w:val="24"/>
          <w:szCs w:val="24"/>
          <w:vertAlign w:val="superscript"/>
          <w:lang w:val="en-US"/>
        </w:rPr>
        <w:t xml:space="preserve">18 </w:t>
      </w:r>
      <w:r w:rsidRPr="00D876FA">
        <w:rPr>
          <w:rFonts w:ascii="Arial" w:hAnsi="Arial" w:cs="Arial"/>
          <w:sz w:val="24"/>
          <w:szCs w:val="24"/>
          <w:lang w:val="en-US"/>
        </w:rPr>
        <w:t>Institute of Life Course and Medical Sciences, University of Liverpool, UK; Department of Paediatric Surgery, Ramathibodi Hospital, Mahidol University, Bangkok Thailand</w:t>
      </w:r>
    </w:p>
    <w:p w14:paraId="3C6D6787" w14:textId="12B368D8" w:rsidR="00187E86" w:rsidRPr="00D876FA" w:rsidRDefault="00843C0C" w:rsidP="00CA2E20">
      <w:pPr>
        <w:spacing w:line="480" w:lineRule="auto"/>
        <w:rPr>
          <w:rFonts w:ascii="Arial" w:hAnsi="Arial" w:cs="Arial"/>
          <w:sz w:val="24"/>
          <w:szCs w:val="24"/>
          <w:lang w:val="en-US"/>
        </w:rPr>
      </w:pPr>
      <w:r w:rsidRPr="00D876FA">
        <w:rPr>
          <w:rFonts w:ascii="Arial" w:hAnsi="Arial" w:cs="Arial"/>
          <w:sz w:val="24"/>
          <w:szCs w:val="24"/>
          <w:vertAlign w:val="superscript"/>
          <w:lang w:val="en-US"/>
        </w:rPr>
        <w:t xml:space="preserve">19 </w:t>
      </w:r>
      <w:r w:rsidRPr="00D876FA">
        <w:rPr>
          <w:rFonts w:ascii="Arial" w:hAnsi="Arial" w:cs="Arial"/>
          <w:sz w:val="24"/>
          <w:szCs w:val="24"/>
          <w:lang w:val="en-US"/>
        </w:rPr>
        <w:t>Department of Pediatric Surgery, University Hospital Necker Enfants Malades, APHP Centre, University Paris Cité.</w:t>
      </w:r>
    </w:p>
    <w:p w14:paraId="54733126" w14:textId="77777777" w:rsidR="0039042C" w:rsidRPr="00D876FA" w:rsidRDefault="0039042C" w:rsidP="00CA2E20">
      <w:pPr>
        <w:spacing w:line="480" w:lineRule="auto"/>
        <w:rPr>
          <w:rFonts w:ascii="Arial" w:hAnsi="Arial" w:cs="Arial"/>
          <w:sz w:val="24"/>
          <w:szCs w:val="24"/>
          <w:lang w:val="en-US"/>
        </w:rPr>
      </w:pPr>
    </w:p>
    <w:p w14:paraId="07C9E0D7" w14:textId="22414D0D" w:rsidR="00187E86" w:rsidRPr="00D876FA" w:rsidRDefault="00DD3C7D" w:rsidP="00CA2E20">
      <w:pPr>
        <w:spacing w:line="480" w:lineRule="auto"/>
        <w:rPr>
          <w:rFonts w:ascii="Arial" w:hAnsi="Arial" w:cs="Arial"/>
          <w:sz w:val="20"/>
          <w:szCs w:val="20"/>
          <w:lang w:val="en-US"/>
        </w:rPr>
      </w:pPr>
      <w:r w:rsidRPr="00D876FA">
        <w:rPr>
          <w:rFonts w:ascii="Arial" w:hAnsi="Arial" w:cs="Arial"/>
          <w:sz w:val="24"/>
          <w:szCs w:val="24"/>
          <w:lang w:val="en-US"/>
        </w:rPr>
        <w:t xml:space="preserve">Presented at the 53rd SIOP-IPSO Congress </w:t>
      </w:r>
      <w:r w:rsidR="00C7443D" w:rsidRPr="00D876FA">
        <w:rPr>
          <w:rFonts w:ascii="Arial" w:hAnsi="Arial" w:cs="Arial"/>
          <w:sz w:val="24"/>
          <w:szCs w:val="24"/>
          <w:lang w:val="en-US"/>
        </w:rPr>
        <w:t xml:space="preserve">21-24 October </w:t>
      </w:r>
      <w:r w:rsidRPr="00D876FA">
        <w:rPr>
          <w:rFonts w:ascii="Arial" w:hAnsi="Arial" w:cs="Arial"/>
          <w:sz w:val="24"/>
          <w:szCs w:val="24"/>
          <w:lang w:val="en-US"/>
        </w:rPr>
        <w:t>2021 (virtual meeting) with the title “#RoadtoIDRFscore - A Delphi study on the definition of the Surgical Complexity Index in Neuroblastoma”, abstract number 541.</w:t>
      </w:r>
      <w:r w:rsidR="00187E86" w:rsidRPr="00D876FA">
        <w:rPr>
          <w:rFonts w:ascii="Arial" w:hAnsi="Arial" w:cs="Arial"/>
          <w:sz w:val="24"/>
          <w:szCs w:val="24"/>
          <w:lang w:val="en-US"/>
        </w:rPr>
        <w:br w:type="page"/>
      </w:r>
    </w:p>
    <w:p w14:paraId="7580512F" w14:textId="543757EF" w:rsidR="00C32127" w:rsidRPr="00CA2E20" w:rsidRDefault="009F5D59" w:rsidP="00CA2E20">
      <w:pPr>
        <w:pStyle w:val="Titolo1"/>
        <w:spacing w:line="480" w:lineRule="auto"/>
        <w:rPr>
          <w:rFonts w:ascii="Arial" w:hAnsi="Arial" w:cs="Arial"/>
          <w:lang w:val="en-US"/>
        </w:rPr>
      </w:pPr>
      <w:r w:rsidRPr="00D876FA">
        <w:rPr>
          <w:rFonts w:ascii="Arial" w:hAnsi="Arial" w:cs="Arial"/>
          <w:lang w:val="en-US"/>
        </w:rPr>
        <w:lastRenderedPageBreak/>
        <w:t>CORRESPONDING AUTHOR</w:t>
      </w:r>
      <w:r w:rsidRPr="009F5D59">
        <w:rPr>
          <w:rFonts w:ascii="Arial" w:hAnsi="Arial" w:cs="Arial"/>
          <w:lang w:val="en-US"/>
        </w:rPr>
        <w:t xml:space="preserve"> </w:t>
      </w:r>
    </w:p>
    <w:p w14:paraId="791CE7E7" w14:textId="3FA9F09B" w:rsidR="009F5D59" w:rsidRPr="00D876FA" w:rsidRDefault="009F5D59" w:rsidP="00CA2E20">
      <w:pPr>
        <w:spacing w:line="480" w:lineRule="auto"/>
        <w:rPr>
          <w:rFonts w:ascii="Arial" w:hAnsi="Arial" w:cs="Arial"/>
          <w:sz w:val="24"/>
          <w:szCs w:val="24"/>
          <w:lang w:val="en-US"/>
        </w:rPr>
      </w:pPr>
      <w:r w:rsidRPr="00D876FA">
        <w:rPr>
          <w:rFonts w:ascii="Arial" w:hAnsi="Arial" w:cs="Arial"/>
          <w:sz w:val="24"/>
          <w:szCs w:val="24"/>
          <w:lang w:val="en-US"/>
        </w:rPr>
        <w:t>Stefano Avanzini</w:t>
      </w:r>
    </w:p>
    <w:p w14:paraId="64F9940F" w14:textId="77777777" w:rsidR="009F5D59" w:rsidRPr="00D876FA" w:rsidRDefault="009F5D59" w:rsidP="00CA2E20">
      <w:pPr>
        <w:spacing w:line="480" w:lineRule="auto"/>
        <w:rPr>
          <w:rFonts w:ascii="Arial" w:hAnsi="Arial" w:cs="Arial"/>
          <w:sz w:val="24"/>
          <w:szCs w:val="24"/>
          <w:lang w:val="en-US"/>
        </w:rPr>
      </w:pPr>
      <w:r w:rsidRPr="00D876FA">
        <w:rPr>
          <w:rFonts w:ascii="Arial" w:hAnsi="Arial" w:cs="Arial"/>
          <w:sz w:val="24"/>
          <w:szCs w:val="24"/>
          <w:lang w:val="en-US"/>
        </w:rPr>
        <w:t>MD, Pediatric Surgery Department</w:t>
      </w:r>
    </w:p>
    <w:p w14:paraId="55B1E920" w14:textId="77777777" w:rsidR="009F5D59" w:rsidRPr="00D876FA" w:rsidRDefault="009F5D59" w:rsidP="00CA2E20">
      <w:pPr>
        <w:spacing w:line="480" w:lineRule="auto"/>
        <w:rPr>
          <w:rFonts w:ascii="Arial" w:hAnsi="Arial" w:cs="Arial"/>
          <w:sz w:val="24"/>
          <w:szCs w:val="24"/>
        </w:rPr>
      </w:pPr>
      <w:r w:rsidRPr="00D876FA">
        <w:rPr>
          <w:rFonts w:ascii="Arial" w:hAnsi="Arial" w:cs="Arial"/>
          <w:sz w:val="24"/>
          <w:szCs w:val="24"/>
        </w:rPr>
        <w:t>IRCCS, Istituto Giannina Gaslini</w:t>
      </w:r>
    </w:p>
    <w:p w14:paraId="25495D20" w14:textId="77777777" w:rsidR="009F5D59" w:rsidRPr="00D876FA" w:rsidRDefault="009F5D59" w:rsidP="00CA2E20">
      <w:pPr>
        <w:spacing w:line="480" w:lineRule="auto"/>
        <w:rPr>
          <w:rFonts w:ascii="Arial" w:hAnsi="Arial" w:cs="Arial"/>
          <w:sz w:val="24"/>
          <w:szCs w:val="24"/>
        </w:rPr>
      </w:pPr>
      <w:r w:rsidRPr="00D876FA">
        <w:rPr>
          <w:rFonts w:ascii="Arial" w:hAnsi="Arial" w:cs="Arial"/>
          <w:sz w:val="24"/>
          <w:szCs w:val="24"/>
        </w:rPr>
        <w:t>Largo G, Gaslini 5, 16147 Genoa Italy</w:t>
      </w:r>
    </w:p>
    <w:p w14:paraId="0A8648B4" w14:textId="77777777" w:rsidR="009F5D59" w:rsidRPr="00D876FA" w:rsidRDefault="009F5D59" w:rsidP="00CA2E20">
      <w:pPr>
        <w:spacing w:line="480" w:lineRule="auto"/>
        <w:rPr>
          <w:rFonts w:ascii="Arial" w:hAnsi="Arial" w:cs="Arial"/>
          <w:sz w:val="24"/>
          <w:szCs w:val="24"/>
          <w:lang w:val="en-US"/>
        </w:rPr>
      </w:pPr>
      <w:r w:rsidRPr="00D876FA">
        <w:rPr>
          <w:rFonts w:ascii="Arial" w:hAnsi="Arial" w:cs="Arial"/>
          <w:sz w:val="24"/>
          <w:szCs w:val="24"/>
          <w:lang w:val="en-US"/>
        </w:rPr>
        <w:t>Tel. +3901056362217</w:t>
      </w:r>
    </w:p>
    <w:p w14:paraId="5C9FDE15" w14:textId="77777777" w:rsidR="009F5D59" w:rsidRPr="00D876FA" w:rsidRDefault="009F5D59" w:rsidP="00CA2E20">
      <w:pPr>
        <w:spacing w:line="480" w:lineRule="auto"/>
        <w:rPr>
          <w:rFonts w:ascii="Arial" w:hAnsi="Arial" w:cs="Arial"/>
          <w:sz w:val="24"/>
          <w:szCs w:val="24"/>
          <w:lang w:val="en-US"/>
        </w:rPr>
      </w:pPr>
      <w:r w:rsidRPr="00D876FA">
        <w:rPr>
          <w:rFonts w:ascii="Arial" w:hAnsi="Arial" w:cs="Arial"/>
          <w:sz w:val="24"/>
          <w:szCs w:val="24"/>
          <w:lang w:val="en-US"/>
        </w:rPr>
        <w:t>Fax. + 390103075092</w:t>
      </w:r>
    </w:p>
    <w:p w14:paraId="7C17AA69" w14:textId="77777777" w:rsidR="009F5D59" w:rsidRPr="00D876FA" w:rsidRDefault="009F5D59" w:rsidP="00CA2E20">
      <w:pPr>
        <w:spacing w:line="480" w:lineRule="auto"/>
        <w:rPr>
          <w:rFonts w:ascii="Arial" w:hAnsi="Arial" w:cs="Arial"/>
          <w:sz w:val="24"/>
          <w:szCs w:val="24"/>
          <w:lang w:val="en-US"/>
        </w:rPr>
      </w:pPr>
      <w:r w:rsidRPr="00D876FA">
        <w:rPr>
          <w:rFonts w:ascii="Arial" w:hAnsi="Arial" w:cs="Arial"/>
          <w:sz w:val="24"/>
          <w:szCs w:val="24"/>
          <w:lang w:val="en-US"/>
        </w:rPr>
        <w:t xml:space="preserve">Email: </w:t>
      </w:r>
      <w:hyperlink r:id="rId8" w:history="1">
        <w:r w:rsidRPr="00D876FA">
          <w:rPr>
            <w:rStyle w:val="Collegamentoipertestuale"/>
            <w:rFonts w:ascii="Arial" w:hAnsi="Arial" w:cs="Arial"/>
            <w:sz w:val="24"/>
            <w:szCs w:val="24"/>
            <w:lang w:val="en-US"/>
          </w:rPr>
          <w:t>stefanoavanzini@gaslini.org</w:t>
        </w:r>
      </w:hyperlink>
      <w:r w:rsidRPr="00D876FA">
        <w:rPr>
          <w:rFonts w:ascii="Arial" w:hAnsi="Arial" w:cs="Arial"/>
          <w:sz w:val="24"/>
          <w:szCs w:val="24"/>
          <w:lang w:val="en-US"/>
        </w:rPr>
        <w:t xml:space="preserve"> </w:t>
      </w:r>
    </w:p>
    <w:p w14:paraId="1D9EC652" w14:textId="77777777" w:rsidR="00711D5E" w:rsidRPr="00D876FA" w:rsidRDefault="00711D5E" w:rsidP="00CA2E20">
      <w:pPr>
        <w:pStyle w:val="Titolo1"/>
        <w:spacing w:line="480" w:lineRule="auto"/>
        <w:rPr>
          <w:rFonts w:ascii="Arial" w:hAnsi="Arial" w:cs="Arial"/>
          <w:lang w:val="en-US"/>
        </w:rPr>
      </w:pPr>
    </w:p>
    <w:p w14:paraId="49176244" w14:textId="69FC6879" w:rsidR="00667D67" w:rsidRPr="00D876FA" w:rsidRDefault="00667D67" w:rsidP="00CA2E20">
      <w:pPr>
        <w:pStyle w:val="Titolo1"/>
        <w:spacing w:line="480" w:lineRule="auto"/>
        <w:rPr>
          <w:rFonts w:ascii="Arial" w:hAnsi="Arial" w:cs="Arial"/>
          <w:lang w:val="en-US"/>
        </w:rPr>
      </w:pPr>
      <w:r w:rsidRPr="00D876FA">
        <w:rPr>
          <w:rFonts w:ascii="Arial" w:hAnsi="Arial" w:cs="Arial"/>
          <w:lang w:val="en-US"/>
        </w:rPr>
        <w:t>WORD COUNT</w:t>
      </w:r>
    </w:p>
    <w:p w14:paraId="0DECCB28" w14:textId="381610A1" w:rsidR="009A50E6" w:rsidRPr="00D876FA" w:rsidRDefault="007C5BB6" w:rsidP="00CA2E20">
      <w:pPr>
        <w:spacing w:line="480" w:lineRule="auto"/>
        <w:rPr>
          <w:rFonts w:ascii="Arial" w:hAnsi="Arial" w:cs="Arial"/>
          <w:sz w:val="24"/>
          <w:szCs w:val="24"/>
          <w:lang w:val="en-US"/>
        </w:rPr>
      </w:pPr>
      <w:r w:rsidRPr="00D876FA">
        <w:rPr>
          <w:rFonts w:ascii="Arial" w:hAnsi="Arial" w:cs="Arial"/>
          <w:sz w:val="24"/>
          <w:szCs w:val="24"/>
          <w:lang w:val="en-US"/>
        </w:rPr>
        <w:t>Abstract: 24</w:t>
      </w:r>
      <w:r w:rsidR="005C39FA">
        <w:rPr>
          <w:rFonts w:ascii="Arial" w:hAnsi="Arial" w:cs="Arial"/>
          <w:sz w:val="24"/>
          <w:szCs w:val="24"/>
          <w:lang w:val="en-US"/>
        </w:rPr>
        <w:t>7</w:t>
      </w:r>
      <w:r w:rsidRPr="00D876FA">
        <w:rPr>
          <w:rFonts w:ascii="Arial" w:hAnsi="Arial" w:cs="Arial"/>
          <w:sz w:val="24"/>
          <w:szCs w:val="24"/>
          <w:lang w:val="en-US"/>
        </w:rPr>
        <w:t xml:space="preserve"> words</w:t>
      </w:r>
    </w:p>
    <w:p w14:paraId="054F7117" w14:textId="3BB888E6" w:rsidR="001E72BB" w:rsidRPr="00D876FA" w:rsidRDefault="009A50E6" w:rsidP="00CA2E20">
      <w:pPr>
        <w:spacing w:line="480" w:lineRule="auto"/>
        <w:rPr>
          <w:rFonts w:ascii="Arial" w:hAnsi="Arial" w:cs="Arial"/>
          <w:sz w:val="24"/>
          <w:szCs w:val="24"/>
          <w:lang w:val="en-US"/>
        </w:rPr>
      </w:pPr>
      <w:r w:rsidRPr="00D876FA">
        <w:rPr>
          <w:rFonts w:ascii="Arial" w:hAnsi="Arial" w:cs="Arial"/>
          <w:sz w:val="24"/>
          <w:szCs w:val="24"/>
          <w:lang w:val="en-US"/>
        </w:rPr>
        <w:t>Main text: 184</w:t>
      </w:r>
      <w:r w:rsidR="00E2322A">
        <w:rPr>
          <w:rFonts w:ascii="Arial" w:hAnsi="Arial" w:cs="Arial"/>
          <w:sz w:val="24"/>
          <w:szCs w:val="24"/>
          <w:lang w:val="en-US"/>
        </w:rPr>
        <w:t>1</w:t>
      </w:r>
      <w:r w:rsidRPr="00D876FA">
        <w:rPr>
          <w:rFonts w:ascii="Arial" w:hAnsi="Arial" w:cs="Arial"/>
          <w:sz w:val="24"/>
          <w:szCs w:val="24"/>
          <w:lang w:val="en-US"/>
        </w:rPr>
        <w:t xml:space="preserve"> words</w:t>
      </w:r>
    </w:p>
    <w:p w14:paraId="22D1A10B" w14:textId="0C3AA5FE" w:rsidR="001E72BB" w:rsidRPr="00D876FA" w:rsidRDefault="001E72BB" w:rsidP="00CA2E20">
      <w:pPr>
        <w:pStyle w:val="Titolo1"/>
        <w:spacing w:line="480" w:lineRule="auto"/>
        <w:rPr>
          <w:rFonts w:ascii="Arial" w:hAnsi="Arial" w:cs="Arial"/>
          <w:lang w:val="en-US"/>
        </w:rPr>
      </w:pPr>
      <w:r w:rsidRPr="00D876FA">
        <w:rPr>
          <w:rFonts w:ascii="Arial" w:hAnsi="Arial" w:cs="Arial"/>
          <w:lang w:val="en-US"/>
        </w:rPr>
        <w:t>TABLES AND FIGURES</w:t>
      </w:r>
    </w:p>
    <w:p w14:paraId="75BF0C48" w14:textId="77777777" w:rsidR="0091172E" w:rsidRPr="00D876FA" w:rsidRDefault="0091172E" w:rsidP="00CA2E20">
      <w:pPr>
        <w:spacing w:line="480" w:lineRule="auto"/>
        <w:rPr>
          <w:rFonts w:ascii="Arial" w:hAnsi="Arial" w:cs="Arial"/>
          <w:sz w:val="24"/>
          <w:szCs w:val="24"/>
          <w:lang w:val="en-US"/>
        </w:rPr>
      </w:pPr>
      <w:r w:rsidRPr="00D876FA">
        <w:rPr>
          <w:rFonts w:ascii="Arial" w:hAnsi="Arial" w:cs="Arial"/>
          <w:sz w:val="24"/>
          <w:szCs w:val="24"/>
          <w:lang w:val="en-US"/>
        </w:rPr>
        <w:t>Tables: 2</w:t>
      </w:r>
    </w:p>
    <w:p w14:paraId="5EABE95D" w14:textId="77777777" w:rsidR="0091172E" w:rsidRPr="00D876FA" w:rsidRDefault="0091172E" w:rsidP="00CA2E20">
      <w:pPr>
        <w:spacing w:line="480" w:lineRule="auto"/>
        <w:rPr>
          <w:rFonts w:ascii="Arial" w:hAnsi="Arial" w:cs="Arial"/>
          <w:sz w:val="24"/>
          <w:szCs w:val="24"/>
          <w:lang w:val="en-US"/>
        </w:rPr>
      </w:pPr>
      <w:r w:rsidRPr="00D876FA">
        <w:rPr>
          <w:rFonts w:ascii="Arial" w:hAnsi="Arial" w:cs="Arial"/>
          <w:sz w:val="24"/>
          <w:szCs w:val="24"/>
          <w:lang w:val="en-US"/>
        </w:rPr>
        <w:t>Figures: 3</w:t>
      </w:r>
    </w:p>
    <w:p w14:paraId="04975060" w14:textId="77777777" w:rsidR="00A151C7" w:rsidRPr="00D876FA" w:rsidRDefault="0091172E" w:rsidP="00CA2E20">
      <w:pPr>
        <w:pStyle w:val="Titolo1"/>
        <w:spacing w:line="480" w:lineRule="auto"/>
        <w:rPr>
          <w:rFonts w:ascii="Arial" w:hAnsi="Arial" w:cs="Arial"/>
          <w:lang w:val="en-US"/>
        </w:rPr>
      </w:pPr>
      <w:r w:rsidRPr="00D876FA">
        <w:rPr>
          <w:rFonts w:ascii="Arial" w:hAnsi="Arial" w:cs="Arial"/>
          <w:lang w:val="en-US"/>
        </w:rPr>
        <w:t>RUNNING TITLE</w:t>
      </w:r>
    </w:p>
    <w:p w14:paraId="632077C8" w14:textId="412C3880" w:rsidR="00FF1F2E" w:rsidRPr="00D876FA" w:rsidRDefault="00BD129E" w:rsidP="00CA2E20">
      <w:pPr>
        <w:spacing w:line="480" w:lineRule="auto"/>
        <w:rPr>
          <w:rStyle w:val="Titolo1Carattere"/>
          <w:rFonts w:ascii="Arial" w:hAnsi="Arial" w:cs="Arial"/>
          <w:lang w:val="en-US"/>
        </w:rPr>
      </w:pPr>
      <w:r w:rsidRPr="00D876FA">
        <w:rPr>
          <w:rFonts w:ascii="Arial" w:hAnsi="Arial" w:cs="Arial"/>
          <w:sz w:val="24"/>
          <w:szCs w:val="24"/>
          <w:lang w:val="en-GB"/>
        </w:rPr>
        <w:t xml:space="preserve">A </w:t>
      </w:r>
      <w:r w:rsidR="003F67B3" w:rsidRPr="00D876FA">
        <w:rPr>
          <w:rFonts w:ascii="Arial" w:hAnsi="Arial" w:cs="Arial"/>
          <w:sz w:val="24"/>
          <w:szCs w:val="24"/>
          <w:lang w:val="en-US"/>
        </w:rPr>
        <w:t>surgical</w:t>
      </w:r>
      <w:r w:rsidRPr="00D876FA">
        <w:rPr>
          <w:rFonts w:ascii="Arial" w:hAnsi="Arial" w:cs="Arial"/>
          <w:sz w:val="24"/>
          <w:szCs w:val="24"/>
          <w:lang w:val="en-US"/>
        </w:rPr>
        <w:t xml:space="preserve"> tool for risk stratification in NB surger</w:t>
      </w:r>
      <w:r w:rsidR="006A557A" w:rsidRPr="00D876FA">
        <w:rPr>
          <w:rFonts w:ascii="Arial" w:hAnsi="Arial" w:cs="Arial"/>
          <w:sz w:val="24"/>
          <w:szCs w:val="24"/>
          <w:lang w:val="en-US"/>
        </w:rPr>
        <w:t>y</w:t>
      </w:r>
      <w:r w:rsidRPr="00D876FA">
        <w:rPr>
          <w:rFonts w:ascii="Arial" w:hAnsi="Arial" w:cs="Arial"/>
          <w:sz w:val="24"/>
          <w:szCs w:val="24"/>
          <w:lang w:val="en-GB"/>
        </w:rPr>
        <w:t xml:space="preserve"> </w:t>
      </w:r>
    </w:p>
    <w:p w14:paraId="6FA00EC4" w14:textId="77777777" w:rsidR="00FF1F2E" w:rsidRPr="00D876FA" w:rsidRDefault="00FF1F2E" w:rsidP="00CA2E20">
      <w:pPr>
        <w:pStyle w:val="Titolo1"/>
        <w:spacing w:line="480" w:lineRule="auto"/>
        <w:rPr>
          <w:rStyle w:val="Titolo1Carattere"/>
          <w:rFonts w:ascii="Arial" w:hAnsi="Arial" w:cs="Arial"/>
          <w:lang w:val="en-US"/>
        </w:rPr>
      </w:pPr>
      <w:r w:rsidRPr="00D876FA">
        <w:rPr>
          <w:rStyle w:val="Titolo1Carattere"/>
          <w:rFonts w:ascii="Arial" w:hAnsi="Arial" w:cs="Arial"/>
          <w:lang w:val="en-US"/>
        </w:rPr>
        <w:t>KEYWORDS</w:t>
      </w:r>
    </w:p>
    <w:p w14:paraId="6A63709C" w14:textId="77777777" w:rsidR="00FF1F2E" w:rsidRPr="00D876FA" w:rsidRDefault="00FF1F2E" w:rsidP="00CA2E20">
      <w:pPr>
        <w:spacing w:line="480" w:lineRule="auto"/>
        <w:rPr>
          <w:rStyle w:val="Titolo1Carattere"/>
          <w:rFonts w:ascii="Arial" w:hAnsi="Arial" w:cs="Arial"/>
          <w:color w:val="auto"/>
          <w:sz w:val="24"/>
          <w:szCs w:val="24"/>
          <w:lang w:val="en-US"/>
        </w:rPr>
      </w:pPr>
      <w:r w:rsidRPr="00D876FA">
        <w:rPr>
          <w:rStyle w:val="Titolo1Carattere"/>
          <w:rFonts w:ascii="Arial" w:hAnsi="Arial" w:cs="Arial"/>
          <w:color w:val="auto"/>
          <w:sz w:val="24"/>
          <w:szCs w:val="24"/>
          <w:lang w:val="en-US"/>
        </w:rPr>
        <w:t>Neuroblastoma, Surgery, Risk Factors, Delphi Survey</w:t>
      </w:r>
    </w:p>
    <w:p w14:paraId="53BC4D9E" w14:textId="77777777" w:rsidR="00AC5147" w:rsidRPr="00D876FA" w:rsidRDefault="00AC5147" w:rsidP="00CA2E20">
      <w:pPr>
        <w:pStyle w:val="Titolo1"/>
        <w:spacing w:line="480" w:lineRule="auto"/>
        <w:rPr>
          <w:rFonts w:ascii="Arial" w:hAnsi="Arial" w:cs="Arial"/>
          <w:lang w:val="en-US"/>
        </w:rPr>
      </w:pPr>
      <w:r w:rsidRPr="00D876FA">
        <w:rPr>
          <w:rFonts w:ascii="Arial" w:hAnsi="Arial" w:cs="Arial"/>
          <w:lang w:val="en-US"/>
        </w:rPr>
        <w:lastRenderedPageBreak/>
        <w:t>ABBREVIATIONS</w:t>
      </w:r>
    </w:p>
    <w:tbl>
      <w:tblPr>
        <w:tblStyle w:val="Grigliatabella"/>
        <w:tblW w:w="0" w:type="auto"/>
        <w:tblLook w:val="04A0" w:firstRow="1" w:lastRow="0" w:firstColumn="1" w:lastColumn="0" w:noHBand="0" w:noVBand="1"/>
      </w:tblPr>
      <w:tblGrid>
        <w:gridCol w:w="1891"/>
        <w:gridCol w:w="7963"/>
      </w:tblGrid>
      <w:tr w:rsidR="00AC5147" w:rsidRPr="00D876FA" w14:paraId="16D92DBB" w14:textId="77777777" w:rsidTr="00BB0CAF">
        <w:tc>
          <w:tcPr>
            <w:tcW w:w="1809" w:type="dxa"/>
          </w:tcPr>
          <w:p w14:paraId="61F0D096" w14:textId="75E4A804" w:rsidR="00AC5147" w:rsidRPr="005C39FA" w:rsidRDefault="00AC5147" w:rsidP="00CA2E20">
            <w:pPr>
              <w:spacing w:line="480" w:lineRule="auto"/>
              <w:jc w:val="center"/>
              <w:rPr>
                <w:rFonts w:ascii="Arial" w:hAnsi="Arial" w:cs="Arial"/>
                <w:b/>
                <w:bCs/>
                <w:lang w:val="en-US"/>
              </w:rPr>
            </w:pPr>
            <w:r w:rsidRPr="005C39FA">
              <w:rPr>
                <w:rFonts w:ascii="Arial" w:hAnsi="Arial" w:cs="Arial"/>
                <w:b/>
                <w:bCs/>
                <w:lang w:val="en-US"/>
              </w:rPr>
              <w:t>ABBREVIATION</w:t>
            </w:r>
          </w:p>
        </w:tc>
        <w:tc>
          <w:tcPr>
            <w:tcW w:w="7969" w:type="dxa"/>
          </w:tcPr>
          <w:p w14:paraId="6E7EF064" w14:textId="137C6F13" w:rsidR="00AC5147" w:rsidRPr="005C39FA" w:rsidRDefault="001D47D9" w:rsidP="00CA2E20">
            <w:pPr>
              <w:spacing w:line="480" w:lineRule="auto"/>
              <w:jc w:val="center"/>
              <w:rPr>
                <w:rFonts w:ascii="Arial" w:hAnsi="Arial" w:cs="Arial"/>
                <w:b/>
                <w:bCs/>
                <w:lang w:val="en-US"/>
              </w:rPr>
            </w:pPr>
            <w:r w:rsidRPr="005C39FA">
              <w:rPr>
                <w:rFonts w:ascii="Arial" w:hAnsi="Arial" w:cs="Arial"/>
                <w:b/>
                <w:bCs/>
                <w:lang w:val="en-US"/>
              </w:rPr>
              <w:t>FULL TERM</w:t>
            </w:r>
          </w:p>
        </w:tc>
      </w:tr>
      <w:tr w:rsidR="001D47D9" w:rsidRPr="00D876FA" w14:paraId="0EF77C0C" w14:textId="77777777" w:rsidTr="00BB0CAF">
        <w:tc>
          <w:tcPr>
            <w:tcW w:w="1809" w:type="dxa"/>
          </w:tcPr>
          <w:p w14:paraId="5B5C93F3" w14:textId="58BFEC7E" w:rsidR="001D47D9" w:rsidRPr="00D876FA" w:rsidRDefault="00FE5EDC" w:rsidP="00CA2E20">
            <w:pPr>
              <w:spacing w:line="480" w:lineRule="auto"/>
              <w:jc w:val="center"/>
              <w:rPr>
                <w:rFonts w:ascii="Arial" w:hAnsi="Arial" w:cs="Arial"/>
                <w:lang w:val="en-US"/>
              </w:rPr>
            </w:pPr>
            <w:r w:rsidRPr="00D876FA">
              <w:rPr>
                <w:rFonts w:ascii="Arial" w:hAnsi="Arial" w:cs="Arial"/>
                <w:lang w:val="en-US"/>
              </w:rPr>
              <w:t>IDRFs</w:t>
            </w:r>
          </w:p>
        </w:tc>
        <w:tc>
          <w:tcPr>
            <w:tcW w:w="7969" w:type="dxa"/>
          </w:tcPr>
          <w:p w14:paraId="09A4B66F" w14:textId="195F04DA" w:rsidR="001D47D9" w:rsidRPr="00D876FA" w:rsidRDefault="00D10033" w:rsidP="00CA2E20">
            <w:pPr>
              <w:spacing w:line="480" w:lineRule="auto"/>
              <w:jc w:val="center"/>
              <w:rPr>
                <w:rFonts w:ascii="Arial" w:hAnsi="Arial" w:cs="Arial"/>
                <w:lang w:val="en-US"/>
              </w:rPr>
            </w:pPr>
            <w:r w:rsidRPr="00D876FA">
              <w:rPr>
                <w:rFonts w:ascii="Arial" w:hAnsi="Arial" w:cs="Arial"/>
                <w:sz w:val="24"/>
                <w:szCs w:val="24"/>
                <w:lang w:val="en-US"/>
              </w:rPr>
              <w:t>Image Defined Risk Factors</w:t>
            </w:r>
          </w:p>
        </w:tc>
      </w:tr>
      <w:tr w:rsidR="00FE5EDC" w:rsidRPr="0059265A" w14:paraId="3ECE769E" w14:textId="77777777" w:rsidTr="00BB0CAF">
        <w:tc>
          <w:tcPr>
            <w:tcW w:w="1809" w:type="dxa"/>
          </w:tcPr>
          <w:p w14:paraId="0565CEAB" w14:textId="61DD64C8" w:rsidR="00FE5EDC" w:rsidRPr="00D876FA" w:rsidRDefault="004B3F38" w:rsidP="00CA2E20">
            <w:pPr>
              <w:spacing w:line="480" w:lineRule="auto"/>
              <w:jc w:val="center"/>
              <w:rPr>
                <w:rFonts w:ascii="Arial" w:hAnsi="Arial" w:cs="Arial"/>
                <w:lang w:val="en-US"/>
              </w:rPr>
            </w:pPr>
            <w:r w:rsidRPr="00D876FA">
              <w:rPr>
                <w:rFonts w:ascii="Arial" w:hAnsi="Arial" w:cs="Arial"/>
                <w:lang w:val="en-US"/>
              </w:rPr>
              <w:t>INRGSS</w:t>
            </w:r>
          </w:p>
        </w:tc>
        <w:tc>
          <w:tcPr>
            <w:tcW w:w="7969" w:type="dxa"/>
          </w:tcPr>
          <w:p w14:paraId="2DB61EF5" w14:textId="4DAD320C" w:rsidR="00FE5EDC" w:rsidRPr="00D876FA" w:rsidRDefault="00D10033" w:rsidP="00CA2E20">
            <w:pPr>
              <w:spacing w:line="480" w:lineRule="auto"/>
              <w:jc w:val="center"/>
              <w:rPr>
                <w:rFonts w:ascii="Arial" w:hAnsi="Arial" w:cs="Arial"/>
                <w:lang w:val="en-US"/>
              </w:rPr>
            </w:pPr>
            <w:r w:rsidRPr="00D876FA">
              <w:rPr>
                <w:rFonts w:ascii="Arial" w:hAnsi="Arial" w:cs="Arial"/>
                <w:sz w:val="24"/>
                <w:szCs w:val="24"/>
                <w:lang w:val="en-US"/>
              </w:rPr>
              <w:t>International Neuroblastoma Risk Group Staging System</w:t>
            </w:r>
          </w:p>
        </w:tc>
      </w:tr>
      <w:tr w:rsidR="004B3F38" w:rsidRPr="0059265A" w14:paraId="2D333F91" w14:textId="77777777" w:rsidTr="00BB0CAF">
        <w:tc>
          <w:tcPr>
            <w:tcW w:w="1809" w:type="dxa"/>
          </w:tcPr>
          <w:p w14:paraId="3077CAB8" w14:textId="3615F4B2" w:rsidR="004B3F38" w:rsidRPr="00D876FA" w:rsidRDefault="004B3F38" w:rsidP="00CA2E20">
            <w:pPr>
              <w:spacing w:line="480" w:lineRule="auto"/>
              <w:jc w:val="center"/>
              <w:rPr>
                <w:rFonts w:ascii="Arial" w:hAnsi="Arial" w:cs="Arial"/>
                <w:lang w:val="en-US"/>
              </w:rPr>
            </w:pPr>
            <w:r w:rsidRPr="00D876FA">
              <w:rPr>
                <w:rFonts w:ascii="Arial" w:hAnsi="Arial" w:cs="Arial"/>
                <w:lang w:val="en-US"/>
              </w:rPr>
              <w:t>INSFR</w:t>
            </w:r>
          </w:p>
        </w:tc>
        <w:tc>
          <w:tcPr>
            <w:tcW w:w="7969" w:type="dxa"/>
          </w:tcPr>
          <w:p w14:paraId="7EA8CFA7" w14:textId="175E983F" w:rsidR="004B3F38" w:rsidRPr="00D876FA" w:rsidRDefault="00D10033" w:rsidP="00CA2E20">
            <w:pPr>
              <w:spacing w:line="480" w:lineRule="auto"/>
              <w:jc w:val="center"/>
              <w:rPr>
                <w:rFonts w:ascii="Arial" w:hAnsi="Arial" w:cs="Arial"/>
                <w:lang w:val="en-US"/>
              </w:rPr>
            </w:pPr>
            <w:r w:rsidRPr="00D876FA">
              <w:rPr>
                <w:rFonts w:ascii="Arial" w:hAnsi="Arial" w:cs="Arial"/>
                <w:sz w:val="24"/>
                <w:szCs w:val="24"/>
                <w:lang w:val="en-GB"/>
              </w:rPr>
              <w:t>International Neuroblastoma Surgical Report Form</w:t>
            </w:r>
          </w:p>
        </w:tc>
      </w:tr>
      <w:tr w:rsidR="004B3F38" w:rsidRPr="0059265A" w14:paraId="2F6262A9" w14:textId="77777777" w:rsidTr="00BB0CAF">
        <w:tc>
          <w:tcPr>
            <w:tcW w:w="1809" w:type="dxa"/>
          </w:tcPr>
          <w:p w14:paraId="184FDC61" w14:textId="62E3F8C4" w:rsidR="004B3F38" w:rsidRPr="00D876FA" w:rsidRDefault="004B3F38" w:rsidP="00CA2E20">
            <w:pPr>
              <w:spacing w:line="480" w:lineRule="auto"/>
              <w:jc w:val="center"/>
              <w:rPr>
                <w:rFonts w:ascii="Arial" w:hAnsi="Arial" w:cs="Arial"/>
                <w:lang w:val="en-US"/>
              </w:rPr>
            </w:pPr>
            <w:r w:rsidRPr="00D876FA">
              <w:rPr>
                <w:rFonts w:ascii="Arial" w:hAnsi="Arial" w:cs="Arial"/>
                <w:lang w:val="en-US"/>
              </w:rPr>
              <w:t>IPSO</w:t>
            </w:r>
          </w:p>
        </w:tc>
        <w:tc>
          <w:tcPr>
            <w:tcW w:w="7969" w:type="dxa"/>
          </w:tcPr>
          <w:p w14:paraId="4AC62ABD" w14:textId="2E6A640D" w:rsidR="004B3F38" w:rsidRPr="00D876FA" w:rsidRDefault="00641A5D" w:rsidP="00CA2E20">
            <w:pPr>
              <w:spacing w:line="480" w:lineRule="auto"/>
              <w:jc w:val="center"/>
              <w:rPr>
                <w:rFonts w:ascii="Arial" w:hAnsi="Arial" w:cs="Arial"/>
                <w:lang w:val="en-US"/>
              </w:rPr>
            </w:pPr>
            <w:r w:rsidRPr="00D876FA">
              <w:rPr>
                <w:rFonts w:ascii="Arial" w:hAnsi="Arial" w:cs="Arial"/>
                <w:sz w:val="24"/>
                <w:szCs w:val="24"/>
                <w:lang w:val="en-US"/>
              </w:rPr>
              <w:t>International Society of Pediatric Surgical Oncology</w:t>
            </w:r>
          </w:p>
        </w:tc>
      </w:tr>
      <w:tr w:rsidR="004B3F38" w:rsidRPr="00D876FA" w14:paraId="3BB6D637" w14:textId="77777777" w:rsidTr="00BB0CAF">
        <w:tc>
          <w:tcPr>
            <w:tcW w:w="1809" w:type="dxa"/>
          </w:tcPr>
          <w:p w14:paraId="1010DB6E" w14:textId="7A0CEE28" w:rsidR="004B3F38" w:rsidRPr="00D876FA" w:rsidRDefault="00A93EA2" w:rsidP="00CA2E20">
            <w:pPr>
              <w:spacing w:line="480" w:lineRule="auto"/>
              <w:jc w:val="center"/>
              <w:rPr>
                <w:rFonts w:ascii="Arial" w:hAnsi="Arial" w:cs="Arial"/>
                <w:lang w:val="en-US"/>
              </w:rPr>
            </w:pPr>
            <w:r w:rsidRPr="00D876FA">
              <w:rPr>
                <w:rFonts w:ascii="Arial" w:hAnsi="Arial" w:cs="Arial"/>
                <w:lang w:val="en-US"/>
              </w:rPr>
              <w:t>NB</w:t>
            </w:r>
          </w:p>
        </w:tc>
        <w:tc>
          <w:tcPr>
            <w:tcW w:w="7969" w:type="dxa"/>
          </w:tcPr>
          <w:p w14:paraId="71BEB1C5" w14:textId="32D6F819" w:rsidR="004B3F38" w:rsidRPr="00D876FA" w:rsidRDefault="00641A5D" w:rsidP="00CA2E20">
            <w:pPr>
              <w:spacing w:line="480" w:lineRule="auto"/>
              <w:jc w:val="center"/>
              <w:rPr>
                <w:rFonts w:ascii="Arial" w:hAnsi="Arial" w:cs="Arial"/>
                <w:lang w:val="en-US"/>
              </w:rPr>
            </w:pPr>
            <w:r w:rsidRPr="00D876FA">
              <w:rPr>
                <w:rFonts w:ascii="Arial" w:hAnsi="Arial" w:cs="Arial"/>
                <w:lang w:val="en-US"/>
              </w:rPr>
              <w:t>Neuroblastoma</w:t>
            </w:r>
          </w:p>
        </w:tc>
      </w:tr>
      <w:tr w:rsidR="00A93EA2" w:rsidRPr="0059265A" w14:paraId="4C749ACD" w14:textId="77777777" w:rsidTr="00BB0CAF">
        <w:tc>
          <w:tcPr>
            <w:tcW w:w="1809" w:type="dxa"/>
          </w:tcPr>
          <w:p w14:paraId="0680E205" w14:textId="2056A0EC" w:rsidR="00A93EA2" w:rsidRPr="00D876FA" w:rsidRDefault="00A93EA2" w:rsidP="00CA2E20">
            <w:pPr>
              <w:spacing w:line="480" w:lineRule="auto"/>
              <w:jc w:val="center"/>
              <w:rPr>
                <w:rFonts w:ascii="Arial" w:hAnsi="Arial" w:cs="Arial"/>
                <w:lang w:val="en-US"/>
              </w:rPr>
            </w:pPr>
            <w:r w:rsidRPr="00D876FA">
              <w:rPr>
                <w:rFonts w:ascii="Arial" w:hAnsi="Arial" w:cs="Arial"/>
                <w:lang w:val="en-US"/>
              </w:rPr>
              <w:t>pre-IDRFs</w:t>
            </w:r>
          </w:p>
        </w:tc>
        <w:tc>
          <w:tcPr>
            <w:tcW w:w="7969" w:type="dxa"/>
          </w:tcPr>
          <w:p w14:paraId="196B825B" w14:textId="3CB90B6A" w:rsidR="00A93EA2" w:rsidRPr="00D876FA" w:rsidRDefault="00D10033" w:rsidP="00CA2E20">
            <w:pPr>
              <w:spacing w:line="480" w:lineRule="auto"/>
              <w:jc w:val="center"/>
              <w:rPr>
                <w:rFonts w:ascii="Arial" w:hAnsi="Arial" w:cs="Arial"/>
                <w:lang w:val="en-US"/>
              </w:rPr>
            </w:pPr>
            <w:r w:rsidRPr="00D876FA">
              <w:rPr>
                <w:rFonts w:ascii="Arial" w:hAnsi="Arial" w:cs="Arial"/>
                <w:lang w:val="en-US"/>
              </w:rPr>
              <w:t xml:space="preserve">Preoperative </w:t>
            </w:r>
            <w:r w:rsidRPr="00D876FA">
              <w:rPr>
                <w:rFonts w:ascii="Arial" w:hAnsi="Arial" w:cs="Arial"/>
                <w:sz w:val="24"/>
                <w:szCs w:val="24"/>
                <w:lang w:val="en-US"/>
              </w:rPr>
              <w:t>Image Defined Risk Factors</w:t>
            </w:r>
          </w:p>
        </w:tc>
      </w:tr>
      <w:tr w:rsidR="00A93EA2" w:rsidRPr="00D876FA" w14:paraId="0F9AFB91" w14:textId="77777777" w:rsidTr="00BB0CAF">
        <w:tc>
          <w:tcPr>
            <w:tcW w:w="1809" w:type="dxa"/>
          </w:tcPr>
          <w:p w14:paraId="484F9FE0" w14:textId="192CFA1A" w:rsidR="00A93EA2" w:rsidRPr="00D876FA" w:rsidRDefault="00D10033" w:rsidP="00CA2E20">
            <w:pPr>
              <w:spacing w:line="480" w:lineRule="auto"/>
              <w:jc w:val="center"/>
              <w:rPr>
                <w:rFonts w:ascii="Arial" w:hAnsi="Arial" w:cs="Arial"/>
                <w:lang w:val="en-US"/>
              </w:rPr>
            </w:pPr>
            <w:r w:rsidRPr="00D876FA">
              <w:rPr>
                <w:rFonts w:ascii="Arial" w:hAnsi="Arial" w:cs="Arial"/>
                <w:lang w:val="en-US"/>
              </w:rPr>
              <w:t>SCI</w:t>
            </w:r>
          </w:p>
        </w:tc>
        <w:tc>
          <w:tcPr>
            <w:tcW w:w="7969" w:type="dxa"/>
          </w:tcPr>
          <w:p w14:paraId="31B5340F" w14:textId="66D39750" w:rsidR="00A93EA2" w:rsidRPr="00D876FA" w:rsidRDefault="00641A5D" w:rsidP="00CA2E20">
            <w:pPr>
              <w:spacing w:line="480" w:lineRule="auto"/>
              <w:jc w:val="center"/>
              <w:rPr>
                <w:rFonts w:ascii="Arial" w:hAnsi="Arial" w:cs="Arial"/>
                <w:lang w:val="en-US"/>
              </w:rPr>
            </w:pPr>
            <w:r w:rsidRPr="00D876FA">
              <w:rPr>
                <w:rFonts w:ascii="Arial" w:hAnsi="Arial" w:cs="Arial"/>
                <w:lang w:val="en-US"/>
              </w:rPr>
              <w:t>Surgical Complexity Index</w:t>
            </w:r>
          </w:p>
        </w:tc>
      </w:tr>
      <w:tr w:rsidR="00D10033" w:rsidRPr="0059265A" w14:paraId="36C4522F" w14:textId="77777777" w:rsidTr="00BB0CAF">
        <w:tc>
          <w:tcPr>
            <w:tcW w:w="1809" w:type="dxa"/>
          </w:tcPr>
          <w:p w14:paraId="043F6876" w14:textId="2263CB75" w:rsidR="00D10033" w:rsidRPr="00D876FA" w:rsidRDefault="00D10033" w:rsidP="00CA2E20">
            <w:pPr>
              <w:spacing w:line="480" w:lineRule="auto"/>
              <w:jc w:val="center"/>
              <w:rPr>
                <w:rFonts w:ascii="Arial" w:hAnsi="Arial" w:cs="Arial"/>
                <w:lang w:val="en-US"/>
              </w:rPr>
            </w:pPr>
            <w:r w:rsidRPr="00D876FA">
              <w:rPr>
                <w:rFonts w:ascii="Arial" w:hAnsi="Arial" w:cs="Arial"/>
                <w:lang w:val="en-US"/>
              </w:rPr>
              <w:t>SIOPEN</w:t>
            </w:r>
          </w:p>
        </w:tc>
        <w:tc>
          <w:tcPr>
            <w:tcW w:w="7969" w:type="dxa"/>
          </w:tcPr>
          <w:p w14:paraId="0F973476" w14:textId="49E00FD1" w:rsidR="00D10033" w:rsidRPr="00D876FA" w:rsidRDefault="00D10033" w:rsidP="00CA2E20">
            <w:pPr>
              <w:spacing w:line="480" w:lineRule="auto"/>
              <w:jc w:val="center"/>
              <w:rPr>
                <w:rFonts w:ascii="Arial" w:hAnsi="Arial" w:cs="Arial"/>
                <w:lang w:val="en-US"/>
              </w:rPr>
            </w:pPr>
            <w:r w:rsidRPr="00D876FA">
              <w:rPr>
                <w:rFonts w:ascii="Arial" w:hAnsi="Arial" w:cs="Arial"/>
                <w:sz w:val="24"/>
                <w:szCs w:val="24"/>
                <w:lang w:val="en-US"/>
              </w:rPr>
              <w:t>International Society of Pediatric Oncology Europe Neuroblastoma Group</w:t>
            </w:r>
          </w:p>
        </w:tc>
      </w:tr>
    </w:tbl>
    <w:p w14:paraId="6C5438C2" w14:textId="687D0B9F" w:rsidR="00CA2E20" w:rsidRDefault="00CA2E20" w:rsidP="00CA2E20">
      <w:pPr>
        <w:pStyle w:val="Titolo1"/>
        <w:spacing w:line="480" w:lineRule="auto"/>
        <w:rPr>
          <w:rFonts w:ascii="Arial" w:hAnsi="Arial" w:cs="Arial"/>
          <w:lang w:val="en-US"/>
        </w:rPr>
      </w:pPr>
    </w:p>
    <w:p w14:paraId="55D1B0EB" w14:textId="7B635A9A" w:rsidR="00CA2E20" w:rsidRPr="00CA2E20" w:rsidRDefault="00CA2E20" w:rsidP="00CA2E20">
      <w:pPr>
        <w:spacing w:after="0" w:line="240" w:lineRule="auto"/>
        <w:rPr>
          <w:rFonts w:ascii="Arial" w:eastAsiaTheme="majorEastAsia" w:hAnsi="Arial" w:cs="Arial"/>
          <w:color w:val="2F5496" w:themeColor="accent1" w:themeShade="BF"/>
          <w:sz w:val="32"/>
          <w:szCs w:val="32"/>
          <w:lang w:val="en-US"/>
        </w:rPr>
      </w:pPr>
      <w:r>
        <w:rPr>
          <w:rFonts w:ascii="Arial" w:hAnsi="Arial" w:cs="Arial"/>
          <w:lang w:val="en-US"/>
        </w:rPr>
        <w:br w:type="page"/>
      </w:r>
    </w:p>
    <w:p w14:paraId="5C9900FC" w14:textId="1F431A4A" w:rsidR="00711D5E" w:rsidRPr="00D876FA" w:rsidRDefault="00843C0C" w:rsidP="00CA2E20">
      <w:pPr>
        <w:pStyle w:val="Titolo1"/>
        <w:spacing w:line="480" w:lineRule="auto"/>
        <w:rPr>
          <w:rFonts w:ascii="Arial" w:hAnsi="Arial" w:cs="Arial"/>
          <w:lang w:val="en-US"/>
        </w:rPr>
      </w:pPr>
      <w:r w:rsidRPr="00D876FA">
        <w:rPr>
          <w:rFonts w:ascii="Arial" w:hAnsi="Arial" w:cs="Arial"/>
          <w:lang w:val="en-US"/>
        </w:rPr>
        <w:lastRenderedPageBreak/>
        <w:t xml:space="preserve">ABSTRACT </w:t>
      </w:r>
    </w:p>
    <w:p w14:paraId="18E77D08" w14:textId="7D1641BC" w:rsidR="005F4968" w:rsidRPr="00D876FA" w:rsidRDefault="00843C0C" w:rsidP="00CA2E20">
      <w:pPr>
        <w:spacing w:line="480" w:lineRule="auto"/>
        <w:rPr>
          <w:rFonts w:ascii="Arial" w:hAnsi="Arial" w:cs="Arial"/>
          <w:sz w:val="24"/>
          <w:szCs w:val="24"/>
          <w:lang w:val="en-US"/>
        </w:rPr>
      </w:pPr>
      <w:r w:rsidRPr="00D876FA">
        <w:rPr>
          <w:rStyle w:val="Titolo2Carattere"/>
          <w:rFonts w:ascii="Arial" w:hAnsi="Arial" w:cs="Arial"/>
          <w:lang w:val="en-US"/>
        </w:rPr>
        <w:t>BACKGROUND</w:t>
      </w:r>
      <w:r w:rsidRPr="00D876FA">
        <w:rPr>
          <w:rFonts w:ascii="Arial" w:hAnsi="Arial" w:cs="Arial"/>
          <w:sz w:val="24"/>
          <w:szCs w:val="24"/>
          <w:lang w:val="en-US"/>
        </w:rPr>
        <w:br/>
        <w:t xml:space="preserve">Preoperative evaluation of Image Defined Risk Factors (IDRFs) </w:t>
      </w:r>
      <w:r w:rsidR="009412B7" w:rsidRPr="00D876FA">
        <w:rPr>
          <w:rFonts w:ascii="Arial" w:hAnsi="Arial" w:cs="Arial"/>
          <w:sz w:val="24"/>
          <w:szCs w:val="24"/>
          <w:lang w:val="en-US"/>
        </w:rPr>
        <w:t xml:space="preserve">in neuroblastoma (NB) </w:t>
      </w:r>
      <w:r w:rsidRPr="00D876FA">
        <w:rPr>
          <w:rFonts w:ascii="Arial" w:hAnsi="Arial" w:cs="Arial"/>
          <w:sz w:val="24"/>
          <w:szCs w:val="24"/>
          <w:lang w:val="en-US"/>
        </w:rPr>
        <w:t xml:space="preserve">is crucial for determining suitability for upfront resection or tumor biopsy. IDRFs are linked with a higher potential morbidity at operation and lessen the chance of complete tumor resection. The IDRFs do not all carry the same weight in predicting tumor complexity and surgical risk. </w:t>
      </w:r>
      <w:r w:rsidRPr="00D876FA">
        <w:rPr>
          <w:rFonts w:ascii="Arial" w:hAnsi="Arial" w:cs="Arial"/>
          <w:sz w:val="24"/>
          <w:szCs w:val="24"/>
          <w:lang w:val="en-GB"/>
        </w:rPr>
        <w:t xml:space="preserve">In this study we aimed to assess and categorize the degrees of surgical complexity </w:t>
      </w:r>
      <w:r w:rsidR="00E94FF0" w:rsidRPr="00D876FA">
        <w:rPr>
          <w:rFonts w:ascii="Arial" w:hAnsi="Arial" w:cs="Arial"/>
          <w:sz w:val="24"/>
          <w:szCs w:val="24"/>
          <w:lang w:val="en-GB"/>
        </w:rPr>
        <w:t xml:space="preserve">(Surgical Complexity Index, SCI) </w:t>
      </w:r>
      <w:r w:rsidRPr="00D876FA">
        <w:rPr>
          <w:rFonts w:ascii="Arial" w:hAnsi="Arial" w:cs="Arial"/>
          <w:sz w:val="24"/>
          <w:szCs w:val="24"/>
          <w:lang w:val="en-GB"/>
        </w:rPr>
        <w:t xml:space="preserve">in NB resection. </w:t>
      </w:r>
    </w:p>
    <w:p w14:paraId="2CC4C469" w14:textId="2C4A3E67" w:rsidR="00711D5E" w:rsidRPr="00D876FA" w:rsidRDefault="00843C0C" w:rsidP="00CA2E20">
      <w:pPr>
        <w:spacing w:line="480" w:lineRule="auto"/>
        <w:rPr>
          <w:rFonts w:ascii="Arial" w:hAnsi="Arial" w:cs="Arial"/>
          <w:sz w:val="24"/>
          <w:szCs w:val="24"/>
          <w:lang w:val="en-US"/>
        </w:rPr>
      </w:pPr>
      <w:r w:rsidRPr="00D876FA">
        <w:rPr>
          <w:rFonts w:ascii="Arial" w:hAnsi="Arial" w:cs="Arial"/>
          <w:sz w:val="24"/>
          <w:szCs w:val="24"/>
          <w:lang w:val="en-US"/>
        </w:rPr>
        <w:t> </w:t>
      </w:r>
      <w:r w:rsidR="00582787" w:rsidRPr="00D876FA">
        <w:rPr>
          <w:rStyle w:val="Titolo2Carattere"/>
          <w:rFonts w:ascii="Arial" w:hAnsi="Arial" w:cs="Arial"/>
          <w:lang w:val="en-US"/>
        </w:rPr>
        <w:t>PROCEDURE</w:t>
      </w:r>
      <w:r w:rsidRPr="00D876FA">
        <w:rPr>
          <w:rFonts w:ascii="Arial" w:hAnsi="Arial" w:cs="Arial"/>
          <w:sz w:val="24"/>
          <w:szCs w:val="24"/>
          <w:lang w:val="en-US"/>
        </w:rPr>
        <w:br/>
        <w:t>A panel of 15 surgeons was involved in a</w:t>
      </w:r>
      <w:r w:rsidR="00D07C82" w:rsidRPr="00D876FA">
        <w:rPr>
          <w:rFonts w:ascii="Arial" w:hAnsi="Arial" w:cs="Arial"/>
          <w:sz w:val="24"/>
          <w:szCs w:val="24"/>
          <w:lang w:val="en-US"/>
        </w:rPr>
        <w:t xml:space="preserve">n electronic </w:t>
      </w:r>
      <w:r w:rsidRPr="00D876FA">
        <w:rPr>
          <w:rFonts w:ascii="Arial" w:hAnsi="Arial" w:cs="Arial"/>
          <w:sz w:val="24"/>
          <w:szCs w:val="24"/>
          <w:lang w:val="en-US"/>
        </w:rPr>
        <w:t>Delphi consensus survey to identify and score a set of shared items predictive and/or indicative of surgical complexity, including the number of preoperative IDRFs. Risk categories included - (</w:t>
      </w:r>
      <w:r w:rsidR="005C39FA">
        <w:rPr>
          <w:rFonts w:ascii="Arial" w:hAnsi="Arial" w:cs="Arial"/>
          <w:sz w:val="24"/>
          <w:szCs w:val="24"/>
          <w:lang w:val="en-US"/>
        </w:rPr>
        <w:t>a</w:t>
      </w:r>
      <w:r w:rsidRPr="00D876FA">
        <w:rPr>
          <w:rFonts w:ascii="Arial" w:hAnsi="Arial" w:cs="Arial"/>
          <w:sz w:val="24"/>
          <w:szCs w:val="24"/>
          <w:lang w:val="en-US"/>
        </w:rPr>
        <w:t>) Standard risk; (</w:t>
      </w:r>
      <w:r w:rsidR="005C39FA">
        <w:rPr>
          <w:rFonts w:ascii="Arial" w:hAnsi="Arial" w:cs="Arial"/>
          <w:sz w:val="24"/>
          <w:szCs w:val="24"/>
          <w:lang w:val="en-US"/>
        </w:rPr>
        <w:t>b</w:t>
      </w:r>
      <w:r w:rsidRPr="00D876FA">
        <w:rPr>
          <w:rFonts w:ascii="Arial" w:hAnsi="Arial" w:cs="Arial"/>
          <w:sz w:val="24"/>
          <w:szCs w:val="24"/>
          <w:lang w:val="en-US"/>
        </w:rPr>
        <w:t>) Moderate risk; (</w:t>
      </w:r>
      <w:r w:rsidR="005C39FA">
        <w:rPr>
          <w:rFonts w:ascii="Arial" w:hAnsi="Arial" w:cs="Arial"/>
          <w:sz w:val="24"/>
          <w:szCs w:val="24"/>
          <w:lang w:val="en-US"/>
        </w:rPr>
        <w:t>c</w:t>
      </w:r>
      <w:r w:rsidRPr="00D876FA">
        <w:rPr>
          <w:rFonts w:ascii="Arial" w:hAnsi="Arial" w:cs="Arial"/>
          <w:sz w:val="24"/>
          <w:szCs w:val="24"/>
          <w:lang w:val="en-US"/>
        </w:rPr>
        <w:t>) High risk; (</w:t>
      </w:r>
      <w:r w:rsidR="005C39FA">
        <w:rPr>
          <w:rFonts w:ascii="Arial" w:hAnsi="Arial" w:cs="Arial"/>
          <w:sz w:val="24"/>
          <w:szCs w:val="24"/>
          <w:lang w:val="en-US"/>
        </w:rPr>
        <w:t>d</w:t>
      </w:r>
      <w:r w:rsidRPr="00D876FA">
        <w:rPr>
          <w:rFonts w:ascii="Arial" w:hAnsi="Arial" w:cs="Arial"/>
          <w:sz w:val="24"/>
          <w:szCs w:val="24"/>
          <w:lang w:val="en-US"/>
        </w:rPr>
        <w:t xml:space="preserve">) Very high risk. A shared agreement </w:t>
      </w:r>
      <w:r w:rsidR="00DE7C01" w:rsidRPr="00D876FA">
        <w:rPr>
          <w:rFonts w:ascii="Arial" w:hAnsi="Arial" w:cs="Arial"/>
          <w:sz w:val="24"/>
          <w:szCs w:val="24"/>
          <w:lang w:val="en-US"/>
        </w:rPr>
        <w:t>included</w:t>
      </w:r>
      <w:r w:rsidRPr="00D876FA">
        <w:rPr>
          <w:rFonts w:ascii="Arial" w:hAnsi="Arial" w:cs="Arial"/>
          <w:sz w:val="24"/>
          <w:szCs w:val="24"/>
          <w:lang w:val="en-US"/>
        </w:rPr>
        <w:t xml:space="preserve"> the achievement of at least 75% consensus focused on a single </w:t>
      </w:r>
      <w:r w:rsidR="004D03F6" w:rsidRPr="00D876FA">
        <w:rPr>
          <w:rFonts w:ascii="Arial" w:hAnsi="Arial" w:cs="Arial"/>
          <w:sz w:val="24"/>
          <w:szCs w:val="24"/>
          <w:lang w:val="en-US"/>
        </w:rPr>
        <w:t>category</w:t>
      </w:r>
      <w:r w:rsidRPr="00D876FA">
        <w:rPr>
          <w:rFonts w:ascii="Arial" w:hAnsi="Arial" w:cs="Arial"/>
          <w:sz w:val="24"/>
          <w:szCs w:val="24"/>
          <w:lang w:val="en-US"/>
        </w:rPr>
        <w:t xml:space="preserve"> </w:t>
      </w:r>
      <w:r w:rsidR="003C673B" w:rsidRPr="00D876FA">
        <w:rPr>
          <w:rFonts w:ascii="Arial" w:hAnsi="Arial" w:cs="Arial"/>
          <w:sz w:val="24"/>
          <w:szCs w:val="24"/>
          <w:lang w:val="en-US"/>
        </w:rPr>
        <w:t>or</w:t>
      </w:r>
      <w:r w:rsidR="00006FC5" w:rsidRPr="00D876FA">
        <w:rPr>
          <w:rFonts w:ascii="Arial" w:hAnsi="Arial" w:cs="Arial"/>
          <w:sz w:val="24"/>
          <w:szCs w:val="24"/>
          <w:lang w:val="en-US"/>
        </w:rPr>
        <w:t>,</w:t>
      </w:r>
      <w:r w:rsidR="003C673B" w:rsidRPr="00D876FA">
        <w:rPr>
          <w:rFonts w:ascii="Arial" w:hAnsi="Arial" w:cs="Arial"/>
          <w:sz w:val="24"/>
          <w:szCs w:val="24"/>
          <w:lang w:val="en-US"/>
        </w:rPr>
        <w:t xml:space="preserve"> alternatively</w:t>
      </w:r>
      <w:r w:rsidR="00006FC5" w:rsidRPr="00D876FA">
        <w:rPr>
          <w:rFonts w:ascii="Arial" w:hAnsi="Arial" w:cs="Arial"/>
          <w:sz w:val="24"/>
          <w:szCs w:val="24"/>
          <w:lang w:val="en-US"/>
        </w:rPr>
        <w:t>,</w:t>
      </w:r>
      <w:r w:rsidR="003C673B" w:rsidRPr="00D876FA">
        <w:rPr>
          <w:rFonts w:ascii="Arial" w:hAnsi="Arial" w:cs="Arial"/>
          <w:sz w:val="24"/>
          <w:szCs w:val="24"/>
          <w:lang w:val="en-US"/>
        </w:rPr>
        <w:t xml:space="preserve"> </w:t>
      </w:r>
      <w:r w:rsidR="00006FC5" w:rsidRPr="00D876FA">
        <w:rPr>
          <w:rFonts w:ascii="Arial" w:hAnsi="Arial" w:cs="Arial"/>
          <w:sz w:val="24"/>
          <w:szCs w:val="24"/>
          <w:lang w:val="en-US"/>
        </w:rPr>
        <w:t>on</w:t>
      </w:r>
      <w:r w:rsidRPr="00D876FA">
        <w:rPr>
          <w:rFonts w:ascii="Arial" w:hAnsi="Arial" w:cs="Arial"/>
          <w:sz w:val="24"/>
          <w:szCs w:val="24"/>
          <w:lang w:val="en-US"/>
        </w:rPr>
        <w:t xml:space="preserve"> the sum between the prevailing category and an immediately closest </w:t>
      </w:r>
      <w:r w:rsidR="004D03F6" w:rsidRPr="00D876FA">
        <w:rPr>
          <w:rFonts w:ascii="Arial" w:hAnsi="Arial" w:cs="Arial"/>
          <w:sz w:val="24"/>
          <w:szCs w:val="24"/>
          <w:lang w:val="en-US"/>
        </w:rPr>
        <w:t>one</w:t>
      </w:r>
      <w:r w:rsidRPr="00D876FA">
        <w:rPr>
          <w:rFonts w:ascii="Arial" w:hAnsi="Arial" w:cs="Arial"/>
          <w:sz w:val="24"/>
          <w:szCs w:val="24"/>
          <w:lang w:val="en-US"/>
        </w:rPr>
        <w:t xml:space="preserve">. </w:t>
      </w:r>
    </w:p>
    <w:p w14:paraId="13AFAD37" w14:textId="335A0971" w:rsidR="00711D5E" w:rsidRPr="00D876FA" w:rsidRDefault="00843C0C" w:rsidP="00CA2E20">
      <w:pPr>
        <w:pStyle w:val="Titolo2"/>
        <w:spacing w:line="480" w:lineRule="auto"/>
        <w:rPr>
          <w:rFonts w:ascii="Arial" w:hAnsi="Arial" w:cs="Arial"/>
          <w:lang w:val="en-US"/>
        </w:rPr>
      </w:pPr>
      <w:r w:rsidRPr="00D876FA">
        <w:rPr>
          <w:rFonts w:ascii="Arial" w:hAnsi="Arial" w:cs="Arial"/>
          <w:lang w:val="en-US"/>
        </w:rPr>
        <w:t>RESULTS</w:t>
      </w:r>
    </w:p>
    <w:p w14:paraId="5B9DFC92" w14:textId="77777777" w:rsidR="002E19CC" w:rsidRPr="00D876FA" w:rsidRDefault="00843C0C" w:rsidP="00CA2E20">
      <w:pPr>
        <w:spacing w:line="480" w:lineRule="auto"/>
        <w:rPr>
          <w:rFonts w:ascii="Arial" w:hAnsi="Arial" w:cs="Arial"/>
          <w:sz w:val="24"/>
          <w:szCs w:val="24"/>
          <w:lang w:val="en-US"/>
        </w:rPr>
      </w:pPr>
      <w:r w:rsidRPr="00D876FA">
        <w:rPr>
          <w:rFonts w:ascii="Arial" w:hAnsi="Arial" w:cs="Arial"/>
          <w:sz w:val="24"/>
          <w:szCs w:val="24"/>
          <w:lang w:val="en-US"/>
        </w:rPr>
        <w:t xml:space="preserve">After 3 Delphi rounds, agreement was established on 25/27 items (92.6%). A severity score was established for each item ranging from 0 to 3 with an overall SCI range varying from a minimum score of zero to a maximum score of 29 points for any given patient. </w:t>
      </w:r>
      <w:r w:rsidRPr="00D876FA">
        <w:rPr>
          <w:rFonts w:ascii="Arial" w:hAnsi="Arial" w:cs="Arial"/>
          <w:sz w:val="24"/>
          <w:szCs w:val="24"/>
          <w:lang w:val="en-US"/>
        </w:rPr>
        <w:br/>
        <w:t> </w:t>
      </w:r>
      <w:r w:rsidRPr="00D876FA">
        <w:rPr>
          <w:rStyle w:val="Titolo2Carattere"/>
          <w:rFonts w:ascii="Arial" w:hAnsi="Arial" w:cs="Arial"/>
          <w:lang w:val="en-US"/>
        </w:rPr>
        <w:t>CONCLUSIONS</w:t>
      </w:r>
      <w:r w:rsidRPr="00D876FA">
        <w:rPr>
          <w:rFonts w:ascii="Arial" w:hAnsi="Arial" w:cs="Arial"/>
          <w:sz w:val="24"/>
          <w:szCs w:val="24"/>
          <w:lang w:val="en-US"/>
        </w:rPr>
        <w:br/>
        <w:t xml:space="preserve">A consensus on a </w:t>
      </w:r>
      <w:r w:rsidR="00D07C82" w:rsidRPr="00D876FA">
        <w:rPr>
          <w:rFonts w:ascii="Arial" w:hAnsi="Arial" w:cs="Arial"/>
          <w:sz w:val="24"/>
          <w:szCs w:val="24"/>
          <w:lang w:val="en-US"/>
        </w:rPr>
        <w:t>SCI</w:t>
      </w:r>
      <w:r w:rsidRPr="00D876FA">
        <w:rPr>
          <w:rFonts w:ascii="Arial" w:hAnsi="Arial" w:cs="Arial"/>
          <w:sz w:val="24"/>
          <w:szCs w:val="24"/>
          <w:lang w:val="en-US"/>
        </w:rPr>
        <w:t xml:space="preserve"> to stratify the risks related to tumor resection was established by the panel experts. This index will now be deployed to critically assign a better severity score to IDRFs involved in NB surgery.</w:t>
      </w:r>
    </w:p>
    <w:p w14:paraId="33EC5E02" w14:textId="28EFA7E7" w:rsidR="002E19CC" w:rsidRPr="00D876FA" w:rsidRDefault="00843C0C" w:rsidP="00CA2E20">
      <w:pPr>
        <w:spacing w:line="480" w:lineRule="auto"/>
        <w:rPr>
          <w:rStyle w:val="Titolo1Carattere"/>
          <w:rFonts w:ascii="Arial" w:hAnsi="Arial" w:cs="Arial"/>
          <w:lang w:val="en-US"/>
        </w:rPr>
      </w:pPr>
      <w:r w:rsidRPr="00D876FA">
        <w:rPr>
          <w:rStyle w:val="Titolo1Carattere"/>
          <w:rFonts w:ascii="Arial" w:hAnsi="Arial" w:cs="Arial"/>
          <w:lang w:val="en-US"/>
        </w:rPr>
        <w:lastRenderedPageBreak/>
        <w:t>INTRODUCTION</w:t>
      </w:r>
      <w:r w:rsidRPr="00D876FA">
        <w:rPr>
          <w:rFonts w:ascii="Arial" w:hAnsi="Arial" w:cs="Arial"/>
          <w:sz w:val="24"/>
          <w:szCs w:val="24"/>
          <w:lang w:val="en-US"/>
        </w:rPr>
        <w:br/>
        <w:t>Peripheral neuroblastic tumors (PNTs) such as neuroblastoma (NB) comprise some 10% of all pediatric solid tumors. NB is derived from primordial neural crest cells and can therefore develop anywhere along the sympathetic nervous system (1). The International Neuroblastoma Risk Group Staging System (INRGSS) stratifies NB into four distinct categories. Localized tumors are staged as L1 or L2 depending on the absence or presence of Image Defined Risk Factors (IDRFs) and metastatic tumors into M (presence of distant metastases) and Ms for metastases limited to the skin, liver, and bone marrow in infants younger than 18 months of age (2). Based on stage, age at onset, biological features and histology, treatment is multimodal. Induction chemotherapy is always performed in high-risk tumors before surgery, whereas in localized non-high-risk tumors, the presence of IDRFs at diagnosis contraindicate</w:t>
      </w:r>
      <w:r w:rsidR="00FD4B6E">
        <w:rPr>
          <w:rFonts w:ascii="Arial" w:hAnsi="Arial" w:cs="Arial"/>
          <w:sz w:val="24"/>
          <w:szCs w:val="24"/>
          <w:lang w:val="en-US"/>
        </w:rPr>
        <w:t>s</w:t>
      </w:r>
      <w:r w:rsidRPr="00D876FA">
        <w:rPr>
          <w:rFonts w:ascii="Arial" w:hAnsi="Arial" w:cs="Arial"/>
          <w:sz w:val="24"/>
          <w:szCs w:val="24"/>
          <w:lang w:val="en-US"/>
        </w:rPr>
        <w:t xml:space="preserve"> upfront resection (3). Following neoadjuvant chemotherapy, preoperative re-evaluation of IDRFs (pre-IDRFs) </w:t>
      </w:r>
      <w:r w:rsidRPr="00D876FA">
        <w:rPr>
          <w:rFonts w:ascii="Arial" w:hAnsi="Arial" w:cs="Arial"/>
          <w:sz w:val="24"/>
          <w:szCs w:val="24"/>
          <w:lang w:val="en-GB"/>
        </w:rPr>
        <w:t xml:space="preserve">does not always contraindicate safe surgery (4), </w:t>
      </w:r>
      <w:r w:rsidRPr="00D876FA">
        <w:rPr>
          <w:rFonts w:ascii="Arial" w:hAnsi="Arial" w:cs="Arial"/>
          <w:sz w:val="24"/>
          <w:szCs w:val="24"/>
          <w:lang w:val="en-US"/>
        </w:rPr>
        <w:t xml:space="preserve">although it </w:t>
      </w:r>
      <w:r w:rsidRPr="00D876FA">
        <w:rPr>
          <w:rFonts w:ascii="Arial" w:hAnsi="Arial" w:cs="Arial"/>
          <w:sz w:val="24"/>
          <w:szCs w:val="24"/>
          <w:lang w:val="en-GB"/>
        </w:rPr>
        <w:t xml:space="preserve">has been shown that persistence of some pre-IDRFs correlates with surgical outcomes in terms of completeness of resection (4-10). This is linked to the fact that </w:t>
      </w:r>
      <w:r w:rsidRPr="00D876FA">
        <w:rPr>
          <w:rFonts w:ascii="Arial" w:hAnsi="Arial" w:cs="Arial"/>
          <w:sz w:val="24"/>
          <w:szCs w:val="24"/>
          <w:lang w:val="en-US"/>
        </w:rPr>
        <w:t>IDRFs are not all equivalent in terms of complexity and surgical risk.</w:t>
      </w:r>
      <w:r w:rsidRPr="00D876FA">
        <w:rPr>
          <w:rFonts w:ascii="Arial" w:hAnsi="Arial" w:cs="Arial"/>
          <w:sz w:val="24"/>
          <w:szCs w:val="24"/>
          <w:lang w:val="en-GB"/>
        </w:rPr>
        <w:t xml:space="preserve"> Hence in this current report we aimed to assess and categorize the degrees of surgical complexity in NB resection.</w:t>
      </w:r>
      <w:r w:rsidRPr="00D876FA">
        <w:rPr>
          <w:rFonts w:ascii="Arial" w:hAnsi="Arial" w:cs="Arial"/>
          <w:sz w:val="24"/>
          <w:szCs w:val="24"/>
          <w:lang w:val="en-US"/>
        </w:rPr>
        <w:t xml:space="preserve"> A Delphi survey was conducted among a surgical panel of experts with the specific aim of defining a </w:t>
      </w:r>
      <w:r w:rsidR="004230AD">
        <w:rPr>
          <w:rFonts w:ascii="Arial" w:hAnsi="Arial" w:cs="Arial"/>
          <w:sz w:val="24"/>
          <w:szCs w:val="24"/>
          <w:lang w:val="en-US"/>
        </w:rPr>
        <w:t xml:space="preserve">novel </w:t>
      </w:r>
      <w:r w:rsidRPr="00D876FA">
        <w:rPr>
          <w:rFonts w:ascii="Arial" w:hAnsi="Arial" w:cs="Arial"/>
          <w:sz w:val="24"/>
          <w:szCs w:val="24"/>
          <w:lang w:val="en-US"/>
        </w:rPr>
        <w:t>Surgical Complexity Index (SCI) for more accurate risk stratification in NB surgery.</w:t>
      </w:r>
      <w:r w:rsidRPr="00D876FA">
        <w:rPr>
          <w:rFonts w:ascii="Arial" w:hAnsi="Arial" w:cs="Arial"/>
          <w:sz w:val="24"/>
          <w:szCs w:val="24"/>
          <w:lang w:val="en-GB"/>
        </w:rPr>
        <w:t xml:space="preserve"> Based on this experience, a future larger cooperative study will be designed to risk stratify each IDRF that perhaps may direct surgical care of the most challenging patients to expert centres.</w:t>
      </w:r>
      <w:r w:rsidRPr="00D876FA">
        <w:rPr>
          <w:rFonts w:ascii="Arial" w:hAnsi="Arial" w:cs="Arial"/>
          <w:sz w:val="24"/>
          <w:szCs w:val="24"/>
          <w:lang w:val="en-US"/>
        </w:rPr>
        <w:br/>
      </w:r>
      <w:r w:rsidRPr="00D876FA">
        <w:rPr>
          <w:rFonts w:ascii="Arial" w:hAnsi="Arial" w:cs="Arial"/>
          <w:sz w:val="24"/>
          <w:szCs w:val="24"/>
          <w:lang w:val="en-US"/>
        </w:rPr>
        <w:br/>
      </w:r>
    </w:p>
    <w:p w14:paraId="792D209A" w14:textId="56EF430E" w:rsidR="00711D5E" w:rsidRPr="00D876FA" w:rsidRDefault="00843C0C" w:rsidP="00CA2E20">
      <w:pPr>
        <w:spacing w:line="480" w:lineRule="auto"/>
        <w:rPr>
          <w:rFonts w:ascii="Arial" w:hAnsi="Arial" w:cs="Arial"/>
          <w:sz w:val="24"/>
          <w:szCs w:val="24"/>
          <w:lang w:val="en-US"/>
        </w:rPr>
      </w:pPr>
      <w:r w:rsidRPr="00D876FA">
        <w:rPr>
          <w:rStyle w:val="Titolo1Carattere"/>
          <w:rFonts w:ascii="Arial" w:hAnsi="Arial" w:cs="Arial"/>
          <w:lang w:val="en-US"/>
        </w:rPr>
        <w:lastRenderedPageBreak/>
        <w:t>METHODS</w:t>
      </w:r>
      <w:r w:rsidRPr="00D876FA">
        <w:rPr>
          <w:rFonts w:ascii="Arial" w:hAnsi="Arial" w:cs="Arial"/>
          <w:sz w:val="24"/>
          <w:szCs w:val="24"/>
          <w:lang w:val="en-US"/>
        </w:rPr>
        <w:br/>
        <w:t xml:space="preserve">The study project and Delphi survey were approved by the primary author’s local ethical committee (protocol n.471/2021). Anonymized data were stored on a secure online server and managed according to the European General Data Protection Regulation (11). A panel of 15 pediatric surgeons actively participating in the International Society of Pediatric Oncology Europe Neuroblastoma Group (SIOPEN) and in the International Society of Pediatric Surgical Oncology (IPS0) was involved in an electronic Delphi consensus survey aiming at identifying shared items predictive and/or indicative of the surgical complexity dealing with NB (5). Surgeons were asked to attribute a grade of risk stratification to each item based on their own experiences and perspectives. Risk categories were scaled and defined as follows: (a) </w:t>
      </w:r>
      <w:r w:rsidRPr="00D876FA">
        <w:rPr>
          <w:rFonts w:ascii="Arial" w:hAnsi="Arial" w:cs="Arial"/>
          <w:i/>
          <w:iCs/>
          <w:sz w:val="24"/>
          <w:szCs w:val="24"/>
          <w:lang w:val="en-US"/>
        </w:rPr>
        <w:t>Standard risk</w:t>
      </w:r>
      <w:r w:rsidRPr="00D876FA">
        <w:rPr>
          <w:rFonts w:ascii="Arial" w:hAnsi="Arial" w:cs="Arial"/>
          <w:sz w:val="24"/>
          <w:szCs w:val="24"/>
          <w:lang w:val="en-US"/>
        </w:rPr>
        <w:t xml:space="preserve">, for those items which were not considered to lead to an increase in the degree of risk beyond the general surgical risk; (b) </w:t>
      </w:r>
      <w:r w:rsidRPr="00D876FA">
        <w:rPr>
          <w:rFonts w:ascii="Arial" w:hAnsi="Arial" w:cs="Arial"/>
          <w:i/>
          <w:iCs/>
          <w:sz w:val="24"/>
          <w:szCs w:val="24"/>
          <w:lang w:val="en-US"/>
        </w:rPr>
        <w:t>Moderate risk</w:t>
      </w:r>
      <w:r w:rsidRPr="00D876FA">
        <w:rPr>
          <w:rFonts w:ascii="Arial" w:hAnsi="Arial" w:cs="Arial"/>
          <w:sz w:val="24"/>
          <w:szCs w:val="24"/>
          <w:lang w:val="en-US"/>
        </w:rPr>
        <w:t xml:space="preserve">, for those items thought to limitedly increase the degree of risk beyond the standard risk; (c) </w:t>
      </w:r>
      <w:r w:rsidRPr="00D876FA">
        <w:rPr>
          <w:rFonts w:ascii="Arial" w:hAnsi="Arial" w:cs="Arial"/>
          <w:i/>
          <w:iCs/>
          <w:sz w:val="24"/>
          <w:szCs w:val="24"/>
          <w:lang w:val="en-US"/>
        </w:rPr>
        <w:t>High risk</w:t>
      </w:r>
      <w:r w:rsidRPr="00D876FA">
        <w:rPr>
          <w:rFonts w:ascii="Arial" w:hAnsi="Arial" w:cs="Arial"/>
          <w:sz w:val="24"/>
          <w:szCs w:val="24"/>
          <w:lang w:val="en-US"/>
        </w:rPr>
        <w:t xml:space="preserve">, for those items thought to significantly increase the degree of risk beyond the standard risk; (d) </w:t>
      </w:r>
      <w:r w:rsidRPr="00D876FA">
        <w:rPr>
          <w:rFonts w:ascii="Arial" w:hAnsi="Arial" w:cs="Arial"/>
          <w:i/>
          <w:iCs/>
          <w:sz w:val="24"/>
          <w:szCs w:val="24"/>
          <w:lang w:val="en-US"/>
        </w:rPr>
        <w:t>Very high risk</w:t>
      </w:r>
      <w:r w:rsidRPr="00D876FA">
        <w:rPr>
          <w:rFonts w:ascii="Arial" w:hAnsi="Arial" w:cs="Arial"/>
          <w:sz w:val="24"/>
          <w:szCs w:val="24"/>
          <w:lang w:val="en-US"/>
        </w:rPr>
        <w:t xml:space="preserve">, for those items thought to most severely increase the degree of risk beyond the standard risk. </w:t>
      </w:r>
    </w:p>
    <w:p w14:paraId="626568D5" w14:textId="2A986C9B" w:rsidR="00711D5E" w:rsidRPr="00D876FA" w:rsidRDefault="00843C0C" w:rsidP="00CA2E20">
      <w:pPr>
        <w:spacing w:line="480" w:lineRule="auto"/>
        <w:rPr>
          <w:rFonts w:ascii="Arial" w:hAnsi="Arial" w:cs="Arial"/>
          <w:sz w:val="24"/>
          <w:szCs w:val="24"/>
          <w:lang w:val="en-US"/>
        </w:rPr>
      </w:pPr>
      <w:r w:rsidRPr="00D876FA">
        <w:rPr>
          <w:rFonts w:ascii="Arial" w:hAnsi="Arial" w:cs="Arial"/>
          <w:sz w:val="24"/>
          <w:szCs w:val="24"/>
          <w:lang w:val="en-US"/>
        </w:rPr>
        <w:t xml:space="preserve">A shared agreement with the surgical panel was then considered adequate and reached with the achievement of at least 75% consensus focused on a single answer or, alternatively, the simultaneous fulfillment of the following conditions: (1) at least 60% consensus focused on the prevailing risk category; (2) at least 75% consensus in the sum between the prevailing category and an immediately closest category (12). At the end of each Delphi round consultation, responses to each outcome were summarized and returned anonymously to the panel within the subsequent rounds. Participants were invited to consider the views of others before score re-rating and, when appropriate, change their individual responses based on the feedback from previous Delphi rounds. Based on the </w:t>
      </w:r>
      <w:r w:rsidRPr="00D876FA">
        <w:rPr>
          <w:rFonts w:ascii="Arial" w:hAnsi="Arial" w:cs="Arial"/>
          <w:sz w:val="24"/>
          <w:szCs w:val="24"/>
          <w:lang w:val="en-US"/>
        </w:rPr>
        <w:lastRenderedPageBreak/>
        <w:t>consensus, each item was then scored from 0 (“standard risk”) to 3 (“very high risk”) depending on the grade of agreed perceived risk.</w:t>
      </w:r>
    </w:p>
    <w:p w14:paraId="67738E7D" w14:textId="77777777" w:rsidR="00711D5E" w:rsidRPr="00D876FA" w:rsidRDefault="00843C0C" w:rsidP="00CA2E20">
      <w:pPr>
        <w:pStyle w:val="Titolo1"/>
        <w:spacing w:line="480" w:lineRule="auto"/>
        <w:rPr>
          <w:rFonts w:ascii="Arial" w:hAnsi="Arial" w:cs="Arial"/>
          <w:lang w:val="en-US"/>
        </w:rPr>
      </w:pPr>
      <w:r w:rsidRPr="00D876FA">
        <w:rPr>
          <w:rFonts w:ascii="Arial" w:hAnsi="Arial" w:cs="Arial"/>
          <w:lang w:val="en-US"/>
        </w:rPr>
        <w:br/>
        <w:t>RESULTS</w:t>
      </w:r>
    </w:p>
    <w:p w14:paraId="572E4CD1" w14:textId="2B2DD604" w:rsidR="00711D5E" w:rsidRPr="00D876FA" w:rsidRDefault="00843C0C" w:rsidP="00CA2E20">
      <w:pPr>
        <w:spacing w:line="480" w:lineRule="auto"/>
        <w:rPr>
          <w:rFonts w:ascii="Arial" w:hAnsi="Arial" w:cs="Arial"/>
          <w:sz w:val="24"/>
          <w:szCs w:val="24"/>
          <w:lang w:val="en-US"/>
        </w:rPr>
      </w:pPr>
      <w:r w:rsidRPr="00D876FA">
        <w:rPr>
          <w:rFonts w:ascii="Arial" w:hAnsi="Arial" w:cs="Arial"/>
          <w:sz w:val="24"/>
          <w:szCs w:val="24"/>
          <w:lang w:val="en-US"/>
        </w:rPr>
        <w:t xml:space="preserve">Among a list of 18 items possibly predictive and/or indicative of surgical risk in NB, the panel agreed upon 11 of them and gathered them in three domains, including pre-operative, intra-operative, and post-operative. Each item, where relevant, was divided into sub-categories for a better specification of the surgical risks, thus ending with a </w:t>
      </w:r>
      <w:bookmarkStart w:id="0" w:name="_Hlk113012261"/>
      <w:r w:rsidRPr="00D876FA">
        <w:rPr>
          <w:rFonts w:ascii="Arial" w:hAnsi="Arial" w:cs="Arial"/>
          <w:sz w:val="24"/>
          <w:szCs w:val="24"/>
          <w:lang w:val="en-US"/>
        </w:rPr>
        <w:t>total of 27 issues to be analyzed with the Delphi survey</w:t>
      </w:r>
      <w:bookmarkEnd w:id="0"/>
      <w:r w:rsidRPr="00D876FA">
        <w:rPr>
          <w:rFonts w:ascii="Arial" w:hAnsi="Arial" w:cs="Arial"/>
          <w:sz w:val="24"/>
          <w:szCs w:val="24"/>
          <w:lang w:val="en-US"/>
        </w:rPr>
        <w:t xml:space="preserve"> (Table 1). Three Delphi rounds were needed to reach agreement on 25/27 items (92.6%). All experts completed the first </w:t>
      </w:r>
      <w:r w:rsidR="007F1CB8">
        <w:rPr>
          <w:rFonts w:ascii="Arial" w:hAnsi="Arial" w:cs="Arial"/>
          <w:sz w:val="24"/>
          <w:szCs w:val="24"/>
          <w:lang w:val="en-US"/>
        </w:rPr>
        <w:t>two</w:t>
      </w:r>
      <w:r w:rsidRPr="00D876FA">
        <w:rPr>
          <w:rFonts w:ascii="Arial" w:hAnsi="Arial" w:cs="Arial"/>
          <w:sz w:val="24"/>
          <w:szCs w:val="24"/>
          <w:lang w:val="en-US"/>
        </w:rPr>
        <w:t xml:space="preserve"> rounds, while 87% of surgeon members completed the final third round (Figures 1, 2, 3). Though thought to somehow increase surgical risk, two items, namely metastatic status and intraoperative complications involving organ, vessel, and/or nerve injury with normal residual function, did not reach a consensus among the surgical panel of experts on the degree / amount of their impact on surgery and were therefore excluded from the final SCI list. The absence (namely L1 stage) and the presence of four or more pre-IDRFs were judged nearly unanimously (87% of consensus) as related to “standard” and “very high risk” respectively. Based on the survey results, a severity score was then established for each item ranging from 0 (standard risk) to 3 (very high risk), with an overall SCI score ranging from a minimum of 0 to a maximum of 29 points for any given patient (Table 2). Among many preoperative items, preoperative radiotherapy/metabolic therapy, and the presence of 4 or more pre-IDRFs received the highest severity score. A two-body compartment surgical approach, massive blood loss, and intraoperative death were notably considered indicative of very complex surgery. Postoperatively, a macroscopic </w:t>
      </w:r>
      <w:r w:rsidRPr="00D876FA">
        <w:rPr>
          <w:rFonts w:ascii="Arial" w:hAnsi="Arial" w:cs="Arial"/>
          <w:sz w:val="24"/>
          <w:szCs w:val="24"/>
          <w:lang w:val="en-US"/>
        </w:rPr>
        <w:lastRenderedPageBreak/>
        <w:t xml:space="preserve">tumor residue estimated to be more than 5 ml in volume as well as complications graded as Clavien-Dindo 4 or 5 were similarly attributed to high-risk </w:t>
      </w:r>
      <w:r w:rsidR="00920580">
        <w:rPr>
          <w:rFonts w:ascii="Arial" w:hAnsi="Arial" w:cs="Arial"/>
          <w:sz w:val="24"/>
          <w:szCs w:val="24"/>
          <w:lang w:val="en-US"/>
        </w:rPr>
        <w:t>surgery</w:t>
      </w:r>
      <w:r w:rsidRPr="00D876FA">
        <w:rPr>
          <w:rFonts w:ascii="Arial" w:hAnsi="Arial" w:cs="Arial"/>
          <w:sz w:val="24"/>
          <w:szCs w:val="24"/>
          <w:lang w:val="en-US"/>
        </w:rPr>
        <w:t>.</w:t>
      </w:r>
    </w:p>
    <w:p w14:paraId="2645CDFC" w14:textId="66F9B85C" w:rsidR="00711D5E" w:rsidRPr="00D876FA" w:rsidRDefault="00843C0C" w:rsidP="00CA2E20">
      <w:pPr>
        <w:spacing w:line="480" w:lineRule="auto"/>
        <w:rPr>
          <w:rFonts w:ascii="Arial" w:hAnsi="Arial" w:cs="Arial"/>
          <w:sz w:val="24"/>
          <w:szCs w:val="24"/>
          <w:lang w:val="en-GB"/>
        </w:rPr>
      </w:pPr>
      <w:r w:rsidRPr="00D876FA">
        <w:rPr>
          <w:rFonts w:ascii="Arial" w:hAnsi="Arial" w:cs="Arial"/>
          <w:sz w:val="24"/>
          <w:szCs w:val="24"/>
          <w:lang w:val="en-US"/>
        </w:rPr>
        <w:br/>
      </w:r>
      <w:r w:rsidRPr="00D876FA">
        <w:rPr>
          <w:rStyle w:val="Titolo1Carattere"/>
          <w:rFonts w:ascii="Arial" w:hAnsi="Arial" w:cs="Arial"/>
          <w:lang w:val="en-US"/>
        </w:rPr>
        <w:t>DISCUSSION</w:t>
      </w:r>
      <w:r w:rsidRPr="00D876FA">
        <w:rPr>
          <w:rFonts w:ascii="Arial" w:hAnsi="Arial" w:cs="Arial"/>
          <w:sz w:val="24"/>
          <w:szCs w:val="24"/>
          <w:lang w:val="en-US"/>
        </w:rPr>
        <w:br/>
        <w:t>The ability to better define and stratify surgical risks is of vital importance in the surgical planning of NB resection</w:t>
      </w:r>
      <w:r w:rsidRPr="00D876FA">
        <w:rPr>
          <w:rFonts w:ascii="Arial" w:hAnsi="Arial" w:cs="Arial"/>
          <w:sz w:val="24"/>
          <w:szCs w:val="24"/>
          <w:lang w:val="en-GB"/>
        </w:rPr>
        <w:t xml:space="preserve">. IDRFs have been initially elaborated as objective imaging characteristics that might be associated with surgical complications to avoid upfront risky surgery and propose neoadjuvant chemotherapy in localized disease (2,13). The recent introduction of </w:t>
      </w:r>
      <w:r w:rsidR="00D10033" w:rsidRPr="00D876FA">
        <w:rPr>
          <w:rFonts w:ascii="Arial" w:hAnsi="Arial" w:cs="Arial"/>
          <w:sz w:val="24"/>
          <w:szCs w:val="24"/>
          <w:lang w:val="en-GB"/>
        </w:rPr>
        <w:t>t</w:t>
      </w:r>
      <w:r w:rsidRPr="00D876FA">
        <w:rPr>
          <w:rFonts w:ascii="Arial" w:hAnsi="Arial" w:cs="Arial"/>
          <w:sz w:val="24"/>
          <w:szCs w:val="24"/>
          <w:lang w:val="en-GB"/>
        </w:rPr>
        <w:t>he International Neuroblastoma Surgical Report Form (INSRF) as a systematic integration of the NB surgical report, stimulates surgeons to focus on IDRFs and their correlation with intra and postoperative complications (14). Their presence at pre-surgical evaluation was indeed shown to be correlated to the likelihood of developing surgical complications (4,15,16). IDRFs are a cornerstone in the INRGSS and have also been adopted to inform surgical decisions for children with low-risk neuroblastoma in the Japan Children's Cancer Group Neuroblastoma Committee (2,17). They were also used to guide indication for minimally invasive surgical approach (18-21). IDRFs have then been analy</w:t>
      </w:r>
      <w:r w:rsidR="009560F2" w:rsidRPr="00D876FA">
        <w:rPr>
          <w:rFonts w:ascii="Arial" w:hAnsi="Arial" w:cs="Arial"/>
          <w:sz w:val="24"/>
          <w:szCs w:val="24"/>
          <w:lang w:val="en-GB"/>
        </w:rPr>
        <w:t>s</w:t>
      </w:r>
      <w:r w:rsidRPr="00D876FA">
        <w:rPr>
          <w:rFonts w:ascii="Arial" w:hAnsi="Arial" w:cs="Arial"/>
          <w:sz w:val="24"/>
          <w:szCs w:val="24"/>
          <w:lang w:val="en-GB"/>
        </w:rPr>
        <w:t xml:space="preserve">ed through their modifications following adjuvant chemotherapy (4,9,22), showing that 60% to 70% of IDRFs persist after neoadjuvant chemotherapy and that quality of resection is significantly associated with the decrease in the number of IDRFs along with chemotherapy. </w:t>
      </w:r>
    </w:p>
    <w:p w14:paraId="25D69567" w14:textId="3D9DB269" w:rsidR="00711D5E" w:rsidRDefault="00843C0C" w:rsidP="00CA2E20">
      <w:pPr>
        <w:spacing w:line="480" w:lineRule="auto"/>
        <w:rPr>
          <w:rFonts w:ascii="Arial" w:hAnsi="Arial" w:cs="Arial"/>
          <w:sz w:val="24"/>
          <w:szCs w:val="24"/>
          <w:lang w:val="en-GB"/>
        </w:rPr>
      </w:pPr>
      <w:r w:rsidRPr="00D876FA">
        <w:rPr>
          <w:rFonts w:ascii="Arial" w:hAnsi="Arial" w:cs="Arial"/>
          <w:sz w:val="24"/>
          <w:szCs w:val="24"/>
          <w:lang w:val="en-GB"/>
        </w:rPr>
        <w:t xml:space="preserve">In our Delphi consensus survey, the presence and number of IDRFs (L1 or L2) were evaluated in the immediate preoperative setting (independently whether neoadjuvant chemotherapy was administered or not) in a very consistent manner by all active panel members. The increase in the number of pre-IDRFs detected was directly related to the surgeons’ perceived risk. IDRFs may be grouped into categories (vascular, neurological, </w:t>
      </w:r>
      <w:r w:rsidRPr="00D876FA">
        <w:rPr>
          <w:rFonts w:ascii="Arial" w:hAnsi="Arial" w:cs="Arial"/>
          <w:sz w:val="24"/>
          <w:szCs w:val="24"/>
          <w:lang w:val="en-GB"/>
        </w:rPr>
        <w:lastRenderedPageBreak/>
        <w:t>infiltrative, compressive) and it appears that some IDRF groups are associated with increased risk of surgical complications, but also to some extent to histology, biology, and/or to localized or metastatic status (4,6,7,15,16,23). However, to date, the precise role and weighting of each IDRF has never been critically analysed and quantified, nor has it been fully investigated with the possibility of undertaking surgery with a “limited surgical risk” despite the presence of certain IDRFs. Equally, the possibility that certain IDRFs absolutely contraindicate aggressive upfront surgery - at least at new disease onset – has never been challenged.</w:t>
      </w:r>
      <w:r w:rsidRPr="00D876FA">
        <w:rPr>
          <w:rFonts w:ascii="Arial" w:hAnsi="Arial" w:cs="Arial"/>
          <w:lang w:val="en-US"/>
        </w:rPr>
        <w:t xml:space="preserve"> </w:t>
      </w:r>
      <w:r w:rsidRPr="00D876FA">
        <w:rPr>
          <w:rFonts w:ascii="Arial" w:hAnsi="Arial" w:cs="Arial"/>
          <w:sz w:val="24"/>
          <w:szCs w:val="24"/>
          <w:lang w:val="en-GB"/>
        </w:rPr>
        <w:t xml:space="preserve">In other words, the loss of a kidney or a </w:t>
      </w:r>
      <w:r w:rsidR="00F07E2E">
        <w:rPr>
          <w:rFonts w:ascii="Arial" w:hAnsi="Arial" w:cs="Arial"/>
          <w:sz w:val="24"/>
          <w:szCs w:val="24"/>
          <w:lang w:val="en-GB"/>
        </w:rPr>
        <w:t xml:space="preserve">postoperative </w:t>
      </w:r>
      <w:r w:rsidRPr="00D876FA">
        <w:rPr>
          <w:rFonts w:ascii="Arial" w:hAnsi="Arial" w:cs="Arial"/>
          <w:sz w:val="24"/>
          <w:szCs w:val="24"/>
          <w:lang w:val="en-GB"/>
        </w:rPr>
        <w:t>Horner</w:t>
      </w:r>
      <w:r w:rsidR="000F1A14">
        <w:rPr>
          <w:rFonts w:ascii="Arial" w:hAnsi="Arial" w:cs="Arial"/>
          <w:sz w:val="24"/>
          <w:szCs w:val="24"/>
          <w:lang w:val="en-GB"/>
        </w:rPr>
        <w:t>’s</w:t>
      </w:r>
      <w:r w:rsidRPr="00D876FA">
        <w:rPr>
          <w:rFonts w:ascii="Arial" w:hAnsi="Arial" w:cs="Arial"/>
          <w:sz w:val="24"/>
          <w:szCs w:val="24"/>
          <w:lang w:val="en-GB"/>
        </w:rPr>
        <w:t xml:space="preserve"> syndrome may be acceptable if the surgery is considered critical for the outcome of the patient, as in high-risk groups where it seems that surgery impacts both event free and overall survival. Conversely, the risk of damaging the small bowel by extensive dissection of an encased superior mesenteric artery in a small child may be not acceptable in a low </w:t>
      </w:r>
      <w:r w:rsidR="0032013E">
        <w:rPr>
          <w:rFonts w:ascii="Arial" w:hAnsi="Arial" w:cs="Arial"/>
          <w:sz w:val="24"/>
          <w:szCs w:val="24"/>
          <w:lang w:val="en-GB"/>
        </w:rPr>
        <w:t>or</w:t>
      </w:r>
      <w:r w:rsidRPr="00D876FA">
        <w:rPr>
          <w:rFonts w:ascii="Arial" w:hAnsi="Arial" w:cs="Arial"/>
          <w:sz w:val="24"/>
          <w:szCs w:val="24"/>
          <w:lang w:val="en-GB"/>
        </w:rPr>
        <w:t xml:space="preserve"> intermediate risk tumor (24,25). In an attempt to answer these challenging questions, it is necessary to start at the definition of “surgical risk” and how this may be quantified. There are no defining generic risk stratification scores in neuroblastoma surgery. The only way to attribute a degree of surgical complexity specifically to NB surgery is to engage surgeons well trained in this type of complex surgery and count on their lifetime years of experience, collecting both pre-operative, intra-operative, and postoperative aspects predictive and/or indicative of an increased surgical risk. The Delphi survey method is widely acknowledged for achieving convergence of opinion from experts on the importance of different outcomes in sequential questionnaires (or rounds). It is highly advantageous in that it is an anonymous process, avoiding the effects of dominant individuals and can be circulated to large numbers of participants with wide geographic dispersion (11,26-28). </w:t>
      </w:r>
      <w:r w:rsidRPr="00D876FA">
        <w:rPr>
          <w:rFonts w:ascii="Arial" w:hAnsi="Arial" w:cs="Arial"/>
          <w:sz w:val="24"/>
          <w:szCs w:val="24"/>
          <w:lang w:val="en-US"/>
        </w:rPr>
        <w:t>With no direct communication occurring between surgeon participants, this feedback provides a mechanism for reconciling different opinions of experts and is therefore, critical to achieving a consensus (</w:t>
      </w:r>
      <w:r w:rsidRPr="00D876FA">
        <w:rPr>
          <w:rFonts w:ascii="Arial" w:hAnsi="Arial" w:cs="Arial"/>
          <w:sz w:val="24"/>
          <w:szCs w:val="24"/>
          <w:lang w:val="en-GB"/>
        </w:rPr>
        <w:t>12</w:t>
      </w:r>
      <w:r w:rsidRPr="00D876FA">
        <w:rPr>
          <w:rFonts w:ascii="Arial" w:hAnsi="Arial" w:cs="Arial"/>
          <w:sz w:val="24"/>
          <w:szCs w:val="24"/>
          <w:lang w:val="en-US"/>
        </w:rPr>
        <w:t>).</w:t>
      </w:r>
      <w:r w:rsidR="004830C2" w:rsidRPr="00D876FA">
        <w:rPr>
          <w:rFonts w:ascii="Arial" w:hAnsi="Arial" w:cs="Arial"/>
          <w:sz w:val="24"/>
          <w:szCs w:val="24"/>
          <w:lang w:val="en-US"/>
        </w:rPr>
        <w:t xml:space="preserve"> </w:t>
      </w:r>
      <w:r w:rsidRPr="00D876FA">
        <w:rPr>
          <w:rFonts w:ascii="Arial" w:hAnsi="Arial" w:cs="Arial"/>
          <w:sz w:val="24"/>
          <w:szCs w:val="24"/>
          <w:lang w:val="en-GB"/>
        </w:rPr>
        <w:t>However, these aspects are counterbalanced by</w:t>
      </w:r>
      <w:r w:rsidRPr="00D876FA">
        <w:rPr>
          <w:rFonts w:ascii="Arial" w:hAnsi="Arial" w:cs="Arial"/>
          <w:sz w:val="24"/>
          <w:szCs w:val="24"/>
          <w:lang w:val="en-US"/>
        </w:rPr>
        <w:t xml:space="preserve"> some </w:t>
      </w:r>
      <w:r w:rsidRPr="00D876FA">
        <w:rPr>
          <w:rFonts w:ascii="Arial" w:hAnsi="Arial" w:cs="Arial"/>
          <w:sz w:val="24"/>
          <w:szCs w:val="24"/>
          <w:lang w:val="en-US"/>
        </w:rPr>
        <w:lastRenderedPageBreak/>
        <w:t>weaknesses in the methodology itself. Delphi guidelines are open to different interpretations depending on the purpose of the survey,</w:t>
      </w:r>
      <w:r w:rsidRPr="00D876FA">
        <w:rPr>
          <w:rFonts w:ascii="Arial" w:hAnsi="Arial" w:cs="Arial"/>
          <w:sz w:val="24"/>
          <w:szCs w:val="24"/>
          <w:lang w:val="en-GB"/>
        </w:rPr>
        <w:t xml:space="preserve"> its reliability is extremely poor (i.e., if two panels of experts received the same question they may not come to the same consensus), it does not allow participant discussion nor opportunity to elaborate on their views, and the existence of a consensus does not necessarily mean that the correct answer, opinion, or judgement has been found.  It merely helps to identify areas that one group of participants or experts considers important in relation to that topic (1</w:t>
      </w:r>
      <w:r w:rsidR="00792E71">
        <w:rPr>
          <w:rFonts w:ascii="Arial" w:hAnsi="Arial" w:cs="Arial"/>
          <w:sz w:val="24"/>
          <w:szCs w:val="24"/>
          <w:lang w:val="en-GB"/>
        </w:rPr>
        <w:t>2</w:t>
      </w:r>
      <w:r w:rsidRPr="00D876FA">
        <w:rPr>
          <w:rFonts w:ascii="Arial" w:hAnsi="Arial" w:cs="Arial"/>
          <w:sz w:val="24"/>
          <w:szCs w:val="24"/>
          <w:lang w:val="en-GB"/>
        </w:rPr>
        <w:t xml:space="preserve">,26-28). Keeping all these considerations in mind, the definition of the SCI thanks to this Delphi survey has allowed us to retrospectively attribute a degree of surgical risk to neuroblastoma operations. The SCI is not a preoperative score. It aims to analyse objectively how each individual IDRF may correlate with the SCI value for each patient in ongoing collaborative studies. This current study project will thus proceed forward with cooperative retrospective </w:t>
      </w:r>
      <w:r w:rsidRPr="00D876FA">
        <w:rPr>
          <w:rFonts w:ascii="Arial" w:hAnsi="Arial" w:cs="Arial"/>
          <w:sz w:val="24"/>
          <w:szCs w:val="24"/>
          <w:lang w:val="en-US"/>
        </w:rPr>
        <w:t>data collection on patients operated on for NB and the precise SCI calculation for each enrolled patient. In a subsequent analytical phase, the calculated SCI will then be correlated to each IDRF preoperatively detected in any given patient. The median SCI value for each IDRF will be calculated for a study cohort NB patient population. Once a SCI median value score has been assigned to each IDRF, these will be sorted according to the decreasing value of median SCI and ultimately, statistically risk scored.</w:t>
      </w:r>
      <w:r w:rsidRPr="00D876FA">
        <w:rPr>
          <w:rFonts w:ascii="Arial" w:hAnsi="Arial" w:cs="Arial"/>
          <w:sz w:val="24"/>
          <w:szCs w:val="24"/>
          <w:lang w:val="en-GB"/>
        </w:rPr>
        <w:t xml:space="preserve"> </w:t>
      </w:r>
      <w:r w:rsidRPr="00D876FA">
        <w:rPr>
          <w:rFonts w:ascii="Arial" w:hAnsi="Arial" w:cs="Arial"/>
          <w:sz w:val="24"/>
          <w:szCs w:val="24"/>
          <w:lang w:val="en-US"/>
        </w:rPr>
        <w:t xml:space="preserve">In conclusion, this Delphi survey constitutes the preliminary phase of future larger collaborative studies. A consensus on a NB surgical complexity index to better accurately stratify the risk related to tumor resection was reached among oncology surgeons. This will serve to better define indication and extent of resection of NB, considering the tumor risk group, </w:t>
      </w:r>
      <w:r w:rsidRPr="00D876FA">
        <w:rPr>
          <w:rFonts w:ascii="Arial" w:hAnsi="Arial" w:cs="Arial"/>
          <w:sz w:val="24"/>
          <w:szCs w:val="24"/>
          <w:lang w:val="en-GB"/>
        </w:rPr>
        <w:t>and may potentially facilitate refer the most challenging patients to high volume oncology centres to offset risks of morbidity and mortality.</w:t>
      </w:r>
    </w:p>
    <w:p w14:paraId="778C32DA" w14:textId="28F20EC1" w:rsidR="00845B78" w:rsidRPr="005B5D38" w:rsidRDefault="00845B78" w:rsidP="00CA2E20">
      <w:pPr>
        <w:pStyle w:val="Titolo1"/>
        <w:spacing w:line="480" w:lineRule="auto"/>
        <w:rPr>
          <w:rFonts w:ascii="Arial" w:hAnsi="Arial" w:cs="Arial"/>
          <w:lang w:val="en-GB"/>
        </w:rPr>
      </w:pPr>
      <w:r w:rsidRPr="005B5D38">
        <w:rPr>
          <w:rFonts w:ascii="Arial" w:hAnsi="Arial" w:cs="Arial"/>
          <w:lang w:val="en-GB"/>
        </w:rPr>
        <w:lastRenderedPageBreak/>
        <w:t>CONFLICT OF INTEREST</w:t>
      </w:r>
      <w:r w:rsidR="005B5D38" w:rsidRPr="005B5D38">
        <w:rPr>
          <w:rFonts w:ascii="Arial" w:hAnsi="Arial" w:cs="Arial"/>
          <w:lang w:val="en-GB"/>
        </w:rPr>
        <w:t xml:space="preserve"> STATEMENT</w:t>
      </w:r>
    </w:p>
    <w:p w14:paraId="4EDD432D" w14:textId="692CC745" w:rsidR="00845B78" w:rsidRPr="005B5D38" w:rsidRDefault="00845B78" w:rsidP="00CA2E20">
      <w:pPr>
        <w:spacing w:line="480" w:lineRule="auto"/>
        <w:rPr>
          <w:rFonts w:ascii="Arial" w:hAnsi="Arial" w:cs="Arial"/>
          <w:sz w:val="24"/>
          <w:szCs w:val="24"/>
          <w:lang w:val="en-GB"/>
        </w:rPr>
      </w:pPr>
      <w:r w:rsidRPr="005B5D38">
        <w:rPr>
          <w:rFonts w:ascii="Arial" w:hAnsi="Arial" w:cs="Arial"/>
          <w:sz w:val="24"/>
          <w:szCs w:val="24"/>
          <w:lang w:val="en-GB"/>
        </w:rPr>
        <w:t xml:space="preserve">The Authors declare </w:t>
      </w:r>
      <w:r w:rsidR="00CA6D58" w:rsidRPr="005B5D38">
        <w:rPr>
          <w:rFonts w:ascii="Arial" w:hAnsi="Arial" w:cs="Arial"/>
          <w:sz w:val="24"/>
          <w:szCs w:val="24"/>
          <w:lang w:val="en-GB"/>
        </w:rPr>
        <w:t xml:space="preserve">they have </w:t>
      </w:r>
      <w:r w:rsidR="00126568" w:rsidRPr="005B5D38">
        <w:rPr>
          <w:rFonts w:ascii="Arial" w:hAnsi="Arial" w:cs="Arial"/>
          <w:sz w:val="24"/>
          <w:szCs w:val="24"/>
          <w:lang w:val="en-GB"/>
        </w:rPr>
        <w:t>no conflict of interest</w:t>
      </w:r>
      <w:r w:rsidR="005B5D38" w:rsidRPr="005B5D38">
        <w:rPr>
          <w:rFonts w:ascii="Arial" w:hAnsi="Arial" w:cs="Arial"/>
          <w:sz w:val="24"/>
          <w:szCs w:val="24"/>
          <w:lang w:val="en-GB"/>
        </w:rPr>
        <w:t>.</w:t>
      </w:r>
    </w:p>
    <w:p w14:paraId="73947A7A" w14:textId="77777777" w:rsidR="00711D5E" w:rsidRPr="00D876FA" w:rsidRDefault="00711D5E" w:rsidP="00CA2E20">
      <w:pPr>
        <w:spacing w:line="480" w:lineRule="auto"/>
        <w:rPr>
          <w:rFonts w:ascii="Arial" w:eastAsiaTheme="majorEastAsia" w:hAnsi="Arial" w:cs="Arial"/>
          <w:color w:val="2F5496" w:themeColor="accent1" w:themeShade="BF"/>
          <w:sz w:val="32"/>
          <w:szCs w:val="32"/>
          <w:lang w:val="en-US"/>
        </w:rPr>
      </w:pPr>
    </w:p>
    <w:p w14:paraId="222B7D27" w14:textId="77777777" w:rsidR="00711D5E" w:rsidRPr="00D876FA" w:rsidRDefault="00711D5E" w:rsidP="00CA2E20">
      <w:pPr>
        <w:spacing w:line="480" w:lineRule="auto"/>
        <w:rPr>
          <w:rFonts w:ascii="Arial" w:hAnsi="Arial" w:cs="Arial"/>
          <w:lang w:val="en-US"/>
        </w:rPr>
      </w:pPr>
    </w:p>
    <w:p w14:paraId="796D0B1E" w14:textId="77777777" w:rsidR="00711D5E" w:rsidRPr="00D876FA" w:rsidRDefault="00711D5E" w:rsidP="00CA2E20">
      <w:pPr>
        <w:spacing w:line="480" w:lineRule="auto"/>
        <w:rPr>
          <w:rFonts w:ascii="Arial" w:hAnsi="Arial" w:cs="Arial"/>
          <w:lang w:val="en-US"/>
        </w:rPr>
      </w:pPr>
    </w:p>
    <w:p w14:paraId="675088D0" w14:textId="77777777" w:rsidR="00711D5E" w:rsidRPr="00D876FA" w:rsidRDefault="00711D5E" w:rsidP="00CA2E20">
      <w:pPr>
        <w:spacing w:line="480" w:lineRule="auto"/>
        <w:rPr>
          <w:rFonts w:ascii="Arial" w:hAnsi="Arial" w:cs="Arial"/>
          <w:lang w:val="en-US"/>
        </w:rPr>
      </w:pPr>
    </w:p>
    <w:p w14:paraId="179D8AC7" w14:textId="77777777" w:rsidR="00711D5E" w:rsidRPr="00D876FA" w:rsidRDefault="00711D5E" w:rsidP="00CA2E20">
      <w:pPr>
        <w:spacing w:line="480" w:lineRule="auto"/>
        <w:rPr>
          <w:rFonts w:ascii="Arial" w:hAnsi="Arial" w:cs="Arial"/>
          <w:lang w:val="en-US"/>
        </w:rPr>
      </w:pPr>
    </w:p>
    <w:p w14:paraId="11E1A766" w14:textId="77777777" w:rsidR="00711D5E" w:rsidRPr="00D876FA" w:rsidRDefault="00711D5E" w:rsidP="00CA2E20">
      <w:pPr>
        <w:spacing w:line="480" w:lineRule="auto"/>
        <w:rPr>
          <w:rFonts w:ascii="Arial" w:hAnsi="Arial" w:cs="Arial"/>
          <w:lang w:val="en-US"/>
        </w:rPr>
      </w:pPr>
    </w:p>
    <w:p w14:paraId="18DFA2E3" w14:textId="77777777" w:rsidR="00711D5E" w:rsidRPr="00D876FA" w:rsidRDefault="00711D5E" w:rsidP="00CA2E20">
      <w:pPr>
        <w:spacing w:line="480" w:lineRule="auto"/>
        <w:rPr>
          <w:rFonts w:ascii="Arial" w:hAnsi="Arial" w:cs="Arial"/>
          <w:lang w:val="en-US"/>
        </w:rPr>
      </w:pPr>
    </w:p>
    <w:p w14:paraId="5678A618" w14:textId="77777777" w:rsidR="00711D5E" w:rsidRPr="00D876FA" w:rsidRDefault="00711D5E" w:rsidP="00CA2E20">
      <w:pPr>
        <w:spacing w:line="480" w:lineRule="auto"/>
        <w:rPr>
          <w:rFonts w:ascii="Arial" w:hAnsi="Arial" w:cs="Arial"/>
          <w:lang w:val="en-US"/>
        </w:rPr>
      </w:pPr>
    </w:p>
    <w:p w14:paraId="6D88D96E" w14:textId="77777777" w:rsidR="00711D5E" w:rsidRPr="00D876FA" w:rsidRDefault="00711D5E" w:rsidP="00CA2E20">
      <w:pPr>
        <w:spacing w:line="480" w:lineRule="auto"/>
        <w:rPr>
          <w:rFonts w:ascii="Arial" w:hAnsi="Arial" w:cs="Arial"/>
          <w:lang w:val="en-US"/>
        </w:rPr>
      </w:pPr>
    </w:p>
    <w:p w14:paraId="360A54B0" w14:textId="77777777" w:rsidR="00711D5E" w:rsidRPr="00D876FA" w:rsidRDefault="00711D5E" w:rsidP="00CA2E20">
      <w:pPr>
        <w:spacing w:line="480" w:lineRule="auto"/>
        <w:rPr>
          <w:rFonts w:ascii="Arial" w:hAnsi="Arial" w:cs="Arial"/>
          <w:lang w:val="en-US"/>
        </w:rPr>
      </w:pPr>
    </w:p>
    <w:p w14:paraId="455FA400" w14:textId="77777777" w:rsidR="00711D5E" w:rsidRPr="00D876FA" w:rsidRDefault="00711D5E" w:rsidP="00CA2E20">
      <w:pPr>
        <w:spacing w:line="480" w:lineRule="auto"/>
        <w:rPr>
          <w:rFonts w:ascii="Arial" w:hAnsi="Arial" w:cs="Arial"/>
          <w:lang w:val="en-US"/>
        </w:rPr>
      </w:pPr>
    </w:p>
    <w:p w14:paraId="36BC5376" w14:textId="77777777" w:rsidR="002E19CC" w:rsidRPr="00D876FA" w:rsidRDefault="002E19CC" w:rsidP="00CA2E20">
      <w:pPr>
        <w:pStyle w:val="Titolo1"/>
        <w:spacing w:line="480" w:lineRule="auto"/>
        <w:rPr>
          <w:rFonts w:ascii="Arial" w:hAnsi="Arial" w:cs="Arial"/>
          <w:lang w:val="en-US"/>
        </w:rPr>
      </w:pPr>
    </w:p>
    <w:p w14:paraId="227FD8F5" w14:textId="77777777" w:rsidR="002E19CC" w:rsidRDefault="002E19CC" w:rsidP="00CA2E20">
      <w:pPr>
        <w:spacing w:line="480" w:lineRule="auto"/>
        <w:rPr>
          <w:rFonts w:ascii="Arial" w:hAnsi="Arial" w:cs="Arial"/>
          <w:lang w:val="en-US"/>
        </w:rPr>
      </w:pPr>
    </w:p>
    <w:p w14:paraId="564AAAB9" w14:textId="77777777" w:rsidR="00731475" w:rsidRDefault="00731475" w:rsidP="00CA2E20">
      <w:pPr>
        <w:spacing w:line="480" w:lineRule="auto"/>
        <w:rPr>
          <w:rFonts w:ascii="Arial" w:hAnsi="Arial" w:cs="Arial"/>
          <w:lang w:val="en-US"/>
        </w:rPr>
      </w:pPr>
    </w:p>
    <w:p w14:paraId="345DC36E" w14:textId="77777777" w:rsidR="00731475" w:rsidRDefault="00731475" w:rsidP="00CA2E20">
      <w:pPr>
        <w:spacing w:line="480" w:lineRule="auto"/>
        <w:rPr>
          <w:rFonts w:ascii="Arial" w:hAnsi="Arial" w:cs="Arial"/>
          <w:lang w:val="en-US"/>
        </w:rPr>
      </w:pPr>
    </w:p>
    <w:p w14:paraId="20F59DF1" w14:textId="77777777" w:rsidR="00731475" w:rsidRDefault="00731475" w:rsidP="00CA2E20">
      <w:pPr>
        <w:spacing w:line="480" w:lineRule="auto"/>
        <w:rPr>
          <w:rFonts w:ascii="Arial" w:hAnsi="Arial" w:cs="Arial"/>
          <w:lang w:val="en-US"/>
        </w:rPr>
      </w:pPr>
    </w:p>
    <w:p w14:paraId="17E69E4C" w14:textId="77777777" w:rsidR="00731475" w:rsidRDefault="00731475" w:rsidP="00CA2E20">
      <w:pPr>
        <w:spacing w:line="480" w:lineRule="auto"/>
        <w:rPr>
          <w:rFonts w:ascii="Arial" w:hAnsi="Arial" w:cs="Arial"/>
          <w:lang w:val="en-US"/>
        </w:rPr>
      </w:pPr>
    </w:p>
    <w:p w14:paraId="71F4E401" w14:textId="77777777" w:rsidR="00731475" w:rsidRDefault="00731475" w:rsidP="00CA2E20">
      <w:pPr>
        <w:spacing w:line="480" w:lineRule="auto"/>
        <w:rPr>
          <w:rFonts w:ascii="Arial" w:hAnsi="Arial" w:cs="Arial"/>
          <w:lang w:val="en-US"/>
        </w:rPr>
      </w:pPr>
    </w:p>
    <w:p w14:paraId="04722E00" w14:textId="77777777" w:rsidR="00711D5E" w:rsidRPr="00945E6E" w:rsidRDefault="00711D5E" w:rsidP="00CA2E20">
      <w:pPr>
        <w:spacing w:line="480" w:lineRule="auto"/>
        <w:rPr>
          <w:rFonts w:ascii="Arial" w:hAnsi="Arial" w:cs="Arial"/>
          <w:lang w:val="en-US"/>
        </w:rPr>
      </w:pPr>
    </w:p>
    <w:p w14:paraId="2B5B5732" w14:textId="77777777" w:rsidR="00711D5E" w:rsidRPr="00D876FA" w:rsidRDefault="00843C0C" w:rsidP="00CA2E20">
      <w:pPr>
        <w:pStyle w:val="Titolo1"/>
        <w:spacing w:line="480" w:lineRule="auto"/>
        <w:rPr>
          <w:rFonts w:ascii="Arial" w:hAnsi="Arial" w:cs="Arial"/>
          <w:lang w:val="en-US"/>
        </w:rPr>
      </w:pPr>
      <w:r w:rsidRPr="00D876FA">
        <w:rPr>
          <w:rFonts w:ascii="Arial" w:hAnsi="Arial" w:cs="Arial"/>
          <w:lang w:val="en-US"/>
        </w:rPr>
        <w:lastRenderedPageBreak/>
        <w:t>REFERENCES</w:t>
      </w:r>
    </w:p>
    <w:p w14:paraId="75F9CFB7" w14:textId="77777777" w:rsidR="00F023F2" w:rsidRDefault="00945E6E" w:rsidP="00CA2E20">
      <w:pPr>
        <w:pStyle w:val="Paragrafoelenco"/>
        <w:numPr>
          <w:ilvl w:val="0"/>
          <w:numId w:val="2"/>
        </w:numPr>
        <w:spacing w:line="480" w:lineRule="auto"/>
        <w:rPr>
          <w:rFonts w:ascii="Arial" w:hAnsi="Arial" w:cs="Arial"/>
          <w:sz w:val="24"/>
          <w:szCs w:val="24"/>
          <w:lang w:val="en-US"/>
        </w:rPr>
      </w:pPr>
      <w:r w:rsidRPr="00945E6E">
        <w:rPr>
          <w:rFonts w:ascii="Arial" w:hAnsi="Arial" w:cs="Arial"/>
          <w:sz w:val="24"/>
          <w:szCs w:val="24"/>
          <w:lang w:val="en-US"/>
        </w:rPr>
        <w:t xml:space="preserve">Brodeur GM, Look AT, Shimada H, Hamilton VM, Maris JM, Hann HW, Leclerc JM, Bernstein M, Brisson LC, Brossard J, Lemieux B, Tuchman M, Woods WG. Biological aspects of neuroblastomas identified by mass screening in Quebec. Med Pediatr Oncol. 2001 Jan;36(1):157-9. </w:t>
      </w:r>
    </w:p>
    <w:p w14:paraId="36E1F2A9" w14:textId="15272134" w:rsidR="00443E93" w:rsidRDefault="00F023F2" w:rsidP="00CA2E20">
      <w:pPr>
        <w:pStyle w:val="Paragrafoelenco"/>
        <w:numPr>
          <w:ilvl w:val="0"/>
          <w:numId w:val="2"/>
        </w:numPr>
        <w:spacing w:line="480" w:lineRule="auto"/>
        <w:rPr>
          <w:rFonts w:ascii="Arial" w:hAnsi="Arial" w:cs="Arial"/>
          <w:sz w:val="24"/>
          <w:szCs w:val="24"/>
          <w:lang w:val="en-US"/>
        </w:rPr>
      </w:pPr>
      <w:r w:rsidRPr="00F023F2">
        <w:rPr>
          <w:rFonts w:ascii="Arial" w:hAnsi="Arial" w:cs="Arial"/>
          <w:sz w:val="24"/>
          <w:szCs w:val="24"/>
          <w:lang w:val="en-US"/>
        </w:rPr>
        <w:t xml:space="preserve">Monclair T, Brodeur GM, Ambros PF, Brisse HJ, Cecchetto G, Holmes K, Kaneko M, London WB, Matthay KK, Nuchtern JG, von Schweinitz D, Simon T, Cohn SL, Pearson AD; INRG Task Force. The International Neuroblastoma Risk Group (INRG) staging system: an INRG Task Force report. J Clin Oncol. 2009 Jan 10;27(2):298-303. </w:t>
      </w:r>
    </w:p>
    <w:p w14:paraId="7315F842" w14:textId="536AB9E4" w:rsidR="00B75958" w:rsidRDefault="00B75958" w:rsidP="00CA2E20">
      <w:pPr>
        <w:pStyle w:val="Paragrafoelenco"/>
        <w:numPr>
          <w:ilvl w:val="0"/>
          <w:numId w:val="2"/>
        </w:numPr>
        <w:spacing w:line="480" w:lineRule="auto"/>
        <w:rPr>
          <w:rFonts w:ascii="Arial" w:hAnsi="Arial" w:cs="Arial"/>
          <w:sz w:val="24"/>
          <w:szCs w:val="24"/>
          <w:lang w:val="en-US"/>
        </w:rPr>
      </w:pPr>
      <w:r w:rsidRPr="00B75958">
        <w:rPr>
          <w:rFonts w:ascii="Arial" w:hAnsi="Arial" w:cs="Arial"/>
          <w:sz w:val="24"/>
          <w:szCs w:val="24"/>
          <w:lang w:val="en-US"/>
        </w:rPr>
        <w:t>Brisse HJ, McCarville MB, Granata C, Krug KB, Wootton-Gorges SL, Kanegawa K, Giammarile F, Schmidt M, Shulkin BL, Matthay KK, Lewington VJ, Sarnacki S, Hero B, Kaneko M, London WB, Pearson AD, Cohn SL, Monclair T; International Neuroblastoma Risk Group Project. Guidelines for imaging and staging of neuroblastic tumors: consensus report from the International Neuroblastoma Risk Group Project. Radiology. 2011 Oct;261(1):243-57.</w:t>
      </w:r>
    </w:p>
    <w:p w14:paraId="58583B43" w14:textId="28DE4BFD"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 xml:space="preserve">Irtan S, Brisse HJ, Minard-Colin V, Schleiermacher G, Galmiche-Rolland L, Le Cossec C, Elie C, Canale S, Michon J, Valteau-Couanet D, Sarnacki S. Image-defined risk factor assessment of neurogenic tumors after neoadjuvant chemotherapy is useful for predicting intra-operative risk factors and the completeness of resection. Pediatr Blood Cancer. 2015 Sep;62(9):1543-9. </w:t>
      </w:r>
    </w:p>
    <w:p w14:paraId="4BE66DC7"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 xml:space="preserve">Phelps HM, Ndolo JM, Van Arendonk KJ, Chen H, Dietrich HL, Watson KD, Hilmes MA, Chung DH, Lovvorn HN 3rd. Association between image-defined risk factors and neuroblastoma outcomes. J Pediatr Surg. 2019 Jun;54(6):1184-1191. </w:t>
      </w:r>
    </w:p>
    <w:p w14:paraId="620E4F78"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lastRenderedPageBreak/>
        <w:t xml:space="preserve">Zhang AA, Pan C, Xu M, Wang XX, Ye QD, Gao YJ, Tang JY. Association of image-defined risk factors, tumor resectability, and prognosis in children with localized neuroblastoma. World J Pediatr. 2019 Dec;15(6):572-579. </w:t>
      </w:r>
    </w:p>
    <w:p w14:paraId="5A0BA92D"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 xml:space="preserve">Temple WC, Vo KT, Matthay KK, Balliu B, Coleman C, Michlitsch J, Phelps A, Behr S, Zapala MA. Association of image-defined risk factors with clinical features, histopathology, and outcomes in neuroblastoma. Cancer Med. 2021 Apr;10(7):2232-2241. </w:t>
      </w:r>
    </w:p>
    <w:p w14:paraId="5DDABC3B" w14:textId="77777777" w:rsidR="005F5A0F" w:rsidRDefault="005F5A0F" w:rsidP="00CA2E20">
      <w:pPr>
        <w:pStyle w:val="Paragrafoelenco"/>
        <w:numPr>
          <w:ilvl w:val="0"/>
          <w:numId w:val="2"/>
        </w:numPr>
        <w:spacing w:line="480" w:lineRule="auto"/>
        <w:rPr>
          <w:rFonts w:ascii="Arial" w:hAnsi="Arial" w:cs="Arial"/>
          <w:sz w:val="24"/>
          <w:szCs w:val="24"/>
          <w:lang w:val="en-US"/>
        </w:rPr>
      </w:pPr>
      <w:r w:rsidRPr="005F5A0F">
        <w:rPr>
          <w:rFonts w:ascii="Arial" w:hAnsi="Arial" w:cs="Arial"/>
          <w:sz w:val="24"/>
          <w:szCs w:val="24"/>
          <w:lang w:val="en-US"/>
        </w:rPr>
        <w:t xml:space="preserve">Simon T, Hero B, Benz-Bohm G, von Schweinitz D, Berthold F. Review of image defined risk factors in localized neuroblastoma patients: Results of the GPOH NB97 trial. Pediatr Blood Cancer. 2008 May;50(5):965-9. </w:t>
      </w:r>
    </w:p>
    <w:p w14:paraId="0ED75B7B" w14:textId="77777777" w:rsidR="00425F53" w:rsidRDefault="00425F53" w:rsidP="00CA2E20">
      <w:pPr>
        <w:pStyle w:val="Paragrafoelenco"/>
        <w:numPr>
          <w:ilvl w:val="0"/>
          <w:numId w:val="2"/>
        </w:numPr>
        <w:spacing w:line="480" w:lineRule="auto"/>
        <w:rPr>
          <w:rFonts w:ascii="Arial" w:hAnsi="Arial" w:cs="Arial"/>
          <w:sz w:val="24"/>
          <w:szCs w:val="24"/>
          <w:lang w:val="en-US"/>
        </w:rPr>
      </w:pPr>
      <w:r w:rsidRPr="00425F53">
        <w:rPr>
          <w:rFonts w:ascii="Arial" w:hAnsi="Arial" w:cs="Arial"/>
          <w:sz w:val="24"/>
          <w:szCs w:val="24"/>
          <w:lang w:val="en-US"/>
        </w:rPr>
        <w:t xml:space="preserve">Avanzini S, Pio L, Erminio G, Granata C, Holmes K, Gambart M, Buffa P, Castel V, Valteau Couanet D, Garaventa A, Pistorio A, Cecchetto G, Martucciello G, Mattioli G, Sarnacki S. Image-defined risk factors in unresectable neuroblastoma: SIOPEN study on incidence, chemotherapy-induced variation, and impact on surgical outcomes. Pediatr Blood Cancer. 2017 Nov;64(11). </w:t>
      </w:r>
    </w:p>
    <w:p w14:paraId="09B029A9" w14:textId="77777777" w:rsidR="001D4201" w:rsidRDefault="001D4201" w:rsidP="00CA2E20">
      <w:pPr>
        <w:pStyle w:val="Paragrafoelenco"/>
        <w:numPr>
          <w:ilvl w:val="0"/>
          <w:numId w:val="2"/>
        </w:numPr>
        <w:spacing w:line="480" w:lineRule="auto"/>
        <w:rPr>
          <w:rFonts w:ascii="Arial" w:hAnsi="Arial" w:cs="Arial"/>
          <w:sz w:val="24"/>
          <w:szCs w:val="24"/>
          <w:lang w:val="en-US"/>
        </w:rPr>
      </w:pPr>
      <w:r w:rsidRPr="001D4201">
        <w:rPr>
          <w:rFonts w:ascii="Arial" w:hAnsi="Arial" w:cs="Arial"/>
          <w:sz w:val="24"/>
          <w:szCs w:val="24"/>
          <w:lang w:val="en-US"/>
        </w:rPr>
        <w:t>Pohl A, Erichsen M, Stehr M, Hubertus J, Bergmann F, Kammer B, von Schweinitz D. Image-defined Risk Factors Correlate with Surgical Radicality and Local Recurrence in Patients with Neuroblastoma. Klin Padiatr. 2016 Apr;228(3):118-23. English</w:t>
      </w:r>
    </w:p>
    <w:p w14:paraId="4592FE92" w14:textId="139C05E9"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 xml:space="preserve">de Magalhaes ST. The European Union’s General Data Protection Regulation (GDPR). Available online </w:t>
      </w:r>
      <w:hyperlink r:id="rId9" w:history="1">
        <w:r w:rsidR="0028265A" w:rsidRPr="0097698E">
          <w:rPr>
            <w:rStyle w:val="Collegamentoipertestuale"/>
            <w:rFonts w:ascii="Arial" w:hAnsi="Arial" w:cs="Arial"/>
            <w:sz w:val="24"/>
            <w:szCs w:val="24"/>
            <w:lang w:val="en-US"/>
          </w:rPr>
          <w:t>https://www.semanticscholar.org/paper/The-European-Union%E2%80%99s-General-Data-Protection-(GDPR)-Magalhaes/6e9933ee4eb634ba691903ccbc83c9abd871747b</w:t>
        </w:r>
      </w:hyperlink>
      <w:r w:rsidR="0028265A">
        <w:rPr>
          <w:rFonts w:ascii="Arial" w:hAnsi="Arial" w:cs="Arial"/>
          <w:sz w:val="24"/>
          <w:szCs w:val="24"/>
          <w:lang w:val="en-US"/>
        </w:rPr>
        <w:t xml:space="preserve"> last accessed</w:t>
      </w:r>
      <w:r w:rsidR="00682FAA">
        <w:rPr>
          <w:rFonts w:ascii="Arial" w:hAnsi="Arial" w:cs="Arial"/>
          <w:sz w:val="24"/>
          <w:szCs w:val="24"/>
          <w:lang w:val="en-US"/>
        </w:rPr>
        <w:t xml:space="preserve"> on 23/10/2022</w:t>
      </w:r>
    </w:p>
    <w:p w14:paraId="333CFDE2" w14:textId="77777777" w:rsidR="00711D5E" w:rsidRPr="0064137C" w:rsidRDefault="00843C0C" w:rsidP="00CA2E20">
      <w:pPr>
        <w:pStyle w:val="Paragrafoelenco"/>
        <w:numPr>
          <w:ilvl w:val="0"/>
          <w:numId w:val="2"/>
        </w:numPr>
        <w:spacing w:line="480" w:lineRule="auto"/>
        <w:rPr>
          <w:rFonts w:ascii="Arial" w:hAnsi="Arial" w:cs="Arial"/>
          <w:sz w:val="24"/>
          <w:szCs w:val="24"/>
        </w:rPr>
      </w:pPr>
      <w:r w:rsidRPr="0064137C">
        <w:rPr>
          <w:rFonts w:ascii="Arial" w:hAnsi="Arial" w:cs="Arial"/>
          <w:sz w:val="24"/>
          <w:szCs w:val="24"/>
          <w:lang w:val="en-US"/>
        </w:rPr>
        <w:t xml:space="preserve">Rayens MK. Hahn, EJ. Building consensus using the policy Delphi method. </w:t>
      </w:r>
      <w:r w:rsidRPr="0064137C">
        <w:rPr>
          <w:rFonts w:ascii="Arial" w:hAnsi="Arial" w:cs="Arial"/>
          <w:sz w:val="24"/>
          <w:szCs w:val="24"/>
        </w:rPr>
        <w:t>Policy Polit Nurs Pract. 2000;1(4):308-15.</w:t>
      </w:r>
    </w:p>
    <w:p w14:paraId="45E48E95"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lastRenderedPageBreak/>
        <w:t xml:space="preserve">Cecchetto G, Mosseri V, De Bernardi B, Helardot P, Monclair T, Costa E, Horcher E, Neuenschwander S, Tomà P, Rizzo A, Michon J, Holmes K. Surgical risk factors in primary surgery for localized neuroblastoma: the LNESG1 study of the European International Society of Pediatric Oncology Neuroblastoma Group. J Clin Oncol. 2005 Nov 20;23(33):8483-9. </w:t>
      </w:r>
    </w:p>
    <w:p w14:paraId="6C3ECEE8"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Matthyssens LE, Nuchtern JG, Van De Ven CP, Gabra HOS, Bjornland K, Irtan S, Stenman J, Pio L, Cross KM, Avanzini S, Inserra A, Chacon JG, Dall'igna P, Von Schweinitz D, Holmes K, Fuchs J, Squire R, Valteau-Couanet D, Park JR, Eggert A, Losty PD, La Quaglia MP, Sarnacki S;A Novel Standard for Systematic Reporting of Neuroblastoma Surgery: The International Neuroblastoma Surgical Report Form (INSRF): A Joint Initiative by the Pediatric Oncological Cooperative Groups SIOPEN</w:t>
      </w:r>
      <w:r w:rsidRPr="0064137C">
        <w:rPr>
          <w:rFonts w:ascii="Cambria Math" w:hAnsi="Cambria Math" w:cs="Cambria Math"/>
          <w:sz w:val="24"/>
          <w:szCs w:val="24"/>
          <w:lang w:val="en-US"/>
        </w:rPr>
        <w:t>∗</w:t>
      </w:r>
      <w:r w:rsidRPr="0064137C">
        <w:rPr>
          <w:rFonts w:ascii="Arial" w:hAnsi="Arial" w:cs="Arial"/>
          <w:sz w:val="24"/>
          <w:szCs w:val="24"/>
          <w:lang w:val="en-US"/>
        </w:rPr>
        <w:t>, COG</w:t>
      </w:r>
      <w:r w:rsidRPr="0064137C">
        <w:rPr>
          <w:rFonts w:ascii="Cambria Math" w:hAnsi="Cambria Math" w:cs="Cambria Math"/>
          <w:sz w:val="24"/>
          <w:szCs w:val="24"/>
          <w:lang w:val="en-US"/>
        </w:rPr>
        <w:t>∗∗</w:t>
      </w:r>
      <w:r w:rsidRPr="0064137C">
        <w:rPr>
          <w:rFonts w:ascii="Arial" w:hAnsi="Arial" w:cs="Arial"/>
          <w:sz w:val="24"/>
          <w:szCs w:val="24"/>
          <w:lang w:val="en-US"/>
        </w:rPr>
        <w:t>, and GPOH</w:t>
      </w:r>
      <w:r w:rsidRPr="0064137C">
        <w:rPr>
          <w:rFonts w:ascii="Cambria Math" w:hAnsi="Cambria Math" w:cs="Cambria Math"/>
          <w:sz w:val="24"/>
          <w:szCs w:val="24"/>
          <w:lang w:val="en-US"/>
        </w:rPr>
        <w:t>∗∗∗</w:t>
      </w:r>
      <w:r w:rsidRPr="0064137C">
        <w:rPr>
          <w:rFonts w:ascii="Arial" w:hAnsi="Arial" w:cs="Arial"/>
          <w:sz w:val="24"/>
          <w:szCs w:val="24"/>
          <w:lang w:val="en-US"/>
        </w:rPr>
        <w:t>. Surgical and Medical Committees of SIOPEN, COG and GPOH. Ann Surg. 2022 Mar 1;275(3):e575-e585.</w:t>
      </w:r>
    </w:p>
    <w:p w14:paraId="20DBC575" w14:textId="77777777" w:rsidR="00A92CEE" w:rsidRDefault="00A92CEE" w:rsidP="00CA2E20">
      <w:pPr>
        <w:pStyle w:val="Paragrafoelenco"/>
        <w:numPr>
          <w:ilvl w:val="0"/>
          <w:numId w:val="2"/>
        </w:numPr>
        <w:spacing w:line="480" w:lineRule="auto"/>
        <w:rPr>
          <w:rFonts w:ascii="Arial" w:hAnsi="Arial" w:cs="Arial"/>
          <w:sz w:val="24"/>
          <w:szCs w:val="24"/>
          <w:lang w:val="en-US"/>
        </w:rPr>
      </w:pPr>
      <w:r w:rsidRPr="00A92CEE">
        <w:rPr>
          <w:rFonts w:ascii="Arial" w:hAnsi="Arial" w:cs="Arial"/>
          <w:sz w:val="24"/>
          <w:szCs w:val="24"/>
          <w:lang w:val="en-US"/>
        </w:rPr>
        <w:t xml:space="preserve">Yoneda A, Nishikawa M, Uehara S, Oue T, Usui N, Inoue M, Fukuzawa M, Okuyama H. Can Image-Defined Risk Factors Predict Surgical Complications in Localized Neuroblastoma? Eur J Pediatr Surg. 2016 Feb;26(1):117-22. </w:t>
      </w:r>
    </w:p>
    <w:p w14:paraId="4076B36F" w14:textId="77777777" w:rsidR="000B1AAF" w:rsidRDefault="000B1AAF" w:rsidP="00CA2E20">
      <w:pPr>
        <w:pStyle w:val="Paragrafoelenco"/>
        <w:numPr>
          <w:ilvl w:val="0"/>
          <w:numId w:val="2"/>
        </w:numPr>
        <w:spacing w:line="480" w:lineRule="auto"/>
        <w:rPr>
          <w:rFonts w:ascii="Arial" w:hAnsi="Arial" w:cs="Arial"/>
          <w:sz w:val="24"/>
          <w:szCs w:val="24"/>
          <w:lang w:val="en-US"/>
        </w:rPr>
      </w:pPr>
      <w:r w:rsidRPr="000B1AAF">
        <w:rPr>
          <w:rFonts w:ascii="Arial" w:hAnsi="Arial" w:cs="Arial"/>
          <w:sz w:val="24"/>
          <w:szCs w:val="24"/>
          <w:lang w:val="en-US"/>
        </w:rPr>
        <w:t xml:space="preserve">Günther P, Holland-Cunz S, Schupp CJ, Stockklausner C, Hinz U, Schenk JP. Significance of image-defined risk factors for surgical complications in patients with abdominal neuroblastoma. Eur J Pediatr Surg. 2011 Oct;21(5):314-7. </w:t>
      </w:r>
    </w:p>
    <w:p w14:paraId="7FC70D78" w14:textId="77777777" w:rsidR="007A190B" w:rsidRDefault="007A190B" w:rsidP="00CA2E20">
      <w:pPr>
        <w:pStyle w:val="Paragrafoelenco"/>
        <w:numPr>
          <w:ilvl w:val="0"/>
          <w:numId w:val="2"/>
        </w:numPr>
        <w:spacing w:line="480" w:lineRule="auto"/>
        <w:rPr>
          <w:rFonts w:ascii="Arial" w:hAnsi="Arial" w:cs="Arial"/>
          <w:sz w:val="24"/>
          <w:szCs w:val="24"/>
          <w:lang w:val="en-US"/>
        </w:rPr>
      </w:pPr>
      <w:r w:rsidRPr="007A190B">
        <w:rPr>
          <w:rFonts w:ascii="Arial" w:hAnsi="Arial" w:cs="Arial"/>
          <w:sz w:val="24"/>
          <w:szCs w:val="24"/>
          <w:lang w:val="en-US"/>
        </w:rPr>
        <w:t xml:space="preserve">Iehara T, Yoneda A, Yokota I, Takahashi H, Teramukai S, Kamijyo T, Nakazawa A, Takimoto T, Kikuta A, Yagyu S, Ikeda H, Nakagawara A, Tajiri T; Japan Childhood Cancer Group Neuroblastoma Committee (JNBSG). Results of a prospective clinical trial JN-L-10 using image-defined risk factors to inform surgical decisions for children with low-risk neuroblastoma disease: A report from the Japan Children's Cancer Group Neuroblastoma Committee. Pediatr Blood Cancer. 2019 Nov;66(11):e27914. </w:t>
      </w:r>
    </w:p>
    <w:p w14:paraId="49062AEE" w14:textId="77777777" w:rsidR="007F3ACE" w:rsidRDefault="007F3ACE" w:rsidP="00CA2E20">
      <w:pPr>
        <w:pStyle w:val="Paragrafoelenco"/>
        <w:numPr>
          <w:ilvl w:val="0"/>
          <w:numId w:val="2"/>
        </w:numPr>
        <w:spacing w:line="480" w:lineRule="auto"/>
        <w:rPr>
          <w:rFonts w:ascii="Arial" w:hAnsi="Arial" w:cs="Arial"/>
          <w:sz w:val="24"/>
          <w:szCs w:val="24"/>
          <w:lang w:val="en-US"/>
        </w:rPr>
      </w:pPr>
      <w:r w:rsidRPr="007F3ACE">
        <w:rPr>
          <w:rFonts w:ascii="Arial" w:hAnsi="Arial" w:cs="Arial"/>
          <w:sz w:val="24"/>
          <w:szCs w:val="24"/>
          <w:lang w:val="en-US"/>
        </w:rPr>
        <w:lastRenderedPageBreak/>
        <w:t xml:space="preserve">Irtan S, Brisse HJ, Minard-Colin V, Schleiermacher G, Canale S, Sarnacki S. Minimally invasive surgery of neuroblastic tumors in children: Indications depend on anatomical location and image-defined risk factors. Pediatr Blood Cancer. 2015 Feb;62(2):257-261. </w:t>
      </w:r>
    </w:p>
    <w:p w14:paraId="46FC569D" w14:textId="0EFAEC49" w:rsidR="00B804E8" w:rsidRDefault="00BF2137" w:rsidP="00CA2E20">
      <w:pPr>
        <w:pStyle w:val="Paragrafoelenco"/>
        <w:numPr>
          <w:ilvl w:val="0"/>
          <w:numId w:val="2"/>
        </w:numPr>
        <w:spacing w:line="480" w:lineRule="auto"/>
        <w:rPr>
          <w:rFonts w:ascii="Arial" w:hAnsi="Arial" w:cs="Arial"/>
          <w:sz w:val="24"/>
          <w:szCs w:val="24"/>
          <w:lang w:val="en-US"/>
        </w:rPr>
      </w:pPr>
      <w:r w:rsidRPr="00BF2137">
        <w:rPr>
          <w:rFonts w:ascii="Arial" w:hAnsi="Arial" w:cs="Arial"/>
          <w:sz w:val="24"/>
          <w:szCs w:val="24"/>
          <w:lang w:val="en-US"/>
        </w:rPr>
        <w:t xml:space="preserve">Tanaka Y, Kawashima H, Mori M, Fujiogi M, Suzuki K, Amano H, Morita K, Arakawa Y, Koh K, Oguma E, Iwanaka T, Uchida H. Contraindications and image-defined risk factors in laparoscopic resection of abdominal neuroblastoma. Pediatr Surg Int. 2016 Sep;32(9):845-50. </w:t>
      </w:r>
      <w:r w:rsidR="00B804E8" w:rsidRPr="00BF2137">
        <w:rPr>
          <w:rFonts w:ascii="Arial" w:hAnsi="Arial" w:cs="Arial"/>
          <w:sz w:val="24"/>
          <w:szCs w:val="24"/>
          <w:lang w:val="en-US"/>
        </w:rPr>
        <w:t>D</w:t>
      </w:r>
    </w:p>
    <w:p w14:paraId="5EDB4203" w14:textId="30B265E9"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 xml:space="preserve">Shirota C, Tainaka T, Uchida H, Hinoki A, Chiba K, Tanaka Y. Laparoscopic resection of neuroblastomas in low- to high-risk patients without image-defined risk factors is safe and feasible. BMC Pediatr. 2017 Mar 14;17(1):71. </w:t>
      </w:r>
    </w:p>
    <w:p w14:paraId="1C806786"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Gabra HO, Irtan S, Cross K, Lobos P, Froeba-Pohl A, Pio L, Virgone C, Guillén Burrieza G, Gómez Chacón Villalba J, Riccipetitoni G, Guérin F, Nightingale M, Heloury Y, Faraj S, Leclair M, Scalabre A, Mattioli G, Warmann SW, Fuchs J, Basta N, Bjørnland K, Matthyssens LE, Losty PD, Sarnacki S. Minimally invasive surgery for neuroblastic tumours: A SIOPEN multicentre study: Proposal for guidelines. Eur J Surg Oncol. 2022 Jan;48(1):283-291.</w:t>
      </w:r>
    </w:p>
    <w:p w14:paraId="715AC4DE" w14:textId="77777777" w:rsidR="00F97446" w:rsidRDefault="00F97446" w:rsidP="00CA2E20">
      <w:pPr>
        <w:pStyle w:val="Paragrafoelenco"/>
        <w:numPr>
          <w:ilvl w:val="0"/>
          <w:numId w:val="2"/>
        </w:numPr>
        <w:spacing w:line="480" w:lineRule="auto"/>
        <w:rPr>
          <w:rFonts w:ascii="Arial" w:hAnsi="Arial" w:cs="Arial"/>
          <w:sz w:val="24"/>
          <w:szCs w:val="24"/>
          <w:lang w:val="en-US"/>
        </w:rPr>
      </w:pPr>
      <w:r w:rsidRPr="00F97446">
        <w:rPr>
          <w:rFonts w:ascii="Arial" w:hAnsi="Arial" w:cs="Arial"/>
          <w:sz w:val="24"/>
          <w:szCs w:val="24"/>
          <w:lang w:val="en-US"/>
        </w:rPr>
        <w:t xml:space="preserve">Delforge X, De Cambourg P, Defachelles AS, Haffreingue A, Rod J, Kassite I, Chabani N, Lauriot-Dit-Prevost A, Gourmel A, Arnaud A, Duchesne C, Thebaud E, Leclair MD. Unresectable thoracic neuroblastic tumors: Changes in image-defined risk factors after chemotherapy and impact on surgical management. Pediatr Blood Cancer. 2021 Dec;68(12):e29260. </w:t>
      </w:r>
    </w:p>
    <w:p w14:paraId="5E21E22E" w14:textId="24552435"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Salim A, Raitio A, Pizer B, Mullassery D, Losty PD. Neuroblastoma: the association of anatomical tumour site, molecular biology and patient outcomes. ANZ J Surg. 2021 May;91(5):1000-1004.</w:t>
      </w:r>
    </w:p>
    <w:p w14:paraId="54EED673"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lastRenderedPageBreak/>
        <w:t>Mullassery D, Farrelly P, Losty PD. Does aggressive surgical resection improve survival in advanced stage 3 and 4 neuroblastoma? A systematic review and meta-analysis. Pediatr Hematol Oncol. 2014 Nov;31(8):703-16.</w:t>
      </w:r>
    </w:p>
    <w:p w14:paraId="69A5EE83"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 xml:space="preserve">Holmes K, Pötschger U, Pearson ADJ, Sarnacki S, Cecchetto G, Gomez-Chacon J, Squire R, Freud E, Bysiek A, Matthyssens LE, Metzelder M, Monclair T, Stenman J, Rygl M, Rasmussen L, Joseph JM, Irtan S, Avanzini S, Godzinski J, Björnland K, Elliott M, Luksch R, Castel V, Ash S, Balwierz W, Laureys G, Ruud E, Papadakis V, Malis J, Owens C, Schroeder H, Beck-Popovic M, Trahair T, Forjaz de Lacerda A, Ambros PF, Gaze MN, McHugh K, Valteau-Couanet D, Ladenstein RL; International Society of Paediatric Oncology Europe Neuroblastoma Group (SIOPEN). Influence of Surgical Excision on the Survival of Patients With Stage 4 High-Risk Neuroblastoma: A Report From the HR-NBL1/SIOPEN Study. J Clin Oncol. 2020 Sep 1;38(25):2902-2915. </w:t>
      </w:r>
    </w:p>
    <w:p w14:paraId="4C75C8AC" w14:textId="77777777" w:rsidR="00CF4428" w:rsidRDefault="00CF6F5D" w:rsidP="00CA2E20">
      <w:pPr>
        <w:pStyle w:val="Paragrafoelenco"/>
        <w:numPr>
          <w:ilvl w:val="0"/>
          <w:numId w:val="2"/>
        </w:numPr>
        <w:spacing w:line="480" w:lineRule="auto"/>
        <w:rPr>
          <w:rFonts w:ascii="Arial" w:hAnsi="Arial" w:cs="Arial"/>
          <w:sz w:val="24"/>
          <w:szCs w:val="24"/>
          <w:lang w:val="en-US"/>
        </w:rPr>
      </w:pPr>
      <w:r w:rsidRPr="00CF6F5D">
        <w:rPr>
          <w:rFonts w:ascii="Arial" w:hAnsi="Arial" w:cs="Arial"/>
          <w:sz w:val="24"/>
          <w:szCs w:val="24"/>
          <w:lang w:val="en-US"/>
        </w:rPr>
        <w:t xml:space="preserve">Williamson PR, Altman DG, Bagley H, Barnes KL, Blazeby JM, Brookes ST, Clarke M, Gargon E, Gorst S, Harman N, Kirkham JJ, McNair A, Prinsen CAC, Schmitt J, Terwee CB, Young B. The COMET Handbook: version 1.0. Trials. 2017 Jun 20;18(Suppl 3):280. </w:t>
      </w:r>
    </w:p>
    <w:p w14:paraId="53E3D8AD" w14:textId="199D8EA3"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 xml:space="preserve">Hsu C &amp; Sandford BA. The Delphi Technique: Making Sense </w:t>
      </w:r>
      <w:r w:rsidR="00582787" w:rsidRPr="0064137C">
        <w:rPr>
          <w:rFonts w:ascii="Arial" w:hAnsi="Arial" w:cs="Arial"/>
          <w:sz w:val="24"/>
          <w:szCs w:val="24"/>
          <w:lang w:val="en-US"/>
        </w:rPr>
        <w:t>of</w:t>
      </w:r>
      <w:r w:rsidRPr="0064137C">
        <w:rPr>
          <w:rFonts w:ascii="Arial" w:hAnsi="Arial" w:cs="Arial"/>
          <w:sz w:val="24"/>
          <w:szCs w:val="24"/>
          <w:lang w:val="en-US"/>
        </w:rPr>
        <w:t xml:space="preserve"> Consensus. Practical Assessment, Research &amp; Evaluation. 2007 Aug;12(10)</w:t>
      </w:r>
    </w:p>
    <w:p w14:paraId="66FC467A" w14:textId="77777777" w:rsidR="00711D5E" w:rsidRPr="0064137C" w:rsidRDefault="00843C0C" w:rsidP="00CA2E20">
      <w:pPr>
        <w:pStyle w:val="Paragrafoelenco"/>
        <w:numPr>
          <w:ilvl w:val="0"/>
          <w:numId w:val="2"/>
        </w:numPr>
        <w:spacing w:line="480" w:lineRule="auto"/>
        <w:rPr>
          <w:rFonts w:ascii="Arial" w:hAnsi="Arial" w:cs="Arial"/>
          <w:sz w:val="24"/>
          <w:szCs w:val="24"/>
          <w:lang w:val="en-US"/>
        </w:rPr>
      </w:pPr>
      <w:r w:rsidRPr="0064137C">
        <w:rPr>
          <w:rFonts w:ascii="Arial" w:hAnsi="Arial" w:cs="Arial"/>
          <w:sz w:val="24"/>
          <w:szCs w:val="24"/>
          <w:lang w:val="en-US"/>
        </w:rPr>
        <w:t>Hasson F, Keeney S, and McKenna H. Research guidelines for the Delphi survey technique. Journal of Advanced Nursing. 2000 Oct;32(4):1008–1015.</w:t>
      </w:r>
    </w:p>
    <w:p w14:paraId="2616F5D6" w14:textId="77777777" w:rsidR="00731475" w:rsidRPr="00D876FA" w:rsidRDefault="00731475" w:rsidP="00CA2E20">
      <w:pPr>
        <w:pStyle w:val="Titolo1"/>
        <w:spacing w:line="480" w:lineRule="auto"/>
        <w:rPr>
          <w:rFonts w:ascii="Arial" w:hAnsi="Arial" w:cs="Arial"/>
          <w:lang w:val="en-US"/>
        </w:rPr>
      </w:pPr>
      <w:r w:rsidRPr="00D876FA">
        <w:rPr>
          <w:rFonts w:ascii="Arial" w:hAnsi="Arial" w:cs="Arial"/>
          <w:lang w:val="en-US"/>
        </w:rPr>
        <w:lastRenderedPageBreak/>
        <w:t xml:space="preserve">FIGURE LEGENDS </w:t>
      </w:r>
    </w:p>
    <w:p w14:paraId="59E1DF18" w14:textId="77777777" w:rsidR="00731475" w:rsidRPr="00731475" w:rsidRDefault="00731475" w:rsidP="00CA2E20">
      <w:pPr>
        <w:pStyle w:val="Didascalia"/>
        <w:keepNext/>
        <w:spacing w:line="480" w:lineRule="auto"/>
        <w:rPr>
          <w:rFonts w:ascii="Arial" w:hAnsi="Arial" w:cs="Arial"/>
          <w:i w:val="0"/>
          <w:iCs w:val="0"/>
          <w:color w:val="auto"/>
          <w:sz w:val="24"/>
          <w:szCs w:val="24"/>
          <w:lang w:val="en-US"/>
        </w:rPr>
      </w:pPr>
      <w:r w:rsidRPr="00731475">
        <w:rPr>
          <w:rFonts w:ascii="Arial" w:hAnsi="Arial" w:cs="Arial"/>
          <w:i w:val="0"/>
          <w:iCs w:val="0"/>
          <w:color w:val="auto"/>
          <w:sz w:val="24"/>
          <w:szCs w:val="24"/>
          <w:lang w:val="en-US"/>
        </w:rPr>
        <w:t xml:space="preserve">Figure 1 – Percentages of consensus among the expert surgical panel after the third Delphi survey round on preoperative items. </w:t>
      </w:r>
    </w:p>
    <w:p w14:paraId="49387914" w14:textId="77777777" w:rsidR="00731475" w:rsidRPr="00731475" w:rsidRDefault="00731475" w:rsidP="00CA2E20">
      <w:pPr>
        <w:pStyle w:val="Didascalia"/>
        <w:keepNext/>
        <w:spacing w:line="480" w:lineRule="auto"/>
        <w:rPr>
          <w:rFonts w:ascii="Arial" w:hAnsi="Arial" w:cs="Arial"/>
          <w:i w:val="0"/>
          <w:iCs w:val="0"/>
          <w:color w:val="auto"/>
          <w:sz w:val="24"/>
          <w:szCs w:val="24"/>
          <w:lang w:val="en-US"/>
        </w:rPr>
      </w:pPr>
      <w:r w:rsidRPr="00731475">
        <w:rPr>
          <w:rFonts w:ascii="Arial" w:hAnsi="Arial" w:cs="Arial"/>
          <w:i w:val="0"/>
          <w:iCs w:val="0"/>
          <w:color w:val="auto"/>
          <w:sz w:val="24"/>
          <w:szCs w:val="24"/>
          <w:lang w:val="en-US"/>
        </w:rPr>
        <w:t xml:space="preserve">Figure 2 – Percentages of consensus among the expert surgical panel after the third Delphi survey round on intraoperative items. </w:t>
      </w:r>
    </w:p>
    <w:p w14:paraId="165FB5FA" w14:textId="66B8B211" w:rsidR="00711D5E" w:rsidRPr="00CA2E20" w:rsidRDefault="00731475" w:rsidP="00CA2E20">
      <w:pPr>
        <w:pStyle w:val="Didascalia"/>
        <w:keepNext/>
        <w:spacing w:line="480" w:lineRule="auto"/>
        <w:rPr>
          <w:rFonts w:ascii="Arial" w:hAnsi="Arial" w:cs="Arial"/>
          <w:i w:val="0"/>
          <w:iCs w:val="0"/>
          <w:color w:val="auto"/>
          <w:sz w:val="24"/>
          <w:szCs w:val="24"/>
          <w:lang w:val="en-US"/>
        </w:rPr>
      </w:pPr>
      <w:r w:rsidRPr="00731475">
        <w:rPr>
          <w:rFonts w:ascii="Arial" w:hAnsi="Arial" w:cs="Arial"/>
          <w:i w:val="0"/>
          <w:iCs w:val="0"/>
          <w:color w:val="auto"/>
          <w:sz w:val="24"/>
          <w:szCs w:val="24"/>
          <w:lang w:val="en-US"/>
        </w:rPr>
        <w:t xml:space="preserve">Figure 3 – Percentages of consensus among the expert surgical panel after the third Delphi survey round on postoperative items. </w:t>
      </w:r>
    </w:p>
    <w:sectPr w:rsidR="00711D5E" w:rsidRPr="00CA2E20" w:rsidSect="0010490D">
      <w:footerReference w:type="default" r:id="rId10"/>
      <w:pgSz w:w="11906" w:h="16838"/>
      <w:pgMar w:top="1417" w:right="1134" w:bottom="1134" w:left="1134" w:header="0" w:footer="0" w:gutter="0"/>
      <w:lnNumType w:countBy="1" w:restart="continuou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A8844" w14:textId="77777777" w:rsidR="009F366B" w:rsidRDefault="009F366B" w:rsidP="0017201C">
      <w:pPr>
        <w:spacing w:after="0" w:line="240" w:lineRule="auto"/>
      </w:pPr>
      <w:r>
        <w:separator/>
      </w:r>
    </w:p>
  </w:endnote>
  <w:endnote w:type="continuationSeparator" w:id="0">
    <w:p w14:paraId="7616F324" w14:textId="77777777" w:rsidR="009F366B" w:rsidRDefault="009F366B" w:rsidP="00172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Cambria"/>
    <w:charset w:val="00"/>
    <w:family w:val="roman"/>
    <w:pitch w:val="default"/>
  </w:font>
  <w:font w:name="Yu Mincho">
    <w:altName w:val="游明朝"/>
    <w:charset w:val="80"/>
    <w:family w:val="roman"/>
    <w:pitch w:val="default"/>
  </w:font>
  <w:font w:name="Arial">
    <w:panose1 w:val="020B0604020202020204"/>
    <w:charset w:val="00"/>
    <w:family w:val="swiss"/>
    <w:pitch w:val="variable"/>
    <w:sig w:usb0="E0002EFF" w:usb1="C000785B" w:usb2="00000009" w:usb3="00000000" w:csb0="000001FF" w:csb1="00000000"/>
  </w:font>
  <w:font w:name="Fira Sans">
    <w:altName w:val="Fira Sans"/>
    <w:charset w:val="00"/>
    <w:family w:val="swiss"/>
    <w:pitch w:val="variable"/>
    <w:sig w:usb0="600002FF"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152C" w14:textId="77777777" w:rsidR="0017201C" w:rsidRDefault="001720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91093" w14:textId="77777777" w:rsidR="009F366B" w:rsidRDefault="009F366B" w:rsidP="0017201C">
      <w:pPr>
        <w:spacing w:after="0" w:line="240" w:lineRule="auto"/>
      </w:pPr>
      <w:r>
        <w:separator/>
      </w:r>
    </w:p>
  </w:footnote>
  <w:footnote w:type="continuationSeparator" w:id="0">
    <w:p w14:paraId="6170F33B" w14:textId="77777777" w:rsidR="009F366B" w:rsidRDefault="009F366B" w:rsidP="00172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127E"/>
    <w:multiLevelType w:val="hybridMultilevel"/>
    <w:tmpl w:val="CACEFED2"/>
    <w:lvl w:ilvl="0" w:tplc="DDE63C12">
      <w:numFmt w:val="bullet"/>
      <w:lvlText w:val="-"/>
      <w:lvlJc w:val="left"/>
      <w:pPr>
        <w:ind w:left="720" w:hanging="360"/>
      </w:pPr>
      <w:rPr>
        <w:rFonts w:ascii="Calibri" w:eastAsiaTheme="minorHAnsi" w:hAnsi="Calibri" w:cs="Calibri" w:hint="default"/>
        <w:color w:val="auto"/>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A447E5"/>
    <w:multiLevelType w:val="multilevel"/>
    <w:tmpl w:val="A8B8274E"/>
    <w:lvl w:ilvl="0">
      <w:numFmt w:val="bullet"/>
      <w:lvlText w:val="-"/>
      <w:lvlJc w:val="left"/>
      <w:pPr>
        <w:tabs>
          <w:tab w:val="num" w:pos="0"/>
        </w:tabs>
        <w:ind w:left="504" w:hanging="360"/>
      </w:pPr>
      <w:rPr>
        <w:rFonts w:ascii="Calibri" w:hAnsi="Calibri" w:cs="Calibri" w:hint="default"/>
      </w:rPr>
    </w:lvl>
    <w:lvl w:ilvl="1">
      <w:start w:val="1"/>
      <w:numFmt w:val="bullet"/>
      <w:lvlText w:val="o"/>
      <w:lvlJc w:val="left"/>
      <w:pPr>
        <w:tabs>
          <w:tab w:val="num" w:pos="0"/>
        </w:tabs>
        <w:ind w:left="1224" w:hanging="360"/>
      </w:pPr>
      <w:rPr>
        <w:rFonts w:ascii="Courier New" w:hAnsi="Courier New" w:cs="Courier New" w:hint="default"/>
      </w:rPr>
    </w:lvl>
    <w:lvl w:ilvl="2">
      <w:start w:val="1"/>
      <w:numFmt w:val="bullet"/>
      <w:lvlText w:val=""/>
      <w:lvlJc w:val="left"/>
      <w:pPr>
        <w:tabs>
          <w:tab w:val="num" w:pos="0"/>
        </w:tabs>
        <w:ind w:left="1944" w:hanging="360"/>
      </w:pPr>
      <w:rPr>
        <w:rFonts w:ascii="Wingdings" w:hAnsi="Wingdings" w:cs="Wingdings" w:hint="default"/>
      </w:rPr>
    </w:lvl>
    <w:lvl w:ilvl="3">
      <w:start w:val="1"/>
      <w:numFmt w:val="bullet"/>
      <w:lvlText w:val=""/>
      <w:lvlJc w:val="left"/>
      <w:pPr>
        <w:tabs>
          <w:tab w:val="num" w:pos="0"/>
        </w:tabs>
        <w:ind w:left="2664" w:hanging="360"/>
      </w:pPr>
      <w:rPr>
        <w:rFonts w:ascii="Symbol" w:hAnsi="Symbol" w:cs="Symbol" w:hint="default"/>
      </w:rPr>
    </w:lvl>
    <w:lvl w:ilvl="4">
      <w:start w:val="1"/>
      <w:numFmt w:val="bullet"/>
      <w:lvlText w:val="o"/>
      <w:lvlJc w:val="left"/>
      <w:pPr>
        <w:tabs>
          <w:tab w:val="num" w:pos="0"/>
        </w:tabs>
        <w:ind w:left="3384" w:hanging="360"/>
      </w:pPr>
      <w:rPr>
        <w:rFonts w:ascii="Courier New" w:hAnsi="Courier New" w:cs="Courier New" w:hint="default"/>
      </w:rPr>
    </w:lvl>
    <w:lvl w:ilvl="5">
      <w:start w:val="1"/>
      <w:numFmt w:val="bullet"/>
      <w:lvlText w:val=""/>
      <w:lvlJc w:val="left"/>
      <w:pPr>
        <w:tabs>
          <w:tab w:val="num" w:pos="0"/>
        </w:tabs>
        <w:ind w:left="4104" w:hanging="360"/>
      </w:pPr>
      <w:rPr>
        <w:rFonts w:ascii="Wingdings" w:hAnsi="Wingdings" w:cs="Wingdings" w:hint="default"/>
      </w:rPr>
    </w:lvl>
    <w:lvl w:ilvl="6">
      <w:start w:val="1"/>
      <w:numFmt w:val="bullet"/>
      <w:lvlText w:val=""/>
      <w:lvlJc w:val="left"/>
      <w:pPr>
        <w:tabs>
          <w:tab w:val="num" w:pos="0"/>
        </w:tabs>
        <w:ind w:left="4824" w:hanging="360"/>
      </w:pPr>
      <w:rPr>
        <w:rFonts w:ascii="Symbol" w:hAnsi="Symbol" w:cs="Symbol" w:hint="default"/>
      </w:rPr>
    </w:lvl>
    <w:lvl w:ilvl="7">
      <w:start w:val="1"/>
      <w:numFmt w:val="bullet"/>
      <w:lvlText w:val="o"/>
      <w:lvlJc w:val="left"/>
      <w:pPr>
        <w:tabs>
          <w:tab w:val="num" w:pos="0"/>
        </w:tabs>
        <w:ind w:left="5544" w:hanging="360"/>
      </w:pPr>
      <w:rPr>
        <w:rFonts w:ascii="Courier New" w:hAnsi="Courier New" w:cs="Courier New" w:hint="default"/>
      </w:rPr>
    </w:lvl>
    <w:lvl w:ilvl="8">
      <w:start w:val="1"/>
      <w:numFmt w:val="bullet"/>
      <w:lvlText w:val=""/>
      <w:lvlJc w:val="left"/>
      <w:pPr>
        <w:tabs>
          <w:tab w:val="num" w:pos="0"/>
        </w:tabs>
        <w:ind w:left="6264" w:hanging="360"/>
      </w:pPr>
      <w:rPr>
        <w:rFonts w:ascii="Wingdings" w:hAnsi="Wingdings" w:cs="Wingdings" w:hint="default"/>
      </w:rPr>
    </w:lvl>
  </w:abstractNum>
  <w:abstractNum w:abstractNumId="2" w15:restartNumberingAfterBreak="0">
    <w:nsid w:val="4E3E725A"/>
    <w:multiLevelType w:val="multilevel"/>
    <w:tmpl w:val="69C66B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A752725"/>
    <w:multiLevelType w:val="multilevel"/>
    <w:tmpl w:val="C19270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14665204">
    <w:abstractNumId w:val="1"/>
  </w:num>
  <w:num w:numId="2" w16cid:durableId="1330518651">
    <w:abstractNumId w:val="3"/>
  </w:num>
  <w:num w:numId="3" w16cid:durableId="711152899">
    <w:abstractNumId w:val="2"/>
  </w:num>
  <w:num w:numId="4" w16cid:durableId="1278679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1D5E"/>
    <w:rsid w:val="00006FC5"/>
    <w:rsid w:val="00013165"/>
    <w:rsid w:val="00020BCC"/>
    <w:rsid w:val="00046359"/>
    <w:rsid w:val="000567D9"/>
    <w:rsid w:val="000717AD"/>
    <w:rsid w:val="000A58A1"/>
    <w:rsid w:val="000B1AAF"/>
    <w:rsid w:val="000F1A14"/>
    <w:rsid w:val="0010490D"/>
    <w:rsid w:val="001234A8"/>
    <w:rsid w:val="00126568"/>
    <w:rsid w:val="001408A5"/>
    <w:rsid w:val="00164947"/>
    <w:rsid w:val="0017201C"/>
    <w:rsid w:val="00187E86"/>
    <w:rsid w:val="001D4201"/>
    <w:rsid w:val="001D47D9"/>
    <w:rsid w:val="001E72BB"/>
    <w:rsid w:val="0026478F"/>
    <w:rsid w:val="002735B4"/>
    <w:rsid w:val="0028265A"/>
    <w:rsid w:val="002A47CE"/>
    <w:rsid w:val="002D344A"/>
    <w:rsid w:val="002E19CC"/>
    <w:rsid w:val="0032013E"/>
    <w:rsid w:val="0039042C"/>
    <w:rsid w:val="003B4C57"/>
    <w:rsid w:val="003C175D"/>
    <w:rsid w:val="003C673B"/>
    <w:rsid w:val="003F67B3"/>
    <w:rsid w:val="004045D6"/>
    <w:rsid w:val="00407C50"/>
    <w:rsid w:val="004230AD"/>
    <w:rsid w:val="00425F53"/>
    <w:rsid w:val="00443E93"/>
    <w:rsid w:val="004830C2"/>
    <w:rsid w:val="004B3F38"/>
    <w:rsid w:val="004C1495"/>
    <w:rsid w:val="004D03F6"/>
    <w:rsid w:val="004D4B3C"/>
    <w:rsid w:val="00546CB0"/>
    <w:rsid w:val="00550463"/>
    <w:rsid w:val="00563831"/>
    <w:rsid w:val="00582787"/>
    <w:rsid w:val="0059265A"/>
    <w:rsid w:val="005976D0"/>
    <w:rsid w:val="005B5D38"/>
    <w:rsid w:val="005B61FF"/>
    <w:rsid w:val="005C39FA"/>
    <w:rsid w:val="005E27B1"/>
    <w:rsid w:val="005F4968"/>
    <w:rsid w:val="005F5A0F"/>
    <w:rsid w:val="0064137C"/>
    <w:rsid w:val="00641A5D"/>
    <w:rsid w:val="00667D67"/>
    <w:rsid w:val="00674821"/>
    <w:rsid w:val="00675F00"/>
    <w:rsid w:val="00682FAA"/>
    <w:rsid w:val="006A557A"/>
    <w:rsid w:val="006C0AA5"/>
    <w:rsid w:val="00711D5E"/>
    <w:rsid w:val="00731475"/>
    <w:rsid w:val="00751AC5"/>
    <w:rsid w:val="00792E71"/>
    <w:rsid w:val="007A190B"/>
    <w:rsid w:val="007C5BB6"/>
    <w:rsid w:val="007F1CB8"/>
    <w:rsid w:val="007F3ACE"/>
    <w:rsid w:val="008373E1"/>
    <w:rsid w:val="00843C0C"/>
    <w:rsid w:val="00845B78"/>
    <w:rsid w:val="00875201"/>
    <w:rsid w:val="008848B3"/>
    <w:rsid w:val="008C3D10"/>
    <w:rsid w:val="0091172E"/>
    <w:rsid w:val="00920580"/>
    <w:rsid w:val="009412B7"/>
    <w:rsid w:val="00945E6E"/>
    <w:rsid w:val="009560F2"/>
    <w:rsid w:val="009569FF"/>
    <w:rsid w:val="009A50E6"/>
    <w:rsid w:val="009F366B"/>
    <w:rsid w:val="009F5D59"/>
    <w:rsid w:val="00A151C7"/>
    <w:rsid w:val="00A36961"/>
    <w:rsid w:val="00A41DA8"/>
    <w:rsid w:val="00A92CEE"/>
    <w:rsid w:val="00A93EA2"/>
    <w:rsid w:val="00A94E9F"/>
    <w:rsid w:val="00AC5147"/>
    <w:rsid w:val="00B42E93"/>
    <w:rsid w:val="00B75958"/>
    <w:rsid w:val="00B804E8"/>
    <w:rsid w:val="00B94606"/>
    <w:rsid w:val="00BB0CAF"/>
    <w:rsid w:val="00BD129E"/>
    <w:rsid w:val="00BE42B3"/>
    <w:rsid w:val="00BF2137"/>
    <w:rsid w:val="00C32127"/>
    <w:rsid w:val="00C7443D"/>
    <w:rsid w:val="00C910F6"/>
    <w:rsid w:val="00CA2E20"/>
    <w:rsid w:val="00CA6D58"/>
    <w:rsid w:val="00CC45AD"/>
    <w:rsid w:val="00CD6935"/>
    <w:rsid w:val="00CD7A2A"/>
    <w:rsid w:val="00CF4428"/>
    <w:rsid w:val="00CF6F5D"/>
    <w:rsid w:val="00D07C82"/>
    <w:rsid w:val="00D10033"/>
    <w:rsid w:val="00D127E4"/>
    <w:rsid w:val="00D33B74"/>
    <w:rsid w:val="00D876FA"/>
    <w:rsid w:val="00DB1224"/>
    <w:rsid w:val="00DD3C7D"/>
    <w:rsid w:val="00DE7C01"/>
    <w:rsid w:val="00E2322A"/>
    <w:rsid w:val="00E838EC"/>
    <w:rsid w:val="00E94FF0"/>
    <w:rsid w:val="00F023F2"/>
    <w:rsid w:val="00F07E2E"/>
    <w:rsid w:val="00F16182"/>
    <w:rsid w:val="00F23652"/>
    <w:rsid w:val="00F27850"/>
    <w:rsid w:val="00F97446"/>
    <w:rsid w:val="00FD4B6E"/>
    <w:rsid w:val="00FE5867"/>
    <w:rsid w:val="00FE5EDC"/>
    <w:rsid w:val="00FE747A"/>
    <w:rsid w:val="00FF1F2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A98CF"/>
  <w15:docId w15:val="{14E2BB42-47FE-48D4-8CBA-C8D7586B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95B44"/>
    <w:pPr>
      <w:spacing w:after="160" w:line="259" w:lineRule="auto"/>
    </w:pPr>
  </w:style>
  <w:style w:type="paragraph" w:styleId="Titolo1">
    <w:name w:val="heading 1"/>
    <w:basedOn w:val="Normale"/>
    <w:next w:val="Normale"/>
    <w:link w:val="Titolo1Carattere"/>
    <w:uiPriority w:val="9"/>
    <w:qFormat/>
    <w:rsid w:val="002227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2227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qFormat/>
    <w:rsid w:val="00AC718B"/>
    <w:rPr>
      <w:sz w:val="16"/>
      <w:szCs w:val="16"/>
    </w:rPr>
  </w:style>
  <w:style w:type="character" w:customStyle="1" w:styleId="TestocommentoCarattere">
    <w:name w:val="Testo commento Carattere"/>
    <w:basedOn w:val="Carpredefinitoparagrafo"/>
    <w:link w:val="Testocommento"/>
    <w:uiPriority w:val="99"/>
    <w:qFormat/>
    <w:rsid w:val="00AC718B"/>
    <w:rPr>
      <w:sz w:val="20"/>
      <w:szCs w:val="20"/>
    </w:rPr>
  </w:style>
  <w:style w:type="character" w:customStyle="1" w:styleId="SoggettocommentoCarattere">
    <w:name w:val="Soggetto commento Carattere"/>
    <w:basedOn w:val="TestocommentoCarattere"/>
    <w:link w:val="Soggettocommento"/>
    <w:uiPriority w:val="99"/>
    <w:semiHidden/>
    <w:qFormat/>
    <w:rsid w:val="00AC718B"/>
    <w:rPr>
      <w:b/>
      <w:bCs/>
      <w:sz w:val="20"/>
      <w:szCs w:val="20"/>
    </w:rPr>
  </w:style>
  <w:style w:type="character" w:customStyle="1" w:styleId="TestofumettoCarattere">
    <w:name w:val="Testo fumetto Carattere"/>
    <w:basedOn w:val="Carpredefinitoparagrafo"/>
    <w:link w:val="Testofumetto"/>
    <w:uiPriority w:val="99"/>
    <w:semiHidden/>
    <w:qFormat/>
    <w:rsid w:val="005844FC"/>
    <w:rPr>
      <w:rFonts w:ascii="Tahoma" w:hAnsi="Tahoma" w:cs="Tahoma"/>
      <w:sz w:val="16"/>
      <w:szCs w:val="16"/>
    </w:rPr>
  </w:style>
  <w:style w:type="character" w:customStyle="1" w:styleId="Titolo1Carattere">
    <w:name w:val="Titolo 1 Carattere"/>
    <w:basedOn w:val="Carpredefinitoparagrafo"/>
    <w:link w:val="Titolo1"/>
    <w:uiPriority w:val="9"/>
    <w:qFormat/>
    <w:rsid w:val="00222761"/>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qFormat/>
    <w:rsid w:val="00222761"/>
    <w:rPr>
      <w:rFonts w:asciiTheme="majorHAnsi" w:eastAsiaTheme="majorEastAsia" w:hAnsiTheme="majorHAnsi" w:cstheme="majorBidi"/>
      <w:color w:val="2F5496" w:themeColor="accent1" w:themeShade="BF"/>
      <w:sz w:val="26"/>
      <w:szCs w:val="26"/>
    </w:rPr>
  </w:style>
  <w:style w:type="paragraph" w:customStyle="1" w:styleId="Heading">
    <w:name w:val="Heading"/>
    <w:basedOn w:val="Normale"/>
    <w:next w:val="Corpotesto"/>
    <w:qFormat/>
    <w:pPr>
      <w:keepNext/>
      <w:spacing w:before="240" w:after="120"/>
    </w:pPr>
    <w:rPr>
      <w:rFonts w:ascii="Carlito" w:eastAsia="Noto Sans SC Regular" w:hAnsi="Carlito" w:cs="Noto Sans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Noto Sans Devanagari"/>
    </w:rPr>
  </w:style>
  <w:style w:type="paragraph" w:styleId="Didascalia">
    <w:name w:val="caption"/>
    <w:basedOn w:val="Normale"/>
    <w:next w:val="Normale"/>
    <w:uiPriority w:val="35"/>
    <w:unhideWhenUsed/>
    <w:qFormat/>
    <w:rsid w:val="0035590B"/>
    <w:pPr>
      <w:spacing w:after="200" w:line="240" w:lineRule="auto"/>
    </w:pPr>
    <w:rPr>
      <w:i/>
      <w:iCs/>
      <w:color w:val="44546A" w:themeColor="text2"/>
      <w:sz w:val="18"/>
      <w:szCs w:val="18"/>
    </w:rPr>
  </w:style>
  <w:style w:type="paragraph" w:customStyle="1" w:styleId="Index">
    <w:name w:val="Index"/>
    <w:basedOn w:val="Normale"/>
    <w:qFormat/>
    <w:pPr>
      <w:suppressLineNumbers/>
    </w:pPr>
    <w:rPr>
      <w:rFonts w:cs="Noto Sans Devanagari"/>
    </w:rPr>
  </w:style>
  <w:style w:type="paragraph" w:styleId="Paragrafoelenco">
    <w:name w:val="List Paragraph"/>
    <w:basedOn w:val="Normale"/>
    <w:uiPriority w:val="34"/>
    <w:qFormat/>
    <w:rsid w:val="0013461D"/>
    <w:pPr>
      <w:ind w:left="720"/>
      <w:contextualSpacing/>
    </w:pPr>
  </w:style>
  <w:style w:type="paragraph" w:styleId="Testocommento">
    <w:name w:val="annotation text"/>
    <w:basedOn w:val="Normale"/>
    <w:link w:val="TestocommentoCarattere"/>
    <w:uiPriority w:val="99"/>
    <w:unhideWhenUsed/>
    <w:qFormat/>
    <w:rsid w:val="00AC718B"/>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C718B"/>
    <w:rPr>
      <w:b/>
      <w:bCs/>
    </w:rPr>
  </w:style>
  <w:style w:type="paragraph" w:styleId="Testofumetto">
    <w:name w:val="Balloon Text"/>
    <w:basedOn w:val="Normale"/>
    <w:link w:val="TestofumettoCarattere"/>
    <w:uiPriority w:val="99"/>
    <w:semiHidden/>
    <w:unhideWhenUsed/>
    <w:qFormat/>
    <w:rsid w:val="005844FC"/>
    <w:pPr>
      <w:spacing w:after="0" w:line="240" w:lineRule="auto"/>
    </w:pPr>
    <w:rPr>
      <w:rFonts w:ascii="Tahoma" w:hAnsi="Tahoma" w:cs="Tahoma"/>
      <w:sz w:val="16"/>
      <w:szCs w:val="16"/>
    </w:rPr>
  </w:style>
  <w:style w:type="paragraph" w:styleId="Revisione">
    <w:name w:val="Revision"/>
    <w:uiPriority w:val="99"/>
    <w:semiHidden/>
    <w:qFormat/>
    <w:rsid w:val="00DA76C3"/>
  </w:style>
  <w:style w:type="paragraph" w:customStyle="1" w:styleId="Tabellanormale1">
    <w:name w:val="Tabella normale1"/>
    <w:qFormat/>
    <w:pPr>
      <w:spacing w:after="160" w:line="256" w:lineRule="auto"/>
    </w:pPr>
    <w:rPr>
      <w:rFonts w:eastAsia="Yu Mincho" w:cs="Calibri"/>
      <w:lang w:eastAsia="it-IT"/>
    </w:rPr>
  </w:style>
  <w:style w:type="table" w:styleId="Grigliatabella">
    <w:name w:val="Table Grid"/>
    <w:basedOn w:val="Tabellanormale"/>
    <w:uiPriority w:val="39"/>
    <w:rsid w:val="008732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F5D59"/>
    <w:rPr>
      <w:color w:val="0563C1" w:themeColor="hyperlink"/>
      <w:u w:val="single"/>
    </w:rPr>
  </w:style>
  <w:style w:type="character" w:styleId="Menzionenonrisolta">
    <w:name w:val="Unresolved Mention"/>
    <w:basedOn w:val="Carpredefinitoparagrafo"/>
    <w:uiPriority w:val="99"/>
    <w:semiHidden/>
    <w:unhideWhenUsed/>
    <w:rsid w:val="009F5D59"/>
    <w:rPr>
      <w:color w:val="605E5C"/>
      <w:shd w:val="clear" w:color="auto" w:fill="E1DFDD"/>
    </w:rPr>
  </w:style>
  <w:style w:type="paragraph" w:styleId="Intestazione">
    <w:name w:val="header"/>
    <w:basedOn w:val="Normale"/>
    <w:link w:val="IntestazioneCarattere"/>
    <w:uiPriority w:val="99"/>
    <w:unhideWhenUsed/>
    <w:rsid w:val="001720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7201C"/>
  </w:style>
  <w:style w:type="paragraph" w:styleId="Pidipagina">
    <w:name w:val="footer"/>
    <w:basedOn w:val="Normale"/>
    <w:link w:val="PidipaginaCarattere"/>
    <w:uiPriority w:val="99"/>
    <w:unhideWhenUsed/>
    <w:rsid w:val="001720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7201C"/>
  </w:style>
  <w:style w:type="character" w:styleId="Numeroriga">
    <w:name w:val="line number"/>
    <w:basedOn w:val="Carpredefinitoparagrafo"/>
    <w:uiPriority w:val="99"/>
    <w:semiHidden/>
    <w:unhideWhenUsed/>
    <w:rsid w:val="00104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703780">
      <w:bodyDiv w:val="1"/>
      <w:marLeft w:val="0"/>
      <w:marRight w:val="0"/>
      <w:marTop w:val="0"/>
      <w:marBottom w:val="0"/>
      <w:divBdr>
        <w:top w:val="none" w:sz="0" w:space="0" w:color="auto"/>
        <w:left w:val="none" w:sz="0" w:space="0" w:color="auto"/>
        <w:bottom w:val="none" w:sz="0" w:space="0" w:color="auto"/>
        <w:right w:val="none" w:sz="0" w:space="0" w:color="auto"/>
      </w:divBdr>
    </w:div>
    <w:div w:id="1207908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efanoavanzini@gaslin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emanticscholar.org/paper/The-European-Union%E2%80%99s-General-Data-Protection-(GDPR)-Magalhaes/6e9933ee4eb634ba691903ccbc83c9abd871747b"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6D079-6E7E-8D45-A0B2-EB79DDED2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18</Pages>
  <Words>3925</Words>
  <Characters>22377</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Istituto Giannina Gaslini</Company>
  <LinksUpToDate>false</LinksUpToDate>
  <CharactersWithSpaces>26250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StefanoMartina De Vita</dc:creator>
  <dc:description/>
  <cp:lastModifiedBy>StefanoMartina De Vita</cp:lastModifiedBy>
  <cp:revision>127</cp:revision>
  <dcterms:created xsi:type="dcterms:W3CDTF">2022-10-22T12:54:00Z</dcterms:created>
  <dcterms:modified xsi:type="dcterms:W3CDTF">2022-10-23T15:42:00Z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Istituto Giannina Gaslini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