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42" w:type="dxa"/>
        <w:tblLayout w:type="fixed"/>
        <w:tblCellMar>
          <w:top w:w="28" w:type="dxa"/>
          <w:left w:w="28" w:type="dxa"/>
          <w:right w:w="28" w:type="dxa"/>
        </w:tblCellMar>
        <w:tblLook w:val="04A0" w:firstRow="1" w:lastRow="0" w:firstColumn="1" w:lastColumn="0" w:noHBand="0" w:noVBand="1"/>
      </w:tblPr>
      <w:tblGrid>
        <w:gridCol w:w="1159"/>
        <w:gridCol w:w="1003"/>
        <w:gridCol w:w="1560"/>
        <w:gridCol w:w="2676"/>
        <w:gridCol w:w="1784"/>
        <w:gridCol w:w="5760"/>
      </w:tblGrid>
      <w:tr w:rsidR="00BA7289" w:rsidRPr="00A2595E" w14:paraId="68CE0914" w14:textId="77777777" w:rsidTr="00682ADA">
        <w:trPr>
          <w:trHeight w:val="54"/>
        </w:trPr>
        <w:tc>
          <w:tcPr>
            <w:tcW w:w="13942" w:type="dxa"/>
            <w:gridSpan w:val="6"/>
            <w:shd w:val="clear" w:color="auto" w:fill="auto"/>
          </w:tcPr>
          <w:p w14:paraId="6E59097E" w14:textId="44F5913B" w:rsidR="00BA7289" w:rsidRPr="00664C98" w:rsidRDefault="755C631A" w:rsidP="755C631A">
            <w:pPr>
              <w:spacing w:after="0" w:line="240" w:lineRule="auto"/>
              <w:rPr>
                <w:rFonts w:ascii="Calibri" w:eastAsia="Times New Roman" w:hAnsi="Calibri" w:cs="Times New Roman"/>
                <w:b/>
                <w:bCs/>
                <w:color w:val="000000"/>
                <w:sz w:val="18"/>
                <w:szCs w:val="18"/>
                <w:lang w:val="en-US" w:eastAsia="el-GR"/>
              </w:rPr>
            </w:pPr>
            <w:r w:rsidRPr="755C631A">
              <w:rPr>
                <w:rFonts w:ascii="Calibri" w:eastAsia="Times New Roman" w:hAnsi="Calibri" w:cs="Times New Roman"/>
                <w:b/>
                <w:bCs/>
                <w:color w:val="000000" w:themeColor="text1"/>
                <w:sz w:val="18"/>
                <w:szCs w:val="18"/>
                <w:lang w:val="en-US" w:eastAsia="el-GR"/>
              </w:rPr>
              <w:t xml:space="preserve">Table 1: Main Characteristics of Included Studies.  The </w:t>
            </w:r>
            <w:r w:rsidR="00E458FB">
              <w:rPr>
                <w:rFonts w:ascii="Calibri" w:eastAsia="Times New Roman" w:hAnsi="Calibri" w:cs="Times New Roman"/>
                <w:b/>
                <w:bCs/>
                <w:color w:val="000000" w:themeColor="text1"/>
                <w:sz w:val="18"/>
                <w:szCs w:val="18"/>
                <w:lang w:val="en-US" w:eastAsia="el-GR"/>
              </w:rPr>
              <w:t>pre-specified</w:t>
            </w:r>
            <w:r w:rsidRPr="755C631A">
              <w:rPr>
                <w:rFonts w:ascii="Calibri" w:eastAsia="Times New Roman" w:hAnsi="Calibri" w:cs="Times New Roman"/>
                <w:b/>
                <w:bCs/>
                <w:color w:val="000000" w:themeColor="text1"/>
                <w:sz w:val="18"/>
                <w:szCs w:val="18"/>
                <w:lang w:val="en-US" w:eastAsia="el-GR"/>
              </w:rPr>
              <w:t xml:space="preserve"> outcomes of the review (desensitization: the change in the threshold of the tree nut in question required to elicit an allergic reaction while on treatment, and sustained unresponsiveness: the ability to consume foods containing the tree nut in question after discontinuing treatment) are marked in bold.</w:t>
            </w:r>
          </w:p>
        </w:tc>
      </w:tr>
      <w:tr w:rsidR="00611FA7" w:rsidRPr="00593B00" w14:paraId="6862CC80" w14:textId="77777777" w:rsidTr="00682ADA">
        <w:trPr>
          <w:trHeight w:val="20"/>
        </w:trPr>
        <w:tc>
          <w:tcPr>
            <w:tcW w:w="1159" w:type="dxa"/>
            <w:shd w:val="clear" w:color="auto" w:fill="8497B0"/>
            <w:hideMark/>
          </w:tcPr>
          <w:p w14:paraId="3E9DB3F0" w14:textId="77777777" w:rsidR="00611FA7" w:rsidRPr="00593B00" w:rsidRDefault="00611FA7"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Study Information</w:t>
            </w:r>
          </w:p>
        </w:tc>
        <w:tc>
          <w:tcPr>
            <w:tcW w:w="1003" w:type="dxa"/>
            <w:shd w:val="clear" w:color="auto" w:fill="8497B0"/>
            <w:hideMark/>
          </w:tcPr>
          <w:p w14:paraId="430CC598" w14:textId="77777777" w:rsidR="00611FA7" w:rsidRPr="00593B00" w:rsidRDefault="00611FA7"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Study Design</w:t>
            </w:r>
          </w:p>
        </w:tc>
        <w:tc>
          <w:tcPr>
            <w:tcW w:w="1560" w:type="dxa"/>
            <w:shd w:val="clear" w:color="auto" w:fill="8497B0"/>
            <w:hideMark/>
          </w:tcPr>
          <w:p w14:paraId="5C053607"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r w:rsidRPr="00593B00">
              <w:rPr>
                <w:rFonts w:ascii="Calibri" w:eastAsia="Times New Roman" w:hAnsi="Calibri" w:cs="Times New Roman"/>
                <w:b/>
                <w:bCs/>
                <w:color w:val="000000"/>
                <w:sz w:val="18"/>
                <w:szCs w:val="18"/>
                <w:lang w:val="en-US" w:eastAsia="el-GR"/>
              </w:rPr>
              <w:t>Population/Condition tested/Population recruited</w:t>
            </w:r>
          </w:p>
        </w:tc>
        <w:tc>
          <w:tcPr>
            <w:tcW w:w="2676" w:type="dxa"/>
            <w:shd w:val="clear" w:color="auto" w:fill="8497B0"/>
            <w:hideMark/>
          </w:tcPr>
          <w:p w14:paraId="4EF69444" w14:textId="77777777" w:rsidR="00611FA7" w:rsidRPr="00593B00" w:rsidRDefault="00611FA7" w:rsidP="004E4915">
            <w:pPr>
              <w:spacing w:after="0" w:line="240" w:lineRule="auto"/>
              <w:rPr>
                <w:rFonts w:ascii="Calibri" w:eastAsia="Times New Roman" w:hAnsi="Calibri" w:cs="Times New Roman"/>
                <w:b/>
                <w:bCs/>
                <w:color w:val="000000"/>
                <w:sz w:val="18"/>
                <w:szCs w:val="18"/>
                <w:lang w:eastAsia="el-GR"/>
              </w:rPr>
            </w:pPr>
            <w:proofErr w:type="spellStart"/>
            <w:r w:rsidRPr="00593B00">
              <w:rPr>
                <w:rFonts w:ascii="Calibri" w:eastAsia="Times New Roman" w:hAnsi="Calibri" w:cs="Times New Roman"/>
                <w:b/>
                <w:bCs/>
                <w:color w:val="000000"/>
                <w:sz w:val="18"/>
                <w:szCs w:val="18"/>
                <w:lang w:eastAsia="el-GR"/>
              </w:rPr>
              <w:t>Intervention</w:t>
            </w:r>
            <w:proofErr w:type="spellEnd"/>
          </w:p>
        </w:tc>
        <w:tc>
          <w:tcPr>
            <w:tcW w:w="1784" w:type="dxa"/>
            <w:shd w:val="clear" w:color="auto" w:fill="8497B0"/>
            <w:hideMark/>
          </w:tcPr>
          <w:p w14:paraId="64A2D9DB" w14:textId="0A490C31"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r w:rsidRPr="00593B00">
              <w:rPr>
                <w:rFonts w:ascii="Calibri" w:eastAsia="Times New Roman" w:hAnsi="Calibri" w:cs="Times New Roman"/>
                <w:b/>
                <w:bCs/>
                <w:color w:val="000000"/>
                <w:sz w:val="18"/>
                <w:szCs w:val="18"/>
                <w:lang w:val="en-US" w:eastAsia="el-GR"/>
              </w:rPr>
              <w:t xml:space="preserve">Primary Outcome/ Method of outcome </w:t>
            </w:r>
            <w:r w:rsidR="00604DD8">
              <w:rPr>
                <w:rFonts w:ascii="Calibri" w:eastAsia="Times New Roman" w:hAnsi="Calibri" w:cs="Times New Roman"/>
                <w:b/>
                <w:bCs/>
                <w:color w:val="000000"/>
                <w:sz w:val="18"/>
                <w:szCs w:val="18"/>
                <w:lang w:val="en-US" w:eastAsia="el-GR"/>
              </w:rPr>
              <w:t>measurement</w:t>
            </w:r>
          </w:p>
        </w:tc>
        <w:tc>
          <w:tcPr>
            <w:tcW w:w="5760" w:type="dxa"/>
            <w:shd w:val="clear" w:color="auto" w:fill="8497B0"/>
            <w:hideMark/>
          </w:tcPr>
          <w:p w14:paraId="568C88A4" w14:textId="77777777" w:rsidR="00611FA7" w:rsidRPr="00593B00" w:rsidRDefault="00611FA7"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Outcomes reported</w:t>
            </w:r>
          </w:p>
        </w:tc>
      </w:tr>
      <w:tr w:rsidR="00611FA7" w:rsidRPr="00A2595E" w14:paraId="5E213234" w14:textId="77777777" w:rsidTr="00682ADA">
        <w:trPr>
          <w:trHeight w:val="20"/>
        </w:trPr>
        <w:tc>
          <w:tcPr>
            <w:tcW w:w="1159" w:type="dxa"/>
            <w:shd w:val="clear" w:color="auto" w:fill="8497B0"/>
            <w:hideMark/>
          </w:tcPr>
          <w:p w14:paraId="314C2AEF"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r w:rsidRPr="00593B00">
              <w:rPr>
                <w:rFonts w:ascii="Calibri" w:eastAsia="Times New Roman" w:hAnsi="Calibri" w:cs="Times New Roman"/>
                <w:b/>
                <w:bCs/>
                <w:color w:val="000000"/>
                <w:sz w:val="18"/>
                <w:szCs w:val="18"/>
                <w:lang w:val="en-US" w:eastAsia="el-GR"/>
              </w:rPr>
              <w:t>Authors; Country; Study/Cohort name; Registration</w:t>
            </w:r>
          </w:p>
        </w:tc>
        <w:tc>
          <w:tcPr>
            <w:tcW w:w="1003" w:type="dxa"/>
            <w:shd w:val="clear" w:color="auto" w:fill="8497B0"/>
            <w:hideMark/>
          </w:tcPr>
          <w:p w14:paraId="5217E3E5"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p>
        </w:tc>
        <w:tc>
          <w:tcPr>
            <w:tcW w:w="1560" w:type="dxa"/>
            <w:shd w:val="clear" w:color="auto" w:fill="8497B0"/>
            <w:hideMark/>
          </w:tcPr>
          <w:p w14:paraId="798EB68F"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p>
        </w:tc>
        <w:tc>
          <w:tcPr>
            <w:tcW w:w="2676" w:type="dxa"/>
            <w:shd w:val="clear" w:color="auto" w:fill="8497B0"/>
            <w:hideMark/>
          </w:tcPr>
          <w:p w14:paraId="72FE7B24"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p>
        </w:tc>
        <w:tc>
          <w:tcPr>
            <w:tcW w:w="1784" w:type="dxa"/>
            <w:shd w:val="clear" w:color="auto" w:fill="8497B0"/>
            <w:hideMark/>
          </w:tcPr>
          <w:p w14:paraId="27C70333"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p>
        </w:tc>
        <w:tc>
          <w:tcPr>
            <w:tcW w:w="5760" w:type="dxa"/>
            <w:shd w:val="clear" w:color="auto" w:fill="8497B0"/>
            <w:hideMark/>
          </w:tcPr>
          <w:p w14:paraId="18D27D64" w14:textId="77777777" w:rsidR="00611FA7" w:rsidRPr="00593B00" w:rsidRDefault="00611FA7" w:rsidP="004E4915">
            <w:pPr>
              <w:spacing w:after="0" w:line="240" w:lineRule="auto"/>
              <w:rPr>
                <w:rFonts w:ascii="Calibri" w:eastAsia="Times New Roman" w:hAnsi="Calibri" w:cs="Times New Roman"/>
                <w:b/>
                <w:bCs/>
                <w:color w:val="000000"/>
                <w:sz w:val="18"/>
                <w:szCs w:val="18"/>
                <w:lang w:val="en-US" w:eastAsia="el-GR"/>
              </w:rPr>
            </w:pPr>
          </w:p>
        </w:tc>
      </w:tr>
      <w:tr w:rsidR="00611FA7" w:rsidRPr="00A2595E" w14:paraId="3C11558D" w14:textId="77777777" w:rsidTr="00682ADA">
        <w:trPr>
          <w:trHeight w:val="20"/>
        </w:trPr>
        <w:tc>
          <w:tcPr>
            <w:tcW w:w="13942" w:type="dxa"/>
            <w:gridSpan w:val="6"/>
            <w:shd w:val="clear" w:color="auto" w:fill="ACB9CA"/>
            <w:hideMark/>
          </w:tcPr>
          <w:p w14:paraId="3A8FDCAB" w14:textId="1BD14C4B" w:rsidR="00611FA7" w:rsidRPr="00682ADA" w:rsidRDefault="00611FA7" w:rsidP="004E4915">
            <w:pPr>
              <w:spacing w:after="0" w:line="240" w:lineRule="auto"/>
              <w:rPr>
                <w:rFonts w:ascii="Calibri" w:eastAsia="Times New Roman" w:hAnsi="Calibri" w:cs="Times New Roman"/>
                <w:b/>
                <w:bCs/>
                <w:color w:val="000000"/>
                <w:sz w:val="18"/>
                <w:szCs w:val="18"/>
                <w:lang w:val="en-US" w:eastAsia="el-GR"/>
              </w:rPr>
            </w:pPr>
          </w:p>
        </w:tc>
      </w:tr>
      <w:tr w:rsidR="00786443" w:rsidRPr="00593B00" w14:paraId="0A7D25DC" w14:textId="77777777" w:rsidTr="00682ADA">
        <w:trPr>
          <w:trHeight w:val="20"/>
        </w:trPr>
        <w:tc>
          <w:tcPr>
            <w:tcW w:w="13942" w:type="dxa"/>
            <w:gridSpan w:val="6"/>
            <w:shd w:val="clear" w:color="auto" w:fill="ACB9CA"/>
            <w:hideMark/>
          </w:tcPr>
          <w:p w14:paraId="3D5F423E" w14:textId="77777777" w:rsidR="00786443" w:rsidRPr="00593B00" w:rsidRDefault="00786443"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SLIT</w:t>
            </w:r>
          </w:p>
        </w:tc>
      </w:tr>
      <w:tr w:rsidR="00611FA7" w:rsidRPr="009A341E" w14:paraId="30657BCF" w14:textId="77777777" w:rsidTr="00682ADA">
        <w:trPr>
          <w:trHeight w:val="20"/>
        </w:trPr>
        <w:tc>
          <w:tcPr>
            <w:tcW w:w="1159" w:type="dxa"/>
            <w:shd w:val="clear" w:color="auto" w:fill="auto"/>
            <w:hideMark/>
          </w:tcPr>
          <w:p w14:paraId="7E221A85"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Enrique et al. 2005; Spain; NS; NS</w:t>
            </w:r>
          </w:p>
        </w:tc>
        <w:tc>
          <w:tcPr>
            <w:tcW w:w="1003" w:type="dxa"/>
            <w:shd w:val="clear" w:color="auto" w:fill="auto"/>
            <w:hideMark/>
          </w:tcPr>
          <w:p w14:paraId="7D6069F5" w14:textId="77777777" w:rsidR="00611FA7" w:rsidRPr="00593B00" w:rsidRDefault="22C4E185" w:rsidP="22C4E18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Randomized, Double-Blind, Placebo-Control</w:t>
            </w:r>
          </w:p>
        </w:tc>
        <w:tc>
          <w:tcPr>
            <w:tcW w:w="1560" w:type="dxa"/>
            <w:shd w:val="clear" w:color="auto" w:fill="auto"/>
            <w:hideMark/>
          </w:tcPr>
          <w:p w14:paraId="76CDCFC4" w14:textId="79F73FA1"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Adults 18-60 </w:t>
            </w:r>
            <w:proofErr w:type="spellStart"/>
            <w:r w:rsidRPr="22C4E185">
              <w:rPr>
                <w:rFonts w:ascii="Calibri" w:eastAsia="Times New Roman" w:hAnsi="Calibri" w:cs="Times New Roman"/>
                <w:color w:val="000000" w:themeColor="text1"/>
                <w:sz w:val="18"/>
                <w:szCs w:val="18"/>
                <w:lang w:val="en-US" w:eastAsia="el-GR"/>
              </w:rPr>
              <w:t>y.o</w:t>
            </w:r>
            <w:proofErr w:type="spellEnd"/>
            <w:r w:rsidRPr="22C4E185">
              <w:rPr>
                <w:rFonts w:ascii="Calibri" w:eastAsia="Times New Roman" w:hAnsi="Calibri" w:cs="Times New Roman"/>
                <w:color w:val="000000" w:themeColor="text1"/>
                <w:sz w:val="18"/>
                <w:szCs w:val="18"/>
                <w:lang w:val="en-US" w:eastAsia="el-GR"/>
              </w:rPr>
              <w:t>. with IgE mediated hazelnut allergy/ 12 participants, 25% males, mean age 29.2 years in active treatment, and 11 participants, 63.3% males, median age 29.6 in placebo</w:t>
            </w:r>
          </w:p>
        </w:tc>
        <w:tc>
          <w:tcPr>
            <w:tcW w:w="2676" w:type="dxa"/>
            <w:shd w:val="clear" w:color="auto" w:fill="auto"/>
            <w:hideMark/>
          </w:tcPr>
          <w:p w14:paraId="50A88478" w14:textId="3065E96E" w:rsidR="00611FA7" w:rsidRPr="00A757FA"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All participants underwent SLIT with hazelnut extract standardized in unit masses of major allergens, Cor a 1 and Cor </w:t>
            </w:r>
            <w:proofErr w:type="gramStart"/>
            <w:r w:rsidRPr="22C4E185">
              <w:rPr>
                <w:rFonts w:ascii="Calibri" w:eastAsia="Times New Roman" w:hAnsi="Calibri" w:cs="Times New Roman"/>
                <w:color w:val="000000" w:themeColor="text1"/>
                <w:sz w:val="18"/>
                <w:szCs w:val="18"/>
                <w:lang w:val="en-US" w:eastAsia="el-GR"/>
              </w:rPr>
              <w:t>a</w:t>
            </w:r>
            <w:proofErr w:type="gramEnd"/>
            <w:r w:rsidRPr="22C4E185">
              <w:rPr>
                <w:rFonts w:ascii="Calibri" w:eastAsia="Times New Roman" w:hAnsi="Calibri" w:cs="Times New Roman"/>
                <w:color w:val="000000" w:themeColor="text1"/>
                <w:sz w:val="18"/>
                <w:szCs w:val="18"/>
                <w:lang w:val="en-US" w:eastAsia="el-GR"/>
              </w:rPr>
              <w:t xml:space="preserve"> 8, or with placebo. (1) Build-up phase with increasing strengths up to 66.25mg for 4 days. (2) Daily maintenance with 13.25 mg.  </w:t>
            </w:r>
          </w:p>
        </w:tc>
        <w:tc>
          <w:tcPr>
            <w:tcW w:w="1784" w:type="dxa"/>
            <w:shd w:val="clear" w:color="auto" w:fill="auto"/>
            <w:hideMark/>
          </w:tcPr>
          <w:p w14:paraId="6BEEC995" w14:textId="656D978D"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(1) Efficacy: </w:t>
            </w:r>
            <w:r w:rsidRPr="00682ADA">
              <w:rPr>
                <w:rFonts w:ascii="Calibri" w:eastAsia="Times New Roman" w:hAnsi="Calibri" w:cs="Times New Roman"/>
                <w:b/>
                <w:bCs/>
                <w:color w:val="000000" w:themeColor="text1"/>
                <w:sz w:val="18"/>
                <w:szCs w:val="18"/>
                <w:lang w:val="en-US" w:eastAsia="el-GR"/>
              </w:rPr>
              <w:t>DBPCFC at baseline and after 12 weeks on maintenance</w:t>
            </w:r>
            <w:r w:rsidRPr="22C4E185">
              <w:rPr>
                <w:rFonts w:ascii="Calibri" w:eastAsia="Times New Roman" w:hAnsi="Calibri" w:cs="Times New Roman"/>
                <w:color w:val="000000" w:themeColor="text1"/>
                <w:sz w:val="18"/>
                <w:szCs w:val="18"/>
                <w:lang w:val="en-US" w:eastAsia="el-GR"/>
              </w:rPr>
              <w:t xml:space="preserve">. (2) Safety: Adverse reactions and treatment required during the intervention. (3) Immunological changes at baseline and after 12 weeks on maintenance. </w:t>
            </w:r>
          </w:p>
        </w:tc>
        <w:tc>
          <w:tcPr>
            <w:tcW w:w="5760" w:type="dxa"/>
            <w:shd w:val="clear" w:color="auto" w:fill="auto"/>
            <w:hideMark/>
          </w:tcPr>
          <w:p w14:paraId="42B838BD" w14:textId="385BF9F4"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(1a) </w:t>
            </w:r>
            <w:r w:rsidRPr="00E458FB">
              <w:rPr>
                <w:rFonts w:ascii="Calibri" w:eastAsia="Times New Roman" w:hAnsi="Calibri" w:cs="Times New Roman"/>
                <w:color w:val="000000" w:themeColor="text1"/>
                <w:sz w:val="18"/>
                <w:szCs w:val="18"/>
                <w:lang w:val="en-US" w:eastAsia="el-GR"/>
              </w:rPr>
              <w:t xml:space="preserve">Changes in ED in DBPCFC </w:t>
            </w:r>
            <w:r w:rsidRPr="22C4E185">
              <w:rPr>
                <w:rFonts w:ascii="Calibri" w:eastAsia="Times New Roman" w:hAnsi="Calibri" w:cs="Times New Roman"/>
                <w:color w:val="000000" w:themeColor="text1"/>
                <w:sz w:val="18"/>
                <w:szCs w:val="18"/>
                <w:lang w:val="en-US" w:eastAsia="el-GR"/>
              </w:rPr>
              <w:t xml:space="preserve">12 weeks after treatment initiation. (1b) Comparison of changes in ED between SCIT and control group. (1c) Proportion of subjects reached the highest level (20gr) in DBPCFC 12 weeks year after treatment initiation in both groups. (2) Systemic and local reactions per dose administered. (3) Changes in sIgE to hazelnut, Cor a 1 and Cor </w:t>
            </w:r>
            <w:proofErr w:type="gramStart"/>
            <w:r w:rsidRPr="22C4E185">
              <w:rPr>
                <w:rFonts w:ascii="Calibri" w:eastAsia="Times New Roman" w:hAnsi="Calibri" w:cs="Times New Roman"/>
                <w:color w:val="000000" w:themeColor="text1"/>
                <w:sz w:val="18"/>
                <w:szCs w:val="18"/>
                <w:lang w:val="en-US" w:eastAsia="el-GR"/>
              </w:rPr>
              <w:t>a</w:t>
            </w:r>
            <w:proofErr w:type="gramEnd"/>
            <w:r w:rsidRPr="22C4E185">
              <w:rPr>
                <w:rFonts w:ascii="Calibri" w:eastAsia="Times New Roman" w:hAnsi="Calibri" w:cs="Times New Roman"/>
                <w:color w:val="000000" w:themeColor="text1"/>
                <w:sz w:val="18"/>
                <w:szCs w:val="18"/>
                <w:lang w:val="en-US" w:eastAsia="el-GR"/>
              </w:rPr>
              <w:t xml:space="preserve"> 8, sIgG4 to hazelnut, and IL-10 12 weeks after treatment in both groups.</w:t>
            </w:r>
          </w:p>
        </w:tc>
      </w:tr>
      <w:tr w:rsidR="00611FA7" w:rsidRPr="00A2595E" w14:paraId="630D30E6" w14:textId="77777777" w:rsidTr="00682ADA">
        <w:trPr>
          <w:trHeight w:val="20"/>
        </w:trPr>
        <w:tc>
          <w:tcPr>
            <w:tcW w:w="1159" w:type="dxa"/>
            <w:shd w:val="clear" w:color="auto" w:fill="C6D9F1" w:themeFill="text2" w:themeFillTint="33"/>
            <w:hideMark/>
          </w:tcPr>
          <w:p w14:paraId="404B832D"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Enrique et al. 2008; Spain; NS; NS</w:t>
            </w:r>
          </w:p>
        </w:tc>
        <w:tc>
          <w:tcPr>
            <w:tcW w:w="1003" w:type="dxa"/>
            <w:shd w:val="clear" w:color="auto" w:fill="C6D9F1" w:themeFill="text2" w:themeFillTint="33"/>
            <w:hideMark/>
          </w:tcPr>
          <w:p w14:paraId="2BF41A0F" w14:textId="5711924D" w:rsidR="00611FA7" w:rsidRPr="004E4915" w:rsidRDefault="00295674" w:rsidP="22C4E185">
            <w:pPr>
              <w:spacing w:after="0" w:line="240" w:lineRule="auto"/>
              <w:rPr>
                <w:rFonts w:ascii="Calibri" w:eastAsia="Times New Roman" w:hAnsi="Calibri" w:cs="Times New Roman"/>
                <w:color w:val="000000"/>
                <w:sz w:val="18"/>
                <w:szCs w:val="18"/>
                <w:lang w:val="en-US" w:eastAsia="el-GR"/>
              </w:rPr>
            </w:pPr>
            <w:r>
              <w:rPr>
                <w:rFonts w:ascii="Calibri" w:eastAsia="Times New Roman" w:hAnsi="Calibri" w:cs="Times New Roman"/>
                <w:color w:val="000000" w:themeColor="text1"/>
                <w:sz w:val="18"/>
                <w:szCs w:val="18"/>
                <w:lang w:val="en-US" w:eastAsia="el-GR"/>
              </w:rPr>
              <w:t xml:space="preserve">Prospective </w:t>
            </w:r>
            <w:r w:rsidR="00FC2D22">
              <w:rPr>
                <w:rFonts w:ascii="Calibri" w:eastAsia="Times New Roman" w:hAnsi="Calibri" w:cs="Times New Roman"/>
                <w:color w:val="000000" w:themeColor="text1"/>
                <w:sz w:val="18"/>
                <w:szCs w:val="18"/>
                <w:lang w:val="en-US" w:eastAsia="el-GR"/>
              </w:rPr>
              <w:t>C</w:t>
            </w:r>
            <w:r w:rsidR="00FD300D">
              <w:rPr>
                <w:rFonts w:ascii="Calibri" w:eastAsia="Times New Roman" w:hAnsi="Calibri" w:cs="Times New Roman"/>
                <w:color w:val="000000" w:themeColor="text1"/>
                <w:sz w:val="18"/>
                <w:szCs w:val="18"/>
                <w:lang w:val="en-US" w:eastAsia="el-GR"/>
              </w:rPr>
              <w:t>ohort</w:t>
            </w:r>
            <w:r w:rsidR="0487491D" w:rsidRPr="0487491D">
              <w:rPr>
                <w:rFonts w:ascii="Calibri" w:eastAsia="Times New Roman" w:hAnsi="Calibri" w:cs="Times New Roman"/>
                <w:color w:val="000000" w:themeColor="text1"/>
                <w:sz w:val="18"/>
                <w:szCs w:val="18"/>
                <w:lang w:val="en-US" w:eastAsia="el-GR"/>
              </w:rPr>
              <w:t xml:space="preserve"> </w:t>
            </w:r>
          </w:p>
        </w:tc>
        <w:tc>
          <w:tcPr>
            <w:tcW w:w="1560" w:type="dxa"/>
            <w:shd w:val="clear" w:color="auto" w:fill="C6D9F1" w:themeFill="text2" w:themeFillTint="33"/>
            <w:hideMark/>
          </w:tcPr>
          <w:p w14:paraId="4E987A94" w14:textId="6648C4A9"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Adults 18-60 </w:t>
            </w:r>
            <w:proofErr w:type="spellStart"/>
            <w:r w:rsidRPr="22C4E185">
              <w:rPr>
                <w:rFonts w:ascii="Calibri" w:eastAsia="Times New Roman" w:hAnsi="Calibri" w:cs="Times New Roman"/>
                <w:color w:val="000000" w:themeColor="text1"/>
                <w:sz w:val="18"/>
                <w:szCs w:val="18"/>
                <w:lang w:val="en-US" w:eastAsia="el-GR"/>
              </w:rPr>
              <w:t>y.o</w:t>
            </w:r>
            <w:proofErr w:type="spellEnd"/>
            <w:r w:rsidRPr="22C4E185">
              <w:rPr>
                <w:rFonts w:ascii="Calibri" w:eastAsia="Times New Roman" w:hAnsi="Calibri" w:cs="Times New Roman"/>
                <w:color w:val="000000" w:themeColor="text1"/>
                <w:sz w:val="18"/>
                <w:szCs w:val="18"/>
                <w:lang w:val="en-US" w:eastAsia="el-GR"/>
              </w:rPr>
              <w:t xml:space="preserve"> with IgE-mediated hazelnut allergy who participated in the active group of the original study/ 11 subjects, no other information provided.</w:t>
            </w:r>
          </w:p>
        </w:tc>
        <w:tc>
          <w:tcPr>
            <w:tcW w:w="2676" w:type="dxa"/>
            <w:shd w:val="clear" w:color="auto" w:fill="C6D9F1" w:themeFill="text2" w:themeFillTint="33"/>
            <w:hideMark/>
          </w:tcPr>
          <w:p w14:paraId="4AA36465" w14:textId="63F036D7"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All participants continued SLIT with hazelnut extract standardized in unit masses of major allergens, Cor a 1 and Cor </w:t>
            </w:r>
            <w:proofErr w:type="gramStart"/>
            <w:r w:rsidRPr="22C4E185">
              <w:rPr>
                <w:rFonts w:ascii="Calibri" w:eastAsia="Times New Roman" w:hAnsi="Calibri" w:cs="Times New Roman"/>
                <w:color w:val="000000" w:themeColor="text1"/>
                <w:sz w:val="18"/>
                <w:szCs w:val="18"/>
                <w:lang w:val="en-US" w:eastAsia="el-GR"/>
              </w:rPr>
              <w:t>a</w:t>
            </w:r>
            <w:proofErr w:type="gramEnd"/>
            <w:r w:rsidRPr="22C4E185">
              <w:rPr>
                <w:rFonts w:ascii="Calibri" w:eastAsia="Times New Roman" w:hAnsi="Calibri" w:cs="Times New Roman"/>
                <w:color w:val="000000" w:themeColor="text1"/>
                <w:sz w:val="18"/>
                <w:szCs w:val="18"/>
                <w:lang w:val="en-US" w:eastAsia="el-GR"/>
              </w:rPr>
              <w:t xml:space="preserve"> 8, on daily maintenance with 13.25mg.   </w:t>
            </w:r>
          </w:p>
        </w:tc>
        <w:tc>
          <w:tcPr>
            <w:tcW w:w="1784" w:type="dxa"/>
            <w:shd w:val="clear" w:color="auto" w:fill="C6D9F1" w:themeFill="text2" w:themeFillTint="33"/>
            <w:hideMark/>
          </w:tcPr>
          <w:p w14:paraId="794F4E5B" w14:textId="4BE5718F"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(1) Efficacy: </w:t>
            </w:r>
            <w:r w:rsidRPr="00682ADA">
              <w:rPr>
                <w:rFonts w:ascii="Calibri" w:eastAsia="Times New Roman" w:hAnsi="Calibri" w:cs="Times New Roman"/>
                <w:b/>
                <w:bCs/>
                <w:color w:val="000000" w:themeColor="text1"/>
                <w:sz w:val="18"/>
                <w:szCs w:val="18"/>
                <w:lang w:val="en-US" w:eastAsia="el-GR"/>
              </w:rPr>
              <w:t>DBPCFC at baseline and after 1 year on maintenance</w:t>
            </w:r>
            <w:r w:rsidRPr="22C4E185">
              <w:rPr>
                <w:rFonts w:ascii="Calibri" w:eastAsia="Times New Roman" w:hAnsi="Calibri" w:cs="Times New Roman"/>
                <w:color w:val="000000" w:themeColor="text1"/>
                <w:sz w:val="18"/>
                <w:szCs w:val="18"/>
                <w:lang w:val="en-US" w:eastAsia="el-GR"/>
              </w:rPr>
              <w:t xml:space="preserve">. (2) Safety: Adverse reactions and treatment required during the intervention. (3) Immunological changes at baseline and after 1 year on maintenance. </w:t>
            </w:r>
          </w:p>
        </w:tc>
        <w:tc>
          <w:tcPr>
            <w:tcW w:w="5760" w:type="dxa"/>
            <w:shd w:val="clear" w:color="auto" w:fill="C6D9F1" w:themeFill="text2" w:themeFillTint="33"/>
            <w:hideMark/>
          </w:tcPr>
          <w:p w14:paraId="727DE6D3" w14:textId="57CFBA26"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(1) </w:t>
            </w:r>
            <w:r w:rsidRPr="00E458FB">
              <w:rPr>
                <w:rFonts w:ascii="Calibri" w:eastAsia="Times New Roman" w:hAnsi="Calibri" w:cs="Times New Roman"/>
                <w:color w:val="000000" w:themeColor="text1"/>
                <w:sz w:val="18"/>
                <w:szCs w:val="18"/>
                <w:lang w:val="en-US" w:eastAsia="el-GR"/>
              </w:rPr>
              <w:t>Changes in ED in DBPCFC</w:t>
            </w:r>
            <w:r w:rsidRPr="22C4E185">
              <w:rPr>
                <w:rFonts w:ascii="Calibri" w:eastAsia="Times New Roman" w:hAnsi="Calibri" w:cs="Times New Roman"/>
                <w:color w:val="000000" w:themeColor="text1"/>
                <w:sz w:val="18"/>
                <w:szCs w:val="18"/>
                <w:lang w:val="en-US" w:eastAsia="el-GR"/>
              </w:rPr>
              <w:t xml:space="preserve"> 12 months after treatment initiation. (2) Proportion of subjects reached the highest level (20gr) in DBPCFC one year after treatment initiation. (3) Systemic and local reactions per dose administered. (4) Changes in sIgE and sIgG4 to hazelnut, and IL-10 12 months after treatment in both groups.</w:t>
            </w:r>
          </w:p>
        </w:tc>
      </w:tr>
      <w:tr w:rsidR="00611FA7" w:rsidRPr="00A2595E" w14:paraId="384C7E28" w14:textId="77777777" w:rsidTr="00682ADA">
        <w:trPr>
          <w:trHeight w:val="20"/>
        </w:trPr>
        <w:tc>
          <w:tcPr>
            <w:tcW w:w="1159" w:type="dxa"/>
            <w:shd w:val="clear" w:color="auto" w:fill="FFFFFF" w:themeFill="background1"/>
            <w:hideMark/>
          </w:tcPr>
          <w:p w14:paraId="0C19D853" w14:textId="572526B5"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Beitia et al. 2021; Spain; NS; NS </w:t>
            </w:r>
          </w:p>
        </w:tc>
        <w:tc>
          <w:tcPr>
            <w:tcW w:w="1003" w:type="dxa"/>
            <w:shd w:val="clear" w:color="auto" w:fill="FFFFFF" w:themeFill="background1"/>
            <w:hideMark/>
          </w:tcPr>
          <w:p w14:paraId="568CA9CA" w14:textId="58268749" w:rsidR="00611FA7" w:rsidRPr="00593B00" w:rsidRDefault="006F154D" w:rsidP="004E4915">
            <w:pPr>
              <w:spacing w:after="0" w:line="240" w:lineRule="auto"/>
              <w:rPr>
                <w:rFonts w:ascii="Calibri" w:eastAsia="Times New Roman" w:hAnsi="Calibri" w:cs="Times New Roman"/>
                <w:color w:val="000000"/>
                <w:sz w:val="18"/>
                <w:szCs w:val="18"/>
                <w:lang w:val="en-US" w:eastAsia="el-GR"/>
              </w:rPr>
            </w:pPr>
            <w:r w:rsidRPr="006F154D">
              <w:rPr>
                <w:rFonts w:ascii="Calibri" w:eastAsia="Times New Roman" w:hAnsi="Calibri" w:cs="Times New Roman"/>
                <w:color w:val="000000" w:themeColor="text1"/>
                <w:sz w:val="18"/>
                <w:szCs w:val="18"/>
                <w:lang w:val="en-US" w:eastAsia="el-GR"/>
              </w:rPr>
              <w:t>Q</w:t>
            </w:r>
            <w:r>
              <w:rPr>
                <w:rFonts w:ascii="Calibri" w:eastAsia="Times New Roman" w:hAnsi="Calibri" w:cs="Times New Roman"/>
                <w:color w:val="000000" w:themeColor="text1"/>
                <w:sz w:val="18"/>
                <w:szCs w:val="18"/>
                <w:lang w:val="en-US" w:eastAsia="el-GR"/>
              </w:rPr>
              <w:t>uasi</w:t>
            </w:r>
            <w:r w:rsidRPr="006F154D">
              <w:rPr>
                <w:rFonts w:ascii="Calibri" w:eastAsia="Times New Roman" w:hAnsi="Calibri" w:cs="Times New Roman"/>
                <w:color w:val="000000" w:themeColor="text1"/>
                <w:sz w:val="18"/>
                <w:szCs w:val="18"/>
                <w:lang w:val="en-US" w:eastAsia="el-GR"/>
              </w:rPr>
              <w:t>-E</w:t>
            </w:r>
            <w:r>
              <w:rPr>
                <w:rFonts w:ascii="Calibri" w:eastAsia="Times New Roman" w:hAnsi="Calibri" w:cs="Times New Roman"/>
                <w:color w:val="000000" w:themeColor="text1"/>
                <w:sz w:val="18"/>
                <w:szCs w:val="18"/>
                <w:lang w:val="en-US" w:eastAsia="el-GR"/>
              </w:rPr>
              <w:t xml:space="preserve">xperimental </w:t>
            </w:r>
            <w:r w:rsidR="0487491D" w:rsidRPr="0487491D">
              <w:rPr>
                <w:rFonts w:ascii="Calibri" w:eastAsia="Times New Roman" w:hAnsi="Calibri" w:cs="Times New Roman"/>
                <w:color w:val="000000" w:themeColor="text1"/>
                <w:sz w:val="18"/>
                <w:szCs w:val="18"/>
                <w:lang w:val="en-US" w:eastAsia="el-GR"/>
              </w:rPr>
              <w:t>Prospective Cohort</w:t>
            </w:r>
          </w:p>
        </w:tc>
        <w:tc>
          <w:tcPr>
            <w:tcW w:w="1560" w:type="dxa"/>
            <w:shd w:val="clear" w:color="auto" w:fill="FFFFFF" w:themeFill="background1"/>
            <w:hideMark/>
          </w:tcPr>
          <w:p w14:paraId="6D5A88B7" w14:textId="34699278"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t xml:space="preserve">Children and adults with LTP syndrome (IgE-mediated allergy to Pru p 3)/29 participants, </w:t>
            </w:r>
            <w:r w:rsidRPr="22C4E185">
              <w:rPr>
                <w:rFonts w:ascii="Calibri" w:eastAsia="Times New Roman" w:hAnsi="Calibri" w:cs="Times New Roman"/>
                <w:color w:val="000000" w:themeColor="text1"/>
                <w:sz w:val="18"/>
                <w:szCs w:val="18"/>
                <w:lang w:val="en-US" w:eastAsia="el-GR"/>
              </w:rPr>
              <w:lastRenderedPageBreak/>
              <w:t xml:space="preserve">48.3% males, mean age 24.7 years in active treatment and 13 participants, 30.8% males, median age 13.73 years in SOC. </w:t>
            </w:r>
          </w:p>
        </w:tc>
        <w:tc>
          <w:tcPr>
            <w:tcW w:w="2676" w:type="dxa"/>
            <w:shd w:val="clear" w:color="auto" w:fill="FFFFFF" w:themeFill="background1"/>
            <w:hideMark/>
          </w:tcPr>
          <w:p w14:paraId="453BC89F" w14:textId="617EAE16"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lastRenderedPageBreak/>
              <w:t xml:space="preserve">All participants in the active group received Pru p 3 </w:t>
            </w:r>
            <w:proofErr w:type="gramStart"/>
            <w:r w:rsidRPr="22C4E185">
              <w:rPr>
                <w:rFonts w:ascii="Calibri" w:eastAsia="Times New Roman" w:hAnsi="Calibri" w:cs="Times New Roman"/>
                <w:color w:val="000000" w:themeColor="text1"/>
                <w:sz w:val="18"/>
                <w:szCs w:val="18"/>
                <w:lang w:val="en-US" w:eastAsia="el-GR"/>
              </w:rPr>
              <w:t>SLIT</w:t>
            </w:r>
            <w:proofErr w:type="gramEnd"/>
            <w:r w:rsidRPr="22C4E185">
              <w:rPr>
                <w:rFonts w:ascii="Calibri" w:eastAsia="Times New Roman" w:hAnsi="Calibri" w:cs="Times New Roman"/>
                <w:color w:val="000000" w:themeColor="text1"/>
                <w:sz w:val="18"/>
                <w:szCs w:val="18"/>
                <w:lang w:val="en-US" w:eastAsia="el-GR"/>
              </w:rPr>
              <w:t xml:space="preserve">: (1) Build-up phase: 4-day build-up cluster schedule, with several doses per day administered at a 15-min </w:t>
            </w:r>
            <w:r w:rsidRPr="22C4E185">
              <w:rPr>
                <w:rFonts w:ascii="Calibri" w:eastAsia="Times New Roman" w:hAnsi="Calibri" w:cs="Times New Roman"/>
                <w:color w:val="000000" w:themeColor="text1"/>
                <w:sz w:val="18"/>
                <w:szCs w:val="18"/>
                <w:lang w:val="en-US" w:eastAsia="el-GR"/>
              </w:rPr>
              <w:lastRenderedPageBreak/>
              <w:t>interval, until reaching a 20-drop dose (50μg Pru p 3). (2) Maintenance:  5 drops (12.5μg of Pru p 3) daily were administered at home for at least 3 years.</w:t>
            </w:r>
          </w:p>
        </w:tc>
        <w:tc>
          <w:tcPr>
            <w:tcW w:w="1784" w:type="dxa"/>
            <w:shd w:val="clear" w:color="auto" w:fill="FFFFFF" w:themeFill="background1"/>
            <w:hideMark/>
          </w:tcPr>
          <w:p w14:paraId="218C4438" w14:textId="77777777"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lastRenderedPageBreak/>
              <w:t xml:space="preserve">(1) Efficacy: Open OFC with unpeeled peach 1 year after SLIT initiation. (2) If negative OFC to peach, </w:t>
            </w:r>
            <w:r w:rsidRPr="00682ADA">
              <w:rPr>
                <w:rFonts w:ascii="Calibri" w:eastAsia="Times New Roman" w:hAnsi="Calibri" w:cs="Times New Roman"/>
                <w:b/>
                <w:bCs/>
                <w:color w:val="000000" w:themeColor="text1"/>
                <w:sz w:val="18"/>
                <w:szCs w:val="18"/>
                <w:lang w:val="en-US" w:eastAsia="el-GR"/>
              </w:rPr>
              <w:lastRenderedPageBreak/>
              <w:t>patients with a history of peanut and/or nut allergy underwent, an open OFC for the responsible food</w:t>
            </w:r>
            <w:r w:rsidRPr="22C4E185">
              <w:rPr>
                <w:rFonts w:ascii="Calibri" w:eastAsia="Times New Roman" w:hAnsi="Calibri" w:cs="Times New Roman"/>
                <w:color w:val="000000" w:themeColor="text1"/>
                <w:sz w:val="18"/>
                <w:szCs w:val="18"/>
                <w:lang w:val="en-US" w:eastAsia="el-GR"/>
              </w:rPr>
              <w:t xml:space="preserve">. (3) The severity of the systemic reaction (Sampson) before starting SLIT and </w:t>
            </w:r>
            <w:proofErr w:type="gramStart"/>
            <w:r w:rsidRPr="22C4E185">
              <w:rPr>
                <w:rFonts w:ascii="Calibri" w:eastAsia="Times New Roman" w:hAnsi="Calibri" w:cs="Times New Roman"/>
                <w:color w:val="000000" w:themeColor="text1"/>
                <w:sz w:val="18"/>
                <w:szCs w:val="18"/>
                <w:lang w:val="en-US" w:eastAsia="el-GR"/>
              </w:rPr>
              <w:t>as a result of</w:t>
            </w:r>
            <w:proofErr w:type="gramEnd"/>
            <w:r w:rsidRPr="22C4E185">
              <w:rPr>
                <w:rFonts w:ascii="Calibri" w:eastAsia="Times New Roman" w:hAnsi="Calibri" w:cs="Times New Roman"/>
                <w:color w:val="000000" w:themeColor="text1"/>
                <w:sz w:val="18"/>
                <w:szCs w:val="18"/>
                <w:lang w:val="en-US" w:eastAsia="el-GR"/>
              </w:rPr>
              <w:t xml:space="preserve"> the OFC, 1 year after the treatment initiation. (4) Number of family plant foods avoided at the beginning and the end of the study in patients and controls.</w:t>
            </w:r>
          </w:p>
        </w:tc>
        <w:tc>
          <w:tcPr>
            <w:tcW w:w="5760" w:type="dxa"/>
            <w:shd w:val="clear" w:color="auto" w:fill="FFFFFF" w:themeFill="background1"/>
            <w:hideMark/>
          </w:tcPr>
          <w:p w14:paraId="1D21E4A0" w14:textId="77777777" w:rsidR="00611FA7" w:rsidRPr="00593B00" w:rsidRDefault="22C4E185" w:rsidP="004E4915">
            <w:pPr>
              <w:spacing w:after="0" w:line="240" w:lineRule="auto"/>
              <w:rPr>
                <w:rFonts w:ascii="Calibri" w:eastAsia="Times New Roman" w:hAnsi="Calibri" w:cs="Times New Roman"/>
                <w:color w:val="000000"/>
                <w:sz w:val="18"/>
                <w:szCs w:val="18"/>
                <w:lang w:val="en-US" w:eastAsia="el-GR"/>
              </w:rPr>
            </w:pPr>
            <w:r w:rsidRPr="22C4E185">
              <w:rPr>
                <w:rFonts w:ascii="Calibri" w:eastAsia="Times New Roman" w:hAnsi="Calibri" w:cs="Times New Roman"/>
                <w:color w:val="000000" w:themeColor="text1"/>
                <w:sz w:val="18"/>
                <w:szCs w:val="18"/>
                <w:lang w:val="en-US" w:eastAsia="el-GR"/>
              </w:rPr>
              <w:lastRenderedPageBreak/>
              <w:t xml:space="preserve">(1) Proportion of participants in the active group with adverse reactions. (2) Proportion of participants in the active group with negative OFC to unpeeled peach 1 and 2 years after starting SLIT. </w:t>
            </w:r>
            <w:r w:rsidRPr="00682ADA">
              <w:rPr>
                <w:rFonts w:ascii="Calibri" w:eastAsia="Times New Roman" w:hAnsi="Calibri" w:cs="Times New Roman"/>
                <w:b/>
                <w:bCs/>
                <w:color w:val="000000" w:themeColor="text1"/>
                <w:sz w:val="18"/>
                <w:szCs w:val="18"/>
                <w:lang w:val="en-US" w:eastAsia="el-GR"/>
              </w:rPr>
              <w:t>(3) Proportion of participants in the active group with negative OFC to peanut and hazelnut.</w:t>
            </w:r>
            <w:r w:rsidRPr="22C4E185">
              <w:rPr>
                <w:rFonts w:ascii="Calibri" w:eastAsia="Times New Roman" w:hAnsi="Calibri" w:cs="Times New Roman"/>
                <w:color w:val="000000" w:themeColor="text1"/>
                <w:sz w:val="18"/>
                <w:szCs w:val="18"/>
                <w:lang w:val="en-US" w:eastAsia="el-GR"/>
              </w:rPr>
              <w:t xml:space="preserve"> (4) Changes in severity of reactions with accidental ingestion (Sampson) in both groups </w:t>
            </w:r>
            <w:r w:rsidRPr="22C4E185">
              <w:rPr>
                <w:rFonts w:ascii="Calibri" w:eastAsia="Times New Roman" w:hAnsi="Calibri" w:cs="Times New Roman"/>
                <w:color w:val="000000" w:themeColor="text1"/>
                <w:sz w:val="18"/>
                <w:szCs w:val="18"/>
                <w:lang w:val="en-US" w:eastAsia="el-GR"/>
              </w:rPr>
              <w:lastRenderedPageBreak/>
              <w:t>during the observational period. (5) The change in the number of families of plant food involved in the allergic symptoms in the control group.</w:t>
            </w:r>
          </w:p>
        </w:tc>
      </w:tr>
      <w:tr w:rsidR="00786443" w:rsidRPr="00A2595E" w14:paraId="68D3F9D1" w14:textId="77777777" w:rsidTr="00682ADA">
        <w:trPr>
          <w:trHeight w:val="159"/>
        </w:trPr>
        <w:tc>
          <w:tcPr>
            <w:tcW w:w="13942" w:type="dxa"/>
            <w:gridSpan w:val="6"/>
            <w:shd w:val="clear" w:color="auto" w:fill="ACB9CA"/>
            <w:hideMark/>
          </w:tcPr>
          <w:p w14:paraId="69908890" w14:textId="77777777" w:rsidR="00786443" w:rsidRPr="00593B00" w:rsidRDefault="22C4E185" w:rsidP="004E4915">
            <w:pPr>
              <w:spacing w:after="0" w:line="240" w:lineRule="auto"/>
              <w:rPr>
                <w:rFonts w:ascii="Calibri" w:eastAsia="Times New Roman" w:hAnsi="Calibri" w:cs="Times New Roman"/>
                <w:b/>
                <w:bCs/>
                <w:color w:val="000000"/>
                <w:sz w:val="18"/>
                <w:szCs w:val="18"/>
                <w:lang w:val="en-US" w:eastAsia="el-GR"/>
              </w:rPr>
            </w:pPr>
            <w:r w:rsidRPr="22C4E185">
              <w:rPr>
                <w:rFonts w:ascii="Calibri" w:eastAsia="Times New Roman" w:hAnsi="Calibri" w:cs="Times New Roman"/>
                <w:b/>
                <w:bCs/>
                <w:color w:val="000000" w:themeColor="text1"/>
                <w:sz w:val="18"/>
                <w:szCs w:val="18"/>
                <w:lang w:val="en-US" w:eastAsia="el-GR"/>
              </w:rPr>
              <w:lastRenderedPageBreak/>
              <w:t xml:space="preserve">Single Tree Nut OIT </w:t>
            </w:r>
            <w:proofErr w:type="spellStart"/>
            <w:r w:rsidRPr="22C4E185">
              <w:rPr>
                <w:rFonts w:ascii="Calibri" w:eastAsia="Times New Roman" w:hAnsi="Calibri" w:cs="Times New Roman"/>
                <w:b/>
                <w:bCs/>
                <w:color w:val="000000" w:themeColor="text1"/>
                <w:sz w:val="18"/>
                <w:szCs w:val="18"/>
                <w:lang w:val="en-US" w:eastAsia="el-GR"/>
              </w:rPr>
              <w:t>OIT</w:t>
            </w:r>
            <w:proofErr w:type="spellEnd"/>
            <w:r w:rsidRPr="22C4E185">
              <w:rPr>
                <w:rFonts w:ascii="Calibri" w:eastAsia="Times New Roman" w:hAnsi="Calibri" w:cs="Times New Roman"/>
                <w:b/>
                <w:bCs/>
                <w:color w:val="000000" w:themeColor="text1"/>
                <w:sz w:val="18"/>
                <w:szCs w:val="18"/>
                <w:lang w:val="en-US" w:eastAsia="el-GR"/>
              </w:rPr>
              <w:t> </w:t>
            </w:r>
          </w:p>
        </w:tc>
      </w:tr>
      <w:tr w:rsidR="00611FA7" w:rsidRPr="00A2595E" w14:paraId="2ED27EA4" w14:textId="77777777" w:rsidTr="00682ADA">
        <w:trPr>
          <w:trHeight w:val="20"/>
        </w:trPr>
        <w:tc>
          <w:tcPr>
            <w:tcW w:w="1159" w:type="dxa"/>
            <w:shd w:val="clear" w:color="auto" w:fill="C6D9F1" w:themeFill="text2" w:themeFillTint="33"/>
            <w:hideMark/>
          </w:tcPr>
          <w:p w14:paraId="58FE5196"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Elizur et al.2019; Israel; Nut CRACKER; NS</w:t>
            </w:r>
          </w:p>
        </w:tc>
        <w:tc>
          <w:tcPr>
            <w:tcW w:w="1003" w:type="dxa"/>
            <w:shd w:val="clear" w:color="auto" w:fill="C6D9F1" w:themeFill="text2" w:themeFillTint="33"/>
            <w:hideMark/>
          </w:tcPr>
          <w:p w14:paraId="2F8CDC9B" w14:textId="3882659B" w:rsidR="00611FA7" w:rsidRPr="00593B00" w:rsidRDefault="006F154D" w:rsidP="004E4915">
            <w:pPr>
              <w:spacing w:after="0" w:line="240" w:lineRule="auto"/>
              <w:rPr>
                <w:rFonts w:ascii="Calibri" w:eastAsia="Times New Roman" w:hAnsi="Calibri" w:cs="Times New Roman"/>
                <w:color w:val="000000"/>
                <w:sz w:val="18"/>
                <w:szCs w:val="18"/>
                <w:lang w:eastAsia="el-GR"/>
              </w:rPr>
            </w:pPr>
            <w:r w:rsidRPr="006F154D">
              <w:rPr>
                <w:rFonts w:ascii="Calibri" w:eastAsia="Times New Roman" w:hAnsi="Calibri" w:cs="Times New Roman"/>
                <w:color w:val="000000" w:themeColor="text1"/>
                <w:sz w:val="18"/>
                <w:szCs w:val="18"/>
                <w:lang w:val="en-US" w:eastAsia="el-GR"/>
              </w:rPr>
              <w:t>Q</w:t>
            </w:r>
            <w:r>
              <w:rPr>
                <w:rFonts w:ascii="Calibri" w:eastAsia="Times New Roman" w:hAnsi="Calibri" w:cs="Times New Roman"/>
                <w:color w:val="000000" w:themeColor="text1"/>
                <w:sz w:val="18"/>
                <w:szCs w:val="18"/>
                <w:lang w:val="en-US" w:eastAsia="el-GR"/>
              </w:rPr>
              <w:t>uasi</w:t>
            </w:r>
            <w:r w:rsidRPr="006F154D">
              <w:rPr>
                <w:rFonts w:ascii="Calibri" w:eastAsia="Times New Roman" w:hAnsi="Calibri" w:cs="Times New Roman"/>
                <w:color w:val="000000" w:themeColor="text1"/>
                <w:sz w:val="18"/>
                <w:szCs w:val="18"/>
                <w:lang w:val="en-US" w:eastAsia="el-GR"/>
              </w:rPr>
              <w:t>-E</w:t>
            </w:r>
            <w:r>
              <w:rPr>
                <w:rFonts w:ascii="Calibri" w:eastAsia="Times New Roman" w:hAnsi="Calibri" w:cs="Times New Roman"/>
                <w:color w:val="000000" w:themeColor="text1"/>
                <w:sz w:val="18"/>
                <w:szCs w:val="18"/>
                <w:lang w:val="en-US" w:eastAsia="el-GR"/>
              </w:rPr>
              <w:t xml:space="preserve">xperimental </w:t>
            </w:r>
            <w:r w:rsidRPr="0487491D">
              <w:rPr>
                <w:rFonts w:ascii="Calibri" w:eastAsia="Times New Roman" w:hAnsi="Calibri" w:cs="Times New Roman"/>
                <w:color w:val="000000" w:themeColor="text1"/>
                <w:sz w:val="18"/>
                <w:szCs w:val="18"/>
                <w:lang w:val="en-US" w:eastAsia="el-GR"/>
              </w:rPr>
              <w:t>Prospective Cohort</w:t>
            </w:r>
            <w:r w:rsidRPr="0487491D">
              <w:rPr>
                <w:rFonts w:ascii="Calibri" w:eastAsia="Times New Roman" w:hAnsi="Calibri" w:cs="Times New Roman"/>
                <w:color w:val="000000" w:themeColor="text1"/>
                <w:sz w:val="18"/>
                <w:szCs w:val="18"/>
                <w:lang w:eastAsia="el-GR"/>
              </w:rPr>
              <w:t xml:space="preserve"> </w:t>
            </w:r>
          </w:p>
        </w:tc>
        <w:tc>
          <w:tcPr>
            <w:tcW w:w="1560" w:type="dxa"/>
            <w:shd w:val="clear" w:color="auto" w:fill="C6D9F1" w:themeFill="text2" w:themeFillTint="33"/>
            <w:hideMark/>
          </w:tcPr>
          <w:p w14:paraId="2F292F34" w14:textId="4FAB78D0" w:rsidR="008E0F34" w:rsidRDefault="00786443"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Children and adults</w:t>
            </w:r>
            <w:r w:rsidR="00611FA7" w:rsidRPr="00593B00">
              <w:rPr>
                <w:rFonts w:ascii="Calibri" w:eastAsia="Times New Roman" w:hAnsi="Calibri" w:cs="Times New Roman"/>
                <w:color w:val="000000"/>
                <w:sz w:val="18"/>
                <w:szCs w:val="18"/>
                <w:lang w:val="en-US" w:eastAsia="el-GR"/>
              </w:rPr>
              <w:t xml:space="preserve"> &gt; 4y.o. with IgE-mediated walnut allergy +/_ co-allergies to pecan, hazelnut, and cashew/78 children, 36 (65%) </w:t>
            </w:r>
            <w:r w:rsidR="00E61EEE">
              <w:rPr>
                <w:rFonts w:ascii="Calibri" w:eastAsia="Times New Roman" w:hAnsi="Calibri" w:cs="Times New Roman"/>
                <w:color w:val="000000"/>
                <w:sz w:val="18"/>
                <w:szCs w:val="18"/>
                <w:lang w:val="en-US" w:eastAsia="el-GR"/>
              </w:rPr>
              <w:t>males</w:t>
            </w:r>
            <w:r w:rsidR="00611FA7" w:rsidRPr="00593B00">
              <w:rPr>
                <w:rFonts w:ascii="Calibri" w:eastAsia="Times New Roman" w:hAnsi="Calibri" w:cs="Times New Roman"/>
                <w:color w:val="000000"/>
                <w:sz w:val="18"/>
                <w:szCs w:val="18"/>
                <w:lang w:val="en-US" w:eastAsia="el-GR"/>
              </w:rPr>
              <w:t>, median age 7.9</w:t>
            </w:r>
            <w:r w:rsidR="008E0F34">
              <w:rPr>
                <w:rFonts w:ascii="Calibri" w:eastAsia="Times New Roman" w:hAnsi="Calibri" w:cs="Times New Roman"/>
                <w:color w:val="000000"/>
                <w:sz w:val="18"/>
                <w:szCs w:val="18"/>
                <w:lang w:val="en-US" w:eastAsia="el-GR"/>
              </w:rPr>
              <w:t xml:space="preserve"> years</w:t>
            </w:r>
            <w:r w:rsidR="00611FA7" w:rsidRPr="00593B00">
              <w:rPr>
                <w:rFonts w:ascii="Calibri" w:eastAsia="Times New Roman" w:hAnsi="Calibri" w:cs="Times New Roman"/>
                <w:color w:val="000000"/>
                <w:sz w:val="18"/>
                <w:szCs w:val="18"/>
                <w:lang w:val="en-US" w:eastAsia="el-GR"/>
              </w:rPr>
              <w:t xml:space="preserve"> received OIT/18 participants, 15 (83%) </w:t>
            </w:r>
            <w:r w:rsidR="00E61EEE">
              <w:rPr>
                <w:rFonts w:ascii="Calibri" w:eastAsia="Times New Roman" w:hAnsi="Calibri" w:cs="Times New Roman"/>
                <w:color w:val="000000"/>
                <w:sz w:val="18"/>
                <w:szCs w:val="18"/>
                <w:lang w:val="en-US" w:eastAsia="el-GR"/>
              </w:rPr>
              <w:t>males</w:t>
            </w:r>
            <w:r w:rsidR="00611FA7" w:rsidRPr="00593B00">
              <w:rPr>
                <w:rFonts w:ascii="Calibri" w:eastAsia="Times New Roman" w:hAnsi="Calibri" w:cs="Times New Roman"/>
                <w:color w:val="000000"/>
                <w:sz w:val="18"/>
                <w:szCs w:val="18"/>
                <w:lang w:val="en-US" w:eastAsia="el-GR"/>
              </w:rPr>
              <w:t xml:space="preserve">, median age 6.8 </w:t>
            </w:r>
            <w:r w:rsidR="008E0F34">
              <w:rPr>
                <w:rFonts w:ascii="Calibri" w:eastAsia="Times New Roman" w:hAnsi="Calibri" w:cs="Times New Roman"/>
                <w:color w:val="000000"/>
                <w:sz w:val="18"/>
                <w:szCs w:val="18"/>
                <w:lang w:val="en-US" w:eastAsia="el-GR"/>
              </w:rPr>
              <w:t>years</w:t>
            </w:r>
            <w:r w:rsidR="00611FA7" w:rsidRPr="00593B00">
              <w:rPr>
                <w:rFonts w:ascii="Calibri" w:eastAsia="Times New Roman" w:hAnsi="Calibri" w:cs="Times New Roman"/>
                <w:color w:val="000000"/>
                <w:sz w:val="18"/>
                <w:szCs w:val="18"/>
                <w:lang w:val="en-US" w:eastAsia="el-GR"/>
              </w:rPr>
              <w:t xml:space="preserve"> received </w:t>
            </w:r>
            <w:proofErr w:type="gramStart"/>
            <w:r w:rsidR="008E0F34">
              <w:rPr>
                <w:rFonts w:ascii="Calibri" w:eastAsia="Times New Roman" w:hAnsi="Calibri" w:cs="Times New Roman"/>
                <w:color w:val="000000"/>
                <w:sz w:val="18"/>
                <w:szCs w:val="18"/>
                <w:lang w:val="en-US" w:eastAsia="el-GR"/>
              </w:rPr>
              <w:t>SOC</w:t>
            </w:r>
            <w:proofErr w:type="gramEnd"/>
          </w:p>
          <w:p w14:paraId="49F7FC7A" w14:textId="164A5936"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 9 underwent WOIT, </w:t>
            </w:r>
            <w:r w:rsidR="008E0F34">
              <w:rPr>
                <w:rFonts w:ascii="Calibri" w:eastAsia="Times New Roman" w:hAnsi="Calibri" w:cs="Times New Roman"/>
                <w:color w:val="000000"/>
                <w:sz w:val="18"/>
                <w:szCs w:val="18"/>
                <w:lang w:val="en-US" w:eastAsia="el-GR"/>
              </w:rPr>
              <w:t xml:space="preserve">and </w:t>
            </w:r>
            <w:r w:rsidRPr="00593B00">
              <w:rPr>
                <w:rFonts w:ascii="Calibri" w:eastAsia="Times New Roman" w:hAnsi="Calibri" w:cs="Times New Roman"/>
                <w:color w:val="000000"/>
                <w:sz w:val="18"/>
                <w:szCs w:val="18"/>
                <w:lang w:val="en-US" w:eastAsia="el-GR"/>
              </w:rPr>
              <w:t xml:space="preserve">7 were desensitized and </w:t>
            </w:r>
            <w:r w:rsidR="00786443" w:rsidRPr="00593B00">
              <w:rPr>
                <w:rFonts w:ascii="Calibri" w:eastAsia="Times New Roman" w:hAnsi="Calibri" w:cs="Times New Roman"/>
                <w:color w:val="000000"/>
                <w:sz w:val="18"/>
                <w:szCs w:val="18"/>
                <w:lang w:val="en-US" w:eastAsia="el-GR"/>
              </w:rPr>
              <w:t>included</w:t>
            </w:r>
            <w:r w:rsidRPr="00593B00">
              <w:rPr>
                <w:rFonts w:ascii="Calibri" w:eastAsia="Times New Roman" w:hAnsi="Calibri" w:cs="Times New Roman"/>
                <w:color w:val="000000"/>
                <w:sz w:val="18"/>
                <w:szCs w:val="18"/>
                <w:lang w:val="en-US" w:eastAsia="el-GR"/>
              </w:rPr>
              <w:t xml:space="preserve"> in the 6</w:t>
            </w:r>
            <w:r w:rsidR="005209F1" w:rsidRPr="005209F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months maintenance analysis. </w:t>
            </w:r>
          </w:p>
        </w:tc>
        <w:tc>
          <w:tcPr>
            <w:tcW w:w="2676" w:type="dxa"/>
            <w:shd w:val="clear" w:color="auto" w:fill="C6D9F1" w:themeFill="text2" w:themeFillTint="33"/>
            <w:hideMark/>
          </w:tcPr>
          <w:p w14:paraId="499DA9D0" w14:textId="6CDE6742"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All participants in the active group received </w:t>
            </w:r>
            <w:r w:rsidR="004777E6">
              <w:rPr>
                <w:rFonts w:ascii="Calibri" w:eastAsia="Times New Roman" w:hAnsi="Calibri" w:cs="Times New Roman"/>
                <w:color w:val="000000"/>
                <w:sz w:val="18"/>
                <w:szCs w:val="18"/>
                <w:lang w:val="en-US" w:eastAsia="el-GR"/>
              </w:rPr>
              <w:t>W</w:t>
            </w:r>
            <w:r w:rsidRPr="00593B00">
              <w:rPr>
                <w:rFonts w:ascii="Calibri" w:eastAsia="Times New Roman" w:hAnsi="Calibri" w:cs="Times New Roman"/>
                <w:color w:val="000000"/>
                <w:sz w:val="18"/>
                <w:szCs w:val="18"/>
                <w:lang w:val="en-US" w:eastAsia="el-GR"/>
              </w:rPr>
              <w:t>OIT: (1</w:t>
            </w:r>
            <w:r w:rsidR="00786443" w:rsidRPr="00593B00">
              <w:rPr>
                <w:rFonts w:ascii="Calibri" w:eastAsia="Times New Roman" w:hAnsi="Calibri" w:cs="Times New Roman"/>
                <w:color w:val="000000"/>
                <w:sz w:val="18"/>
                <w:szCs w:val="18"/>
                <w:lang w:val="en-US" w:eastAsia="el-GR"/>
              </w:rPr>
              <w:t>) Initial</w:t>
            </w:r>
            <w:r w:rsidRPr="00593B00">
              <w:rPr>
                <w:rFonts w:ascii="Calibri" w:eastAsia="Times New Roman" w:hAnsi="Calibri" w:cs="Times New Roman"/>
                <w:color w:val="000000"/>
                <w:sz w:val="18"/>
                <w:szCs w:val="18"/>
                <w:lang w:val="en-US" w:eastAsia="el-GR"/>
              </w:rPr>
              <w:t xml:space="preserve"> escalation: 4 days to establish the highest tolerated dose (from 0.1 to 300mg of walnut protein. (</w:t>
            </w:r>
            <w:r w:rsidR="00593B00" w:rsidRPr="00593B00">
              <w:rPr>
                <w:rFonts w:ascii="Calibri" w:eastAsia="Times New Roman" w:hAnsi="Calibri" w:cs="Times New Roman"/>
                <w:color w:val="000000"/>
                <w:sz w:val="18"/>
                <w:szCs w:val="18"/>
                <w:lang w:val="en-US" w:eastAsia="el-GR"/>
              </w:rPr>
              <w:t>2) Build</w:t>
            </w:r>
            <w:r w:rsidRPr="00593B00">
              <w:rPr>
                <w:rFonts w:ascii="Calibri" w:eastAsia="Times New Roman" w:hAnsi="Calibri" w:cs="Times New Roman"/>
                <w:color w:val="000000"/>
                <w:sz w:val="18"/>
                <w:szCs w:val="18"/>
                <w:lang w:val="en-US" w:eastAsia="el-GR"/>
              </w:rPr>
              <w:t>-up phase: Monthly 1-4 days escalations in clinic with up to 4-</w:t>
            </w:r>
            <w:r w:rsidR="004777E6" w:rsidRPr="00593B00">
              <w:rPr>
                <w:rFonts w:ascii="Calibri" w:eastAsia="Times New Roman" w:hAnsi="Calibri" w:cs="Times New Roman"/>
                <w:color w:val="000000"/>
                <w:sz w:val="18"/>
                <w:szCs w:val="18"/>
                <w:lang w:val="en-US" w:eastAsia="el-GR"/>
              </w:rPr>
              <w:t>fold escalations</w:t>
            </w:r>
            <w:r w:rsidRPr="00593B00">
              <w:rPr>
                <w:rFonts w:ascii="Calibri" w:eastAsia="Times New Roman" w:hAnsi="Calibri" w:cs="Times New Roman"/>
                <w:color w:val="000000"/>
                <w:sz w:val="18"/>
                <w:szCs w:val="18"/>
                <w:lang w:val="en-US" w:eastAsia="el-GR"/>
              </w:rPr>
              <w:t xml:space="preserve"> in the first two rounds, 3-fold in the third round</w:t>
            </w:r>
            <w:r w:rsidR="005209F1" w:rsidRPr="005209F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2-fold in the 4th and fifth </w:t>
            </w:r>
            <w:r w:rsidR="00593B00" w:rsidRPr="00593B00">
              <w:rPr>
                <w:rFonts w:ascii="Calibri" w:eastAsia="Times New Roman" w:hAnsi="Calibri" w:cs="Times New Roman"/>
                <w:color w:val="000000"/>
                <w:sz w:val="18"/>
                <w:szCs w:val="18"/>
                <w:lang w:val="en-US" w:eastAsia="el-GR"/>
              </w:rPr>
              <w:t>rounds</w:t>
            </w:r>
            <w:r w:rsidRPr="00593B00">
              <w:rPr>
                <w:rFonts w:ascii="Calibri" w:eastAsia="Times New Roman" w:hAnsi="Calibri" w:cs="Times New Roman"/>
                <w:color w:val="000000"/>
                <w:sz w:val="18"/>
                <w:szCs w:val="18"/>
                <w:lang w:val="en-US" w:eastAsia="el-GR"/>
              </w:rPr>
              <w:t>, monthly 50% increases thereafter until 4000 mg walnut protein. (3) Maintenance: 1200mg of walnut protein.</w:t>
            </w:r>
          </w:p>
        </w:tc>
        <w:tc>
          <w:tcPr>
            <w:tcW w:w="1784" w:type="dxa"/>
            <w:shd w:val="clear" w:color="auto" w:fill="C6D9F1" w:themeFill="text2" w:themeFillTint="33"/>
            <w:hideMark/>
          </w:tcPr>
          <w:p w14:paraId="40887411" w14:textId="77777777" w:rsidR="00611FA7" w:rsidRPr="00682ADA" w:rsidRDefault="755C631A" w:rsidP="755C631A">
            <w:pPr>
              <w:spacing w:after="0" w:line="240" w:lineRule="auto"/>
              <w:rPr>
                <w:rFonts w:ascii="Calibri" w:eastAsia="Times New Roman" w:hAnsi="Calibri" w:cs="Times New Roman"/>
                <w:color w:val="000000"/>
                <w:sz w:val="18"/>
                <w:szCs w:val="18"/>
                <w:lang w:val="en-US" w:eastAsia="el-GR"/>
              </w:rPr>
            </w:pPr>
            <w:r w:rsidRPr="00E458FB">
              <w:rPr>
                <w:rFonts w:ascii="Calibri" w:eastAsia="Times New Roman" w:hAnsi="Calibri" w:cs="Times New Roman"/>
                <w:color w:val="000000" w:themeColor="text1"/>
                <w:sz w:val="18"/>
                <w:szCs w:val="18"/>
                <w:lang w:val="en-US" w:eastAsia="el-GR"/>
              </w:rPr>
              <w:t xml:space="preserve">(1) </w:t>
            </w:r>
            <w:r w:rsidRPr="00682ADA">
              <w:rPr>
                <w:rFonts w:ascii="Calibri" w:eastAsia="Times New Roman" w:hAnsi="Calibri" w:cs="Times New Roman"/>
                <w:b/>
                <w:bCs/>
                <w:color w:val="000000" w:themeColor="text1"/>
                <w:sz w:val="18"/>
                <w:szCs w:val="18"/>
                <w:lang w:val="en-US" w:eastAsia="el-GR"/>
              </w:rPr>
              <w:t>Walnut desensitization</w:t>
            </w:r>
            <w:r w:rsidRPr="00E458FB">
              <w:rPr>
                <w:rFonts w:ascii="Calibri" w:eastAsia="Times New Roman" w:hAnsi="Calibri" w:cs="Times New Roman"/>
                <w:color w:val="000000" w:themeColor="text1"/>
                <w:sz w:val="18"/>
                <w:szCs w:val="18"/>
                <w:lang w:val="en-US" w:eastAsia="el-GR"/>
              </w:rPr>
              <w:t>: The ability to tolerate 4000mg of walnut protein.</w:t>
            </w:r>
          </w:p>
        </w:tc>
        <w:tc>
          <w:tcPr>
            <w:tcW w:w="5760" w:type="dxa"/>
            <w:shd w:val="clear" w:color="auto" w:fill="C6D9F1" w:themeFill="text2" w:themeFillTint="33"/>
            <w:hideMark/>
          </w:tcPr>
          <w:p w14:paraId="4DD99268" w14:textId="05AB39E8"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(1a) Odds ratio of desensitization between groups. (1b) Median duration of treatment. (1c) Number of subjects partially desensitized. (1d) Proportion of patients who achieved </w:t>
            </w:r>
            <w:r w:rsidR="00786443" w:rsidRPr="00593B00">
              <w:rPr>
                <w:rFonts w:ascii="Calibri" w:eastAsia="Times New Roman" w:hAnsi="Calibri" w:cs="Times New Roman"/>
                <w:color w:val="000000"/>
                <w:sz w:val="18"/>
                <w:szCs w:val="18"/>
                <w:lang w:val="en-US" w:eastAsia="el-GR"/>
              </w:rPr>
              <w:t>desensitization</w:t>
            </w:r>
            <w:r w:rsidRPr="00593B00">
              <w:rPr>
                <w:rFonts w:ascii="Calibri" w:eastAsia="Times New Roman" w:hAnsi="Calibri" w:cs="Times New Roman"/>
                <w:color w:val="000000"/>
                <w:sz w:val="18"/>
                <w:szCs w:val="18"/>
                <w:lang w:val="en-US" w:eastAsia="el-GR"/>
              </w:rPr>
              <w:t xml:space="preserve"> to walnut, by reaction doses before oral immunotherapy. (2) Proportion of subjects desensitized or responded to pecan, hazelnut</w:t>
            </w:r>
            <w:r w:rsidR="005209F1" w:rsidRPr="005209F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or cashew. Proportion of subjects </w:t>
            </w:r>
            <w:r w:rsidR="00786443" w:rsidRPr="00593B00">
              <w:rPr>
                <w:rFonts w:ascii="Calibri" w:eastAsia="Times New Roman" w:hAnsi="Calibri" w:cs="Times New Roman"/>
                <w:color w:val="000000"/>
                <w:sz w:val="18"/>
                <w:szCs w:val="18"/>
                <w:lang w:val="en-US" w:eastAsia="el-GR"/>
              </w:rPr>
              <w:t>desensitized</w:t>
            </w:r>
            <w:r w:rsidRPr="00593B00">
              <w:rPr>
                <w:rFonts w:ascii="Calibri" w:eastAsia="Times New Roman" w:hAnsi="Calibri" w:cs="Times New Roman"/>
                <w:color w:val="000000"/>
                <w:sz w:val="18"/>
                <w:szCs w:val="18"/>
                <w:lang w:val="en-US" w:eastAsia="el-GR"/>
              </w:rPr>
              <w:t xml:space="preserve"> to all tested tree nuts and subjects remained allergic to at least one of these nuts. (3) Changes in </w:t>
            </w:r>
            <w:r w:rsidR="00786443" w:rsidRPr="00593B00">
              <w:rPr>
                <w:rFonts w:ascii="Calibri" w:eastAsia="Times New Roman" w:hAnsi="Calibri" w:cs="Times New Roman"/>
                <w:color w:val="000000"/>
                <w:sz w:val="18"/>
                <w:szCs w:val="18"/>
                <w:lang w:val="en-US" w:eastAsia="el-GR"/>
              </w:rPr>
              <w:t xml:space="preserve">walnut SPT, BAT, IgE and IgG4, </w:t>
            </w:r>
            <w:r w:rsidRPr="00593B00">
              <w:rPr>
                <w:rFonts w:ascii="Calibri" w:eastAsia="Times New Roman" w:hAnsi="Calibri" w:cs="Times New Roman"/>
                <w:color w:val="000000"/>
                <w:sz w:val="18"/>
                <w:szCs w:val="18"/>
                <w:lang w:val="en-US" w:eastAsia="el-GR"/>
              </w:rPr>
              <w:t>IgE:</w:t>
            </w:r>
            <w:r w:rsidR="00593B00"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IgG4 ratio,</w:t>
            </w:r>
            <w:r w:rsidR="00786443"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and walnut components from study start to end in active and control groups. Changes in pecan, hazelnut, or </w:t>
            </w:r>
            <w:r w:rsidR="00786443" w:rsidRPr="00593B00">
              <w:rPr>
                <w:rFonts w:ascii="Calibri" w:eastAsia="Times New Roman" w:hAnsi="Calibri" w:cs="Times New Roman"/>
                <w:color w:val="000000"/>
                <w:sz w:val="18"/>
                <w:szCs w:val="18"/>
                <w:lang w:val="en-US" w:eastAsia="el-GR"/>
              </w:rPr>
              <w:t xml:space="preserve">cashew SPT, BAT, IgE and IgG4, </w:t>
            </w:r>
            <w:r w:rsidRPr="00593B00">
              <w:rPr>
                <w:rFonts w:ascii="Calibri" w:eastAsia="Times New Roman" w:hAnsi="Calibri" w:cs="Times New Roman"/>
                <w:color w:val="000000"/>
                <w:sz w:val="18"/>
                <w:szCs w:val="18"/>
                <w:lang w:val="en-US" w:eastAsia="el-GR"/>
              </w:rPr>
              <w:t>and IgE:</w:t>
            </w:r>
            <w:r w:rsidR="00593B00"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IgG4 ratio from the study start to the end in </w:t>
            </w:r>
            <w:r w:rsidR="005209F1" w:rsidRPr="005209F1">
              <w:rPr>
                <w:rFonts w:ascii="Calibri" w:eastAsia="Times New Roman" w:hAnsi="Calibri" w:cs="Times New Roman"/>
                <w:color w:val="000000"/>
                <w:sz w:val="18"/>
                <w:szCs w:val="18"/>
                <w:lang w:val="en-US" w:eastAsia="el-GR"/>
              </w:rPr>
              <w:t xml:space="preserve">the </w:t>
            </w:r>
            <w:r w:rsidRPr="00593B00">
              <w:rPr>
                <w:rFonts w:ascii="Calibri" w:eastAsia="Times New Roman" w:hAnsi="Calibri" w:cs="Times New Roman"/>
                <w:color w:val="000000"/>
                <w:sz w:val="18"/>
                <w:szCs w:val="18"/>
                <w:lang w:val="en-US" w:eastAsia="el-GR"/>
              </w:rPr>
              <w:t xml:space="preserve">active group. (4) Changes in QoL at the start and end of the study in subjects </w:t>
            </w:r>
            <w:r w:rsidR="00786443" w:rsidRPr="00593B00">
              <w:rPr>
                <w:rFonts w:ascii="Calibri" w:eastAsia="Times New Roman" w:hAnsi="Calibri" w:cs="Times New Roman"/>
                <w:color w:val="000000"/>
                <w:sz w:val="18"/>
                <w:szCs w:val="18"/>
                <w:lang w:val="en-US" w:eastAsia="el-GR"/>
              </w:rPr>
              <w:t>desensitized</w:t>
            </w:r>
            <w:r w:rsidRPr="00593B00">
              <w:rPr>
                <w:rFonts w:ascii="Calibri" w:eastAsia="Times New Roman" w:hAnsi="Calibri" w:cs="Times New Roman"/>
                <w:color w:val="000000"/>
                <w:sz w:val="18"/>
                <w:szCs w:val="18"/>
                <w:lang w:val="en-US" w:eastAsia="el-GR"/>
              </w:rPr>
              <w:t xml:space="preserve"> to all tested nuts and those who remained allergic. (5) Proportion of subjects passing an OFC to walnut after maintenance 1200mg of walnut for 6 months. (6) Adverse reactions (number, severity, organ involvement and treatment) during hospital and home dosing, per patient and per doses received.   </w:t>
            </w:r>
          </w:p>
        </w:tc>
      </w:tr>
      <w:tr w:rsidR="00611FA7" w:rsidRPr="00A2595E" w14:paraId="10567A4D" w14:textId="77777777" w:rsidTr="00682ADA">
        <w:trPr>
          <w:trHeight w:val="20"/>
        </w:trPr>
        <w:tc>
          <w:tcPr>
            <w:tcW w:w="1159" w:type="dxa"/>
            <w:shd w:val="clear" w:color="auto" w:fill="auto"/>
            <w:hideMark/>
          </w:tcPr>
          <w:p w14:paraId="5C5131C4"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Sasamoto et al. 2021; Japan; NS; NS</w:t>
            </w:r>
          </w:p>
        </w:tc>
        <w:tc>
          <w:tcPr>
            <w:tcW w:w="1003" w:type="dxa"/>
            <w:shd w:val="clear" w:color="auto" w:fill="auto"/>
            <w:hideMark/>
          </w:tcPr>
          <w:p w14:paraId="31EF2464" w14:textId="1D770A68" w:rsidR="00611FA7" w:rsidRPr="00593B00" w:rsidRDefault="0487491D" w:rsidP="004E4915">
            <w:pPr>
              <w:spacing w:after="0" w:line="240" w:lineRule="auto"/>
              <w:rPr>
                <w:rFonts w:ascii="Calibri" w:eastAsia="Times New Roman" w:hAnsi="Calibri" w:cs="Times New Roman"/>
                <w:color w:val="000000"/>
                <w:sz w:val="18"/>
                <w:szCs w:val="18"/>
                <w:lang w:eastAsia="el-GR"/>
              </w:rPr>
            </w:pPr>
            <w:r w:rsidRPr="0487491D">
              <w:rPr>
                <w:rFonts w:ascii="Calibri" w:eastAsia="Times New Roman" w:hAnsi="Calibri" w:cs="Times New Roman"/>
                <w:color w:val="000000" w:themeColor="text1"/>
                <w:sz w:val="18"/>
                <w:szCs w:val="18"/>
                <w:lang w:eastAsia="el-GR"/>
              </w:rPr>
              <w:t>Case report</w:t>
            </w:r>
          </w:p>
        </w:tc>
        <w:tc>
          <w:tcPr>
            <w:tcW w:w="1560" w:type="dxa"/>
            <w:shd w:val="clear" w:color="auto" w:fill="auto"/>
            <w:hideMark/>
          </w:tcPr>
          <w:p w14:paraId="3E53D14B" w14:textId="7D80AEF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&gt; 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IgE mediated walnut allergy/3 </w:t>
            </w:r>
            <w:r w:rsidRPr="00593B00">
              <w:rPr>
                <w:rFonts w:ascii="Calibri" w:eastAsia="Times New Roman" w:hAnsi="Calibri" w:cs="Times New Roman"/>
                <w:color w:val="000000"/>
                <w:sz w:val="18"/>
                <w:szCs w:val="18"/>
                <w:lang w:val="en-US" w:eastAsia="el-GR"/>
              </w:rPr>
              <w:lastRenderedPageBreak/>
              <w:t xml:space="preserve">children, 1 </w:t>
            </w:r>
            <w:r w:rsidR="00250439" w:rsidRPr="00682ADA">
              <w:rPr>
                <w:rFonts w:ascii="Calibri" w:eastAsia="Times New Roman" w:hAnsi="Calibri" w:cs="Times New Roman"/>
                <w:color w:val="000000"/>
                <w:sz w:val="18"/>
                <w:szCs w:val="18"/>
                <w:lang w:val="en-US" w:eastAsia="el-GR"/>
              </w:rPr>
              <w:t>male</w:t>
            </w:r>
            <w:r w:rsidRPr="00593B00">
              <w:rPr>
                <w:rFonts w:ascii="Calibri" w:eastAsia="Times New Roman" w:hAnsi="Calibri" w:cs="Times New Roman"/>
                <w:color w:val="000000"/>
                <w:sz w:val="18"/>
                <w:szCs w:val="18"/>
                <w:lang w:val="en-US" w:eastAsia="el-GR"/>
              </w:rPr>
              <w:t>, aged 7, 7</w:t>
            </w:r>
            <w:r w:rsidR="004777E6">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8 </w:t>
            </w:r>
            <w:proofErr w:type="spellStart"/>
            <w:r w:rsidRPr="00593B00">
              <w:rPr>
                <w:rFonts w:ascii="Calibri" w:eastAsia="Times New Roman" w:hAnsi="Calibri" w:cs="Times New Roman"/>
                <w:color w:val="000000"/>
                <w:sz w:val="18"/>
                <w:szCs w:val="18"/>
                <w:lang w:val="en-US" w:eastAsia="el-GR"/>
              </w:rPr>
              <w:t>y.o</w:t>
            </w:r>
            <w:proofErr w:type="spellEnd"/>
            <w:r w:rsidR="007D0A7E">
              <w:rPr>
                <w:rFonts w:ascii="Calibri" w:eastAsia="Times New Roman" w:hAnsi="Calibri" w:cs="Times New Roman"/>
                <w:color w:val="000000"/>
                <w:sz w:val="18"/>
                <w:szCs w:val="18"/>
                <w:lang w:val="en-US" w:eastAsia="el-GR"/>
              </w:rPr>
              <w:t>.</w:t>
            </w:r>
          </w:p>
        </w:tc>
        <w:tc>
          <w:tcPr>
            <w:tcW w:w="2676" w:type="dxa"/>
            <w:shd w:val="clear" w:color="auto" w:fill="auto"/>
            <w:hideMark/>
          </w:tcPr>
          <w:p w14:paraId="3090F03B" w14:textId="594DCC6B"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 xml:space="preserve">All children received </w:t>
            </w:r>
            <w:r w:rsidR="004777E6">
              <w:rPr>
                <w:rFonts w:ascii="Calibri" w:eastAsia="Times New Roman" w:hAnsi="Calibri" w:cs="Times New Roman"/>
                <w:color w:val="000000"/>
                <w:sz w:val="18"/>
                <w:szCs w:val="18"/>
                <w:lang w:val="en-US" w:eastAsia="el-GR"/>
              </w:rPr>
              <w:t>W</w:t>
            </w:r>
            <w:r w:rsidRPr="00593B00">
              <w:rPr>
                <w:rFonts w:ascii="Calibri" w:eastAsia="Times New Roman" w:hAnsi="Calibri" w:cs="Times New Roman"/>
                <w:color w:val="000000"/>
                <w:sz w:val="18"/>
                <w:szCs w:val="18"/>
                <w:lang w:val="en-US" w:eastAsia="el-GR"/>
              </w:rPr>
              <w:t xml:space="preserve">OIT and received antihistamines from the start of OIT until there was no symptom for 1 month after </w:t>
            </w:r>
            <w:r w:rsidRPr="00593B00">
              <w:rPr>
                <w:rFonts w:ascii="Calibri" w:eastAsia="Times New Roman" w:hAnsi="Calibri" w:cs="Times New Roman"/>
                <w:color w:val="000000"/>
                <w:sz w:val="18"/>
                <w:szCs w:val="18"/>
                <w:lang w:val="en-US" w:eastAsia="el-GR"/>
              </w:rPr>
              <w:lastRenderedPageBreak/>
              <w:t>desensitization. (1) Initial escalation in hospital: 3 days to establish the home starting dose protein. (</w:t>
            </w:r>
            <w:r w:rsidR="00593B00" w:rsidRPr="00593B00">
              <w:rPr>
                <w:rFonts w:ascii="Calibri" w:eastAsia="Times New Roman" w:hAnsi="Calibri" w:cs="Times New Roman"/>
                <w:color w:val="000000"/>
                <w:sz w:val="18"/>
                <w:szCs w:val="18"/>
                <w:lang w:val="en-US" w:eastAsia="el-GR"/>
              </w:rPr>
              <w:t>2) Build</w:t>
            </w:r>
            <w:r w:rsidRPr="00593B00">
              <w:rPr>
                <w:rFonts w:ascii="Calibri" w:eastAsia="Times New Roman" w:hAnsi="Calibri" w:cs="Times New Roman"/>
                <w:color w:val="000000"/>
                <w:sz w:val="18"/>
                <w:szCs w:val="18"/>
                <w:lang w:val="en-US" w:eastAsia="el-GR"/>
              </w:rPr>
              <w:t>-up phase: Monthly escalations until maintenance. (3) Maintenance: 75mg of walnut protein daily (</w:t>
            </w:r>
            <w:r w:rsidR="00593B00" w:rsidRPr="00593B00">
              <w:rPr>
                <w:rFonts w:ascii="Calibri" w:eastAsia="Times New Roman" w:hAnsi="Calibri" w:cs="Times New Roman"/>
                <w:color w:val="000000"/>
                <w:sz w:val="18"/>
                <w:szCs w:val="18"/>
                <w:lang w:val="en-US" w:eastAsia="el-GR"/>
              </w:rPr>
              <w:t>4) Short</w:t>
            </w:r>
            <w:r w:rsidRPr="00593B00">
              <w:rPr>
                <w:rFonts w:ascii="Calibri" w:eastAsia="Times New Roman" w:hAnsi="Calibri" w:cs="Times New Roman"/>
                <w:color w:val="000000"/>
                <w:sz w:val="18"/>
                <w:szCs w:val="18"/>
                <w:lang w:val="en-US" w:eastAsia="el-GR"/>
              </w:rPr>
              <w:t xml:space="preserve">-term unresponsiveness (STU): After at least 1 year from initiation OIT was discontinued for 2 weeks, and an OFC to 450mg walnut protein was performed. </w:t>
            </w:r>
          </w:p>
        </w:tc>
        <w:tc>
          <w:tcPr>
            <w:tcW w:w="1784" w:type="dxa"/>
            <w:shd w:val="clear" w:color="auto" w:fill="auto"/>
            <w:hideMark/>
          </w:tcPr>
          <w:p w14:paraId="435CD3EF"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 xml:space="preserve">(1) Efficacy: (a) </w:t>
            </w:r>
            <w:r w:rsidRPr="00682ADA">
              <w:rPr>
                <w:rFonts w:ascii="Calibri" w:eastAsia="Times New Roman" w:hAnsi="Calibri" w:cs="Times New Roman"/>
                <w:b/>
                <w:bCs/>
                <w:color w:val="000000"/>
                <w:sz w:val="18"/>
                <w:szCs w:val="18"/>
                <w:lang w:val="en-US" w:eastAsia="el-GR"/>
              </w:rPr>
              <w:t xml:space="preserve">Desensitization: The absence of symptoms after ingesting 75 mg </w:t>
            </w:r>
            <w:r w:rsidRPr="00682ADA">
              <w:rPr>
                <w:rFonts w:ascii="Calibri" w:eastAsia="Times New Roman" w:hAnsi="Calibri" w:cs="Times New Roman"/>
                <w:b/>
                <w:bCs/>
                <w:color w:val="000000"/>
                <w:sz w:val="18"/>
                <w:szCs w:val="18"/>
                <w:lang w:val="en-US" w:eastAsia="el-GR"/>
              </w:rPr>
              <w:lastRenderedPageBreak/>
              <w:t>walnut on consecutive days</w:t>
            </w:r>
            <w:r w:rsidRPr="00593B00">
              <w:rPr>
                <w:rFonts w:ascii="Calibri" w:eastAsia="Times New Roman" w:hAnsi="Calibri" w:cs="Times New Roman"/>
                <w:color w:val="000000"/>
                <w:sz w:val="18"/>
                <w:szCs w:val="18"/>
                <w:lang w:val="en-US" w:eastAsia="el-GR"/>
              </w:rPr>
              <w:t xml:space="preserve"> (b) </w:t>
            </w:r>
            <w:r w:rsidRPr="00682ADA">
              <w:rPr>
                <w:rFonts w:ascii="Calibri" w:eastAsia="Times New Roman" w:hAnsi="Calibri" w:cs="Times New Roman"/>
                <w:b/>
                <w:bCs/>
                <w:color w:val="000000"/>
                <w:sz w:val="18"/>
                <w:szCs w:val="18"/>
                <w:lang w:val="en-US" w:eastAsia="el-GR"/>
              </w:rPr>
              <w:t>STU: The ability to pass an OFC to 450mg walnut protein after two weeks off OIT</w:t>
            </w:r>
            <w:r w:rsidRPr="00593B00">
              <w:rPr>
                <w:rFonts w:ascii="Calibri" w:eastAsia="Times New Roman" w:hAnsi="Calibri" w:cs="Times New Roman"/>
                <w:color w:val="000000"/>
                <w:sz w:val="18"/>
                <w:szCs w:val="18"/>
                <w:lang w:val="en-US" w:eastAsia="el-GR"/>
              </w:rPr>
              <w:t xml:space="preserve">. (2) Safety:  Adverse reactions and treatment according to The Japanese Food Allergy Treatment Guidelines. </w:t>
            </w:r>
          </w:p>
        </w:tc>
        <w:tc>
          <w:tcPr>
            <w:tcW w:w="5760" w:type="dxa"/>
            <w:shd w:val="clear" w:color="auto" w:fill="auto"/>
            <w:hideMark/>
          </w:tcPr>
          <w:p w14:paraId="5B3B631F" w14:textId="55827BA4"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(1</w:t>
            </w:r>
            <w:r w:rsidR="00593B00" w:rsidRPr="00593B00">
              <w:rPr>
                <w:rFonts w:ascii="Calibri" w:eastAsia="Times New Roman" w:hAnsi="Calibri" w:cs="Times New Roman"/>
                <w:color w:val="000000"/>
                <w:sz w:val="18"/>
                <w:szCs w:val="18"/>
                <w:lang w:val="en-US" w:eastAsia="el-GR"/>
              </w:rPr>
              <w:t>a) Time</w:t>
            </w:r>
            <w:r w:rsidRPr="00593B00">
              <w:rPr>
                <w:rFonts w:ascii="Calibri" w:eastAsia="Times New Roman" w:hAnsi="Calibri" w:cs="Times New Roman"/>
                <w:color w:val="000000"/>
                <w:sz w:val="18"/>
                <w:szCs w:val="18"/>
                <w:lang w:val="en-US" w:eastAsia="el-GR"/>
              </w:rPr>
              <w:t xml:space="preserve"> (months) to achieve desensitization. (1b) Time to achieve STU.</w:t>
            </w:r>
            <w:r w:rsidR="00786443" w:rsidRPr="00593B00">
              <w:rPr>
                <w:rFonts w:ascii="Calibri" w:eastAsia="Times New Roman" w:hAnsi="Calibri" w:cs="Times New Roman"/>
                <w:color w:val="000000"/>
                <w:sz w:val="18"/>
                <w:szCs w:val="18"/>
                <w:lang w:val="en-US" w:eastAsia="el-GR"/>
              </w:rPr>
              <w:t xml:space="preserve"> (2a) Total rate of adverse rea</w:t>
            </w:r>
            <w:r w:rsidRPr="00593B00">
              <w:rPr>
                <w:rFonts w:ascii="Calibri" w:eastAsia="Times New Roman" w:hAnsi="Calibri" w:cs="Times New Roman"/>
                <w:color w:val="000000"/>
                <w:sz w:val="18"/>
                <w:szCs w:val="18"/>
                <w:lang w:val="en-US" w:eastAsia="el-GR"/>
              </w:rPr>
              <w:t>c</w:t>
            </w:r>
            <w:r w:rsidR="00786443" w:rsidRPr="00593B00">
              <w:rPr>
                <w:rFonts w:ascii="Calibri" w:eastAsia="Times New Roman" w:hAnsi="Calibri" w:cs="Times New Roman"/>
                <w:color w:val="000000"/>
                <w:sz w:val="18"/>
                <w:szCs w:val="18"/>
                <w:lang w:val="en-US" w:eastAsia="el-GR"/>
              </w:rPr>
              <w:t>t</w:t>
            </w:r>
            <w:r w:rsidRPr="00593B00">
              <w:rPr>
                <w:rFonts w:ascii="Calibri" w:eastAsia="Times New Roman" w:hAnsi="Calibri" w:cs="Times New Roman"/>
                <w:color w:val="000000"/>
                <w:sz w:val="18"/>
                <w:szCs w:val="18"/>
                <w:lang w:val="en-US" w:eastAsia="el-GR"/>
              </w:rPr>
              <w:t xml:space="preserve">ion per intake at home. (2b) Number and rate per intake of adverse symptoms per </w:t>
            </w:r>
            <w:r w:rsidR="004777E6">
              <w:rPr>
                <w:rFonts w:ascii="Calibri" w:eastAsia="Times New Roman" w:hAnsi="Calibri" w:cs="Times New Roman"/>
                <w:color w:val="000000"/>
                <w:sz w:val="18"/>
                <w:szCs w:val="18"/>
                <w:lang w:val="en-US" w:eastAsia="el-GR"/>
              </w:rPr>
              <w:t>child</w:t>
            </w:r>
            <w:r w:rsidRPr="00593B00">
              <w:rPr>
                <w:rFonts w:ascii="Calibri" w:eastAsia="Times New Roman" w:hAnsi="Calibri" w:cs="Times New Roman"/>
                <w:color w:val="000000"/>
                <w:sz w:val="18"/>
                <w:szCs w:val="18"/>
                <w:lang w:val="en-US" w:eastAsia="el-GR"/>
              </w:rPr>
              <w:t xml:space="preserve"> in hospital and at home. (2b</w:t>
            </w:r>
            <w:r w:rsidR="00786443" w:rsidRPr="00593B00">
              <w:rPr>
                <w:rFonts w:ascii="Calibri" w:eastAsia="Times New Roman" w:hAnsi="Calibri" w:cs="Times New Roman"/>
                <w:color w:val="000000"/>
                <w:sz w:val="18"/>
                <w:szCs w:val="18"/>
                <w:lang w:val="en-US" w:eastAsia="el-GR"/>
              </w:rPr>
              <w:t xml:space="preserve">) Severity of adverse symptoms </w:t>
            </w:r>
            <w:r w:rsidRPr="00593B00">
              <w:rPr>
                <w:rFonts w:ascii="Calibri" w:eastAsia="Times New Roman" w:hAnsi="Calibri" w:cs="Times New Roman"/>
                <w:color w:val="000000"/>
                <w:sz w:val="18"/>
                <w:szCs w:val="18"/>
                <w:lang w:val="en-US" w:eastAsia="el-GR"/>
              </w:rPr>
              <w:t xml:space="preserve">per </w:t>
            </w:r>
            <w:r w:rsidR="004777E6">
              <w:rPr>
                <w:rFonts w:ascii="Calibri" w:eastAsia="Times New Roman" w:hAnsi="Calibri" w:cs="Times New Roman"/>
                <w:color w:val="000000"/>
                <w:sz w:val="18"/>
                <w:szCs w:val="18"/>
                <w:lang w:val="en-US" w:eastAsia="el-GR"/>
              </w:rPr>
              <w:t>child</w:t>
            </w:r>
            <w:r w:rsidRPr="00593B00">
              <w:rPr>
                <w:rFonts w:ascii="Calibri" w:eastAsia="Times New Roman" w:hAnsi="Calibri" w:cs="Times New Roman"/>
                <w:color w:val="000000"/>
                <w:sz w:val="18"/>
                <w:szCs w:val="18"/>
                <w:lang w:val="en-US" w:eastAsia="el-GR"/>
              </w:rPr>
              <w:t xml:space="preserve"> and per OIT doses in hospital and at home. </w:t>
            </w:r>
            <w:r w:rsidRPr="00593B00">
              <w:rPr>
                <w:rFonts w:ascii="Calibri" w:eastAsia="Times New Roman" w:hAnsi="Calibri" w:cs="Times New Roman"/>
                <w:color w:val="000000"/>
                <w:sz w:val="18"/>
                <w:szCs w:val="18"/>
                <w:lang w:val="en-US" w:eastAsia="el-GR"/>
              </w:rPr>
              <w:lastRenderedPageBreak/>
              <w:t>(2c) Treatment need</w:t>
            </w:r>
            <w:r w:rsidR="004777E6">
              <w:rPr>
                <w:rFonts w:ascii="Calibri" w:eastAsia="Times New Roman" w:hAnsi="Calibri" w:cs="Times New Roman"/>
                <w:color w:val="000000"/>
                <w:sz w:val="18"/>
                <w:szCs w:val="18"/>
                <w:lang w:val="en-US" w:eastAsia="el-GR"/>
              </w:rPr>
              <w:t>ed</w:t>
            </w:r>
            <w:r w:rsidRPr="00593B00">
              <w:rPr>
                <w:rFonts w:ascii="Calibri" w:eastAsia="Times New Roman" w:hAnsi="Calibri" w:cs="Times New Roman"/>
                <w:color w:val="000000"/>
                <w:sz w:val="18"/>
                <w:szCs w:val="18"/>
                <w:lang w:val="en-US" w:eastAsia="el-GR"/>
              </w:rPr>
              <w:t xml:space="preserve"> per </w:t>
            </w:r>
            <w:r w:rsidR="004777E6">
              <w:rPr>
                <w:rFonts w:ascii="Calibri" w:eastAsia="Times New Roman" w:hAnsi="Calibri" w:cs="Times New Roman"/>
                <w:color w:val="000000"/>
                <w:sz w:val="18"/>
                <w:szCs w:val="18"/>
                <w:lang w:val="en-US" w:eastAsia="el-GR"/>
              </w:rPr>
              <w:t>child</w:t>
            </w:r>
            <w:r w:rsidRPr="00593B00">
              <w:rPr>
                <w:rFonts w:ascii="Calibri" w:eastAsia="Times New Roman" w:hAnsi="Calibri" w:cs="Times New Roman"/>
                <w:color w:val="000000"/>
                <w:sz w:val="18"/>
                <w:szCs w:val="18"/>
                <w:lang w:val="en-US" w:eastAsia="el-GR"/>
              </w:rPr>
              <w:t xml:space="preserve"> and per intake in hospital and at ho</w:t>
            </w:r>
            <w:r w:rsidR="00786443" w:rsidRPr="00593B00">
              <w:rPr>
                <w:rFonts w:ascii="Calibri" w:eastAsia="Times New Roman" w:hAnsi="Calibri" w:cs="Times New Roman"/>
                <w:color w:val="000000"/>
                <w:sz w:val="18"/>
                <w:szCs w:val="18"/>
                <w:lang w:val="en-US" w:eastAsia="el-GR"/>
              </w:rPr>
              <w:t xml:space="preserve">me. (3) Changes in walnut-sIgE, </w:t>
            </w:r>
            <w:r w:rsidRPr="00593B00">
              <w:rPr>
                <w:rFonts w:ascii="Calibri" w:eastAsia="Times New Roman" w:hAnsi="Calibri" w:cs="Times New Roman"/>
                <w:color w:val="000000"/>
                <w:sz w:val="18"/>
                <w:szCs w:val="18"/>
                <w:lang w:val="en-US" w:eastAsia="el-GR"/>
              </w:rPr>
              <w:t>Jug r 1-sIgE</w:t>
            </w:r>
            <w:r w:rsidR="004777E6">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walnut-sIgG4 between baseline, 1, 3</w:t>
            </w:r>
            <w:r w:rsidR="004777E6">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12 months of OIT. </w:t>
            </w:r>
          </w:p>
        </w:tc>
      </w:tr>
      <w:tr w:rsidR="00611FA7" w:rsidRPr="00593B00" w14:paraId="703100FE" w14:textId="77777777" w:rsidTr="00682ADA">
        <w:trPr>
          <w:trHeight w:val="20"/>
        </w:trPr>
        <w:tc>
          <w:tcPr>
            <w:tcW w:w="1159" w:type="dxa"/>
            <w:shd w:val="clear" w:color="auto" w:fill="C6D9F1" w:themeFill="text2" w:themeFillTint="33"/>
            <w:hideMark/>
          </w:tcPr>
          <w:p w14:paraId="609E8DE0"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proofErr w:type="spellStart"/>
            <w:r w:rsidRPr="00593B00">
              <w:rPr>
                <w:rFonts w:ascii="Calibri" w:eastAsia="Times New Roman" w:hAnsi="Calibri" w:cs="Times New Roman"/>
                <w:color w:val="000000"/>
                <w:sz w:val="18"/>
                <w:szCs w:val="18"/>
                <w:lang w:val="en-US" w:eastAsia="el-GR"/>
              </w:rPr>
              <w:lastRenderedPageBreak/>
              <w:t>Moraly</w:t>
            </w:r>
            <w:proofErr w:type="spellEnd"/>
            <w:r w:rsidRPr="00593B00">
              <w:rPr>
                <w:rFonts w:ascii="Calibri" w:eastAsia="Times New Roman" w:hAnsi="Calibri" w:cs="Times New Roman"/>
                <w:color w:val="000000"/>
                <w:sz w:val="18"/>
                <w:szCs w:val="18"/>
                <w:lang w:val="en-US" w:eastAsia="el-GR"/>
              </w:rPr>
              <w:t xml:space="preserve"> et al. 2019; France; NS; NS</w:t>
            </w:r>
          </w:p>
        </w:tc>
        <w:tc>
          <w:tcPr>
            <w:tcW w:w="1003" w:type="dxa"/>
            <w:shd w:val="clear" w:color="auto" w:fill="C6D9F1" w:themeFill="text2" w:themeFillTint="33"/>
            <w:hideMark/>
          </w:tcPr>
          <w:p w14:paraId="3DB5A32A" w14:textId="456BF639" w:rsidR="00611FA7" w:rsidRPr="00593B00" w:rsidRDefault="0487491D" w:rsidP="0487491D">
            <w:pPr>
              <w:spacing w:after="0" w:line="240" w:lineRule="auto"/>
              <w:rPr>
                <w:rFonts w:ascii="Calibri" w:eastAsia="Times New Roman" w:hAnsi="Calibri" w:cs="Times New Roman"/>
                <w:color w:val="000000"/>
                <w:sz w:val="18"/>
                <w:szCs w:val="18"/>
                <w:lang w:eastAsia="el-GR"/>
              </w:rPr>
            </w:pPr>
            <w:proofErr w:type="spellStart"/>
            <w:r w:rsidRPr="0487491D">
              <w:rPr>
                <w:rFonts w:ascii="Calibri" w:eastAsia="Times New Roman" w:hAnsi="Calibri" w:cs="Times New Roman"/>
                <w:color w:val="000000" w:themeColor="text1"/>
                <w:sz w:val="18"/>
                <w:szCs w:val="18"/>
                <w:lang w:eastAsia="el-GR"/>
              </w:rPr>
              <w:t>Retrospective</w:t>
            </w:r>
            <w:proofErr w:type="spellEnd"/>
            <w:r w:rsidRPr="0487491D">
              <w:rPr>
                <w:rFonts w:ascii="Calibri" w:eastAsia="Times New Roman" w:hAnsi="Calibri" w:cs="Times New Roman"/>
                <w:color w:val="000000" w:themeColor="text1"/>
                <w:sz w:val="18"/>
                <w:szCs w:val="18"/>
                <w:lang w:eastAsia="el-GR"/>
              </w:rPr>
              <w:t xml:space="preserve">  </w:t>
            </w:r>
            <w:r w:rsidR="00295674">
              <w:rPr>
                <w:rFonts w:ascii="Calibri" w:eastAsia="Times New Roman" w:hAnsi="Calibri" w:cs="Times New Roman"/>
                <w:color w:val="000000" w:themeColor="text1"/>
                <w:sz w:val="18"/>
                <w:szCs w:val="18"/>
                <w:lang w:val="en-US" w:eastAsia="el-GR"/>
              </w:rPr>
              <w:t>C</w:t>
            </w:r>
            <w:r w:rsidR="00FD300D">
              <w:rPr>
                <w:rFonts w:ascii="Calibri" w:eastAsia="Times New Roman" w:hAnsi="Calibri" w:cs="Times New Roman"/>
                <w:color w:val="000000" w:themeColor="text1"/>
                <w:sz w:val="18"/>
                <w:szCs w:val="18"/>
                <w:lang w:val="en-US" w:eastAsia="el-GR"/>
              </w:rPr>
              <w:t>ohort</w:t>
            </w:r>
          </w:p>
        </w:tc>
        <w:tc>
          <w:tcPr>
            <w:tcW w:w="1560" w:type="dxa"/>
            <w:shd w:val="clear" w:color="auto" w:fill="C6D9F1" w:themeFill="text2" w:themeFillTint="33"/>
            <w:hideMark/>
          </w:tcPr>
          <w:p w14:paraId="7C416576" w14:textId="1C79F8AD"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&lt; 18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w:t>
            </w:r>
            <w:r w:rsidR="004777E6">
              <w:rPr>
                <w:rFonts w:ascii="Calibri" w:eastAsia="Times New Roman" w:hAnsi="Calibri" w:cs="Times New Roman"/>
                <w:color w:val="000000"/>
                <w:sz w:val="18"/>
                <w:szCs w:val="18"/>
                <w:lang w:val="en-US" w:eastAsia="el-GR"/>
              </w:rPr>
              <w:t>IgE-mediated</w:t>
            </w:r>
            <w:r w:rsidRPr="00593B00">
              <w:rPr>
                <w:rFonts w:ascii="Calibri" w:eastAsia="Times New Roman" w:hAnsi="Calibri" w:cs="Times New Roman"/>
                <w:color w:val="000000"/>
                <w:sz w:val="18"/>
                <w:szCs w:val="18"/>
                <w:lang w:val="en-US" w:eastAsia="el-GR"/>
              </w:rPr>
              <w:t xml:space="preserve"> hazelnut allergy, who have participated at least 6 months in a hazelnut OIT protocol and performed an open food challenge (OFC) after 6 months of hazelnut OIT/100 subjects, 64%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median age, 5 years</w:t>
            </w:r>
            <w:r w:rsidR="007D0A7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w:t>
            </w:r>
          </w:p>
        </w:tc>
        <w:tc>
          <w:tcPr>
            <w:tcW w:w="2676" w:type="dxa"/>
            <w:shd w:val="clear" w:color="auto" w:fill="C6D9F1" w:themeFill="text2" w:themeFillTint="33"/>
            <w:hideMark/>
          </w:tcPr>
          <w:p w14:paraId="73DE4C96" w14:textId="42EEC04C"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All participants re</w:t>
            </w:r>
            <w:r w:rsidR="00786443" w:rsidRPr="00593B00">
              <w:rPr>
                <w:rFonts w:ascii="Calibri" w:eastAsia="Times New Roman" w:hAnsi="Calibri" w:cs="Times New Roman"/>
                <w:color w:val="000000"/>
                <w:sz w:val="18"/>
                <w:szCs w:val="18"/>
                <w:lang w:val="en-US" w:eastAsia="el-GR"/>
              </w:rPr>
              <w:t xml:space="preserve">ceived </w:t>
            </w:r>
            <w:r w:rsidR="001C46C5">
              <w:rPr>
                <w:rFonts w:ascii="Calibri" w:eastAsia="Times New Roman" w:hAnsi="Calibri" w:cs="Times New Roman"/>
                <w:color w:val="000000"/>
                <w:sz w:val="18"/>
                <w:szCs w:val="18"/>
                <w:lang w:val="en-US" w:eastAsia="el-GR"/>
              </w:rPr>
              <w:t>H</w:t>
            </w:r>
            <w:r w:rsidR="00786443" w:rsidRPr="00593B00">
              <w:rPr>
                <w:rFonts w:ascii="Calibri" w:eastAsia="Times New Roman" w:hAnsi="Calibri" w:cs="Times New Roman"/>
                <w:color w:val="000000"/>
                <w:sz w:val="18"/>
                <w:szCs w:val="18"/>
                <w:lang w:val="en-US" w:eastAsia="el-GR"/>
              </w:rPr>
              <w:t>OIT with ground hazelnut</w:t>
            </w:r>
            <w:r w:rsidRPr="00593B00">
              <w:rPr>
                <w:rFonts w:ascii="Calibri" w:eastAsia="Times New Roman" w:hAnsi="Calibri" w:cs="Times New Roman"/>
                <w:color w:val="000000"/>
                <w:sz w:val="18"/>
                <w:szCs w:val="18"/>
                <w:lang w:val="en-US" w:eastAsia="el-GR"/>
              </w:rPr>
              <w:t>: (1)</w:t>
            </w:r>
            <w:r w:rsidR="00786443"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Initial Dose: 1/10 of the ED then, the doses were increased monthly without exceeding half the baseline ED. (</w:t>
            </w:r>
            <w:r w:rsidR="004777E6" w:rsidRPr="00593B00">
              <w:rPr>
                <w:rFonts w:ascii="Calibri" w:eastAsia="Times New Roman" w:hAnsi="Calibri" w:cs="Times New Roman"/>
                <w:color w:val="000000"/>
                <w:sz w:val="18"/>
                <w:szCs w:val="18"/>
                <w:lang w:val="en-US" w:eastAsia="el-GR"/>
              </w:rPr>
              <w:t>2) Build</w:t>
            </w:r>
            <w:r w:rsidRPr="00593B00">
              <w:rPr>
                <w:rFonts w:ascii="Calibri" w:eastAsia="Times New Roman" w:hAnsi="Calibri" w:cs="Times New Roman"/>
                <w:color w:val="000000"/>
                <w:sz w:val="18"/>
                <w:szCs w:val="18"/>
                <w:lang w:val="en-US" w:eastAsia="el-GR"/>
              </w:rPr>
              <w:t xml:space="preserve">-up phase: Monthly 25-50% until 50% of initial ED. For patients not desensitized at 6 months, a new dose escalation program was initiated </w:t>
            </w:r>
            <w:r w:rsidR="00593B00" w:rsidRPr="00593B00">
              <w:rPr>
                <w:rFonts w:ascii="Calibri" w:eastAsia="Times New Roman" w:hAnsi="Calibri" w:cs="Times New Roman"/>
                <w:color w:val="000000"/>
                <w:sz w:val="18"/>
                <w:szCs w:val="18"/>
                <w:lang w:val="en-US" w:eastAsia="el-GR"/>
              </w:rPr>
              <w:t>based on</w:t>
            </w:r>
            <w:r w:rsidRPr="00593B00">
              <w:rPr>
                <w:rFonts w:ascii="Calibri" w:eastAsia="Times New Roman" w:hAnsi="Calibri" w:cs="Times New Roman"/>
                <w:color w:val="000000"/>
                <w:sz w:val="18"/>
                <w:szCs w:val="18"/>
                <w:lang w:val="en-US" w:eastAsia="el-GR"/>
              </w:rPr>
              <w:t xml:space="preserve"> </w:t>
            </w:r>
            <w:r w:rsidR="004777E6">
              <w:rPr>
                <w:rFonts w:ascii="Calibri" w:eastAsia="Times New Roman" w:hAnsi="Calibri" w:cs="Times New Roman"/>
                <w:color w:val="000000"/>
                <w:sz w:val="18"/>
                <w:szCs w:val="18"/>
                <w:lang w:val="en-US" w:eastAsia="el-GR"/>
              </w:rPr>
              <w:t xml:space="preserve">the </w:t>
            </w:r>
            <w:r w:rsidRPr="00593B00">
              <w:rPr>
                <w:rFonts w:ascii="Calibri" w:eastAsia="Times New Roman" w:hAnsi="Calibri" w:cs="Times New Roman"/>
                <w:color w:val="000000"/>
                <w:sz w:val="18"/>
                <w:szCs w:val="18"/>
                <w:lang w:val="en-US" w:eastAsia="el-GR"/>
              </w:rPr>
              <w:t xml:space="preserve">ED of the 6-month OFC. The schema was repeated every 6 months until desensitization was </w:t>
            </w:r>
            <w:r w:rsidR="00593B00" w:rsidRPr="00593B00">
              <w:rPr>
                <w:rFonts w:ascii="Calibri" w:eastAsia="Times New Roman" w:hAnsi="Calibri" w:cs="Times New Roman"/>
                <w:color w:val="000000"/>
                <w:sz w:val="18"/>
                <w:szCs w:val="18"/>
                <w:lang w:val="en-US" w:eastAsia="el-GR"/>
              </w:rPr>
              <w:t>achieved. (</w:t>
            </w:r>
            <w:r w:rsidRPr="00593B00">
              <w:rPr>
                <w:rFonts w:ascii="Calibri" w:eastAsia="Times New Roman" w:hAnsi="Calibri" w:cs="Times New Roman"/>
                <w:color w:val="000000"/>
                <w:sz w:val="18"/>
                <w:szCs w:val="18"/>
                <w:lang w:val="en-US" w:eastAsia="el-GR"/>
              </w:rPr>
              <w:t>3) Maintenance: 416mg of hazelnut protein</w:t>
            </w:r>
            <w:r w:rsidR="007D0A7E">
              <w:rPr>
                <w:rFonts w:ascii="Calibri" w:eastAsia="Times New Roman" w:hAnsi="Calibri" w:cs="Times New Roman"/>
                <w:color w:val="000000"/>
                <w:sz w:val="18"/>
                <w:szCs w:val="18"/>
                <w:lang w:val="en-US" w:eastAsia="el-GR"/>
              </w:rPr>
              <w:t>.</w:t>
            </w:r>
          </w:p>
        </w:tc>
        <w:tc>
          <w:tcPr>
            <w:tcW w:w="1784" w:type="dxa"/>
            <w:shd w:val="clear" w:color="auto" w:fill="C6D9F1" w:themeFill="text2" w:themeFillTint="33"/>
            <w:hideMark/>
          </w:tcPr>
          <w:p w14:paraId="322D05E9" w14:textId="3F8E8AED"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Efficacy: </w:t>
            </w:r>
            <w:r w:rsidRPr="00682ADA">
              <w:rPr>
                <w:rFonts w:ascii="Calibri" w:eastAsia="Times New Roman" w:hAnsi="Calibri" w:cs="Times New Roman"/>
                <w:b/>
                <w:bCs/>
                <w:color w:val="000000"/>
                <w:sz w:val="18"/>
                <w:szCs w:val="18"/>
                <w:lang w:val="en-US" w:eastAsia="el-GR"/>
              </w:rPr>
              <w:t>Desensitization</w:t>
            </w:r>
            <w:r w:rsidR="004777E6" w:rsidRPr="00682ADA">
              <w:rPr>
                <w:rFonts w:ascii="Calibri" w:eastAsia="Times New Roman" w:hAnsi="Calibri" w:cs="Times New Roman"/>
                <w:b/>
                <w:bCs/>
                <w:color w:val="000000"/>
                <w:sz w:val="18"/>
                <w:szCs w:val="18"/>
                <w:lang w:val="en-US" w:eastAsia="el-GR"/>
              </w:rPr>
              <w:t>,</w:t>
            </w:r>
            <w:r w:rsidRPr="00682ADA">
              <w:rPr>
                <w:rFonts w:ascii="Calibri" w:eastAsia="Times New Roman" w:hAnsi="Calibri" w:cs="Times New Roman"/>
                <w:b/>
                <w:bCs/>
                <w:color w:val="000000"/>
                <w:sz w:val="18"/>
                <w:szCs w:val="18"/>
                <w:lang w:val="en-US" w:eastAsia="el-GR"/>
              </w:rPr>
              <w:t xml:space="preserve"> defined as no reaction at OFC with a cumulative dose of 1635mg after 6 months on OIT.</w:t>
            </w:r>
            <w:r w:rsidRPr="00593B00">
              <w:rPr>
                <w:rFonts w:ascii="Calibri" w:eastAsia="Times New Roman" w:hAnsi="Calibri" w:cs="Times New Roman"/>
                <w:color w:val="000000"/>
                <w:sz w:val="18"/>
                <w:szCs w:val="18"/>
                <w:lang w:val="en-US" w:eastAsia="el-GR"/>
              </w:rPr>
              <w:t xml:space="preserve"> </w:t>
            </w:r>
          </w:p>
        </w:tc>
        <w:tc>
          <w:tcPr>
            <w:tcW w:w="5760" w:type="dxa"/>
            <w:shd w:val="clear" w:color="auto" w:fill="C6D9F1" w:themeFill="text2" w:themeFillTint="33"/>
            <w:hideMark/>
          </w:tcPr>
          <w:p w14:paraId="04489962" w14:textId="32A7163C"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(1) The proportion of desensitized patients</w:t>
            </w:r>
            <w:r w:rsidRPr="00593B00">
              <w:rPr>
                <w:rFonts w:ascii="Calibri" w:eastAsia="Times New Roman" w:hAnsi="Calibri" w:cs="Times New Roman"/>
                <w:color w:val="000000"/>
                <w:sz w:val="18"/>
                <w:szCs w:val="18"/>
                <w:lang w:val="en-US" w:eastAsia="el-GR"/>
              </w:rPr>
              <w:br/>
              <w:t>after 6 months of OIT. (2) Average changes in ED and SPT wheal diameter after 6 months of OIT in desensitized and no</w:t>
            </w:r>
            <w:r w:rsidR="00786443" w:rsidRPr="00593B0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desensitized subjects. (3) Associations (Odds Ratio) between successful desensitization at 6 months and baseline variables. (4) Proportion of subjects with adverse reactions and type of non</w:t>
            </w:r>
            <w:r w:rsidR="00786443" w:rsidRPr="00593B0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severe and severe adverse reactions (the need for use of adrenaline, hospitalization, or death) as reported </w:t>
            </w:r>
            <w:r w:rsidR="00786443" w:rsidRPr="00593B00">
              <w:rPr>
                <w:rFonts w:ascii="Calibri" w:eastAsia="Times New Roman" w:hAnsi="Calibri" w:cs="Times New Roman"/>
                <w:color w:val="000000"/>
                <w:sz w:val="18"/>
                <w:szCs w:val="18"/>
                <w:lang w:val="en-US" w:eastAsia="el-GR"/>
              </w:rPr>
              <w:t>retrospectively</w:t>
            </w:r>
            <w:r w:rsidRPr="00593B00">
              <w:rPr>
                <w:rFonts w:ascii="Calibri" w:eastAsia="Times New Roman" w:hAnsi="Calibri" w:cs="Times New Roman"/>
                <w:color w:val="000000"/>
                <w:sz w:val="18"/>
                <w:szCs w:val="18"/>
                <w:lang w:val="en-US" w:eastAsia="el-GR"/>
              </w:rPr>
              <w:t xml:space="preserve"> by subjects, using a standard homemade survey. (5)</w:t>
            </w:r>
            <w:r w:rsidR="00E458FB">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Number of subjects desensitized after 12, 18, or 24 months of OIT.</w:t>
            </w:r>
          </w:p>
        </w:tc>
      </w:tr>
      <w:tr w:rsidR="00611FA7" w:rsidRPr="00A2595E" w14:paraId="153257CE" w14:textId="77777777" w:rsidTr="00682ADA">
        <w:trPr>
          <w:trHeight w:val="20"/>
        </w:trPr>
        <w:tc>
          <w:tcPr>
            <w:tcW w:w="1159" w:type="dxa"/>
            <w:shd w:val="clear" w:color="auto" w:fill="auto"/>
            <w:hideMark/>
          </w:tcPr>
          <w:p w14:paraId="22FFF98D"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proofErr w:type="spellStart"/>
            <w:r w:rsidRPr="00593B00">
              <w:rPr>
                <w:rFonts w:ascii="Calibri" w:eastAsia="Times New Roman" w:hAnsi="Calibri" w:cs="Times New Roman"/>
                <w:color w:val="000000"/>
                <w:sz w:val="18"/>
                <w:szCs w:val="18"/>
                <w:lang w:val="en-US" w:eastAsia="el-GR"/>
              </w:rPr>
              <w:t>Sabouraud</w:t>
            </w:r>
            <w:proofErr w:type="spellEnd"/>
            <w:r w:rsidRPr="00593B00">
              <w:rPr>
                <w:rFonts w:ascii="Calibri" w:eastAsia="Times New Roman" w:hAnsi="Calibri" w:cs="Times New Roman"/>
                <w:color w:val="000000"/>
                <w:sz w:val="18"/>
                <w:szCs w:val="18"/>
                <w:lang w:val="en-US" w:eastAsia="el-GR"/>
              </w:rPr>
              <w:t xml:space="preserve"> et al. </w:t>
            </w:r>
            <w:proofErr w:type="gramStart"/>
            <w:r w:rsidRPr="00593B00">
              <w:rPr>
                <w:rFonts w:ascii="Calibri" w:eastAsia="Times New Roman" w:hAnsi="Calibri" w:cs="Times New Roman"/>
                <w:color w:val="000000"/>
                <w:sz w:val="18"/>
                <w:szCs w:val="18"/>
                <w:lang w:val="en-US" w:eastAsia="el-GR"/>
              </w:rPr>
              <w:t>2022;France</w:t>
            </w:r>
            <w:proofErr w:type="gramEnd"/>
            <w:r w:rsidRPr="00593B00">
              <w:rPr>
                <w:rFonts w:ascii="Calibri" w:eastAsia="Times New Roman" w:hAnsi="Calibri" w:cs="Times New Roman"/>
                <w:color w:val="000000"/>
                <w:sz w:val="18"/>
                <w:szCs w:val="18"/>
                <w:lang w:val="en-US" w:eastAsia="el-GR"/>
              </w:rPr>
              <w:t>;NCT04841850</w:t>
            </w:r>
          </w:p>
        </w:tc>
        <w:tc>
          <w:tcPr>
            <w:tcW w:w="1003" w:type="dxa"/>
            <w:shd w:val="clear" w:color="auto" w:fill="auto"/>
            <w:hideMark/>
          </w:tcPr>
          <w:p w14:paraId="511551A4" w14:textId="5203A819" w:rsidR="00611FA7" w:rsidRPr="00593B00" w:rsidRDefault="0487491D" w:rsidP="0487491D">
            <w:pPr>
              <w:spacing w:after="0" w:line="240" w:lineRule="auto"/>
              <w:rPr>
                <w:rFonts w:ascii="Calibri" w:eastAsia="Times New Roman" w:hAnsi="Calibri" w:cs="Times New Roman"/>
                <w:color w:val="000000"/>
                <w:sz w:val="18"/>
                <w:szCs w:val="18"/>
                <w:lang w:eastAsia="el-GR"/>
              </w:rPr>
            </w:pPr>
            <w:r w:rsidRPr="0487491D">
              <w:rPr>
                <w:rFonts w:ascii="Calibri" w:eastAsia="Times New Roman" w:hAnsi="Calibri" w:cs="Times New Roman"/>
                <w:color w:val="000000" w:themeColor="text1"/>
                <w:sz w:val="18"/>
                <w:szCs w:val="18"/>
                <w:lang w:val="en-US" w:eastAsia="el-GR"/>
              </w:rPr>
              <w:t>R</w:t>
            </w:r>
            <w:r w:rsidRPr="0487491D">
              <w:rPr>
                <w:rFonts w:ascii="Calibri" w:eastAsia="Times New Roman" w:hAnsi="Calibri" w:cs="Times New Roman"/>
                <w:color w:val="000000" w:themeColor="text1"/>
                <w:sz w:val="18"/>
                <w:szCs w:val="18"/>
                <w:lang w:eastAsia="el-GR"/>
              </w:rPr>
              <w:t xml:space="preserve">etrospective </w:t>
            </w:r>
            <w:r w:rsidR="00FD300D">
              <w:rPr>
                <w:rFonts w:ascii="Calibri" w:eastAsia="Times New Roman" w:hAnsi="Calibri" w:cs="Times New Roman"/>
                <w:color w:val="000000" w:themeColor="text1"/>
                <w:sz w:val="18"/>
                <w:szCs w:val="18"/>
                <w:lang w:val="en-US" w:eastAsia="el-GR"/>
              </w:rPr>
              <w:t>Cohort</w:t>
            </w:r>
            <w:r w:rsidR="008B48B4">
              <w:rPr>
                <w:rFonts w:ascii="Calibri" w:eastAsia="Times New Roman" w:hAnsi="Calibri" w:cs="Times New Roman"/>
                <w:color w:val="000000" w:themeColor="text1"/>
                <w:sz w:val="18"/>
                <w:szCs w:val="18"/>
                <w:lang w:val="en-US" w:eastAsia="el-GR"/>
              </w:rPr>
              <w:t xml:space="preserve"> </w:t>
            </w:r>
          </w:p>
        </w:tc>
        <w:tc>
          <w:tcPr>
            <w:tcW w:w="1560" w:type="dxa"/>
            <w:shd w:val="clear" w:color="auto" w:fill="auto"/>
            <w:hideMark/>
          </w:tcPr>
          <w:p w14:paraId="39E9DBFE" w14:textId="13B2B083"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&lt; 18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IgE-mediated hazelnut allergy/70 children, 70%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10 years.  </w:t>
            </w:r>
          </w:p>
        </w:tc>
        <w:tc>
          <w:tcPr>
            <w:tcW w:w="2676" w:type="dxa"/>
            <w:shd w:val="clear" w:color="auto" w:fill="auto"/>
            <w:hideMark/>
          </w:tcPr>
          <w:p w14:paraId="5BA969D3" w14:textId="71549D9F" w:rsidR="00611FA7" w:rsidRPr="00593B00" w:rsidRDefault="00611FA7" w:rsidP="004E4915">
            <w:pPr>
              <w:spacing w:after="0" w:line="240" w:lineRule="auto"/>
              <w:rPr>
                <w:rFonts w:ascii="Calibri" w:eastAsia="Times New Roman" w:hAnsi="Calibri" w:cs="Times New Roman"/>
                <w:color w:val="000000"/>
                <w:sz w:val="18"/>
                <w:szCs w:val="18"/>
                <w:lang w:eastAsia="el-GR"/>
              </w:rPr>
            </w:pPr>
            <w:r w:rsidRPr="00593B00">
              <w:rPr>
                <w:rFonts w:ascii="Calibri" w:eastAsia="Times New Roman" w:hAnsi="Calibri" w:cs="Times New Roman"/>
                <w:color w:val="000000"/>
                <w:sz w:val="18"/>
                <w:szCs w:val="18"/>
                <w:lang w:val="en-US" w:eastAsia="el-GR"/>
              </w:rPr>
              <w:t xml:space="preserve">All children received </w:t>
            </w:r>
            <w:r w:rsidR="001C46C5">
              <w:rPr>
                <w:rFonts w:ascii="Calibri" w:eastAsia="Times New Roman" w:hAnsi="Calibri" w:cs="Times New Roman"/>
                <w:color w:val="000000"/>
                <w:sz w:val="18"/>
                <w:szCs w:val="18"/>
                <w:lang w:val="en-US" w:eastAsia="el-GR"/>
              </w:rPr>
              <w:t>H</w:t>
            </w:r>
            <w:r w:rsidRPr="00593B00">
              <w:rPr>
                <w:rFonts w:ascii="Calibri" w:eastAsia="Times New Roman" w:hAnsi="Calibri" w:cs="Times New Roman"/>
                <w:color w:val="000000"/>
                <w:sz w:val="18"/>
                <w:szCs w:val="18"/>
                <w:lang w:val="en-US" w:eastAsia="el-GR"/>
              </w:rPr>
              <w:t>OIT</w:t>
            </w:r>
            <w:r w:rsidR="007D0A7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(1) Build-up phase: Intermediate target dose was defined individually, possibly with an OFC.  Next, the children ingested daily at home 10% of the target dose, which was progressively increased to reach the intermediate target dose at 6 months. (2) Maintenance:  Defined individually, according to the patient's and parents' wishes, the allergic profile, and the judgment of the allergist. </w:t>
            </w:r>
            <w:r w:rsidRPr="00593B00">
              <w:rPr>
                <w:rFonts w:ascii="Calibri" w:eastAsia="Times New Roman" w:hAnsi="Calibri" w:cs="Times New Roman"/>
                <w:color w:val="000000"/>
                <w:sz w:val="18"/>
                <w:szCs w:val="18"/>
                <w:lang w:eastAsia="el-GR"/>
              </w:rPr>
              <w:t>*16 (22</w:t>
            </w:r>
            <w:r w:rsidR="003A166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eastAsia="el-GR"/>
              </w:rPr>
              <w:t xml:space="preserve">8%)patients received peanut OIT in </w:t>
            </w:r>
            <w:proofErr w:type="spellStart"/>
            <w:r w:rsidRPr="00593B00">
              <w:rPr>
                <w:rFonts w:ascii="Calibri" w:eastAsia="Times New Roman" w:hAnsi="Calibri" w:cs="Times New Roman"/>
                <w:color w:val="000000"/>
                <w:sz w:val="18"/>
                <w:szCs w:val="18"/>
                <w:lang w:eastAsia="el-GR"/>
              </w:rPr>
              <w:t>parallel</w:t>
            </w:r>
            <w:proofErr w:type="spellEnd"/>
            <w:r w:rsidRPr="00593B00">
              <w:rPr>
                <w:rFonts w:ascii="Calibri" w:eastAsia="Times New Roman" w:hAnsi="Calibri" w:cs="Times New Roman"/>
                <w:color w:val="000000"/>
                <w:sz w:val="18"/>
                <w:szCs w:val="18"/>
                <w:lang w:eastAsia="el-GR"/>
              </w:rPr>
              <w:t>.</w:t>
            </w:r>
          </w:p>
        </w:tc>
        <w:tc>
          <w:tcPr>
            <w:tcW w:w="1784" w:type="dxa"/>
            <w:shd w:val="clear" w:color="auto" w:fill="auto"/>
            <w:hideMark/>
          </w:tcPr>
          <w:p w14:paraId="0D4DB998"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Efficacy: The proportion of children in the maintenance phase at the 1-year consultation.</w:t>
            </w:r>
          </w:p>
        </w:tc>
        <w:tc>
          <w:tcPr>
            <w:tcW w:w="5760" w:type="dxa"/>
            <w:shd w:val="clear" w:color="auto" w:fill="auto"/>
            <w:hideMark/>
          </w:tcPr>
          <w:p w14:paraId="79D5ABF2" w14:textId="5EC14851"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w:t>
            </w:r>
            <w:r w:rsidR="00593B00" w:rsidRPr="00593B00">
              <w:rPr>
                <w:rFonts w:ascii="Calibri" w:eastAsia="Times New Roman" w:hAnsi="Calibri" w:cs="Times New Roman"/>
                <w:color w:val="000000"/>
                <w:sz w:val="18"/>
                <w:szCs w:val="18"/>
                <w:lang w:val="en-US" w:eastAsia="el-GR"/>
              </w:rPr>
              <w:t>1) The</w:t>
            </w:r>
            <w:r w:rsidRPr="00593B00">
              <w:rPr>
                <w:rFonts w:ascii="Calibri" w:eastAsia="Times New Roman" w:hAnsi="Calibri" w:cs="Times New Roman"/>
                <w:color w:val="000000"/>
                <w:sz w:val="18"/>
                <w:szCs w:val="18"/>
                <w:lang w:val="en-US" w:eastAsia="el-GR"/>
              </w:rPr>
              <w:t xml:space="preserve"> proportion of children in the maintenance phase at the 1-year consultation. (</w:t>
            </w:r>
            <w:r w:rsidR="00593B00" w:rsidRPr="00593B00">
              <w:rPr>
                <w:rFonts w:ascii="Calibri" w:eastAsia="Times New Roman" w:hAnsi="Calibri" w:cs="Times New Roman"/>
                <w:color w:val="000000"/>
                <w:sz w:val="18"/>
                <w:szCs w:val="18"/>
                <w:lang w:val="en-US" w:eastAsia="el-GR"/>
              </w:rPr>
              <w:t>2) The</w:t>
            </w:r>
            <w:r w:rsidRPr="00593B00">
              <w:rPr>
                <w:rFonts w:ascii="Calibri" w:eastAsia="Times New Roman" w:hAnsi="Calibri" w:cs="Times New Roman"/>
                <w:color w:val="000000"/>
                <w:sz w:val="18"/>
                <w:szCs w:val="18"/>
                <w:lang w:val="en-US" w:eastAsia="el-GR"/>
              </w:rPr>
              <w:t xml:space="preserve"> proportion of patients in the maintenance phase during the study period. (</w:t>
            </w:r>
            <w:r w:rsidRPr="00682ADA">
              <w:rPr>
                <w:rFonts w:ascii="Calibri" w:eastAsia="Times New Roman" w:hAnsi="Calibri" w:cs="Times New Roman"/>
                <w:b/>
                <w:bCs/>
                <w:color w:val="000000"/>
                <w:sz w:val="18"/>
                <w:szCs w:val="18"/>
                <w:lang w:val="en-US" w:eastAsia="el-GR"/>
              </w:rPr>
              <w:t>3) The change of the cumulative ingested dose (the final quantity of hazelnut ingested during the OFC).</w:t>
            </w:r>
            <w:r w:rsidRPr="00593B00">
              <w:rPr>
                <w:rFonts w:ascii="Calibri" w:eastAsia="Times New Roman" w:hAnsi="Calibri" w:cs="Times New Roman"/>
                <w:color w:val="000000"/>
                <w:sz w:val="18"/>
                <w:szCs w:val="18"/>
                <w:lang w:val="en-US" w:eastAsia="el-GR"/>
              </w:rPr>
              <w:t xml:space="preserve"> (4) Changes in hazelnut sIgE, sIgG4, and SPT wheal diameter at 1-year consultation. (5) Occurrence of adverse effects by retrospective reports at consultations. (</w:t>
            </w:r>
            <w:r w:rsidR="00593B00" w:rsidRPr="00593B00">
              <w:rPr>
                <w:rFonts w:ascii="Calibri" w:eastAsia="Times New Roman" w:hAnsi="Calibri" w:cs="Times New Roman"/>
                <w:color w:val="000000"/>
                <w:sz w:val="18"/>
                <w:szCs w:val="18"/>
                <w:lang w:val="en-US" w:eastAsia="el-GR"/>
              </w:rPr>
              <w:t>6) Satisfaction</w:t>
            </w:r>
            <w:r w:rsidRPr="00593B00">
              <w:rPr>
                <w:rFonts w:ascii="Calibri" w:eastAsia="Times New Roman" w:hAnsi="Calibri" w:cs="Times New Roman"/>
                <w:color w:val="000000"/>
                <w:sz w:val="18"/>
                <w:szCs w:val="18"/>
                <w:lang w:val="en-US" w:eastAsia="el-GR"/>
              </w:rPr>
              <w:t xml:space="preserve"> questionnaire score (in-house </w:t>
            </w:r>
            <w:r w:rsidR="00593B00" w:rsidRPr="00593B00">
              <w:rPr>
                <w:rFonts w:ascii="Calibri" w:eastAsia="Times New Roman" w:hAnsi="Calibri" w:cs="Times New Roman"/>
                <w:color w:val="000000"/>
                <w:sz w:val="18"/>
                <w:szCs w:val="18"/>
                <w:lang w:val="en-US" w:eastAsia="el-GR"/>
              </w:rPr>
              <w:t>no validated</w:t>
            </w:r>
            <w:r w:rsidRPr="00593B00">
              <w:rPr>
                <w:rFonts w:ascii="Calibri" w:eastAsia="Times New Roman" w:hAnsi="Calibri" w:cs="Times New Roman"/>
                <w:color w:val="000000"/>
                <w:sz w:val="18"/>
                <w:szCs w:val="18"/>
                <w:lang w:val="en-US" w:eastAsia="el-GR"/>
              </w:rPr>
              <w:t xml:space="preserve"> questionnaire) evaluating children’s aged &gt; 8y.o. acceptance (minimal 1-maximal 7) of the OIT protocol.</w:t>
            </w:r>
          </w:p>
        </w:tc>
      </w:tr>
      <w:tr w:rsidR="00611FA7" w:rsidRPr="00A2595E" w14:paraId="3A69917B" w14:textId="77777777" w:rsidTr="00682ADA">
        <w:trPr>
          <w:trHeight w:val="20"/>
        </w:trPr>
        <w:tc>
          <w:tcPr>
            <w:tcW w:w="1159" w:type="dxa"/>
            <w:shd w:val="clear" w:color="auto" w:fill="C6D9F1" w:themeFill="text2" w:themeFillTint="33"/>
            <w:hideMark/>
          </w:tcPr>
          <w:p w14:paraId="475F3B19"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Elizur et al.2022; Israel; Nut CRACKER/NCT02786914</w:t>
            </w:r>
          </w:p>
        </w:tc>
        <w:tc>
          <w:tcPr>
            <w:tcW w:w="1003" w:type="dxa"/>
            <w:shd w:val="clear" w:color="auto" w:fill="C6D9F1" w:themeFill="text2" w:themeFillTint="33"/>
            <w:hideMark/>
          </w:tcPr>
          <w:p w14:paraId="2B6B0FF1" w14:textId="4BF8B707" w:rsidR="00611FA7" w:rsidRPr="00682ADA" w:rsidRDefault="006F154D" w:rsidP="0487491D">
            <w:pPr>
              <w:spacing w:after="0" w:line="240" w:lineRule="auto"/>
              <w:rPr>
                <w:rFonts w:ascii="Calibri" w:eastAsia="Times New Roman" w:hAnsi="Calibri" w:cs="Times New Roman"/>
                <w:color w:val="000000"/>
                <w:sz w:val="18"/>
                <w:szCs w:val="18"/>
                <w:lang w:val="en-US" w:eastAsia="el-GR"/>
              </w:rPr>
            </w:pPr>
            <w:r w:rsidRPr="006F154D">
              <w:rPr>
                <w:rFonts w:ascii="Calibri" w:eastAsia="Times New Roman" w:hAnsi="Calibri" w:cs="Times New Roman"/>
                <w:color w:val="000000" w:themeColor="text1"/>
                <w:sz w:val="18"/>
                <w:szCs w:val="18"/>
                <w:lang w:val="en-US" w:eastAsia="el-GR"/>
              </w:rPr>
              <w:t>Q</w:t>
            </w:r>
            <w:r>
              <w:rPr>
                <w:rFonts w:ascii="Calibri" w:eastAsia="Times New Roman" w:hAnsi="Calibri" w:cs="Times New Roman"/>
                <w:color w:val="000000" w:themeColor="text1"/>
                <w:sz w:val="18"/>
                <w:szCs w:val="18"/>
                <w:lang w:val="en-US" w:eastAsia="el-GR"/>
              </w:rPr>
              <w:t>uasi</w:t>
            </w:r>
            <w:r w:rsidRPr="006F154D">
              <w:rPr>
                <w:rFonts w:ascii="Calibri" w:eastAsia="Times New Roman" w:hAnsi="Calibri" w:cs="Times New Roman"/>
                <w:color w:val="000000" w:themeColor="text1"/>
                <w:sz w:val="18"/>
                <w:szCs w:val="18"/>
                <w:lang w:val="en-US" w:eastAsia="el-GR"/>
              </w:rPr>
              <w:t>-E</w:t>
            </w:r>
            <w:r>
              <w:rPr>
                <w:rFonts w:ascii="Calibri" w:eastAsia="Times New Roman" w:hAnsi="Calibri" w:cs="Times New Roman"/>
                <w:color w:val="000000" w:themeColor="text1"/>
                <w:sz w:val="18"/>
                <w:szCs w:val="18"/>
                <w:lang w:val="en-US" w:eastAsia="el-GR"/>
              </w:rPr>
              <w:t xml:space="preserve">xperimental </w:t>
            </w:r>
            <w:r w:rsidRPr="0487491D">
              <w:rPr>
                <w:rFonts w:ascii="Calibri" w:eastAsia="Times New Roman" w:hAnsi="Calibri" w:cs="Times New Roman"/>
                <w:color w:val="000000" w:themeColor="text1"/>
                <w:sz w:val="18"/>
                <w:szCs w:val="18"/>
                <w:lang w:val="en-US" w:eastAsia="el-GR"/>
              </w:rPr>
              <w:t>Prospective Cohort</w:t>
            </w:r>
            <w:r w:rsidRPr="0487491D" w:rsidDel="0487491D">
              <w:rPr>
                <w:rFonts w:ascii="Calibri" w:eastAsia="Times New Roman" w:hAnsi="Calibri" w:cs="Times New Roman"/>
                <w:color w:val="000000" w:themeColor="text1"/>
                <w:sz w:val="18"/>
                <w:szCs w:val="18"/>
                <w:lang w:val="en-US" w:eastAsia="el-GR"/>
              </w:rPr>
              <w:t xml:space="preserve"> </w:t>
            </w:r>
          </w:p>
        </w:tc>
        <w:tc>
          <w:tcPr>
            <w:tcW w:w="1560" w:type="dxa"/>
            <w:shd w:val="clear" w:color="auto" w:fill="C6D9F1" w:themeFill="text2" w:themeFillTint="33"/>
            <w:hideMark/>
          </w:tcPr>
          <w:p w14:paraId="454F4C91" w14:textId="0A97D2CE"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and </w:t>
            </w:r>
            <w:r w:rsidR="00593B00" w:rsidRPr="00593B00">
              <w:rPr>
                <w:rFonts w:ascii="Calibri" w:eastAsia="Times New Roman" w:hAnsi="Calibri" w:cs="Times New Roman"/>
                <w:color w:val="000000"/>
                <w:sz w:val="18"/>
                <w:szCs w:val="18"/>
                <w:lang w:val="en-US" w:eastAsia="el-GR"/>
              </w:rPr>
              <w:t>adults 4</w:t>
            </w:r>
            <w:r w:rsidRPr="00593B00">
              <w:rPr>
                <w:rFonts w:ascii="Calibri" w:eastAsia="Times New Roman" w:hAnsi="Calibri" w:cs="Times New Roman"/>
                <w:color w:val="000000"/>
                <w:sz w:val="18"/>
                <w:szCs w:val="18"/>
                <w:lang w:val="en-US" w:eastAsia="el-GR"/>
              </w:rPr>
              <w:t xml:space="preserve">-25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IgE-mediated cashew allergy/ 50 patients, 28 (56%)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8 years received OIT; 15 patients, 12 (80%)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8.7 years received </w:t>
            </w:r>
            <w:r w:rsidR="00E82BDD">
              <w:rPr>
                <w:rFonts w:ascii="Calibri" w:eastAsia="Times New Roman" w:hAnsi="Calibri" w:cs="Times New Roman"/>
                <w:color w:val="000000"/>
                <w:sz w:val="18"/>
                <w:szCs w:val="18"/>
                <w:lang w:val="en-US" w:eastAsia="el-GR"/>
              </w:rPr>
              <w:t>SOC</w:t>
            </w:r>
            <w:r w:rsidR="007D0A7E">
              <w:rPr>
                <w:rFonts w:ascii="Calibri" w:eastAsia="Times New Roman" w:hAnsi="Calibri" w:cs="Times New Roman"/>
                <w:color w:val="000000"/>
                <w:sz w:val="18"/>
                <w:szCs w:val="18"/>
                <w:lang w:val="en-US" w:eastAsia="el-GR"/>
              </w:rPr>
              <w:t>.</w:t>
            </w:r>
          </w:p>
        </w:tc>
        <w:tc>
          <w:tcPr>
            <w:tcW w:w="2676" w:type="dxa"/>
            <w:shd w:val="clear" w:color="auto" w:fill="C6D9F1" w:themeFill="text2" w:themeFillTint="33"/>
            <w:hideMark/>
          </w:tcPr>
          <w:p w14:paraId="0E39437A" w14:textId="44BF6B28" w:rsidR="00611FA7" w:rsidRPr="003D183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All participants in the active group receiv</w:t>
            </w:r>
            <w:r w:rsidR="00786443" w:rsidRPr="00593B00">
              <w:rPr>
                <w:rFonts w:ascii="Calibri" w:eastAsia="Times New Roman" w:hAnsi="Calibri" w:cs="Times New Roman"/>
                <w:color w:val="000000"/>
                <w:sz w:val="18"/>
                <w:szCs w:val="18"/>
                <w:lang w:val="en-US" w:eastAsia="el-GR"/>
              </w:rPr>
              <w:t xml:space="preserve">ed </w:t>
            </w:r>
            <w:r w:rsidR="00E82BDD">
              <w:rPr>
                <w:rFonts w:ascii="Calibri" w:eastAsia="Times New Roman" w:hAnsi="Calibri" w:cs="Times New Roman"/>
                <w:color w:val="000000"/>
                <w:sz w:val="18"/>
                <w:szCs w:val="18"/>
                <w:lang w:val="en-US" w:eastAsia="el-GR"/>
              </w:rPr>
              <w:t>C</w:t>
            </w:r>
            <w:r w:rsidRPr="00593B00">
              <w:rPr>
                <w:rFonts w:ascii="Calibri" w:eastAsia="Times New Roman" w:hAnsi="Calibri" w:cs="Times New Roman"/>
                <w:color w:val="000000"/>
                <w:sz w:val="18"/>
                <w:szCs w:val="18"/>
                <w:lang w:val="en-US" w:eastAsia="el-GR"/>
              </w:rPr>
              <w:t>OIT: (</w:t>
            </w:r>
            <w:r w:rsidR="00593B00" w:rsidRPr="00593B00">
              <w:rPr>
                <w:rFonts w:ascii="Calibri" w:eastAsia="Times New Roman" w:hAnsi="Calibri" w:cs="Times New Roman"/>
                <w:color w:val="000000"/>
                <w:sz w:val="18"/>
                <w:szCs w:val="18"/>
                <w:lang w:val="en-US" w:eastAsia="el-GR"/>
              </w:rPr>
              <w:t>1) Initial</w:t>
            </w:r>
            <w:r w:rsidRPr="00593B00">
              <w:rPr>
                <w:rFonts w:ascii="Calibri" w:eastAsia="Times New Roman" w:hAnsi="Calibri" w:cs="Times New Roman"/>
                <w:color w:val="000000"/>
                <w:sz w:val="18"/>
                <w:szCs w:val="18"/>
                <w:lang w:val="en-US" w:eastAsia="el-GR"/>
              </w:rPr>
              <w:t xml:space="preserve"> escalation: 4 days to establish the highest tolerated dose (from 0.1 to 360mg of cashew</w:t>
            </w:r>
            <w:r w:rsidR="00593B00"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protein. (</w:t>
            </w:r>
            <w:r w:rsidR="00593B00" w:rsidRPr="00593B00">
              <w:rPr>
                <w:rFonts w:ascii="Calibri" w:eastAsia="Times New Roman" w:hAnsi="Calibri" w:cs="Times New Roman"/>
                <w:color w:val="000000"/>
                <w:sz w:val="18"/>
                <w:szCs w:val="18"/>
                <w:lang w:val="en-US" w:eastAsia="el-GR"/>
              </w:rPr>
              <w:t>2) Build</w:t>
            </w:r>
            <w:r w:rsidRPr="00593B00">
              <w:rPr>
                <w:rFonts w:ascii="Calibri" w:eastAsia="Times New Roman" w:hAnsi="Calibri" w:cs="Times New Roman"/>
                <w:color w:val="000000"/>
                <w:sz w:val="18"/>
                <w:szCs w:val="18"/>
                <w:lang w:val="en-US" w:eastAsia="el-GR"/>
              </w:rPr>
              <w:t>-up phase: Monthly 1-4 days escalations in clinic with up to 4-</w:t>
            </w:r>
            <w:r w:rsidR="003D1830" w:rsidRPr="00593B00">
              <w:rPr>
                <w:rFonts w:ascii="Calibri" w:eastAsia="Times New Roman" w:hAnsi="Calibri" w:cs="Times New Roman"/>
                <w:color w:val="000000"/>
                <w:sz w:val="18"/>
                <w:szCs w:val="18"/>
                <w:lang w:val="en-US" w:eastAsia="el-GR"/>
              </w:rPr>
              <w:t>fold escalations</w:t>
            </w:r>
            <w:r w:rsidRPr="00593B00">
              <w:rPr>
                <w:rFonts w:ascii="Calibri" w:eastAsia="Times New Roman" w:hAnsi="Calibri" w:cs="Times New Roman"/>
                <w:color w:val="000000"/>
                <w:sz w:val="18"/>
                <w:szCs w:val="18"/>
                <w:lang w:val="en-US" w:eastAsia="el-GR"/>
              </w:rPr>
              <w:t xml:space="preserve"> in the first two rounds, 3-fold in the third round</w:t>
            </w:r>
            <w:r w:rsidR="003D183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2-fold in the 4th and fifth round, monthly 50% increases thereafter until 4000mg cashew protein. </w:t>
            </w:r>
            <w:r w:rsidRPr="003D1830">
              <w:rPr>
                <w:rFonts w:ascii="Calibri" w:eastAsia="Times New Roman" w:hAnsi="Calibri" w:cs="Times New Roman"/>
                <w:color w:val="000000"/>
                <w:sz w:val="18"/>
                <w:szCs w:val="18"/>
                <w:lang w:val="en-US" w:eastAsia="el-GR"/>
              </w:rPr>
              <w:t>(3) Maintenance: 1200mg of cashew protein.</w:t>
            </w:r>
          </w:p>
        </w:tc>
        <w:tc>
          <w:tcPr>
            <w:tcW w:w="1784" w:type="dxa"/>
            <w:shd w:val="clear" w:color="auto" w:fill="C6D9F1" w:themeFill="text2" w:themeFillTint="33"/>
            <w:hideMark/>
          </w:tcPr>
          <w:p w14:paraId="45DE48E8" w14:textId="7D7EDDE2"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682ADA">
              <w:rPr>
                <w:rFonts w:ascii="Calibri" w:eastAsia="Times New Roman" w:hAnsi="Calibri" w:cs="Times New Roman"/>
                <w:b/>
                <w:bCs/>
                <w:color w:val="000000"/>
                <w:sz w:val="18"/>
                <w:szCs w:val="18"/>
                <w:lang w:val="en-US" w:eastAsia="el-GR"/>
              </w:rPr>
              <w:t>Efficacy: The ability to consume 4000 mg of cashew protein at the end of the study in OIT- treated and control participants</w:t>
            </w:r>
            <w:r w:rsidR="007D0A7E">
              <w:rPr>
                <w:rFonts w:ascii="Calibri" w:eastAsia="Times New Roman" w:hAnsi="Calibri" w:cs="Times New Roman"/>
                <w:color w:val="000000"/>
                <w:sz w:val="18"/>
                <w:szCs w:val="18"/>
                <w:lang w:val="en-US" w:eastAsia="el-GR"/>
              </w:rPr>
              <w:t>.</w:t>
            </w:r>
          </w:p>
        </w:tc>
        <w:tc>
          <w:tcPr>
            <w:tcW w:w="5760" w:type="dxa"/>
            <w:shd w:val="clear" w:color="auto" w:fill="C6D9F1" w:themeFill="text2" w:themeFillTint="33"/>
            <w:hideMark/>
          </w:tcPr>
          <w:p w14:paraId="7B9FBED9" w14:textId="015F2DFD"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(1a) Odds ratio of desensitization between groups.  (1b) Number of subjects partially desensitized. (1c) Median duration of treatment. (2) Adverse reactions (number, severity, organ involvement</w:t>
            </w:r>
            <w:r w:rsidR="003D183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treatment) during hospital and home dosing, per patient and per </w:t>
            </w:r>
            <w:r w:rsidR="003D1830">
              <w:rPr>
                <w:rFonts w:ascii="Calibri" w:eastAsia="Times New Roman" w:hAnsi="Calibri" w:cs="Times New Roman"/>
                <w:color w:val="000000"/>
                <w:sz w:val="18"/>
                <w:szCs w:val="18"/>
                <w:lang w:val="en-US" w:eastAsia="el-GR"/>
              </w:rPr>
              <w:t>dose</w:t>
            </w:r>
            <w:r w:rsidRPr="00593B00">
              <w:rPr>
                <w:rFonts w:ascii="Calibri" w:eastAsia="Times New Roman" w:hAnsi="Calibri" w:cs="Times New Roman"/>
                <w:color w:val="000000"/>
                <w:sz w:val="18"/>
                <w:szCs w:val="18"/>
                <w:lang w:val="en-US" w:eastAsia="el-GR"/>
              </w:rPr>
              <w:t xml:space="preserve"> received. (3) Changes in cashew SPT, BAT, IgE and IgG4, </w:t>
            </w:r>
            <w:r w:rsidR="003D1830" w:rsidRPr="00593B00">
              <w:rPr>
                <w:rFonts w:ascii="Calibri" w:eastAsia="Times New Roman" w:hAnsi="Calibri" w:cs="Times New Roman"/>
                <w:color w:val="000000"/>
                <w:sz w:val="18"/>
                <w:szCs w:val="18"/>
                <w:lang w:val="en-US" w:eastAsia="el-GR"/>
              </w:rPr>
              <w:t>IgE: IgG</w:t>
            </w:r>
            <w:r w:rsidRPr="00593B00">
              <w:rPr>
                <w:rFonts w:ascii="Calibri" w:eastAsia="Times New Roman" w:hAnsi="Calibri" w:cs="Times New Roman"/>
                <w:color w:val="000000"/>
                <w:sz w:val="18"/>
                <w:szCs w:val="18"/>
                <w:lang w:val="en-US" w:eastAsia="el-GR"/>
              </w:rPr>
              <w:t>4 ratio, and cashew components from study start to end in active and control groups. (4) Number of patients co-desensitized to pistachio and walnut. (5) Changes in pistachio SPT, BAT, IgE</w:t>
            </w:r>
            <w:r w:rsidR="003D183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IgG4, from the study start to the end in </w:t>
            </w:r>
            <w:r w:rsidR="003D1830">
              <w:rPr>
                <w:rFonts w:ascii="Calibri" w:eastAsia="Times New Roman" w:hAnsi="Calibri" w:cs="Times New Roman"/>
                <w:color w:val="000000"/>
                <w:sz w:val="18"/>
                <w:szCs w:val="18"/>
                <w:lang w:val="en-US" w:eastAsia="el-GR"/>
              </w:rPr>
              <w:t xml:space="preserve">the </w:t>
            </w:r>
            <w:r w:rsidRPr="00593B00">
              <w:rPr>
                <w:rFonts w:ascii="Calibri" w:eastAsia="Times New Roman" w:hAnsi="Calibri" w:cs="Times New Roman"/>
                <w:color w:val="000000"/>
                <w:sz w:val="18"/>
                <w:szCs w:val="18"/>
                <w:lang w:val="en-US" w:eastAsia="el-GR"/>
              </w:rPr>
              <w:t xml:space="preserve">active group. (6) Proportion of subjects passing an OFC to cashew after a maintenance dose of 1200mg of cashew for 6 months.  </w:t>
            </w:r>
          </w:p>
        </w:tc>
      </w:tr>
      <w:tr w:rsidR="004D672A" w:rsidRPr="00593B00" w14:paraId="3AE60778" w14:textId="77777777" w:rsidTr="00682ADA">
        <w:trPr>
          <w:trHeight w:val="20"/>
        </w:trPr>
        <w:tc>
          <w:tcPr>
            <w:tcW w:w="13942" w:type="dxa"/>
            <w:gridSpan w:val="6"/>
            <w:shd w:val="clear" w:color="auto" w:fill="ACB9CA"/>
            <w:hideMark/>
          </w:tcPr>
          <w:p w14:paraId="2A2A7C0F" w14:textId="5A0DCFB2" w:rsidR="004D672A" w:rsidRPr="00593B00" w:rsidRDefault="004D672A"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Multi OIT</w:t>
            </w:r>
          </w:p>
        </w:tc>
      </w:tr>
      <w:tr w:rsidR="00611FA7" w:rsidRPr="009A341E" w14:paraId="00F43B29" w14:textId="77777777" w:rsidTr="00682ADA">
        <w:trPr>
          <w:trHeight w:val="20"/>
        </w:trPr>
        <w:tc>
          <w:tcPr>
            <w:tcW w:w="1159" w:type="dxa"/>
            <w:shd w:val="clear" w:color="auto" w:fill="auto"/>
            <w:hideMark/>
          </w:tcPr>
          <w:p w14:paraId="25B94D07" w14:textId="61E9EDA8"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Begin et al. 2014a; </w:t>
            </w:r>
            <w:r w:rsidR="000B07D8" w:rsidRPr="00593B00">
              <w:rPr>
                <w:rFonts w:ascii="Calibri" w:eastAsia="Times New Roman" w:hAnsi="Calibri" w:cs="Times New Roman"/>
                <w:color w:val="000000"/>
                <w:sz w:val="18"/>
                <w:szCs w:val="18"/>
                <w:lang w:val="en-US" w:eastAsia="el-GR"/>
              </w:rPr>
              <w:t>USA; Single</w:t>
            </w:r>
            <w:r w:rsidRPr="00593B00">
              <w:rPr>
                <w:rFonts w:ascii="Calibri" w:eastAsia="Times New Roman" w:hAnsi="Calibri" w:cs="Times New Roman"/>
                <w:color w:val="000000"/>
                <w:sz w:val="18"/>
                <w:szCs w:val="18"/>
                <w:lang w:val="en-US" w:eastAsia="el-GR"/>
              </w:rPr>
              <w:t xml:space="preserve"> Center Food Allergy Oral Immunotherapy Study; NCT01490177</w:t>
            </w:r>
          </w:p>
        </w:tc>
        <w:tc>
          <w:tcPr>
            <w:tcW w:w="1003" w:type="dxa"/>
            <w:shd w:val="clear" w:color="auto" w:fill="auto"/>
            <w:hideMark/>
          </w:tcPr>
          <w:p w14:paraId="50CCD57E" w14:textId="1023273D" w:rsidR="00611FA7" w:rsidRPr="00593B00" w:rsidRDefault="003356E7" w:rsidP="0487491D">
            <w:pPr>
              <w:spacing w:after="0" w:line="240" w:lineRule="auto"/>
              <w:rPr>
                <w:rFonts w:ascii="Calibri" w:eastAsia="Times New Roman" w:hAnsi="Calibri" w:cs="Times New Roman"/>
                <w:color w:val="000000"/>
                <w:sz w:val="18"/>
                <w:szCs w:val="18"/>
                <w:lang w:eastAsia="el-GR"/>
              </w:rPr>
            </w:pPr>
            <w:r w:rsidRPr="006F154D">
              <w:rPr>
                <w:rFonts w:ascii="Calibri" w:eastAsia="Times New Roman" w:hAnsi="Calibri" w:cs="Times New Roman"/>
                <w:color w:val="000000" w:themeColor="text1"/>
                <w:sz w:val="18"/>
                <w:szCs w:val="18"/>
                <w:lang w:val="en-US" w:eastAsia="el-GR"/>
              </w:rPr>
              <w:t>Q</w:t>
            </w:r>
            <w:r>
              <w:rPr>
                <w:rFonts w:ascii="Calibri" w:eastAsia="Times New Roman" w:hAnsi="Calibri" w:cs="Times New Roman"/>
                <w:color w:val="000000" w:themeColor="text1"/>
                <w:sz w:val="18"/>
                <w:szCs w:val="18"/>
                <w:lang w:val="en-US" w:eastAsia="el-GR"/>
              </w:rPr>
              <w:t>uasi</w:t>
            </w:r>
            <w:r w:rsidRPr="006F154D">
              <w:rPr>
                <w:rFonts w:ascii="Calibri" w:eastAsia="Times New Roman" w:hAnsi="Calibri" w:cs="Times New Roman"/>
                <w:color w:val="000000" w:themeColor="text1"/>
                <w:sz w:val="18"/>
                <w:szCs w:val="18"/>
                <w:lang w:val="en-US" w:eastAsia="el-GR"/>
              </w:rPr>
              <w:t>-E</w:t>
            </w:r>
            <w:r>
              <w:rPr>
                <w:rFonts w:ascii="Calibri" w:eastAsia="Times New Roman" w:hAnsi="Calibri" w:cs="Times New Roman"/>
                <w:color w:val="000000" w:themeColor="text1"/>
                <w:sz w:val="18"/>
                <w:szCs w:val="18"/>
                <w:lang w:val="en-US" w:eastAsia="el-GR"/>
              </w:rPr>
              <w:t xml:space="preserve">xperimental </w:t>
            </w:r>
            <w:r w:rsidRPr="0487491D">
              <w:rPr>
                <w:rFonts w:ascii="Calibri" w:eastAsia="Times New Roman" w:hAnsi="Calibri" w:cs="Times New Roman"/>
                <w:color w:val="000000" w:themeColor="text1"/>
                <w:sz w:val="18"/>
                <w:szCs w:val="18"/>
                <w:lang w:val="en-US" w:eastAsia="el-GR"/>
              </w:rPr>
              <w:t>Prospective Cohort</w:t>
            </w:r>
            <w:r w:rsidRPr="003356E7" w:rsidDel="0487491D">
              <w:rPr>
                <w:rFonts w:ascii="Calibri" w:eastAsia="Times New Roman" w:hAnsi="Calibri" w:cs="Times New Roman"/>
                <w:color w:val="000000" w:themeColor="text1"/>
                <w:sz w:val="18"/>
                <w:szCs w:val="18"/>
                <w:lang w:val="en-US" w:eastAsia="el-GR"/>
              </w:rPr>
              <w:t xml:space="preserve"> </w:t>
            </w:r>
          </w:p>
        </w:tc>
        <w:tc>
          <w:tcPr>
            <w:tcW w:w="1560" w:type="dxa"/>
            <w:shd w:val="clear" w:color="auto" w:fill="auto"/>
            <w:hideMark/>
          </w:tcPr>
          <w:p w14:paraId="5D271558" w14:textId="07131806"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and adults 4-55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with IgE</w:t>
            </w:r>
            <w:r w:rsidR="00E82BDD">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mediated allergy to peanut +/- other foods/25 </w:t>
            </w:r>
            <w:r w:rsidR="00E82BDD">
              <w:rPr>
                <w:rFonts w:ascii="Calibri" w:eastAsia="Times New Roman" w:hAnsi="Calibri" w:cs="Times New Roman"/>
                <w:color w:val="000000"/>
                <w:sz w:val="18"/>
                <w:szCs w:val="18"/>
                <w:lang w:val="en-US" w:eastAsia="el-GR"/>
              </w:rPr>
              <w:t xml:space="preserve">multi-allergic </w:t>
            </w:r>
            <w:r w:rsidRPr="00593B00">
              <w:rPr>
                <w:rFonts w:ascii="Calibri" w:eastAsia="Times New Roman" w:hAnsi="Calibri" w:cs="Times New Roman"/>
                <w:color w:val="000000"/>
                <w:sz w:val="18"/>
                <w:szCs w:val="18"/>
                <w:lang w:val="en-US" w:eastAsia="el-GR"/>
              </w:rPr>
              <w:t xml:space="preserve">patients, 14 (56%)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8 </w:t>
            </w:r>
            <w:r w:rsidR="003D1830">
              <w:rPr>
                <w:rFonts w:ascii="Calibri" w:eastAsia="Times New Roman" w:hAnsi="Calibri" w:cs="Times New Roman"/>
                <w:color w:val="000000"/>
                <w:sz w:val="18"/>
                <w:szCs w:val="18"/>
                <w:lang w:val="en-US" w:eastAsia="el-GR"/>
              </w:rPr>
              <w:t>years</w:t>
            </w:r>
            <w:r w:rsidRPr="00593B00">
              <w:rPr>
                <w:rFonts w:ascii="Calibri" w:eastAsia="Times New Roman" w:hAnsi="Calibri" w:cs="Times New Roman"/>
                <w:color w:val="000000"/>
                <w:sz w:val="18"/>
                <w:szCs w:val="18"/>
                <w:lang w:val="en-US" w:eastAsia="el-GR"/>
              </w:rPr>
              <w:t xml:space="preserve">/15 </w:t>
            </w:r>
            <w:r w:rsidR="00E82BDD">
              <w:rPr>
                <w:rFonts w:ascii="Calibri" w:eastAsia="Times New Roman" w:hAnsi="Calibri" w:cs="Times New Roman"/>
                <w:color w:val="000000"/>
                <w:sz w:val="18"/>
                <w:szCs w:val="18"/>
                <w:lang w:val="en-US" w:eastAsia="el-GR"/>
              </w:rPr>
              <w:t xml:space="preserve">peanut-allergic </w:t>
            </w:r>
            <w:r w:rsidRPr="00593B00">
              <w:rPr>
                <w:rFonts w:ascii="Calibri" w:eastAsia="Times New Roman" w:hAnsi="Calibri" w:cs="Times New Roman"/>
                <w:color w:val="000000"/>
                <w:sz w:val="18"/>
                <w:szCs w:val="18"/>
                <w:lang w:val="en-US" w:eastAsia="el-GR"/>
              </w:rPr>
              <w:t xml:space="preserve">patients, 8 (53%)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10 </w:t>
            </w:r>
            <w:r w:rsidR="00E82BDD">
              <w:rPr>
                <w:rFonts w:ascii="Calibri" w:eastAsia="Times New Roman" w:hAnsi="Calibri" w:cs="Times New Roman"/>
                <w:color w:val="000000"/>
                <w:sz w:val="18"/>
                <w:szCs w:val="18"/>
                <w:lang w:val="en-US" w:eastAsia="el-GR"/>
              </w:rPr>
              <w:t>years</w:t>
            </w:r>
            <w:r w:rsidR="007D0A7E">
              <w:rPr>
                <w:rFonts w:ascii="Calibri" w:eastAsia="Times New Roman" w:hAnsi="Calibri" w:cs="Times New Roman"/>
                <w:color w:val="000000"/>
                <w:sz w:val="18"/>
                <w:szCs w:val="18"/>
                <w:lang w:val="en-US" w:eastAsia="el-GR"/>
              </w:rPr>
              <w:t>.</w:t>
            </w:r>
          </w:p>
        </w:tc>
        <w:tc>
          <w:tcPr>
            <w:tcW w:w="2676" w:type="dxa"/>
            <w:shd w:val="clear" w:color="auto" w:fill="auto"/>
            <w:hideMark/>
          </w:tcPr>
          <w:p w14:paraId="3F6AB141" w14:textId="6DC3D18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All participants received </w:t>
            </w:r>
            <w:r w:rsidR="00E82BDD">
              <w:rPr>
                <w:rFonts w:ascii="Calibri" w:eastAsia="Times New Roman" w:hAnsi="Calibri" w:cs="Times New Roman"/>
                <w:color w:val="000000"/>
                <w:sz w:val="18"/>
                <w:szCs w:val="18"/>
                <w:lang w:val="en-US" w:eastAsia="el-GR"/>
              </w:rPr>
              <w:t>P</w:t>
            </w:r>
            <w:r w:rsidRPr="00593B00">
              <w:rPr>
                <w:rFonts w:ascii="Calibri" w:eastAsia="Times New Roman" w:hAnsi="Calibri" w:cs="Times New Roman"/>
                <w:color w:val="000000"/>
                <w:sz w:val="18"/>
                <w:szCs w:val="18"/>
                <w:lang w:val="en-US" w:eastAsia="el-GR"/>
              </w:rPr>
              <w:t>OIT</w:t>
            </w:r>
            <w:r w:rsidR="00E82BDD">
              <w:rPr>
                <w:rFonts w:ascii="Calibri" w:eastAsia="Times New Roman" w:hAnsi="Calibri" w:cs="Times New Roman"/>
                <w:color w:val="000000"/>
                <w:sz w:val="18"/>
                <w:szCs w:val="18"/>
                <w:lang w:val="en-US" w:eastAsia="el-GR"/>
              </w:rPr>
              <w:t xml:space="preserve"> or </w:t>
            </w:r>
            <w:proofErr w:type="spellStart"/>
            <w:r w:rsidR="00E82BDD">
              <w:rPr>
                <w:rFonts w:ascii="Calibri" w:eastAsia="Times New Roman" w:hAnsi="Calibri" w:cs="Times New Roman"/>
                <w:color w:val="000000"/>
                <w:sz w:val="18"/>
                <w:szCs w:val="18"/>
                <w:lang w:val="en-US" w:eastAsia="el-GR"/>
              </w:rPr>
              <w:t>mOIT</w:t>
            </w:r>
            <w:proofErr w:type="spellEnd"/>
            <w:r w:rsidRPr="00593B00">
              <w:rPr>
                <w:rFonts w:ascii="Calibri" w:eastAsia="Times New Roman" w:hAnsi="Calibri" w:cs="Times New Roman"/>
                <w:color w:val="000000"/>
                <w:sz w:val="18"/>
                <w:szCs w:val="18"/>
                <w:lang w:val="en-US" w:eastAsia="el-GR"/>
              </w:rPr>
              <w:t xml:space="preserve"> with 2-5 foods simultaneously: (1) Initial Escalation Day: In hospital administration of 0.1mg to 6mg</w:t>
            </w:r>
            <w:r w:rsidR="00593B00"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total food</w:t>
            </w:r>
            <w:r w:rsidR="000B07D8">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protein, or the highest tolerated dose (2) Build-up phase:  Bi-weekly in hospital 108-25% escalations, depended on tolerance (3) Maintenance: 4000mg of protein of each food (up to 20000mg total food protein). Subjects received </w:t>
            </w:r>
            <w:r w:rsidR="00E82BDD">
              <w:rPr>
                <w:rFonts w:ascii="Calibri" w:eastAsia="Times New Roman" w:hAnsi="Calibri" w:cs="Times New Roman"/>
                <w:color w:val="000000"/>
                <w:sz w:val="18"/>
                <w:szCs w:val="18"/>
                <w:lang w:val="en-US" w:eastAsia="el-GR"/>
              </w:rPr>
              <w:t>cetirizine</w:t>
            </w:r>
            <w:r w:rsidRPr="00593B00">
              <w:rPr>
                <w:rFonts w:ascii="Calibri" w:eastAsia="Times New Roman" w:hAnsi="Calibri" w:cs="Times New Roman"/>
                <w:color w:val="000000"/>
                <w:sz w:val="18"/>
                <w:szCs w:val="18"/>
                <w:lang w:val="en-US" w:eastAsia="el-GR"/>
              </w:rPr>
              <w:t xml:space="preserve"> 1 hour before home doses. </w:t>
            </w:r>
          </w:p>
        </w:tc>
        <w:tc>
          <w:tcPr>
            <w:tcW w:w="1784" w:type="dxa"/>
            <w:shd w:val="clear" w:color="auto" w:fill="auto"/>
            <w:hideMark/>
          </w:tcPr>
          <w:p w14:paraId="7B1ECDBF" w14:textId="22526D58"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Safety: The occurrence of allergic reactions throughout the course of the study, comparing </w:t>
            </w:r>
            <w:r w:rsidR="00E82BDD">
              <w:rPr>
                <w:rFonts w:ascii="Calibri" w:eastAsia="Times New Roman" w:hAnsi="Calibri" w:cs="Times New Roman"/>
                <w:color w:val="000000"/>
                <w:sz w:val="18"/>
                <w:szCs w:val="18"/>
                <w:lang w:val="en-US" w:eastAsia="el-GR"/>
              </w:rPr>
              <w:t>food-allergic</w:t>
            </w:r>
            <w:r w:rsidRPr="00593B00">
              <w:rPr>
                <w:rFonts w:ascii="Calibri" w:eastAsia="Times New Roman" w:hAnsi="Calibri" w:cs="Times New Roman"/>
                <w:color w:val="000000"/>
                <w:sz w:val="18"/>
                <w:szCs w:val="18"/>
                <w:lang w:val="en-US" w:eastAsia="el-GR"/>
              </w:rPr>
              <w:t xml:space="preserve"> participants with </w:t>
            </w:r>
            <w:r w:rsidR="00E82BDD">
              <w:rPr>
                <w:rFonts w:ascii="Calibri" w:eastAsia="Times New Roman" w:hAnsi="Calibri" w:cs="Times New Roman"/>
                <w:color w:val="000000"/>
                <w:sz w:val="18"/>
                <w:szCs w:val="18"/>
                <w:lang w:val="en-US" w:eastAsia="el-GR"/>
              </w:rPr>
              <w:t xml:space="preserve">POIT or </w:t>
            </w:r>
            <w:proofErr w:type="spellStart"/>
            <w:r w:rsidR="00E82BDD">
              <w:rPr>
                <w:rFonts w:ascii="Calibri" w:eastAsia="Times New Roman" w:hAnsi="Calibri" w:cs="Times New Roman"/>
                <w:color w:val="000000"/>
                <w:sz w:val="18"/>
                <w:szCs w:val="18"/>
                <w:lang w:val="en-US" w:eastAsia="el-GR"/>
              </w:rPr>
              <w:t>mOIT</w:t>
            </w:r>
            <w:proofErr w:type="spellEnd"/>
            <w:r w:rsidRPr="00593B00">
              <w:rPr>
                <w:rFonts w:ascii="Calibri" w:eastAsia="Times New Roman" w:hAnsi="Calibri" w:cs="Times New Roman"/>
                <w:color w:val="000000"/>
                <w:sz w:val="18"/>
                <w:szCs w:val="18"/>
                <w:lang w:val="en-US" w:eastAsia="el-GR"/>
              </w:rPr>
              <w:t>.</w:t>
            </w:r>
          </w:p>
        </w:tc>
        <w:tc>
          <w:tcPr>
            <w:tcW w:w="5760" w:type="dxa"/>
            <w:shd w:val="clear" w:color="auto" w:fill="auto"/>
            <w:hideMark/>
          </w:tcPr>
          <w:p w14:paraId="67C80EFF" w14:textId="4B0270A7" w:rsidR="00611FA7" w:rsidRPr="00593B00" w:rsidRDefault="00611FA7" w:rsidP="007D0A7E">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(1a) Number and Rate per dose or participant of reactions in each OIT phase.  (1b) Number, rate per participant</w:t>
            </w:r>
            <w:r w:rsidR="00E82BDD">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rate per </w:t>
            </w:r>
            <w:r w:rsidR="00E82BDD">
              <w:rPr>
                <w:rFonts w:ascii="Calibri" w:eastAsia="Times New Roman" w:hAnsi="Calibri" w:cs="Times New Roman"/>
                <w:color w:val="000000"/>
                <w:sz w:val="18"/>
                <w:szCs w:val="18"/>
                <w:lang w:val="en-US" w:eastAsia="el-GR"/>
              </w:rPr>
              <w:t>dose</w:t>
            </w:r>
            <w:r w:rsidRPr="00593B00">
              <w:rPr>
                <w:rFonts w:ascii="Calibri" w:eastAsia="Times New Roman" w:hAnsi="Calibri" w:cs="Times New Roman"/>
                <w:color w:val="000000"/>
                <w:sz w:val="18"/>
                <w:szCs w:val="18"/>
                <w:lang w:val="en-US" w:eastAsia="el-GR"/>
              </w:rPr>
              <w:t xml:space="preserve"> of use of epinephrine in each OIT phase. (</w:t>
            </w:r>
            <w:r w:rsidR="00786443" w:rsidRPr="00593B00">
              <w:rPr>
                <w:rFonts w:ascii="Calibri" w:eastAsia="Times New Roman" w:hAnsi="Calibri" w:cs="Times New Roman"/>
                <w:color w:val="000000"/>
                <w:sz w:val="18"/>
                <w:szCs w:val="18"/>
                <w:lang w:val="en-US" w:eastAsia="el-GR"/>
              </w:rPr>
              <w:t xml:space="preserve">1c) Symptom profiles per </w:t>
            </w:r>
            <w:r w:rsidR="00E82BDD">
              <w:rPr>
                <w:rFonts w:ascii="Calibri" w:eastAsia="Times New Roman" w:hAnsi="Calibri" w:cs="Times New Roman"/>
                <w:color w:val="000000"/>
                <w:sz w:val="18"/>
                <w:szCs w:val="18"/>
                <w:lang w:val="en-US" w:eastAsia="el-GR"/>
              </w:rPr>
              <w:t>dose</w:t>
            </w:r>
            <w:r w:rsidR="00786443" w:rsidRPr="00593B00">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in each OIT </w:t>
            </w:r>
            <w:r w:rsidR="00593B00" w:rsidRPr="00593B00">
              <w:rPr>
                <w:rFonts w:ascii="Calibri" w:eastAsia="Times New Roman" w:hAnsi="Calibri" w:cs="Times New Roman"/>
                <w:color w:val="000000"/>
                <w:sz w:val="18"/>
                <w:szCs w:val="18"/>
                <w:lang w:val="en-US" w:eastAsia="el-GR"/>
              </w:rPr>
              <w:t xml:space="preserve">phase. </w:t>
            </w:r>
            <w:r w:rsidR="00593B00" w:rsidRPr="00682ADA">
              <w:rPr>
                <w:rFonts w:ascii="Calibri" w:eastAsia="Times New Roman" w:hAnsi="Calibri" w:cs="Times New Roman"/>
                <w:b/>
                <w:bCs/>
                <w:color w:val="000000"/>
                <w:sz w:val="18"/>
                <w:szCs w:val="18"/>
                <w:lang w:val="en-US" w:eastAsia="el-GR"/>
              </w:rPr>
              <w:t>(</w:t>
            </w:r>
            <w:r w:rsidRPr="00682ADA">
              <w:rPr>
                <w:rFonts w:ascii="Calibri" w:eastAsia="Times New Roman" w:hAnsi="Calibri" w:cs="Times New Roman"/>
                <w:b/>
                <w:bCs/>
                <w:color w:val="000000"/>
                <w:sz w:val="18"/>
                <w:szCs w:val="18"/>
                <w:lang w:val="en-US" w:eastAsia="el-GR"/>
              </w:rPr>
              <w:t>2) Time to reach a 10-fold</w:t>
            </w:r>
            <w:r w:rsidR="007D0A7E" w:rsidRPr="00682ADA">
              <w:rPr>
                <w:rFonts w:ascii="Calibri" w:eastAsia="Times New Roman" w:hAnsi="Calibri" w:cs="Times New Roman"/>
                <w:b/>
                <w:bCs/>
                <w:color w:val="000000"/>
                <w:sz w:val="18"/>
                <w:szCs w:val="18"/>
                <w:lang w:val="en-US" w:eastAsia="el-GR"/>
              </w:rPr>
              <w:t xml:space="preserve"> </w:t>
            </w:r>
            <w:r w:rsidRPr="00682ADA">
              <w:rPr>
                <w:rFonts w:ascii="Calibri" w:eastAsia="Times New Roman" w:hAnsi="Calibri" w:cs="Times New Roman"/>
                <w:b/>
                <w:bCs/>
                <w:color w:val="000000"/>
                <w:sz w:val="18"/>
                <w:szCs w:val="18"/>
                <w:lang w:val="en-US" w:eastAsia="el-GR"/>
              </w:rPr>
              <w:t>increase in threshold dose of food allergen protein, and time to reach 300 mg, 1000 mg</w:t>
            </w:r>
            <w:r w:rsidR="00E82BDD" w:rsidRPr="00682ADA">
              <w:rPr>
                <w:rFonts w:ascii="Calibri" w:eastAsia="Times New Roman" w:hAnsi="Calibri" w:cs="Times New Roman"/>
                <w:b/>
                <w:bCs/>
                <w:color w:val="000000"/>
                <w:sz w:val="18"/>
                <w:szCs w:val="18"/>
                <w:lang w:val="en-US" w:eastAsia="el-GR"/>
              </w:rPr>
              <w:t>,</w:t>
            </w:r>
            <w:r w:rsidRPr="00682ADA">
              <w:rPr>
                <w:rFonts w:ascii="Calibri" w:eastAsia="Times New Roman" w:hAnsi="Calibri" w:cs="Times New Roman"/>
                <w:b/>
                <w:bCs/>
                <w:color w:val="000000"/>
                <w:sz w:val="18"/>
                <w:szCs w:val="18"/>
                <w:lang w:val="en-US" w:eastAsia="el-GR"/>
              </w:rPr>
              <w:t xml:space="preserve"> and 4000 mg of food allergen protein</w:t>
            </w:r>
            <w:r w:rsidRPr="00593B00">
              <w:rPr>
                <w:rFonts w:ascii="Calibri" w:eastAsia="Times New Roman" w:hAnsi="Calibri" w:cs="Times New Roman"/>
                <w:color w:val="000000"/>
                <w:sz w:val="18"/>
                <w:szCs w:val="18"/>
                <w:lang w:val="en-US" w:eastAsia="el-GR"/>
              </w:rPr>
              <w:t xml:space="preserve">. (3) Changes between baseline and 12 months of </w:t>
            </w:r>
            <w:proofErr w:type="gramStart"/>
            <w:r w:rsidR="00E82BDD">
              <w:rPr>
                <w:rFonts w:ascii="Calibri" w:eastAsia="Times New Roman" w:hAnsi="Calibri" w:cs="Times New Roman"/>
                <w:color w:val="000000"/>
                <w:sz w:val="18"/>
                <w:szCs w:val="18"/>
                <w:lang w:val="en-US" w:eastAsia="el-GR"/>
              </w:rPr>
              <w:t>food-specific</w:t>
            </w:r>
            <w:proofErr w:type="gramEnd"/>
            <w:r w:rsidRPr="00593B00">
              <w:rPr>
                <w:rFonts w:ascii="Calibri" w:eastAsia="Times New Roman" w:hAnsi="Calibri" w:cs="Times New Roman"/>
                <w:color w:val="000000"/>
                <w:sz w:val="18"/>
                <w:szCs w:val="18"/>
                <w:lang w:val="en-US" w:eastAsia="el-GR"/>
              </w:rPr>
              <w:t xml:space="preserve"> IgE and IgG4</w:t>
            </w:r>
            <w:r w:rsidR="007D0A7E">
              <w:rPr>
                <w:rFonts w:ascii="Calibri" w:eastAsia="Times New Roman" w:hAnsi="Calibri" w:cs="Times New Roman"/>
                <w:color w:val="000000"/>
                <w:sz w:val="18"/>
                <w:szCs w:val="18"/>
                <w:lang w:val="en-US" w:eastAsia="el-GR"/>
              </w:rPr>
              <w:t>.</w:t>
            </w:r>
          </w:p>
        </w:tc>
      </w:tr>
      <w:tr w:rsidR="00611FA7" w:rsidRPr="00A2595E" w14:paraId="3188653B" w14:textId="77777777" w:rsidTr="00682ADA">
        <w:trPr>
          <w:trHeight w:val="4474"/>
        </w:trPr>
        <w:tc>
          <w:tcPr>
            <w:tcW w:w="1159" w:type="dxa"/>
            <w:shd w:val="clear" w:color="auto" w:fill="C6D9F1" w:themeFill="text2" w:themeFillTint="33"/>
            <w:hideMark/>
          </w:tcPr>
          <w:p w14:paraId="348E444D"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Andorf et al. 2017a; USA; Longitudinal Follow-up Study for Food Allergies; NCT03234764</w:t>
            </w:r>
          </w:p>
        </w:tc>
        <w:tc>
          <w:tcPr>
            <w:tcW w:w="1003" w:type="dxa"/>
            <w:shd w:val="clear" w:color="auto" w:fill="C6D9F1" w:themeFill="text2" w:themeFillTint="33"/>
            <w:hideMark/>
          </w:tcPr>
          <w:p w14:paraId="50DEFE7D" w14:textId="611FCEF5" w:rsidR="00611FA7" w:rsidRPr="00593B00" w:rsidRDefault="003356E7" w:rsidP="004E4915">
            <w:pPr>
              <w:spacing w:after="0" w:line="240" w:lineRule="auto"/>
              <w:rPr>
                <w:rFonts w:ascii="Calibri" w:eastAsia="Times New Roman" w:hAnsi="Calibri" w:cs="Times New Roman"/>
                <w:color w:val="000000"/>
                <w:sz w:val="18"/>
                <w:szCs w:val="18"/>
                <w:lang w:val="en-US" w:eastAsia="el-GR"/>
              </w:rPr>
            </w:pPr>
            <w:r w:rsidRPr="006F154D">
              <w:rPr>
                <w:rFonts w:ascii="Calibri" w:eastAsia="Times New Roman" w:hAnsi="Calibri" w:cs="Times New Roman"/>
                <w:color w:val="000000" w:themeColor="text1"/>
                <w:sz w:val="18"/>
                <w:szCs w:val="18"/>
                <w:lang w:val="en-US" w:eastAsia="el-GR"/>
              </w:rPr>
              <w:t>Q</w:t>
            </w:r>
            <w:r>
              <w:rPr>
                <w:rFonts w:ascii="Calibri" w:eastAsia="Times New Roman" w:hAnsi="Calibri" w:cs="Times New Roman"/>
                <w:color w:val="000000" w:themeColor="text1"/>
                <w:sz w:val="18"/>
                <w:szCs w:val="18"/>
                <w:lang w:val="en-US" w:eastAsia="el-GR"/>
              </w:rPr>
              <w:t>uasi</w:t>
            </w:r>
            <w:r w:rsidRPr="006F154D">
              <w:rPr>
                <w:rFonts w:ascii="Calibri" w:eastAsia="Times New Roman" w:hAnsi="Calibri" w:cs="Times New Roman"/>
                <w:color w:val="000000" w:themeColor="text1"/>
                <w:sz w:val="18"/>
                <w:szCs w:val="18"/>
                <w:lang w:val="en-US" w:eastAsia="el-GR"/>
              </w:rPr>
              <w:t>-E</w:t>
            </w:r>
            <w:r>
              <w:rPr>
                <w:rFonts w:ascii="Calibri" w:eastAsia="Times New Roman" w:hAnsi="Calibri" w:cs="Times New Roman"/>
                <w:color w:val="000000" w:themeColor="text1"/>
                <w:sz w:val="18"/>
                <w:szCs w:val="18"/>
                <w:lang w:val="en-US" w:eastAsia="el-GR"/>
              </w:rPr>
              <w:t xml:space="preserve">xperimental </w:t>
            </w:r>
            <w:r w:rsidRPr="0487491D">
              <w:rPr>
                <w:rFonts w:ascii="Calibri" w:eastAsia="Times New Roman" w:hAnsi="Calibri" w:cs="Times New Roman"/>
                <w:color w:val="000000" w:themeColor="text1"/>
                <w:sz w:val="18"/>
                <w:szCs w:val="18"/>
                <w:lang w:val="en-US" w:eastAsia="el-GR"/>
              </w:rPr>
              <w:t xml:space="preserve">Prospective Cohort </w:t>
            </w:r>
          </w:p>
        </w:tc>
        <w:tc>
          <w:tcPr>
            <w:tcW w:w="1560" w:type="dxa"/>
            <w:shd w:val="clear" w:color="auto" w:fill="C6D9F1" w:themeFill="text2" w:themeFillTint="33"/>
            <w:hideMark/>
          </w:tcPr>
          <w:p w14:paraId="15D5CF73" w14:textId="67847E1D"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Children and adults 0</w:t>
            </w:r>
            <w:r w:rsidR="003A166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5- 60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which have reached 2 gr maintenance dose per food in an initial </w:t>
            </w:r>
            <w:proofErr w:type="spellStart"/>
            <w:r w:rsidRPr="00593B00">
              <w:rPr>
                <w:rFonts w:ascii="Calibri" w:eastAsia="Times New Roman" w:hAnsi="Calibri" w:cs="Times New Roman"/>
                <w:color w:val="000000"/>
                <w:sz w:val="18"/>
                <w:szCs w:val="18"/>
                <w:lang w:val="en-US" w:eastAsia="el-GR"/>
              </w:rPr>
              <w:t>mOIT</w:t>
            </w:r>
            <w:proofErr w:type="spellEnd"/>
            <w:r w:rsidRPr="00593B00">
              <w:rPr>
                <w:rFonts w:ascii="Calibri" w:eastAsia="Times New Roman" w:hAnsi="Calibri" w:cs="Times New Roman"/>
                <w:color w:val="000000"/>
                <w:sz w:val="18"/>
                <w:szCs w:val="18"/>
                <w:lang w:val="en-US" w:eastAsia="el-GR"/>
              </w:rPr>
              <w:t xml:space="preserve"> protocol (almond, cashew, egg, hazelnut, milk, peanut, pecan, sesame, walnut)/46 patients, 24 (52%)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median age 10.6 years</w:t>
            </w:r>
            <w:r w:rsidR="007D0A7E">
              <w:rPr>
                <w:rFonts w:ascii="Calibri" w:eastAsia="Times New Roman" w:hAnsi="Calibri" w:cs="Times New Roman"/>
                <w:color w:val="000000"/>
                <w:sz w:val="18"/>
                <w:szCs w:val="18"/>
                <w:lang w:val="en-US" w:eastAsia="el-GR"/>
              </w:rPr>
              <w:t>.</w:t>
            </w:r>
          </w:p>
        </w:tc>
        <w:tc>
          <w:tcPr>
            <w:tcW w:w="2676" w:type="dxa"/>
            <w:shd w:val="clear" w:color="auto" w:fill="C6D9F1" w:themeFill="text2" w:themeFillTint="33"/>
            <w:hideMark/>
          </w:tcPr>
          <w:p w14:paraId="46843C41" w14:textId="1C2B0D8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The clinical team, together with the patient and family, made a team decision to allow the participant to either continue to ingest the “high” maintenance dose (median 2g protein of each food allergen) or decrease to the “low” (median 300mg of each food allergen) maintenance dose. Some participants also took their dose every other day instead </w:t>
            </w:r>
            <w:r w:rsidR="00E82BDD">
              <w:rPr>
                <w:rFonts w:ascii="Calibri" w:eastAsia="Times New Roman" w:hAnsi="Calibri" w:cs="Times New Roman"/>
                <w:color w:val="000000"/>
                <w:sz w:val="18"/>
                <w:szCs w:val="18"/>
                <w:lang w:val="en-US" w:eastAsia="el-GR"/>
              </w:rPr>
              <w:t xml:space="preserve">of </w:t>
            </w:r>
            <w:r w:rsidRPr="00593B00">
              <w:rPr>
                <w:rFonts w:ascii="Calibri" w:eastAsia="Times New Roman" w:hAnsi="Calibri" w:cs="Times New Roman"/>
                <w:color w:val="000000"/>
                <w:sz w:val="18"/>
                <w:szCs w:val="18"/>
                <w:lang w:val="en-US" w:eastAsia="el-GR"/>
              </w:rPr>
              <w:t>daily.</w:t>
            </w:r>
          </w:p>
        </w:tc>
        <w:tc>
          <w:tcPr>
            <w:tcW w:w="1784" w:type="dxa"/>
            <w:shd w:val="clear" w:color="auto" w:fill="C6D9F1" w:themeFill="text2" w:themeFillTint="33"/>
            <w:hideMark/>
          </w:tcPr>
          <w:p w14:paraId="5A085C68" w14:textId="77777777" w:rsidR="00611FA7" w:rsidRPr="00682ADA" w:rsidRDefault="00611FA7" w:rsidP="004E4915">
            <w:pPr>
              <w:spacing w:after="0" w:line="240" w:lineRule="auto"/>
              <w:rPr>
                <w:rFonts w:ascii="Calibri" w:eastAsia="Times New Roman" w:hAnsi="Calibri" w:cs="Times New Roman"/>
                <w:b/>
                <w:bCs/>
                <w:color w:val="000000"/>
                <w:sz w:val="18"/>
                <w:szCs w:val="18"/>
                <w:lang w:val="en-US" w:eastAsia="el-GR"/>
              </w:rPr>
            </w:pPr>
            <w:r w:rsidRPr="00682ADA">
              <w:rPr>
                <w:rFonts w:ascii="Calibri" w:eastAsia="Times New Roman" w:hAnsi="Calibri" w:cs="Times New Roman"/>
                <w:b/>
                <w:bCs/>
                <w:color w:val="000000"/>
                <w:sz w:val="18"/>
                <w:szCs w:val="18"/>
                <w:lang w:val="en-US" w:eastAsia="el-GR"/>
              </w:rPr>
              <w:t xml:space="preserve">(1) Efficacy: The feasibility of sustained desensitization with reduced (300 mg–2 g) long-term maintenance dosing, assessed by OFCs every 6-12 months.  </w:t>
            </w:r>
          </w:p>
        </w:tc>
        <w:tc>
          <w:tcPr>
            <w:tcW w:w="5760" w:type="dxa"/>
            <w:shd w:val="clear" w:color="auto" w:fill="C6D9F1" w:themeFill="text2" w:themeFillTint="33"/>
            <w:hideMark/>
          </w:tcPr>
          <w:p w14:paraId="0DCDF6F9" w14:textId="5BFCF15E"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Number of participants tolerated 2g protein or more in an OFC to their respective food allergens at the end of the follow-up phase. (2a) Proportion of participants with more than one food in their OIT on </w:t>
            </w:r>
            <w:r w:rsidR="00E82BDD">
              <w:rPr>
                <w:rFonts w:ascii="Calibri" w:eastAsia="Times New Roman" w:hAnsi="Calibri" w:cs="Times New Roman"/>
                <w:color w:val="000000"/>
                <w:sz w:val="18"/>
                <w:szCs w:val="18"/>
                <w:lang w:val="en-US" w:eastAsia="el-GR"/>
              </w:rPr>
              <w:t xml:space="preserve">a </w:t>
            </w:r>
            <w:r w:rsidRPr="00593B00">
              <w:rPr>
                <w:rFonts w:ascii="Calibri" w:eastAsia="Times New Roman" w:hAnsi="Calibri" w:cs="Times New Roman"/>
                <w:color w:val="000000"/>
                <w:sz w:val="18"/>
                <w:szCs w:val="18"/>
                <w:lang w:val="en-US" w:eastAsia="el-GR"/>
              </w:rPr>
              <w:t>low and high maintenance dose for all foods at the end of the follow-up study.  (2</w:t>
            </w:r>
            <w:r w:rsidR="00593B00" w:rsidRPr="00593B00">
              <w:rPr>
                <w:rFonts w:ascii="Calibri" w:eastAsia="Times New Roman" w:hAnsi="Calibri" w:cs="Times New Roman"/>
                <w:color w:val="000000"/>
                <w:sz w:val="18"/>
                <w:szCs w:val="18"/>
                <w:lang w:val="en-US" w:eastAsia="el-GR"/>
              </w:rPr>
              <w:t>b) High</w:t>
            </w:r>
            <w:r w:rsidRPr="00593B00">
              <w:rPr>
                <w:rFonts w:ascii="Calibri" w:eastAsia="Times New Roman" w:hAnsi="Calibri" w:cs="Times New Roman"/>
                <w:color w:val="000000"/>
                <w:sz w:val="18"/>
                <w:szCs w:val="18"/>
                <w:lang w:val="en-US" w:eastAsia="el-GR"/>
              </w:rPr>
              <w:t xml:space="preserve"> vs. low long-term maintenance dose at the end of the follow-up study per participant for each of their respective offending foods (2c) The percentage of participants per allergen </w:t>
            </w:r>
            <w:r w:rsidR="00E82BDD" w:rsidRPr="00593B00">
              <w:rPr>
                <w:rFonts w:ascii="Calibri" w:eastAsia="Times New Roman" w:hAnsi="Calibri" w:cs="Times New Roman"/>
                <w:color w:val="000000"/>
                <w:sz w:val="18"/>
                <w:szCs w:val="18"/>
                <w:lang w:val="en-US" w:eastAsia="el-GR"/>
              </w:rPr>
              <w:t>contin</w:t>
            </w:r>
            <w:r w:rsidR="00E82BDD">
              <w:rPr>
                <w:rFonts w:ascii="Calibri" w:eastAsia="Times New Roman" w:hAnsi="Calibri" w:cs="Times New Roman"/>
                <w:color w:val="000000"/>
                <w:sz w:val="18"/>
                <w:szCs w:val="18"/>
                <w:lang w:val="en-US" w:eastAsia="el-GR"/>
              </w:rPr>
              <w:t>u</w:t>
            </w:r>
            <w:r w:rsidR="00E82BDD" w:rsidRPr="00593B00">
              <w:rPr>
                <w:rFonts w:ascii="Calibri" w:eastAsia="Times New Roman" w:hAnsi="Calibri" w:cs="Times New Roman"/>
                <w:color w:val="000000"/>
                <w:sz w:val="18"/>
                <w:szCs w:val="18"/>
                <w:lang w:val="en-US" w:eastAsia="el-GR"/>
              </w:rPr>
              <w:t>ing</w:t>
            </w:r>
            <w:r w:rsidRPr="00593B00">
              <w:rPr>
                <w:rFonts w:ascii="Calibri" w:eastAsia="Times New Roman" w:hAnsi="Calibri" w:cs="Times New Roman"/>
                <w:color w:val="000000"/>
                <w:sz w:val="18"/>
                <w:szCs w:val="18"/>
                <w:lang w:val="en-US" w:eastAsia="el-GR"/>
              </w:rPr>
              <w:t xml:space="preserve"> </w:t>
            </w:r>
            <w:r w:rsidR="00786443" w:rsidRPr="00593B00">
              <w:rPr>
                <w:rFonts w:ascii="Calibri" w:eastAsia="Times New Roman" w:hAnsi="Calibri" w:cs="Times New Roman"/>
                <w:color w:val="000000"/>
                <w:sz w:val="18"/>
                <w:szCs w:val="18"/>
                <w:lang w:val="en-US" w:eastAsia="el-GR"/>
              </w:rPr>
              <w:t>high long-term maintenance dose (3) Adverse events</w:t>
            </w:r>
            <w:r w:rsidRPr="00593B00">
              <w:rPr>
                <w:rFonts w:ascii="Calibri" w:eastAsia="Times New Roman" w:hAnsi="Calibri" w:cs="Times New Roman"/>
                <w:color w:val="000000"/>
                <w:sz w:val="18"/>
                <w:szCs w:val="18"/>
                <w:lang w:val="en-US" w:eastAsia="el-GR"/>
              </w:rPr>
              <w:t xml:space="preserve"> documented as per CTCAE v4.03 criteria. (a) Reaction numbers and severity % of total reactions in total and per year. (b) Reaction numbers and severity per ITT participant in total and per year. (c) Epinephrine use. (d) Difference in safety between low vs. high maintenance dose. (</w:t>
            </w:r>
            <w:r w:rsidR="00593B00" w:rsidRPr="00593B00">
              <w:rPr>
                <w:rFonts w:ascii="Calibri" w:eastAsia="Times New Roman" w:hAnsi="Calibri" w:cs="Times New Roman"/>
                <w:color w:val="000000"/>
                <w:sz w:val="18"/>
                <w:szCs w:val="18"/>
                <w:lang w:val="en-US" w:eastAsia="el-GR"/>
              </w:rPr>
              <w:t>4) Changes</w:t>
            </w:r>
            <w:r w:rsidRPr="00593B00">
              <w:rPr>
                <w:rFonts w:ascii="Calibri" w:eastAsia="Times New Roman" w:hAnsi="Calibri" w:cs="Times New Roman"/>
                <w:color w:val="000000"/>
                <w:sz w:val="18"/>
                <w:szCs w:val="18"/>
                <w:lang w:val="en-US" w:eastAsia="el-GR"/>
              </w:rPr>
              <w:t xml:space="preserve"> in SPT and IgG4/IgE ratios per participant and food allergen in total and in the low vs. the high maintenance group.</w:t>
            </w:r>
          </w:p>
        </w:tc>
      </w:tr>
      <w:tr w:rsidR="00BA7289" w:rsidRPr="00593B00" w14:paraId="6C7FFFD3" w14:textId="77777777" w:rsidTr="00682ADA">
        <w:trPr>
          <w:trHeight w:val="20"/>
        </w:trPr>
        <w:tc>
          <w:tcPr>
            <w:tcW w:w="13942" w:type="dxa"/>
            <w:gridSpan w:val="6"/>
            <w:shd w:val="clear" w:color="auto" w:fill="ACB9CA"/>
            <w:hideMark/>
          </w:tcPr>
          <w:p w14:paraId="4B53E4DE" w14:textId="309F521C" w:rsidR="00BA7289" w:rsidRPr="00593B00" w:rsidRDefault="00BA7289"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Multi OIT with Omalizumab </w:t>
            </w:r>
          </w:p>
        </w:tc>
      </w:tr>
      <w:tr w:rsidR="00611FA7" w:rsidRPr="00FA3C3C" w14:paraId="1EF04ADD" w14:textId="77777777" w:rsidTr="00682ADA">
        <w:trPr>
          <w:trHeight w:val="20"/>
        </w:trPr>
        <w:tc>
          <w:tcPr>
            <w:tcW w:w="1159" w:type="dxa"/>
            <w:shd w:val="clear" w:color="auto" w:fill="C6D9F1" w:themeFill="text2" w:themeFillTint="33"/>
            <w:hideMark/>
          </w:tcPr>
          <w:p w14:paraId="05862011" w14:textId="2D443C65"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487491D">
              <w:rPr>
                <w:rFonts w:ascii="Calibri" w:eastAsia="Times New Roman" w:hAnsi="Calibri" w:cs="Times New Roman"/>
                <w:color w:val="000000" w:themeColor="text1"/>
                <w:sz w:val="18"/>
                <w:szCs w:val="18"/>
                <w:lang w:val="en-US" w:eastAsia="el-GR"/>
              </w:rPr>
              <w:t xml:space="preserve">Begin et al. 2014b; USA; Omalizumab </w:t>
            </w:r>
            <w:proofErr w:type="gramStart"/>
            <w:r w:rsidRPr="0487491D">
              <w:rPr>
                <w:rFonts w:ascii="Calibri" w:eastAsia="Times New Roman" w:hAnsi="Calibri" w:cs="Times New Roman"/>
                <w:color w:val="000000" w:themeColor="text1"/>
                <w:sz w:val="18"/>
                <w:szCs w:val="18"/>
                <w:lang w:val="en-US" w:eastAsia="el-GR"/>
              </w:rPr>
              <w:t>With</w:t>
            </w:r>
            <w:proofErr w:type="gramEnd"/>
            <w:r w:rsidRPr="0487491D">
              <w:rPr>
                <w:rFonts w:ascii="Calibri" w:eastAsia="Times New Roman" w:hAnsi="Calibri" w:cs="Times New Roman"/>
                <w:color w:val="000000" w:themeColor="text1"/>
                <w:sz w:val="18"/>
                <w:szCs w:val="18"/>
                <w:lang w:val="en-US" w:eastAsia="el-GR"/>
              </w:rPr>
              <w:t xml:space="preserve"> Oral Food Immunotherapy With Food Allergies Open-Label Safety Study in a Single Center; NCT01510626</w:t>
            </w:r>
          </w:p>
        </w:tc>
        <w:tc>
          <w:tcPr>
            <w:tcW w:w="1003" w:type="dxa"/>
            <w:shd w:val="clear" w:color="auto" w:fill="C6D9F1" w:themeFill="text2" w:themeFillTint="33"/>
            <w:hideMark/>
          </w:tcPr>
          <w:p w14:paraId="0588DA8F" w14:textId="5408F8C6" w:rsidR="00611FA7" w:rsidRPr="00593B00" w:rsidRDefault="0487491D" w:rsidP="0487491D">
            <w:pPr>
              <w:spacing w:after="0" w:line="240" w:lineRule="auto"/>
              <w:rPr>
                <w:rFonts w:ascii="Calibri" w:eastAsia="Times New Roman" w:hAnsi="Calibri" w:cs="Times New Roman"/>
                <w:color w:val="000000"/>
                <w:sz w:val="18"/>
                <w:szCs w:val="18"/>
                <w:lang w:val="en-US" w:eastAsia="el-GR"/>
              </w:rPr>
            </w:pPr>
            <w:r w:rsidRPr="0487491D">
              <w:rPr>
                <w:rFonts w:ascii="Calibri" w:eastAsia="Times New Roman" w:hAnsi="Calibri" w:cs="Times New Roman"/>
                <w:color w:val="000000" w:themeColor="text1"/>
                <w:sz w:val="18"/>
                <w:szCs w:val="18"/>
                <w:lang w:val="en-US" w:eastAsia="el-GR"/>
              </w:rPr>
              <w:t>Prospective C</w:t>
            </w:r>
            <w:r w:rsidR="00FD300D">
              <w:rPr>
                <w:rFonts w:ascii="Calibri" w:eastAsia="Times New Roman" w:hAnsi="Calibri" w:cs="Times New Roman"/>
                <w:color w:val="000000" w:themeColor="text1"/>
                <w:sz w:val="18"/>
                <w:szCs w:val="18"/>
                <w:lang w:val="en-US" w:eastAsia="el-GR"/>
              </w:rPr>
              <w:t>ohort</w:t>
            </w:r>
          </w:p>
        </w:tc>
        <w:tc>
          <w:tcPr>
            <w:tcW w:w="1560" w:type="dxa"/>
            <w:shd w:val="clear" w:color="auto" w:fill="C6D9F1" w:themeFill="text2" w:themeFillTint="33"/>
            <w:hideMark/>
          </w:tcPr>
          <w:p w14:paraId="6E356422" w14:textId="208E4D3B"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and </w:t>
            </w:r>
            <w:r w:rsidR="003E2811" w:rsidRPr="00593B00">
              <w:rPr>
                <w:rFonts w:ascii="Calibri" w:eastAsia="Times New Roman" w:hAnsi="Calibri" w:cs="Times New Roman"/>
                <w:color w:val="000000"/>
                <w:sz w:val="18"/>
                <w:szCs w:val="18"/>
                <w:lang w:val="en-US" w:eastAsia="el-GR"/>
              </w:rPr>
              <w:t>adults 4</w:t>
            </w:r>
            <w:r w:rsidRPr="00593B00">
              <w:rPr>
                <w:rFonts w:ascii="Calibri" w:eastAsia="Times New Roman" w:hAnsi="Calibri" w:cs="Times New Roman"/>
                <w:color w:val="000000"/>
                <w:sz w:val="18"/>
                <w:szCs w:val="18"/>
                <w:lang w:val="en-US" w:eastAsia="el-GR"/>
              </w:rPr>
              <w:t xml:space="preserve">-55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t>
            </w:r>
            <w:r w:rsidR="00FA3C3C">
              <w:rPr>
                <w:rFonts w:ascii="Calibri" w:eastAsia="Times New Roman" w:hAnsi="Calibri" w:cs="Times New Roman"/>
                <w:color w:val="000000"/>
                <w:sz w:val="18"/>
                <w:szCs w:val="18"/>
                <w:lang w:val="en-US" w:eastAsia="el-GR"/>
              </w:rPr>
              <w:t>a</w:t>
            </w:r>
            <w:r w:rsidRPr="00593B00">
              <w:rPr>
                <w:rFonts w:ascii="Calibri" w:eastAsia="Times New Roman" w:hAnsi="Calibri" w:cs="Times New Roman"/>
                <w:color w:val="000000"/>
                <w:sz w:val="18"/>
                <w:szCs w:val="18"/>
                <w:lang w:val="en-US" w:eastAsia="el-GR"/>
              </w:rPr>
              <w:t>llerg</w:t>
            </w:r>
            <w:r w:rsidR="00FA3C3C">
              <w:rPr>
                <w:rFonts w:ascii="Calibri" w:eastAsia="Times New Roman" w:hAnsi="Calibri" w:cs="Times New Roman"/>
                <w:color w:val="000000"/>
                <w:sz w:val="18"/>
                <w:szCs w:val="18"/>
                <w:lang w:val="en-US" w:eastAsia="el-GR"/>
              </w:rPr>
              <w:t xml:space="preserve">ic </w:t>
            </w:r>
            <w:r w:rsidRPr="00593B00">
              <w:rPr>
                <w:rFonts w:ascii="Calibri" w:eastAsia="Times New Roman" w:hAnsi="Calibri" w:cs="Times New Roman"/>
                <w:color w:val="000000"/>
                <w:sz w:val="18"/>
                <w:szCs w:val="18"/>
                <w:lang w:val="en-US" w:eastAsia="el-GR"/>
              </w:rPr>
              <w:t xml:space="preserve">to at least two foods of cow’s milk, egg, peanut, nuts, </w:t>
            </w:r>
            <w:r w:rsidR="003E2811" w:rsidRPr="00593B00">
              <w:rPr>
                <w:rFonts w:ascii="Calibri" w:eastAsia="Times New Roman" w:hAnsi="Calibri" w:cs="Times New Roman"/>
                <w:color w:val="000000"/>
                <w:sz w:val="18"/>
                <w:szCs w:val="18"/>
                <w:lang w:val="en-US" w:eastAsia="el-GR"/>
              </w:rPr>
              <w:t>grains,</w:t>
            </w:r>
            <w:r w:rsidRPr="00593B00">
              <w:rPr>
                <w:rFonts w:ascii="Calibri" w:eastAsia="Times New Roman" w:hAnsi="Calibri" w:cs="Times New Roman"/>
                <w:color w:val="000000"/>
                <w:sz w:val="18"/>
                <w:szCs w:val="18"/>
                <w:lang w:val="en-US" w:eastAsia="el-GR"/>
              </w:rPr>
              <w:t xml:space="preserve"> and sesame seed/25 participants, 19 (76%) male</w:t>
            </w:r>
            <w:r w:rsidR="00E61EEE">
              <w:rPr>
                <w:rFonts w:ascii="Calibri" w:eastAsia="Times New Roman" w:hAnsi="Calibri" w:cs="Times New Roman"/>
                <w:color w:val="000000"/>
                <w:sz w:val="18"/>
                <w:szCs w:val="18"/>
                <w:lang w:val="en-US" w:eastAsia="el-GR"/>
              </w:rPr>
              <w:t>s</w:t>
            </w:r>
            <w:r w:rsidRPr="00593B00">
              <w:rPr>
                <w:rFonts w:ascii="Calibri" w:eastAsia="Times New Roman" w:hAnsi="Calibri" w:cs="Times New Roman"/>
                <w:color w:val="000000"/>
                <w:sz w:val="18"/>
                <w:szCs w:val="18"/>
                <w:lang w:val="en-US" w:eastAsia="el-GR"/>
              </w:rPr>
              <w:t xml:space="preserve">, median age 7.4 </w:t>
            </w:r>
            <w:r w:rsidR="00FA3C3C">
              <w:rPr>
                <w:rFonts w:ascii="Calibri" w:eastAsia="Times New Roman" w:hAnsi="Calibri" w:cs="Times New Roman"/>
                <w:color w:val="000000"/>
                <w:sz w:val="18"/>
                <w:szCs w:val="18"/>
                <w:lang w:val="en-US" w:eastAsia="el-GR"/>
              </w:rPr>
              <w:t>years</w:t>
            </w:r>
            <w:r w:rsidR="007D0A7E">
              <w:rPr>
                <w:rFonts w:ascii="Calibri" w:eastAsia="Times New Roman" w:hAnsi="Calibri" w:cs="Times New Roman"/>
                <w:color w:val="000000"/>
                <w:sz w:val="18"/>
                <w:szCs w:val="18"/>
                <w:lang w:val="en-US" w:eastAsia="el-GR"/>
              </w:rPr>
              <w:t>.</w:t>
            </w:r>
          </w:p>
        </w:tc>
        <w:tc>
          <w:tcPr>
            <w:tcW w:w="2676" w:type="dxa"/>
            <w:shd w:val="clear" w:color="auto" w:fill="C6D9F1" w:themeFill="text2" w:themeFillTint="33"/>
            <w:hideMark/>
          </w:tcPr>
          <w:p w14:paraId="114F516F" w14:textId="624E18DA"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All participants received omalizumab 8 weeks pre and 8 weeks during </w:t>
            </w:r>
            <w:proofErr w:type="spellStart"/>
            <w:r w:rsidRPr="00593B00">
              <w:rPr>
                <w:rFonts w:ascii="Calibri" w:eastAsia="Times New Roman" w:hAnsi="Calibri" w:cs="Times New Roman"/>
                <w:color w:val="000000"/>
                <w:sz w:val="18"/>
                <w:szCs w:val="18"/>
                <w:lang w:val="en-US" w:eastAsia="el-GR"/>
              </w:rPr>
              <w:t>mOIT</w:t>
            </w:r>
            <w:proofErr w:type="spellEnd"/>
            <w:r w:rsidRPr="00593B00">
              <w:rPr>
                <w:rFonts w:ascii="Calibri" w:eastAsia="Times New Roman" w:hAnsi="Calibri" w:cs="Times New Roman"/>
                <w:color w:val="000000"/>
                <w:sz w:val="18"/>
                <w:szCs w:val="18"/>
                <w:lang w:val="en-US" w:eastAsia="el-GR"/>
              </w:rPr>
              <w:t xml:space="preserve">: (1) Initial Escalation Day: In hospital administration of 5mg to 1250mg of total food protein, or the highest tolerated dose, (2) Build-up phase:  Bi-weekly in hospital 14-80% escalations, depended on tolerance, (3) Maintenance: 4000mg of protein of each food (up to 20000mg total food protein). </w:t>
            </w:r>
          </w:p>
        </w:tc>
        <w:tc>
          <w:tcPr>
            <w:tcW w:w="1784" w:type="dxa"/>
            <w:shd w:val="clear" w:color="auto" w:fill="C6D9F1" w:themeFill="text2" w:themeFillTint="33"/>
            <w:hideMark/>
          </w:tcPr>
          <w:p w14:paraId="2AF3C426" w14:textId="2E9F0742"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Safety: The occurrence of allergic reactions throughout the course of the study</w:t>
            </w:r>
            <w:r w:rsidR="00FA3C3C">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reported by participants in diaries. </w:t>
            </w:r>
          </w:p>
        </w:tc>
        <w:tc>
          <w:tcPr>
            <w:tcW w:w="5760" w:type="dxa"/>
            <w:shd w:val="clear" w:color="auto" w:fill="C6D9F1" w:themeFill="text2" w:themeFillTint="33"/>
            <w:hideMark/>
          </w:tcPr>
          <w:p w14:paraId="64B8C1D1" w14:textId="2714EAEA" w:rsidR="00611FA7" w:rsidRPr="00FA3C3C"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(1a) Risk of symptom </w:t>
            </w:r>
            <w:r w:rsidR="003E2811" w:rsidRPr="00593B00">
              <w:rPr>
                <w:rFonts w:ascii="Calibri" w:eastAsia="Times New Roman" w:hAnsi="Calibri" w:cs="Times New Roman"/>
                <w:color w:val="000000"/>
                <w:sz w:val="18"/>
                <w:szCs w:val="18"/>
                <w:lang w:val="en-US" w:eastAsia="el-GR"/>
              </w:rPr>
              <w:t>occurrence</w:t>
            </w:r>
            <w:r w:rsidRPr="00593B00">
              <w:rPr>
                <w:rFonts w:ascii="Calibri" w:eastAsia="Times New Roman" w:hAnsi="Calibri" w:cs="Times New Roman"/>
                <w:color w:val="000000"/>
                <w:sz w:val="18"/>
                <w:szCs w:val="18"/>
                <w:lang w:val="en-US" w:eastAsia="el-GR"/>
              </w:rPr>
              <w:t xml:space="preserve"> per dose during initial escalation day, dose escalations</w:t>
            </w:r>
            <w:r w:rsidR="00FA3C3C">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home dosing. (1b) Severity of reaction per dose [Bock's criteria (1989)], (1c) Epinephrine use. </w:t>
            </w:r>
            <w:r w:rsidRPr="00682ADA">
              <w:rPr>
                <w:rFonts w:ascii="Calibri" w:eastAsia="Times New Roman" w:hAnsi="Calibri" w:cs="Times New Roman"/>
                <w:b/>
                <w:bCs/>
                <w:color w:val="000000"/>
                <w:sz w:val="18"/>
                <w:szCs w:val="18"/>
                <w:lang w:val="en-US" w:eastAsia="el-GR"/>
              </w:rPr>
              <w:t>(2a) Time to reach and maintain doses of 300mg, 1000mg</w:t>
            </w:r>
            <w:r w:rsidR="00FA3C3C" w:rsidRPr="00682ADA">
              <w:rPr>
                <w:rFonts w:ascii="Calibri" w:eastAsia="Times New Roman" w:hAnsi="Calibri" w:cs="Times New Roman"/>
                <w:b/>
                <w:bCs/>
                <w:color w:val="000000"/>
                <w:sz w:val="18"/>
                <w:szCs w:val="18"/>
                <w:lang w:val="en-US" w:eastAsia="el-GR"/>
              </w:rPr>
              <w:t>,</w:t>
            </w:r>
            <w:r w:rsidRPr="00682ADA">
              <w:rPr>
                <w:rFonts w:ascii="Calibri" w:eastAsia="Times New Roman" w:hAnsi="Calibri" w:cs="Times New Roman"/>
                <w:b/>
                <w:bCs/>
                <w:color w:val="000000"/>
                <w:sz w:val="18"/>
                <w:szCs w:val="18"/>
                <w:lang w:val="en-US" w:eastAsia="el-GR"/>
              </w:rPr>
              <w:t xml:space="preserve"> and 4000mg per food allergen protein, (2b) Time to reach a </w:t>
            </w:r>
            <w:r w:rsidR="00FA3C3C" w:rsidRPr="00682ADA">
              <w:rPr>
                <w:rFonts w:ascii="Calibri" w:eastAsia="Times New Roman" w:hAnsi="Calibri" w:cs="Times New Roman"/>
                <w:b/>
                <w:bCs/>
                <w:color w:val="000000"/>
                <w:sz w:val="18"/>
                <w:szCs w:val="18"/>
                <w:lang w:val="en-US" w:eastAsia="el-GR"/>
              </w:rPr>
              <w:t>10-fold</w:t>
            </w:r>
            <w:r w:rsidRPr="00682ADA">
              <w:rPr>
                <w:rFonts w:ascii="Calibri" w:eastAsia="Times New Roman" w:hAnsi="Calibri" w:cs="Times New Roman"/>
                <w:b/>
                <w:bCs/>
                <w:color w:val="000000"/>
                <w:sz w:val="18"/>
                <w:szCs w:val="18"/>
                <w:lang w:val="en-US" w:eastAsia="el-GR"/>
              </w:rPr>
              <w:t xml:space="preserve"> increase from the baseline reactivity threshold to each food allergen protein.</w:t>
            </w:r>
            <w:r w:rsidRPr="00593B00">
              <w:rPr>
                <w:rFonts w:ascii="Calibri" w:eastAsia="Times New Roman" w:hAnsi="Calibri" w:cs="Times New Roman"/>
                <w:color w:val="000000"/>
                <w:sz w:val="18"/>
                <w:szCs w:val="18"/>
                <w:lang w:val="en-US" w:eastAsia="el-GR"/>
              </w:rPr>
              <w:t xml:space="preserve"> </w:t>
            </w:r>
            <w:r w:rsidRPr="00FA3C3C">
              <w:rPr>
                <w:rFonts w:ascii="Calibri" w:eastAsia="Times New Roman" w:hAnsi="Calibri" w:cs="Times New Roman"/>
                <w:color w:val="000000"/>
                <w:sz w:val="18"/>
                <w:szCs w:val="18"/>
                <w:lang w:val="en-US" w:eastAsia="el-GR"/>
              </w:rPr>
              <w:t>(3) Changes in peanut sIgE, sIgG4</w:t>
            </w:r>
            <w:r w:rsidR="00FA3C3C">
              <w:rPr>
                <w:rFonts w:ascii="Calibri" w:eastAsia="Times New Roman" w:hAnsi="Calibri" w:cs="Times New Roman"/>
                <w:color w:val="000000"/>
                <w:sz w:val="18"/>
                <w:szCs w:val="18"/>
                <w:lang w:val="en-US" w:eastAsia="el-GR"/>
              </w:rPr>
              <w:t>,</w:t>
            </w:r>
            <w:r w:rsidRPr="00FA3C3C">
              <w:rPr>
                <w:rFonts w:ascii="Calibri" w:eastAsia="Times New Roman" w:hAnsi="Calibri" w:cs="Times New Roman"/>
                <w:color w:val="000000"/>
                <w:sz w:val="18"/>
                <w:szCs w:val="18"/>
                <w:lang w:val="en-US" w:eastAsia="el-GR"/>
              </w:rPr>
              <w:t xml:space="preserve"> and SPTs. </w:t>
            </w:r>
          </w:p>
        </w:tc>
      </w:tr>
      <w:tr w:rsidR="00611FA7" w:rsidRPr="00A2595E" w14:paraId="05D18B56" w14:textId="77777777" w:rsidTr="00682ADA">
        <w:trPr>
          <w:trHeight w:val="20"/>
        </w:trPr>
        <w:tc>
          <w:tcPr>
            <w:tcW w:w="1159" w:type="dxa"/>
            <w:shd w:val="clear" w:color="auto" w:fill="auto"/>
            <w:hideMark/>
          </w:tcPr>
          <w:p w14:paraId="0374D542"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Andorf et al. 2017b; USA; Longitudinal Follow-up Study for Food Allergies; NCT03234764, NCT01510626</w:t>
            </w:r>
          </w:p>
        </w:tc>
        <w:tc>
          <w:tcPr>
            <w:tcW w:w="1003" w:type="dxa"/>
            <w:shd w:val="clear" w:color="auto" w:fill="auto"/>
            <w:hideMark/>
          </w:tcPr>
          <w:p w14:paraId="3425F7B4" w14:textId="6B71E0C1" w:rsidR="00611FA7" w:rsidRPr="00593B00" w:rsidRDefault="0487491D" w:rsidP="0487491D">
            <w:pPr>
              <w:spacing w:after="0" w:line="240" w:lineRule="auto"/>
              <w:rPr>
                <w:rFonts w:ascii="Calibri" w:eastAsia="Times New Roman" w:hAnsi="Calibri" w:cs="Times New Roman"/>
                <w:color w:val="000000"/>
                <w:sz w:val="18"/>
                <w:szCs w:val="18"/>
                <w:lang w:val="en-US" w:eastAsia="el-GR"/>
              </w:rPr>
            </w:pPr>
            <w:r w:rsidRPr="0487491D">
              <w:rPr>
                <w:rFonts w:ascii="Calibri" w:eastAsia="Times New Roman" w:hAnsi="Calibri" w:cs="Times New Roman"/>
                <w:color w:val="000000" w:themeColor="text1"/>
                <w:sz w:val="18"/>
                <w:szCs w:val="18"/>
                <w:lang w:val="en-US" w:eastAsia="el-GR"/>
              </w:rPr>
              <w:t xml:space="preserve">Prospective </w:t>
            </w:r>
            <w:r w:rsidR="00FD300D">
              <w:rPr>
                <w:rFonts w:ascii="Calibri" w:eastAsia="Times New Roman" w:hAnsi="Calibri" w:cs="Times New Roman"/>
                <w:color w:val="000000" w:themeColor="text1"/>
                <w:sz w:val="18"/>
                <w:szCs w:val="18"/>
                <w:lang w:val="en-US" w:eastAsia="el-GR"/>
              </w:rPr>
              <w:t>Cohort</w:t>
            </w:r>
          </w:p>
        </w:tc>
        <w:tc>
          <w:tcPr>
            <w:tcW w:w="1560" w:type="dxa"/>
            <w:shd w:val="clear" w:color="auto" w:fill="auto"/>
            <w:hideMark/>
          </w:tcPr>
          <w:p w14:paraId="2F9C8D1B" w14:textId="0E35A0D6"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and adults 0,5-70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multiple food allergies, who have reached 2 gr maintenance dose per food in an initial </w:t>
            </w:r>
            <w:proofErr w:type="spellStart"/>
            <w:r w:rsidR="000B07D8">
              <w:rPr>
                <w:rFonts w:ascii="Calibri" w:eastAsia="Times New Roman" w:hAnsi="Calibri" w:cs="Times New Roman"/>
                <w:color w:val="000000"/>
                <w:sz w:val="18"/>
                <w:szCs w:val="18"/>
                <w:lang w:val="en-US" w:eastAsia="el-GR"/>
              </w:rPr>
              <w:t>m</w:t>
            </w:r>
            <w:r w:rsidRPr="00593B00">
              <w:rPr>
                <w:rFonts w:ascii="Calibri" w:eastAsia="Times New Roman" w:hAnsi="Calibri" w:cs="Times New Roman"/>
                <w:color w:val="000000"/>
                <w:sz w:val="18"/>
                <w:szCs w:val="18"/>
                <w:lang w:val="en-US" w:eastAsia="el-GR"/>
              </w:rPr>
              <w:t>OIT</w:t>
            </w:r>
            <w:proofErr w:type="spellEnd"/>
            <w:r w:rsidRPr="00593B00">
              <w:rPr>
                <w:rFonts w:ascii="Calibri" w:eastAsia="Times New Roman" w:hAnsi="Calibri" w:cs="Times New Roman"/>
                <w:color w:val="000000"/>
                <w:sz w:val="18"/>
                <w:szCs w:val="18"/>
                <w:lang w:val="en-US" w:eastAsia="el-GR"/>
              </w:rPr>
              <w:t xml:space="preserve"> +omalizumab </w:t>
            </w:r>
            <w:r w:rsidRPr="00593B00">
              <w:rPr>
                <w:rFonts w:ascii="Calibri" w:eastAsia="Times New Roman" w:hAnsi="Calibri" w:cs="Times New Roman"/>
                <w:color w:val="000000"/>
                <w:sz w:val="18"/>
                <w:szCs w:val="18"/>
                <w:lang w:val="en-US" w:eastAsia="el-GR"/>
              </w:rPr>
              <w:lastRenderedPageBreak/>
              <w:t xml:space="preserve">protocol/34 participants, 23(68%)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8.7 </w:t>
            </w:r>
            <w:r w:rsidR="00FA3C3C">
              <w:rPr>
                <w:rFonts w:ascii="Calibri" w:eastAsia="Times New Roman" w:hAnsi="Calibri" w:cs="Times New Roman"/>
                <w:color w:val="000000"/>
                <w:sz w:val="18"/>
                <w:szCs w:val="18"/>
                <w:lang w:val="en-US" w:eastAsia="el-GR"/>
              </w:rPr>
              <w:t>years</w:t>
            </w:r>
            <w:r w:rsidR="007D0A7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w:t>
            </w:r>
          </w:p>
        </w:tc>
        <w:tc>
          <w:tcPr>
            <w:tcW w:w="2676" w:type="dxa"/>
            <w:shd w:val="clear" w:color="auto" w:fill="auto"/>
            <w:hideMark/>
          </w:tcPr>
          <w:p w14:paraId="23DE210C" w14:textId="5326BFBF"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 xml:space="preserve">The clinical team, together with the patient and family, made a team decision to allow the participant to either continue to ingest the “high” maintenance dose (median 2g protein of each food allergen) or decrease to the “low” (median </w:t>
            </w:r>
            <w:r w:rsidRPr="00593B00">
              <w:rPr>
                <w:rFonts w:ascii="Calibri" w:eastAsia="Times New Roman" w:hAnsi="Calibri" w:cs="Times New Roman"/>
                <w:color w:val="000000"/>
                <w:sz w:val="18"/>
                <w:szCs w:val="18"/>
                <w:lang w:val="en-US" w:eastAsia="el-GR"/>
              </w:rPr>
              <w:lastRenderedPageBreak/>
              <w:t>300mg of each food allergen) maintenance dose.</w:t>
            </w:r>
          </w:p>
        </w:tc>
        <w:tc>
          <w:tcPr>
            <w:tcW w:w="1784" w:type="dxa"/>
            <w:shd w:val="clear" w:color="auto" w:fill="auto"/>
            <w:hideMark/>
          </w:tcPr>
          <w:p w14:paraId="1BA693D7" w14:textId="3F676C14"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w:t>
            </w:r>
            <w:r w:rsidR="003E2811" w:rsidRPr="00682ADA">
              <w:rPr>
                <w:rFonts w:ascii="Calibri" w:eastAsia="Times New Roman" w:hAnsi="Calibri" w:cs="Times New Roman"/>
                <w:b/>
                <w:bCs/>
                <w:color w:val="000000"/>
                <w:sz w:val="18"/>
                <w:szCs w:val="18"/>
                <w:lang w:val="en-US" w:eastAsia="el-GR"/>
              </w:rPr>
              <w:t>1) Sustained</w:t>
            </w:r>
            <w:r w:rsidRPr="00682ADA">
              <w:rPr>
                <w:rFonts w:ascii="Calibri" w:eastAsia="Times New Roman" w:hAnsi="Calibri" w:cs="Times New Roman"/>
                <w:b/>
                <w:bCs/>
                <w:color w:val="000000"/>
                <w:sz w:val="18"/>
                <w:szCs w:val="18"/>
                <w:lang w:val="en-US" w:eastAsia="el-GR"/>
              </w:rPr>
              <w:t xml:space="preserve"> desensitization while on therapy: OFCs every 6-12 months</w:t>
            </w:r>
            <w:r w:rsidRPr="00593B00">
              <w:rPr>
                <w:rFonts w:ascii="Calibri" w:eastAsia="Times New Roman" w:hAnsi="Calibri" w:cs="Times New Roman"/>
                <w:color w:val="000000"/>
                <w:sz w:val="18"/>
                <w:szCs w:val="18"/>
                <w:lang w:val="en-US" w:eastAsia="el-GR"/>
              </w:rPr>
              <w:t xml:space="preserve">. (2) </w:t>
            </w:r>
            <w:r w:rsidR="003E2811" w:rsidRPr="00593B00">
              <w:rPr>
                <w:rFonts w:ascii="Calibri" w:eastAsia="Times New Roman" w:hAnsi="Calibri" w:cs="Times New Roman"/>
                <w:color w:val="000000"/>
                <w:sz w:val="18"/>
                <w:szCs w:val="18"/>
                <w:lang w:val="en-US" w:eastAsia="el-GR"/>
              </w:rPr>
              <w:t>Immunological</w:t>
            </w:r>
            <w:r w:rsidRPr="00593B00">
              <w:rPr>
                <w:rFonts w:ascii="Calibri" w:eastAsia="Times New Roman" w:hAnsi="Calibri" w:cs="Times New Roman"/>
                <w:color w:val="000000"/>
                <w:sz w:val="18"/>
                <w:szCs w:val="18"/>
                <w:lang w:val="en-US" w:eastAsia="el-GR"/>
              </w:rPr>
              <w:t xml:space="preserve"> changes: </w:t>
            </w:r>
            <w:proofErr w:type="gramStart"/>
            <w:r w:rsidR="00FA3C3C">
              <w:rPr>
                <w:rFonts w:ascii="Calibri" w:eastAsia="Times New Roman" w:hAnsi="Calibri" w:cs="Times New Roman"/>
                <w:color w:val="000000"/>
                <w:sz w:val="18"/>
                <w:szCs w:val="18"/>
                <w:lang w:val="en-US" w:eastAsia="el-GR"/>
              </w:rPr>
              <w:t>food-specific</w:t>
            </w:r>
            <w:proofErr w:type="gramEnd"/>
            <w:r w:rsidRPr="00593B00">
              <w:rPr>
                <w:rFonts w:ascii="Calibri" w:eastAsia="Times New Roman" w:hAnsi="Calibri" w:cs="Times New Roman"/>
                <w:color w:val="000000"/>
                <w:sz w:val="18"/>
                <w:szCs w:val="18"/>
                <w:lang w:val="en-US" w:eastAsia="el-GR"/>
              </w:rPr>
              <w:t xml:space="preserve"> IgE, IgG4</w:t>
            </w:r>
            <w:r w:rsidR="00FA3C3C">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SPT. (3) Safety: Self-reported </w:t>
            </w:r>
            <w:r w:rsidRPr="00593B00">
              <w:rPr>
                <w:rFonts w:ascii="Calibri" w:eastAsia="Times New Roman" w:hAnsi="Calibri" w:cs="Times New Roman"/>
                <w:color w:val="000000"/>
                <w:sz w:val="18"/>
                <w:szCs w:val="18"/>
                <w:lang w:val="en-US" w:eastAsia="el-GR"/>
              </w:rPr>
              <w:lastRenderedPageBreak/>
              <w:t>adverse events as per CTCAE v4.03 criteria.</w:t>
            </w:r>
          </w:p>
        </w:tc>
        <w:tc>
          <w:tcPr>
            <w:tcW w:w="5760" w:type="dxa"/>
            <w:shd w:val="clear" w:color="auto" w:fill="auto"/>
            <w:hideMark/>
          </w:tcPr>
          <w:p w14:paraId="608267B6" w14:textId="5706A661"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682ADA">
              <w:rPr>
                <w:rFonts w:ascii="Calibri" w:eastAsia="Times New Roman" w:hAnsi="Calibri" w:cs="Times New Roman"/>
                <w:b/>
                <w:bCs/>
                <w:color w:val="000000"/>
                <w:sz w:val="18"/>
                <w:szCs w:val="18"/>
                <w:lang w:val="en-US" w:eastAsia="el-GR"/>
              </w:rPr>
              <w:lastRenderedPageBreak/>
              <w:t xml:space="preserve">(1a) Number of participants who passed OFC, </w:t>
            </w:r>
            <w:r w:rsidRPr="00593B00">
              <w:rPr>
                <w:rFonts w:ascii="Calibri" w:eastAsia="Times New Roman" w:hAnsi="Calibri" w:cs="Times New Roman"/>
                <w:color w:val="000000"/>
                <w:sz w:val="18"/>
                <w:szCs w:val="18"/>
                <w:lang w:val="en-US" w:eastAsia="el-GR"/>
              </w:rPr>
              <w:t>(1b) Number of participants co-desensitized to walnut and pecan, (1c) Number of participants on "low" and "high" maintenance dose per allergen, (1</w:t>
            </w:r>
            <w:r w:rsidR="003E2811" w:rsidRPr="00593B00">
              <w:rPr>
                <w:rFonts w:ascii="Calibri" w:eastAsia="Times New Roman" w:hAnsi="Calibri" w:cs="Times New Roman"/>
                <w:color w:val="000000"/>
                <w:sz w:val="18"/>
                <w:szCs w:val="18"/>
                <w:lang w:val="en-US" w:eastAsia="el-GR"/>
              </w:rPr>
              <w:t>d) The</w:t>
            </w:r>
            <w:r w:rsidRPr="00593B00">
              <w:rPr>
                <w:rFonts w:ascii="Calibri" w:eastAsia="Times New Roman" w:hAnsi="Calibri" w:cs="Times New Roman"/>
                <w:color w:val="000000"/>
                <w:sz w:val="18"/>
                <w:szCs w:val="18"/>
                <w:lang w:val="en-US" w:eastAsia="el-GR"/>
              </w:rPr>
              <w:t xml:space="preserve"> percentage of participants who continued the high long-term maintenance dose per food (as opposed to low long-term maintenance dose) over time. (2</w:t>
            </w:r>
            <w:r w:rsidR="003E2811" w:rsidRPr="00593B00">
              <w:rPr>
                <w:rFonts w:ascii="Calibri" w:eastAsia="Times New Roman" w:hAnsi="Calibri" w:cs="Times New Roman"/>
                <w:color w:val="000000"/>
                <w:sz w:val="18"/>
                <w:szCs w:val="18"/>
                <w:lang w:val="en-US" w:eastAsia="el-GR"/>
              </w:rPr>
              <w:t>a) sIgG</w:t>
            </w:r>
            <w:r w:rsidRPr="00593B00">
              <w:rPr>
                <w:rFonts w:ascii="Calibri" w:eastAsia="Times New Roman" w:hAnsi="Calibri" w:cs="Times New Roman"/>
                <w:color w:val="000000"/>
                <w:sz w:val="18"/>
                <w:szCs w:val="18"/>
                <w:lang w:val="en-US" w:eastAsia="el-GR"/>
              </w:rPr>
              <w:t xml:space="preserve">4/IgE ratios and SPTs changes per food. (3a) Number of allergic reactions over time, (3b) Total number of reactions (% of maintenance dose), (3c) Reactions severity per organ affected. </w:t>
            </w:r>
          </w:p>
        </w:tc>
      </w:tr>
      <w:tr w:rsidR="00611FA7" w:rsidRPr="00A2595E" w14:paraId="2CD08F1F" w14:textId="77777777" w:rsidTr="00682ADA">
        <w:trPr>
          <w:trHeight w:val="20"/>
        </w:trPr>
        <w:tc>
          <w:tcPr>
            <w:tcW w:w="1159" w:type="dxa"/>
            <w:shd w:val="clear" w:color="auto" w:fill="C6D9F1" w:themeFill="text2" w:themeFillTint="33"/>
            <w:hideMark/>
          </w:tcPr>
          <w:p w14:paraId="52DB0A07"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Andorf et al. 2018; USA; Study Using Xolair in Rush Multi Oral Immunotherapy in Multi Food Allergic Patients (MAP-X); NCT02643862</w:t>
            </w:r>
          </w:p>
        </w:tc>
        <w:tc>
          <w:tcPr>
            <w:tcW w:w="1003" w:type="dxa"/>
            <w:shd w:val="clear" w:color="auto" w:fill="C6D9F1" w:themeFill="text2" w:themeFillTint="33"/>
            <w:hideMark/>
          </w:tcPr>
          <w:p w14:paraId="381C99B1" w14:textId="3177B5B5" w:rsidR="00611FA7" w:rsidRPr="00593B00" w:rsidRDefault="00F65D2D" w:rsidP="004E4915">
            <w:pPr>
              <w:spacing w:after="0" w:line="240" w:lineRule="auto"/>
              <w:rPr>
                <w:rFonts w:ascii="Calibri" w:eastAsia="Times New Roman" w:hAnsi="Calibri" w:cs="Times New Roman"/>
                <w:color w:val="000000"/>
                <w:sz w:val="18"/>
                <w:szCs w:val="18"/>
                <w:lang w:val="en-US" w:eastAsia="el-GR"/>
              </w:rPr>
            </w:pPr>
            <w:r w:rsidRPr="0487491D">
              <w:rPr>
                <w:rFonts w:ascii="Calibri" w:eastAsia="Times New Roman" w:hAnsi="Calibri" w:cs="Times New Roman"/>
                <w:color w:val="000000" w:themeColor="text1"/>
                <w:sz w:val="18"/>
                <w:szCs w:val="18"/>
                <w:lang w:val="en-US" w:eastAsia="el-GR"/>
              </w:rPr>
              <w:t>Randomised</w:t>
            </w:r>
            <w:r w:rsidRPr="00682ADA">
              <w:rPr>
                <w:rFonts w:ascii="Calibri" w:eastAsia="Times New Roman" w:hAnsi="Calibri" w:cs="Times New Roman"/>
                <w:color w:val="000000" w:themeColor="text1"/>
                <w:sz w:val="18"/>
                <w:szCs w:val="18"/>
                <w:lang w:val="en-US" w:eastAsia="el-GR"/>
              </w:rPr>
              <w:t>,</w:t>
            </w:r>
            <w:r w:rsidRPr="0487491D" w:rsidDel="0487491D">
              <w:rPr>
                <w:rFonts w:ascii="Calibri" w:eastAsia="Times New Roman" w:hAnsi="Calibri" w:cs="Times New Roman"/>
                <w:color w:val="000000" w:themeColor="text1"/>
                <w:sz w:val="18"/>
                <w:szCs w:val="18"/>
                <w:lang w:val="en-US" w:eastAsia="el-GR"/>
              </w:rPr>
              <w:t xml:space="preserve"> </w:t>
            </w:r>
            <w:r w:rsidR="0487491D" w:rsidRPr="0487491D">
              <w:rPr>
                <w:rFonts w:ascii="Calibri" w:eastAsia="Times New Roman" w:hAnsi="Calibri" w:cs="Times New Roman"/>
                <w:color w:val="000000" w:themeColor="text1"/>
                <w:sz w:val="18"/>
                <w:szCs w:val="18"/>
                <w:lang w:val="en-US" w:eastAsia="el-GR"/>
              </w:rPr>
              <w:t xml:space="preserve">Double-Blind, </w:t>
            </w:r>
            <w:r>
              <w:rPr>
                <w:rFonts w:ascii="Calibri" w:eastAsia="Times New Roman" w:hAnsi="Calibri" w:cs="Times New Roman"/>
                <w:color w:val="000000" w:themeColor="text1"/>
                <w:sz w:val="18"/>
                <w:szCs w:val="18"/>
                <w:lang w:val="en-US" w:eastAsia="el-GR"/>
              </w:rPr>
              <w:t>Placebo-</w:t>
            </w:r>
            <w:r w:rsidR="0487491D" w:rsidRPr="0487491D">
              <w:rPr>
                <w:rFonts w:ascii="Calibri" w:eastAsia="Times New Roman" w:hAnsi="Calibri" w:cs="Times New Roman"/>
                <w:color w:val="000000" w:themeColor="text1"/>
                <w:sz w:val="18"/>
                <w:szCs w:val="18"/>
                <w:lang w:val="en-US" w:eastAsia="el-GR"/>
              </w:rPr>
              <w:t>Control Study</w:t>
            </w:r>
          </w:p>
        </w:tc>
        <w:tc>
          <w:tcPr>
            <w:tcW w:w="1560" w:type="dxa"/>
            <w:shd w:val="clear" w:color="auto" w:fill="C6D9F1" w:themeFill="text2" w:themeFillTint="33"/>
            <w:hideMark/>
          </w:tcPr>
          <w:p w14:paraId="3C40EB66" w14:textId="3A67E166"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4-15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with IgE</w:t>
            </w:r>
            <w:r w:rsidR="00FA3C3C">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mediated allergy to multiple foods/ (a) omalizumab group: 36 participants 18(50%)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median age 8</w:t>
            </w:r>
            <w:r w:rsidR="00FA3C3C">
              <w:rPr>
                <w:rFonts w:ascii="Calibri" w:eastAsia="Times New Roman" w:hAnsi="Calibri" w:cs="Times New Roman"/>
                <w:color w:val="000000"/>
                <w:sz w:val="18"/>
                <w:szCs w:val="18"/>
                <w:lang w:val="en-US" w:eastAsia="el-GR"/>
              </w:rPr>
              <w:t xml:space="preserve"> years</w:t>
            </w:r>
            <w:r w:rsidRPr="00593B00">
              <w:rPr>
                <w:rFonts w:ascii="Calibri" w:eastAsia="Times New Roman" w:hAnsi="Calibri" w:cs="Times New Roman"/>
                <w:color w:val="000000"/>
                <w:sz w:val="18"/>
                <w:szCs w:val="18"/>
                <w:lang w:val="en-US" w:eastAsia="el-GR"/>
              </w:rPr>
              <w:t xml:space="preserve">, (b) placebo group: 12 participants, 6 (50%)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median age</w:t>
            </w:r>
            <w:r w:rsidR="00FA3C3C">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7 </w:t>
            </w:r>
            <w:r w:rsidR="00E61EEE">
              <w:rPr>
                <w:rFonts w:ascii="Calibri" w:eastAsia="Times New Roman" w:hAnsi="Calibri" w:cs="Times New Roman"/>
                <w:color w:val="000000"/>
                <w:sz w:val="18"/>
                <w:szCs w:val="18"/>
                <w:lang w:val="en-US" w:eastAsia="el-GR"/>
              </w:rPr>
              <w:t xml:space="preserve">years </w:t>
            </w:r>
            <w:r w:rsidR="00E61EEE" w:rsidRPr="00593B00">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c) control group: 12 patients, no other information</w:t>
            </w:r>
            <w:r w:rsidR="007D0A7E">
              <w:rPr>
                <w:rFonts w:ascii="Calibri" w:eastAsia="Times New Roman" w:hAnsi="Calibri" w:cs="Times New Roman"/>
                <w:color w:val="000000"/>
                <w:sz w:val="18"/>
                <w:szCs w:val="18"/>
                <w:lang w:val="en-US" w:eastAsia="el-GR"/>
              </w:rPr>
              <w:t>.</w:t>
            </w:r>
          </w:p>
        </w:tc>
        <w:tc>
          <w:tcPr>
            <w:tcW w:w="2676" w:type="dxa"/>
            <w:shd w:val="clear" w:color="auto" w:fill="C6D9F1" w:themeFill="text2" w:themeFillTint="33"/>
            <w:hideMark/>
          </w:tcPr>
          <w:p w14:paraId="21938891" w14:textId="3E3ECD9D"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Participants in the omalizumab and the placebo group received omalizumab or placebo 8 weeks pre and 8 weeks during </w:t>
            </w:r>
            <w:proofErr w:type="spellStart"/>
            <w:r w:rsidRPr="00593B00">
              <w:rPr>
                <w:rFonts w:ascii="Calibri" w:eastAsia="Times New Roman" w:hAnsi="Calibri" w:cs="Times New Roman"/>
                <w:color w:val="000000"/>
                <w:sz w:val="18"/>
                <w:szCs w:val="18"/>
                <w:lang w:val="en-US" w:eastAsia="el-GR"/>
              </w:rPr>
              <w:t>mOIT</w:t>
            </w:r>
            <w:proofErr w:type="spellEnd"/>
            <w:r w:rsidR="00E61EEE" w:rsidRPr="00593B00">
              <w:rPr>
                <w:rFonts w:ascii="Calibri" w:eastAsia="Times New Roman" w:hAnsi="Calibri" w:cs="Times New Roman"/>
                <w:color w:val="000000"/>
                <w:sz w:val="18"/>
                <w:szCs w:val="18"/>
                <w:lang w:val="en-US" w:eastAsia="el-GR"/>
              </w:rPr>
              <w:t>: (</w:t>
            </w:r>
            <w:r w:rsidRPr="00593B00">
              <w:rPr>
                <w:rFonts w:ascii="Calibri" w:eastAsia="Times New Roman" w:hAnsi="Calibri" w:cs="Times New Roman"/>
                <w:color w:val="000000"/>
                <w:sz w:val="18"/>
                <w:szCs w:val="18"/>
                <w:lang w:val="en-US" w:eastAsia="el-GR"/>
              </w:rPr>
              <w:t>1) Initial Escalation Day: In hospital administration of 5mg to 1250mg of total food protein, or the highest tolerated dose, (2) Build-up phase:  Bi-weekly in hospital</w:t>
            </w:r>
            <w:r w:rsidR="003E2811" w:rsidRPr="003E2811">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depended on tolerance, (3) Maintenance: 2000mg of protein of each food (up to 10000mg total food protein mg food protein.  Participants in the control group received </w:t>
            </w:r>
            <w:r w:rsidR="00FA3C3C">
              <w:rPr>
                <w:rFonts w:ascii="Calibri" w:eastAsia="Times New Roman" w:hAnsi="Calibri" w:cs="Times New Roman"/>
                <w:color w:val="000000"/>
                <w:sz w:val="18"/>
                <w:szCs w:val="18"/>
                <w:lang w:val="en-US" w:eastAsia="el-GR"/>
              </w:rPr>
              <w:t>SOC</w:t>
            </w:r>
            <w:r w:rsidR="007D0A7E">
              <w:rPr>
                <w:rFonts w:ascii="Calibri" w:eastAsia="Times New Roman" w:hAnsi="Calibri" w:cs="Times New Roman"/>
                <w:color w:val="000000"/>
                <w:sz w:val="18"/>
                <w:szCs w:val="18"/>
                <w:lang w:val="en-US" w:eastAsia="el-GR"/>
              </w:rPr>
              <w:t>.</w:t>
            </w:r>
          </w:p>
        </w:tc>
        <w:tc>
          <w:tcPr>
            <w:tcW w:w="1784" w:type="dxa"/>
            <w:shd w:val="clear" w:color="auto" w:fill="C6D9F1" w:themeFill="text2" w:themeFillTint="33"/>
            <w:hideMark/>
          </w:tcPr>
          <w:p w14:paraId="33EAD45B" w14:textId="5A8E2443"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Efficacy: </w:t>
            </w:r>
            <w:r w:rsidRPr="00682ADA">
              <w:rPr>
                <w:rFonts w:ascii="Calibri" w:eastAsia="Times New Roman" w:hAnsi="Calibri" w:cs="Times New Roman"/>
                <w:b/>
                <w:color w:val="000000"/>
                <w:sz w:val="18"/>
                <w:szCs w:val="18"/>
                <w:lang w:val="en-US" w:eastAsia="el-GR"/>
              </w:rPr>
              <w:t xml:space="preserve">The proportion of participants who passed a food challenge at 36 weeks to </w:t>
            </w:r>
            <w:r w:rsidR="00FA3C3C" w:rsidRPr="00682ADA">
              <w:rPr>
                <w:rFonts w:ascii="Calibri" w:eastAsia="Times New Roman" w:hAnsi="Calibri" w:cs="Times New Roman"/>
                <w:b/>
                <w:color w:val="000000"/>
                <w:sz w:val="18"/>
                <w:szCs w:val="18"/>
                <w:lang w:val="en-US" w:eastAsia="el-GR"/>
              </w:rPr>
              <w:t>2</w:t>
            </w:r>
            <w:r w:rsidRPr="00682ADA">
              <w:rPr>
                <w:rFonts w:ascii="Calibri" w:eastAsia="Times New Roman" w:hAnsi="Calibri" w:cs="Times New Roman"/>
                <w:b/>
                <w:color w:val="000000"/>
                <w:sz w:val="18"/>
                <w:szCs w:val="18"/>
                <w:lang w:val="en-US" w:eastAsia="el-GR"/>
              </w:rPr>
              <w:t xml:space="preserve">g of protein for any two foods included in each participant’s </w:t>
            </w:r>
            <w:proofErr w:type="spellStart"/>
            <w:r w:rsidR="00FA3C3C" w:rsidRPr="00682ADA">
              <w:rPr>
                <w:rFonts w:ascii="Calibri" w:eastAsia="Times New Roman" w:hAnsi="Calibri" w:cs="Times New Roman"/>
                <w:b/>
                <w:color w:val="000000"/>
                <w:sz w:val="18"/>
                <w:szCs w:val="18"/>
                <w:lang w:val="en-US" w:eastAsia="el-GR"/>
              </w:rPr>
              <w:t>mOIT</w:t>
            </w:r>
            <w:proofErr w:type="spellEnd"/>
            <w:r w:rsidR="00FA3C3C">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w:t>
            </w:r>
            <w:r w:rsidR="00FA3C3C">
              <w:rPr>
                <w:rFonts w:ascii="Calibri" w:eastAsia="Times New Roman" w:hAnsi="Calibri" w:cs="Times New Roman"/>
                <w:color w:val="000000"/>
                <w:sz w:val="18"/>
                <w:szCs w:val="18"/>
                <w:lang w:val="en-US" w:eastAsia="el-GR"/>
              </w:rPr>
              <w:t>2</w:t>
            </w:r>
            <w:r w:rsidR="003E2811" w:rsidRPr="00593B00">
              <w:rPr>
                <w:rFonts w:ascii="Calibri" w:eastAsia="Times New Roman" w:hAnsi="Calibri" w:cs="Times New Roman"/>
                <w:color w:val="000000"/>
                <w:sz w:val="18"/>
                <w:szCs w:val="18"/>
                <w:lang w:val="en-US" w:eastAsia="el-GR"/>
              </w:rPr>
              <w:t>) Treatment</w:t>
            </w:r>
            <w:r w:rsidRPr="00593B00">
              <w:rPr>
                <w:rFonts w:ascii="Calibri" w:eastAsia="Times New Roman" w:hAnsi="Calibri" w:cs="Times New Roman"/>
                <w:color w:val="000000"/>
                <w:sz w:val="18"/>
                <w:szCs w:val="18"/>
                <w:lang w:val="en-US" w:eastAsia="el-GR"/>
              </w:rPr>
              <w:t xml:space="preserve"> failure: (a)failure to tolerate 5mg of total food protein during the initial dose escalation day (week 8); (b) failure to reach at least 300mg of total protein by week 16; (c) as determined by the principal investigator or medical monitor. </w:t>
            </w:r>
            <w:r w:rsidR="00FA3C3C" w:rsidRPr="00593B00">
              <w:rPr>
                <w:rFonts w:ascii="Calibri" w:eastAsia="Times New Roman" w:hAnsi="Calibri" w:cs="Times New Roman"/>
                <w:color w:val="000000"/>
                <w:sz w:val="18"/>
                <w:szCs w:val="18"/>
                <w:lang w:val="en-US" w:eastAsia="el-GR"/>
              </w:rPr>
              <w:t>Treatment</w:t>
            </w:r>
            <w:r w:rsidRPr="00593B00">
              <w:rPr>
                <w:rFonts w:ascii="Calibri" w:eastAsia="Times New Roman" w:hAnsi="Calibri" w:cs="Times New Roman"/>
                <w:color w:val="000000"/>
                <w:sz w:val="18"/>
                <w:szCs w:val="18"/>
                <w:lang w:val="en-US" w:eastAsia="el-GR"/>
              </w:rPr>
              <w:t xml:space="preserve"> failures of the </w:t>
            </w:r>
            <w:proofErr w:type="spellStart"/>
            <w:r w:rsidRPr="00593B00">
              <w:rPr>
                <w:rFonts w:ascii="Calibri" w:eastAsia="Times New Roman" w:hAnsi="Calibri" w:cs="Times New Roman"/>
                <w:color w:val="000000"/>
                <w:sz w:val="18"/>
                <w:szCs w:val="18"/>
                <w:lang w:val="en-US" w:eastAsia="el-GR"/>
              </w:rPr>
              <w:t>mOIT</w:t>
            </w:r>
            <w:proofErr w:type="spellEnd"/>
            <w:r w:rsidRPr="00593B00">
              <w:rPr>
                <w:rFonts w:ascii="Calibri" w:eastAsia="Times New Roman" w:hAnsi="Calibri" w:cs="Times New Roman"/>
                <w:color w:val="000000"/>
                <w:sz w:val="18"/>
                <w:szCs w:val="18"/>
                <w:lang w:val="en-US" w:eastAsia="el-GR"/>
              </w:rPr>
              <w:t xml:space="preserve"> group at week 17 crossed over to </w:t>
            </w:r>
            <w:proofErr w:type="gramStart"/>
            <w:r w:rsidR="00FA3C3C">
              <w:rPr>
                <w:rFonts w:ascii="Calibri" w:eastAsia="Times New Roman" w:hAnsi="Calibri" w:cs="Times New Roman"/>
                <w:color w:val="000000"/>
                <w:sz w:val="18"/>
                <w:szCs w:val="18"/>
                <w:lang w:val="en-US" w:eastAsia="el-GR"/>
              </w:rPr>
              <w:t>open-label</w:t>
            </w:r>
            <w:proofErr w:type="gramEnd"/>
            <w:r w:rsidRPr="00593B00">
              <w:rPr>
                <w:rFonts w:ascii="Calibri" w:eastAsia="Times New Roman" w:hAnsi="Calibri" w:cs="Times New Roman"/>
                <w:color w:val="000000"/>
                <w:sz w:val="18"/>
                <w:szCs w:val="18"/>
                <w:lang w:val="en-US" w:eastAsia="el-GR"/>
              </w:rPr>
              <w:t xml:space="preserve"> </w:t>
            </w:r>
            <w:proofErr w:type="spellStart"/>
            <w:r w:rsidRPr="00593B00">
              <w:rPr>
                <w:rFonts w:ascii="Calibri" w:eastAsia="Times New Roman" w:hAnsi="Calibri" w:cs="Times New Roman"/>
                <w:color w:val="000000"/>
                <w:sz w:val="18"/>
                <w:szCs w:val="18"/>
                <w:lang w:val="en-US" w:eastAsia="el-GR"/>
              </w:rPr>
              <w:t>mOIT+oma</w:t>
            </w:r>
            <w:proofErr w:type="spellEnd"/>
            <w:r w:rsidRPr="00593B00">
              <w:rPr>
                <w:rFonts w:ascii="Calibri" w:eastAsia="Times New Roman" w:hAnsi="Calibri" w:cs="Times New Roman"/>
                <w:color w:val="000000"/>
                <w:sz w:val="18"/>
                <w:szCs w:val="18"/>
                <w:lang w:val="en-US" w:eastAsia="el-GR"/>
              </w:rPr>
              <w:t xml:space="preserve"> group. (</w:t>
            </w:r>
            <w:r w:rsidR="00E61EEE">
              <w:rPr>
                <w:rFonts w:ascii="Calibri" w:eastAsia="Times New Roman" w:hAnsi="Calibri" w:cs="Times New Roman"/>
                <w:color w:val="000000"/>
                <w:sz w:val="18"/>
                <w:szCs w:val="18"/>
                <w:lang w:val="en-US" w:eastAsia="el-GR"/>
              </w:rPr>
              <w:t>3</w:t>
            </w:r>
            <w:r w:rsidRPr="00593B00">
              <w:rPr>
                <w:rFonts w:ascii="Calibri" w:eastAsia="Times New Roman" w:hAnsi="Calibri" w:cs="Times New Roman"/>
                <w:color w:val="000000"/>
                <w:sz w:val="18"/>
                <w:szCs w:val="18"/>
                <w:lang w:val="en-US" w:eastAsia="el-GR"/>
              </w:rPr>
              <w:t>) Desensitisation failure: (a) inability to ingest 2g or more of each offending food at week 34, (</w:t>
            </w:r>
            <w:r w:rsidR="00E61EEE">
              <w:rPr>
                <w:rFonts w:ascii="Calibri" w:eastAsia="Times New Roman" w:hAnsi="Calibri" w:cs="Times New Roman"/>
                <w:color w:val="000000"/>
                <w:sz w:val="18"/>
                <w:szCs w:val="18"/>
                <w:lang w:val="en-US" w:eastAsia="el-GR"/>
              </w:rPr>
              <w:t>b</w:t>
            </w:r>
            <w:r w:rsidRPr="00593B00">
              <w:rPr>
                <w:rFonts w:ascii="Calibri" w:eastAsia="Times New Roman" w:hAnsi="Calibri" w:cs="Times New Roman"/>
                <w:color w:val="000000"/>
                <w:sz w:val="18"/>
                <w:szCs w:val="18"/>
                <w:lang w:val="en-US" w:eastAsia="el-GR"/>
              </w:rPr>
              <w:t xml:space="preserve">) severe reactions at least 4 weeks before week 36; (c) clinical reactivity (grade 1 or worse) during the food challenge to 2g of all, or all but one, of the foods at week 36. </w:t>
            </w:r>
          </w:p>
        </w:tc>
        <w:tc>
          <w:tcPr>
            <w:tcW w:w="5760" w:type="dxa"/>
            <w:shd w:val="clear" w:color="auto" w:fill="C6D9F1" w:themeFill="text2" w:themeFillTint="33"/>
            <w:hideMark/>
          </w:tcPr>
          <w:p w14:paraId="52E16AF1" w14:textId="45302A18"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(1a) The percentage of participants per study arm who tolerated 2g (primary endpoint) or 4g (secondary endpoint) in DBPCFCs to at least 2 foods at week 36. (1b) The proportion of participants who (</w:t>
            </w:r>
            <w:proofErr w:type="spellStart"/>
            <w:r w:rsidRPr="00593B00">
              <w:rPr>
                <w:rFonts w:ascii="Calibri" w:eastAsia="Times New Roman" w:hAnsi="Calibri" w:cs="Times New Roman"/>
                <w:color w:val="000000"/>
                <w:sz w:val="18"/>
                <w:szCs w:val="18"/>
                <w:lang w:val="en-US" w:eastAsia="el-GR"/>
              </w:rPr>
              <w:t>i</w:t>
            </w:r>
            <w:proofErr w:type="spellEnd"/>
            <w:r w:rsidRPr="00593B00">
              <w:rPr>
                <w:rFonts w:ascii="Calibri" w:eastAsia="Times New Roman" w:hAnsi="Calibri" w:cs="Times New Roman"/>
                <w:color w:val="000000"/>
                <w:sz w:val="18"/>
                <w:szCs w:val="18"/>
                <w:lang w:val="en-US" w:eastAsia="el-GR"/>
              </w:rPr>
              <w:t>) passed a food challenge to 4g each of at least two foods at week 36, (ii) passed a food challenge to 2g each of three, four, or five foods at week 36, (iii) successfully completed the build-up phase of oral immunotherapy to the highest dose with only mild (grade 1) symptoms (iv) successfully underwent the build-up and maintenance phases of oral immunotherapy with only mild symptoms.</w:t>
            </w:r>
            <w:r w:rsidR="003E2811" w:rsidRPr="003E2811">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(2) Safety outcomes determined by CTCAE version 4.03 criteria:  median per-participant percentage of oral immunotherapy doses with</w:t>
            </w:r>
            <w:r w:rsidR="003E2811" w:rsidRPr="003E2811">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any adverse events in total, per organ</w:t>
            </w:r>
            <w:r w:rsidR="00E61EE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per severity </w:t>
            </w:r>
            <w:r w:rsidR="003E2811" w:rsidRPr="003E2811">
              <w:rPr>
                <w:rFonts w:ascii="Calibri" w:eastAsia="Times New Roman" w:hAnsi="Calibri" w:cs="Times New Roman"/>
                <w:color w:val="000000"/>
                <w:sz w:val="18"/>
                <w:szCs w:val="18"/>
                <w:lang w:val="en-US" w:eastAsia="el-GR"/>
              </w:rPr>
              <w:t>occurred</w:t>
            </w:r>
            <w:r w:rsidRPr="00593B00">
              <w:rPr>
                <w:rFonts w:ascii="Calibri" w:eastAsia="Times New Roman" w:hAnsi="Calibri" w:cs="Times New Roman"/>
                <w:color w:val="000000"/>
                <w:sz w:val="18"/>
                <w:szCs w:val="18"/>
                <w:lang w:val="en-US" w:eastAsia="el-GR"/>
              </w:rPr>
              <w:t xml:space="preserve"> at the three phases of OIT. (3) The time to achieve the maintenance dose for each food. (4) The median tolerated dose on the initial dose escalation. (5) SPTs wheal sizes and </w:t>
            </w:r>
            <w:proofErr w:type="gramStart"/>
            <w:r w:rsidR="00E61EEE">
              <w:rPr>
                <w:rFonts w:ascii="Calibri" w:eastAsia="Times New Roman" w:hAnsi="Calibri" w:cs="Times New Roman"/>
                <w:color w:val="000000"/>
                <w:sz w:val="18"/>
                <w:szCs w:val="18"/>
                <w:lang w:val="en-US" w:eastAsia="el-GR"/>
              </w:rPr>
              <w:t>allergen-specific</w:t>
            </w:r>
            <w:proofErr w:type="gramEnd"/>
            <w:r w:rsidRPr="00593B00">
              <w:rPr>
                <w:rFonts w:ascii="Calibri" w:eastAsia="Times New Roman" w:hAnsi="Calibri" w:cs="Times New Roman"/>
                <w:color w:val="000000"/>
                <w:sz w:val="18"/>
                <w:szCs w:val="18"/>
                <w:lang w:val="en-US" w:eastAsia="el-GR"/>
              </w:rPr>
              <w:t xml:space="preserve"> IgE and IgG4 levels, changes. (6) The percentage of participants cross-desensitized to pistachio and pecan.  </w:t>
            </w:r>
          </w:p>
        </w:tc>
      </w:tr>
      <w:tr w:rsidR="00611FA7" w:rsidRPr="00A2595E" w14:paraId="1A41E250" w14:textId="77777777" w:rsidTr="00682ADA">
        <w:trPr>
          <w:trHeight w:val="20"/>
        </w:trPr>
        <w:tc>
          <w:tcPr>
            <w:tcW w:w="1159" w:type="dxa"/>
            <w:shd w:val="clear" w:color="auto" w:fill="auto"/>
            <w:hideMark/>
          </w:tcPr>
          <w:p w14:paraId="580F5D7F"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Andorf et al. 2019; USA; Multi Immunotherapy to Test Tolerance and Xolair (M-TAX); NCT02626611</w:t>
            </w:r>
          </w:p>
        </w:tc>
        <w:tc>
          <w:tcPr>
            <w:tcW w:w="1003" w:type="dxa"/>
            <w:shd w:val="clear" w:color="auto" w:fill="auto"/>
            <w:hideMark/>
          </w:tcPr>
          <w:p w14:paraId="6082A4AE" w14:textId="28827ECF" w:rsidR="00611FA7" w:rsidRPr="00593B00" w:rsidRDefault="0487491D" w:rsidP="004E4915">
            <w:pPr>
              <w:spacing w:after="0" w:line="240" w:lineRule="auto"/>
              <w:rPr>
                <w:rFonts w:ascii="Calibri" w:eastAsia="Times New Roman" w:hAnsi="Calibri" w:cs="Times New Roman"/>
                <w:color w:val="000000"/>
                <w:sz w:val="18"/>
                <w:szCs w:val="18"/>
                <w:lang w:val="en-US" w:eastAsia="el-GR"/>
              </w:rPr>
            </w:pPr>
            <w:r w:rsidRPr="0487491D">
              <w:rPr>
                <w:rFonts w:ascii="Calibri" w:eastAsia="Times New Roman" w:hAnsi="Calibri" w:cs="Times New Roman"/>
                <w:color w:val="000000" w:themeColor="text1"/>
                <w:sz w:val="18"/>
                <w:szCs w:val="18"/>
                <w:lang w:val="en-US" w:eastAsia="el-GR"/>
              </w:rPr>
              <w:t xml:space="preserve">Randomized, Double-blind, </w:t>
            </w:r>
            <w:r w:rsidR="00F65D2D">
              <w:rPr>
                <w:rFonts w:ascii="Calibri" w:eastAsia="Times New Roman" w:hAnsi="Calibri" w:cs="Times New Roman"/>
                <w:color w:val="000000" w:themeColor="text1"/>
                <w:sz w:val="18"/>
                <w:szCs w:val="18"/>
                <w:lang w:val="en-US" w:eastAsia="el-GR"/>
              </w:rPr>
              <w:t>Placebo-</w:t>
            </w:r>
            <w:r w:rsidRPr="0487491D">
              <w:rPr>
                <w:rFonts w:ascii="Calibri" w:eastAsia="Times New Roman" w:hAnsi="Calibri" w:cs="Times New Roman"/>
                <w:color w:val="000000" w:themeColor="text1"/>
                <w:sz w:val="18"/>
                <w:szCs w:val="18"/>
                <w:lang w:val="en-US" w:eastAsia="el-GR"/>
              </w:rPr>
              <w:t>Controlled</w:t>
            </w:r>
          </w:p>
        </w:tc>
        <w:tc>
          <w:tcPr>
            <w:tcW w:w="1560" w:type="dxa"/>
            <w:shd w:val="clear" w:color="auto" w:fill="auto"/>
            <w:hideMark/>
          </w:tcPr>
          <w:p w14:paraId="0EF4955C" w14:textId="3147930F"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w:t>
            </w:r>
            <w:r w:rsidR="006B1BC7">
              <w:rPr>
                <w:rFonts w:ascii="Calibri" w:eastAsia="Times New Roman" w:hAnsi="Calibri" w:cs="Times New Roman"/>
                <w:color w:val="000000"/>
                <w:sz w:val="18"/>
                <w:szCs w:val="18"/>
                <w:lang w:val="en-US" w:eastAsia="el-GR"/>
              </w:rPr>
              <w:t xml:space="preserve">4-15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IgE-mediated </w:t>
            </w:r>
            <w:r w:rsidR="00E61EEE">
              <w:rPr>
                <w:rFonts w:ascii="Calibri" w:eastAsia="Times New Roman" w:hAnsi="Calibri" w:cs="Times New Roman"/>
                <w:color w:val="000000"/>
                <w:sz w:val="18"/>
                <w:szCs w:val="18"/>
                <w:lang w:val="en-US" w:eastAsia="el-GR"/>
              </w:rPr>
              <w:t xml:space="preserve">allergy </w:t>
            </w:r>
            <w:r w:rsidRPr="00593B00">
              <w:rPr>
                <w:rFonts w:ascii="Calibri" w:eastAsia="Times New Roman" w:hAnsi="Calibri" w:cs="Times New Roman"/>
                <w:color w:val="000000"/>
                <w:sz w:val="18"/>
                <w:szCs w:val="18"/>
                <w:lang w:val="en-US" w:eastAsia="el-GR"/>
              </w:rPr>
              <w:t xml:space="preserve">to multiple foods who have successfully reached maintenance dose by week 28-29 of multi-OIT/70 participants enrolled in the open-label study of whom 60, 37 (62%)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mean age 9.8 </w:t>
            </w:r>
            <w:r w:rsidR="00E61EEE">
              <w:rPr>
                <w:rFonts w:ascii="Calibri" w:eastAsia="Times New Roman" w:hAnsi="Calibri" w:cs="Times New Roman"/>
                <w:color w:val="000000"/>
                <w:sz w:val="18"/>
                <w:szCs w:val="18"/>
                <w:lang w:val="en-US" w:eastAsia="el-GR"/>
              </w:rPr>
              <w:t xml:space="preserve">years </w:t>
            </w:r>
            <w:r w:rsidRPr="00593B00">
              <w:rPr>
                <w:rFonts w:ascii="Calibri" w:eastAsia="Times New Roman" w:hAnsi="Calibri" w:cs="Times New Roman"/>
                <w:color w:val="000000"/>
                <w:sz w:val="18"/>
                <w:szCs w:val="18"/>
                <w:lang w:val="en-US" w:eastAsia="el-GR"/>
              </w:rPr>
              <w:t xml:space="preserve">were randomized. </w:t>
            </w:r>
          </w:p>
        </w:tc>
        <w:tc>
          <w:tcPr>
            <w:tcW w:w="2676" w:type="dxa"/>
            <w:shd w:val="clear" w:color="auto" w:fill="auto"/>
            <w:hideMark/>
          </w:tcPr>
          <w:p w14:paraId="58129E59" w14:textId="0A62C56C"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All participants received omalizumab 8 weeks pre and 8 weeks during multi -OIT: (1) Initial Escalation Day: In hospital administration of 5mg to 625 mg of total food protein, or the highest tolerated dose, (2) Build-up phase:  Bi-weekly in hospital 900-15% escalations until </w:t>
            </w:r>
            <w:r w:rsidR="003E2811" w:rsidRPr="00593B00">
              <w:rPr>
                <w:rFonts w:ascii="Calibri" w:eastAsia="Times New Roman" w:hAnsi="Calibri" w:cs="Times New Roman"/>
                <w:color w:val="000000"/>
                <w:sz w:val="18"/>
                <w:szCs w:val="18"/>
                <w:lang w:val="en-US" w:eastAsia="el-GR"/>
              </w:rPr>
              <w:t>maintenance (</w:t>
            </w:r>
            <w:r w:rsidRPr="00593B00">
              <w:rPr>
                <w:rFonts w:ascii="Calibri" w:eastAsia="Times New Roman" w:hAnsi="Calibri" w:cs="Times New Roman"/>
                <w:color w:val="000000"/>
                <w:sz w:val="18"/>
                <w:szCs w:val="18"/>
                <w:lang w:val="en-US" w:eastAsia="el-GR"/>
              </w:rPr>
              <w:t xml:space="preserve">2000mg </w:t>
            </w:r>
            <w:r w:rsidR="003E2811" w:rsidRPr="00593B00">
              <w:rPr>
                <w:rFonts w:ascii="Calibri" w:eastAsia="Times New Roman" w:hAnsi="Calibri" w:cs="Times New Roman"/>
                <w:color w:val="000000"/>
                <w:sz w:val="18"/>
                <w:szCs w:val="18"/>
                <w:lang w:val="en-US" w:eastAsia="el-GR"/>
              </w:rPr>
              <w:t>total food</w:t>
            </w:r>
            <w:r w:rsidRPr="00593B00">
              <w:rPr>
                <w:rFonts w:ascii="Calibri" w:eastAsia="Times New Roman" w:hAnsi="Calibri" w:cs="Times New Roman"/>
                <w:color w:val="000000"/>
                <w:sz w:val="18"/>
                <w:szCs w:val="18"/>
                <w:lang w:val="en-US" w:eastAsia="el-GR"/>
              </w:rPr>
              <w:t xml:space="preserve"> </w:t>
            </w:r>
            <w:r w:rsidR="003E2811" w:rsidRPr="00593B00">
              <w:rPr>
                <w:rFonts w:ascii="Calibri" w:eastAsia="Times New Roman" w:hAnsi="Calibri" w:cs="Times New Roman"/>
                <w:color w:val="000000"/>
                <w:sz w:val="18"/>
                <w:szCs w:val="18"/>
                <w:lang w:val="en-US" w:eastAsia="el-GR"/>
              </w:rPr>
              <w:t>protein) (</w:t>
            </w:r>
            <w:r w:rsidRPr="00593B00">
              <w:rPr>
                <w:rFonts w:ascii="Calibri" w:eastAsia="Times New Roman" w:hAnsi="Calibri" w:cs="Times New Roman"/>
                <w:color w:val="000000"/>
                <w:sz w:val="18"/>
                <w:szCs w:val="18"/>
                <w:lang w:val="en-US" w:eastAsia="el-GR"/>
              </w:rPr>
              <w:t xml:space="preserve">3) Maintenance: 2000mg of total food protein. After reaching maintenance participants were randomized to receive: (a) 1000mg maintenance group: 19 patients, 16(84%)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mean age 9.1 </w:t>
            </w:r>
            <w:r w:rsidR="00E61EEE">
              <w:rPr>
                <w:rFonts w:ascii="Calibri" w:eastAsia="Times New Roman" w:hAnsi="Calibri" w:cs="Times New Roman"/>
                <w:color w:val="000000"/>
                <w:sz w:val="18"/>
                <w:szCs w:val="18"/>
                <w:lang w:val="en-US" w:eastAsia="el-GR"/>
              </w:rPr>
              <w:t>years</w:t>
            </w:r>
            <w:r w:rsidRPr="00593B00">
              <w:rPr>
                <w:rFonts w:ascii="Calibri" w:eastAsia="Times New Roman" w:hAnsi="Calibri" w:cs="Times New Roman"/>
                <w:color w:val="000000"/>
                <w:sz w:val="18"/>
                <w:szCs w:val="18"/>
                <w:lang w:val="en-US" w:eastAsia="el-GR"/>
              </w:rPr>
              <w:t xml:space="preserve">, (b) 300mg maintenance:  21 patients, 11(52%)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mean age 10</w:t>
            </w:r>
            <w:r w:rsidR="00E61EEE">
              <w:rPr>
                <w:rFonts w:ascii="Calibri" w:eastAsia="Times New Roman" w:hAnsi="Calibri" w:cs="Times New Roman"/>
                <w:color w:val="000000"/>
                <w:sz w:val="18"/>
                <w:szCs w:val="18"/>
                <w:lang w:val="en-US" w:eastAsia="el-GR"/>
              </w:rPr>
              <w:t xml:space="preserve"> years</w:t>
            </w:r>
            <w:r w:rsidRPr="00593B00">
              <w:rPr>
                <w:rFonts w:ascii="Calibri" w:eastAsia="Times New Roman" w:hAnsi="Calibri" w:cs="Times New Roman"/>
                <w:color w:val="000000"/>
                <w:sz w:val="18"/>
                <w:szCs w:val="18"/>
                <w:lang w:val="en-US" w:eastAsia="el-GR"/>
              </w:rPr>
              <w:t xml:space="preserve">, (c) 0mg maintenance: 20 patients, 10 (50%)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mean age 10.3</w:t>
            </w:r>
            <w:r w:rsidR="00E61EEE">
              <w:rPr>
                <w:rFonts w:ascii="Calibri" w:eastAsia="Times New Roman" w:hAnsi="Calibri" w:cs="Times New Roman"/>
                <w:color w:val="000000"/>
                <w:sz w:val="18"/>
                <w:szCs w:val="18"/>
                <w:lang w:val="en-US" w:eastAsia="el-GR"/>
              </w:rPr>
              <w:t xml:space="preserve"> years</w:t>
            </w:r>
            <w:r w:rsidR="007D0A7E">
              <w:rPr>
                <w:rFonts w:ascii="Calibri" w:eastAsia="Times New Roman" w:hAnsi="Calibri" w:cs="Times New Roman"/>
                <w:color w:val="000000"/>
                <w:sz w:val="18"/>
                <w:szCs w:val="18"/>
                <w:lang w:val="en-US" w:eastAsia="el-GR"/>
              </w:rPr>
              <w:t>.</w:t>
            </w:r>
          </w:p>
        </w:tc>
        <w:tc>
          <w:tcPr>
            <w:tcW w:w="1784" w:type="dxa"/>
            <w:shd w:val="clear" w:color="auto" w:fill="auto"/>
            <w:hideMark/>
          </w:tcPr>
          <w:p w14:paraId="5D519173" w14:textId="0A3C7B5B"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Sustained desensitization: </w:t>
            </w:r>
            <w:r w:rsidRPr="00682ADA">
              <w:rPr>
                <w:rFonts w:ascii="Calibri" w:eastAsia="Times New Roman" w:hAnsi="Calibri" w:cs="Times New Roman"/>
                <w:b/>
                <w:color w:val="000000"/>
                <w:sz w:val="18"/>
                <w:szCs w:val="18"/>
                <w:lang w:val="en-US" w:eastAsia="el-GR"/>
              </w:rPr>
              <w:t xml:space="preserve">The ability to tolerate an oral food challenge to 2000mg </w:t>
            </w:r>
            <w:r w:rsidR="00E61EEE" w:rsidRPr="00682ADA">
              <w:rPr>
                <w:rFonts w:ascii="Calibri" w:eastAsia="Times New Roman" w:hAnsi="Calibri" w:cs="Times New Roman"/>
                <w:b/>
                <w:color w:val="000000"/>
                <w:sz w:val="18"/>
                <w:szCs w:val="18"/>
                <w:lang w:val="en-US" w:eastAsia="el-GR"/>
              </w:rPr>
              <w:t>of at least</w:t>
            </w:r>
            <w:r w:rsidRPr="00682ADA">
              <w:rPr>
                <w:rFonts w:ascii="Calibri" w:eastAsia="Times New Roman" w:hAnsi="Calibri" w:cs="Times New Roman"/>
                <w:b/>
                <w:color w:val="000000"/>
                <w:sz w:val="18"/>
                <w:szCs w:val="18"/>
                <w:lang w:val="en-US" w:eastAsia="el-GR"/>
              </w:rPr>
              <w:t xml:space="preserve"> 2 allergens at week 36</w:t>
            </w:r>
            <w:r w:rsidR="007D0A7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w:t>
            </w:r>
          </w:p>
        </w:tc>
        <w:tc>
          <w:tcPr>
            <w:tcW w:w="5760" w:type="dxa"/>
            <w:shd w:val="clear" w:color="auto" w:fill="auto"/>
            <w:hideMark/>
          </w:tcPr>
          <w:p w14:paraId="1D45CFCE" w14:textId="7EAD21EE"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(1a) The percent of participants who tolerated an OFC of a cumulative dose of at least 2g of each of at least 2 allergens at week 36, (1b) The percent of participants who passed an OFC at week 36 of at least 2g of each of their 3, 4, or 5 food allergens, (1</w:t>
            </w:r>
            <w:r w:rsidR="003E2811" w:rsidRPr="00593B00">
              <w:rPr>
                <w:rFonts w:ascii="Calibri" w:eastAsia="Times New Roman" w:hAnsi="Calibri" w:cs="Times New Roman"/>
                <w:color w:val="000000"/>
                <w:sz w:val="18"/>
                <w:szCs w:val="18"/>
                <w:lang w:val="en-US" w:eastAsia="el-GR"/>
              </w:rPr>
              <w:t>b) The</w:t>
            </w:r>
            <w:r w:rsidRPr="00593B00">
              <w:rPr>
                <w:rFonts w:ascii="Calibri" w:eastAsia="Times New Roman" w:hAnsi="Calibri" w:cs="Times New Roman"/>
                <w:color w:val="000000"/>
                <w:sz w:val="18"/>
                <w:szCs w:val="18"/>
                <w:lang w:val="en-US" w:eastAsia="el-GR"/>
              </w:rPr>
              <w:t xml:space="preserve"> percent of participants who passed an OFC at week 36 of at least 4g of each of 2 food allergens. (</w:t>
            </w:r>
            <w:r w:rsidR="003E2811" w:rsidRPr="00593B00">
              <w:rPr>
                <w:rFonts w:ascii="Calibri" w:eastAsia="Times New Roman" w:hAnsi="Calibri" w:cs="Times New Roman"/>
                <w:color w:val="000000"/>
                <w:sz w:val="18"/>
                <w:szCs w:val="18"/>
                <w:lang w:val="en-US" w:eastAsia="el-GR"/>
              </w:rPr>
              <w:t>2) The</w:t>
            </w:r>
            <w:r w:rsidRPr="00593B00">
              <w:rPr>
                <w:rFonts w:ascii="Calibri" w:eastAsia="Times New Roman" w:hAnsi="Calibri" w:cs="Times New Roman"/>
                <w:color w:val="000000"/>
                <w:sz w:val="18"/>
                <w:szCs w:val="18"/>
                <w:lang w:val="en-US" w:eastAsia="el-GR"/>
              </w:rPr>
              <w:t xml:space="preserve"> number of participants cross-desensitized to pistachio and pecan.  (3) </w:t>
            </w:r>
            <w:r w:rsidR="00E61EEE">
              <w:rPr>
                <w:rFonts w:ascii="Calibri" w:eastAsia="Times New Roman" w:hAnsi="Calibri" w:cs="Times New Roman"/>
                <w:color w:val="000000"/>
                <w:sz w:val="18"/>
                <w:szCs w:val="18"/>
                <w:lang w:val="en-US" w:eastAsia="el-GR"/>
              </w:rPr>
              <w:t>Peanut-specific</w:t>
            </w:r>
            <w:r w:rsidRPr="00593B00">
              <w:rPr>
                <w:rFonts w:ascii="Calibri" w:eastAsia="Times New Roman" w:hAnsi="Calibri" w:cs="Times New Roman"/>
                <w:color w:val="000000"/>
                <w:sz w:val="18"/>
                <w:szCs w:val="18"/>
                <w:lang w:val="en-US" w:eastAsia="el-GR"/>
              </w:rPr>
              <w:t xml:space="preserve"> IgE, IgG4</w:t>
            </w:r>
            <w:r w:rsidR="00E61EE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SPTs change (4) Number and percentage of participants that experienced Adverse Events (AEs) by week range and randomization arm in total, by system</w:t>
            </w:r>
            <w:r w:rsidR="00E61EE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and by severity, including those non-randomized.</w:t>
            </w:r>
          </w:p>
        </w:tc>
      </w:tr>
      <w:tr w:rsidR="00BA7289" w:rsidRPr="00593B00" w14:paraId="4137C66A" w14:textId="77777777" w:rsidTr="00682ADA">
        <w:trPr>
          <w:trHeight w:val="20"/>
        </w:trPr>
        <w:tc>
          <w:tcPr>
            <w:tcW w:w="13942" w:type="dxa"/>
            <w:gridSpan w:val="6"/>
            <w:shd w:val="clear" w:color="auto" w:fill="ACB9CA"/>
            <w:hideMark/>
          </w:tcPr>
          <w:p w14:paraId="6DC532B9" w14:textId="6542019A" w:rsidR="00BA7289" w:rsidRPr="00593B00" w:rsidRDefault="00BA7289" w:rsidP="004E4915">
            <w:pPr>
              <w:spacing w:after="0" w:line="240" w:lineRule="auto"/>
              <w:rPr>
                <w:rFonts w:ascii="Calibri" w:eastAsia="Times New Roman" w:hAnsi="Calibri" w:cs="Times New Roman"/>
                <w:b/>
                <w:bCs/>
                <w:color w:val="000000"/>
                <w:sz w:val="18"/>
                <w:szCs w:val="18"/>
                <w:lang w:eastAsia="el-GR"/>
              </w:rPr>
            </w:pPr>
            <w:r w:rsidRPr="00593B00">
              <w:rPr>
                <w:rFonts w:ascii="Calibri" w:eastAsia="Times New Roman" w:hAnsi="Calibri" w:cs="Times New Roman"/>
                <w:b/>
                <w:bCs/>
                <w:color w:val="000000"/>
                <w:sz w:val="18"/>
                <w:szCs w:val="18"/>
                <w:lang w:eastAsia="el-GR"/>
              </w:rPr>
              <w:t>Other Treatments</w:t>
            </w:r>
          </w:p>
        </w:tc>
      </w:tr>
      <w:tr w:rsidR="00611FA7" w:rsidRPr="00A2595E" w14:paraId="08F1C0C2" w14:textId="77777777" w:rsidTr="00682ADA">
        <w:trPr>
          <w:trHeight w:val="20"/>
        </w:trPr>
        <w:tc>
          <w:tcPr>
            <w:tcW w:w="1159" w:type="dxa"/>
            <w:shd w:val="clear" w:color="auto" w:fill="C6D9F1" w:themeFill="text2" w:themeFillTint="33"/>
            <w:hideMark/>
          </w:tcPr>
          <w:p w14:paraId="463E65A2" w14:textId="3DB21F48"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Rial et al. 2019; Spain; NS;</w:t>
            </w:r>
            <w:r w:rsidR="00FA3C3C">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NS</w:t>
            </w:r>
          </w:p>
        </w:tc>
        <w:tc>
          <w:tcPr>
            <w:tcW w:w="1003" w:type="dxa"/>
            <w:shd w:val="clear" w:color="auto" w:fill="C6D9F1" w:themeFill="text2" w:themeFillTint="33"/>
            <w:hideMark/>
          </w:tcPr>
          <w:p w14:paraId="62CDC0C1" w14:textId="77777777" w:rsidR="00611FA7" w:rsidRPr="00593B00" w:rsidRDefault="0487491D" w:rsidP="0487491D">
            <w:pPr>
              <w:spacing w:after="0" w:line="240" w:lineRule="auto"/>
              <w:rPr>
                <w:rFonts w:ascii="Calibri" w:eastAsia="Times New Roman" w:hAnsi="Calibri" w:cs="Times New Roman"/>
                <w:color w:val="000000"/>
                <w:sz w:val="18"/>
                <w:szCs w:val="18"/>
                <w:lang w:eastAsia="el-GR"/>
              </w:rPr>
            </w:pPr>
            <w:r w:rsidRPr="0487491D">
              <w:rPr>
                <w:rFonts w:ascii="Calibri" w:eastAsia="Times New Roman" w:hAnsi="Calibri" w:cs="Times New Roman"/>
                <w:color w:val="000000" w:themeColor="text1"/>
                <w:sz w:val="18"/>
                <w:szCs w:val="18"/>
                <w:lang w:eastAsia="el-GR"/>
              </w:rPr>
              <w:t>Case Report</w:t>
            </w:r>
          </w:p>
        </w:tc>
        <w:tc>
          <w:tcPr>
            <w:tcW w:w="1560" w:type="dxa"/>
            <w:shd w:val="clear" w:color="auto" w:fill="C6D9F1" w:themeFill="text2" w:themeFillTint="33"/>
            <w:hideMark/>
          </w:tcPr>
          <w:p w14:paraId="0A68A234" w14:textId="7B2BA2D5"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 30-year-old woman with LTP-syndrome and pistachio allergy</w:t>
            </w:r>
            <w:r w:rsidR="007D0A7E">
              <w:rPr>
                <w:rFonts w:ascii="Calibri" w:eastAsia="Times New Roman" w:hAnsi="Calibri" w:cs="Times New Roman"/>
                <w:color w:val="000000"/>
                <w:sz w:val="18"/>
                <w:szCs w:val="18"/>
                <w:lang w:val="en-US" w:eastAsia="el-GR"/>
              </w:rPr>
              <w:t>.</w:t>
            </w:r>
          </w:p>
        </w:tc>
        <w:tc>
          <w:tcPr>
            <w:tcW w:w="2676" w:type="dxa"/>
            <w:shd w:val="clear" w:color="auto" w:fill="C6D9F1" w:themeFill="text2" w:themeFillTint="33"/>
            <w:hideMark/>
          </w:tcPr>
          <w:p w14:paraId="6B23628E" w14:textId="5412CFEC"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Dupilumab 600mg initial and 300mg/</w:t>
            </w:r>
            <w:r w:rsidR="00FE0EA3">
              <w:rPr>
                <w:rFonts w:ascii="Calibri" w:eastAsia="Times New Roman" w:hAnsi="Calibri" w:cs="Times New Roman"/>
                <w:color w:val="000000"/>
                <w:sz w:val="18"/>
                <w:szCs w:val="18"/>
                <w:lang w:val="en-US" w:eastAsia="el-GR"/>
              </w:rPr>
              <w:t>2 weeks</w:t>
            </w:r>
            <w:r w:rsidRPr="00593B00">
              <w:rPr>
                <w:rFonts w:ascii="Calibri" w:eastAsia="Times New Roman" w:hAnsi="Calibri" w:cs="Times New Roman"/>
                <w:color w:val="000000"/>
                <w:sz w:val="18"/>
                <w:szCs w:val="18"/>
                <w:lang w:val="en-US" w:eastAsia="el-GR"/>
              </w:rPr>
              <w:t xml:space="preserve"> thereafter</w:t>
            </w:r>
            <w:r w:rsidR="007D0A7E">
              <w:rPr>
                <w:rFonts w:ascii="Calibri" w:eastAsia="Times New Roman" w:hAnsi="Calibri" w:cs="Times New Roman"/>
                <w:color w:val="000000"/>
                <w:sz w:val="18"/>
                <w:szCs w:val="18"/>
                <w:lang w:val="en-US" w:eastAsia="el-GR"/>
              </w:rPr>
              <w:t>.</w:t>
            </w:r>
          </w:p>
        </w:tc>
        <w:tc>
          <w:tcPr>
            <w:tcW w:w="1784" w:type="dxa"/>
            <w:shd w:val="clear" w:color="auto" w:fill="C6D9F1" w:themeFill="text2" w:themeFillTint="33"/>
            <w:hideMark/>
          </w:tcPr>
          <w:p w14:paraId="4788CE3B" w14:textId="70BF650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Efficacy: </w:t>
            </w:r>
            <w:r w:rsidRPr="00682ADA">
              <w:rPr>
                <w:rFonts w:ascii="Calibri" w:eastAsia="Times New Roman" w:hAnsi="Calibri" w:cs="Times New Roman"/>
                <w:b/>
                <w:color w:val="000000"/>
                <w:sz w:val="18"/>
                <w:szCs w:val="18"/>
                <w:lang w:val="en-US" w:eastAsia="el-GR"/>
              </w:rPr>
              <w:t>Ability to pass OFC to implicated foods while on treatment for 3 months</w:t>
            </w:r>
            <w:r w:rsidR="007D0A7E" w:rsidRPr="00682ADA">
              <w:rPr>
                <w:rFonts w:ascii="Calibri" w:eastAsia="Times New Roman" w:hAnsi="Calibri" w:cs="Times New Roman"/>
                <w:b/>
                <w:color w:val="000000"/>
                <w:sz w:val="18"/>
                <w:szCs w:val="18"/>
                <w:lang w:val="en-US" w:eastAsia="el-GR"/>
              </w:rPr>
              <w:t>.</w:t>
            </w:r>
          </w:p>
        </w:tc>
        <w:tc>
          <w:tcPr>
            <w:tcW w:w="5760" w:type="dxa"/>
            <w:shd w:val="clear" w:color="auto" w:fill="C6D9F1" w:themeFill="text2" w:themeFillTint="33"/>
            <w:hideMark/>
          </w:tcPr>
          <w:p w14:paraId="665C95F5"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Results of OFCs to 50gr of pistachios and 100gr of canned corn.  </w:t>
            </w:r>
          </w:p>
        </w:tc>
      </w:tr>
      <w:tr w:rsidR="00611FA7" w:rsidRPr="00A2595E" w14:paraId="0C212807" w14:textId="77777777" w:rsidTr="00682ADA">
        <w:trPr>
          <w:trHeight w:val="20"/>
        </w:trPr>
        <w:tc>
          <w:tcPr>
            <w:tcW w:w="1159" w:type="dxa"/>
            <w:shd w:val="clear" w:color="auto" w:fill="auto"/>
            <w:hideMark/>
          </w:tcPr>
          <w:p w14:paraId="3D7C8368"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Fiocchi et al. 2019; Italy; NS; NS</w:t>
            </w:r>
          </w:p>
        </w:tc>
        <w:tc>
          <w:tcPr>
            <w:tcW w:w="1003" w:type="dxa"/>
            <w:shd w:val="clear" w:color="auto" w:fill="auto"/>
            <w:hideMark/>
          </w:tcPr>
          <w:p w14:paraId="6CC9F7B5" w14:textId="5E603DF7" w:rsidR="00611FA7" w:rsidRPr="00593B00" w:rsidRDefault="0487491D" w:rsidP="004E4915">
            <w:pPr>
              <w:spacing w:after="0" w:line="240" w:lineRule="auto"/>
              <w:rPr>
                <w:rFonts w:ascii="Calibri" w:eastAsia="Times New Roman" w:hAnsi="Calibri" w:cs="Times New Roman"/>
                <w:color w:val="000000"/>
                <w:sz w:val="18"/>
                <w:szCs w:val="18"/>
                <w:lang w:eastAsia="el-GR"/>
              </w:rPr>
            </w:pPr>
            <w:r w:rsidRPr="0487491D">
              <w:rPr>
                <w:rFonts w:ascii="Calibri" w:eastAsia="Times New Roman" w:hAnsi="Calibri" w:cs="Times New Roman"/>
                <w:color w:val="000000" w:themeColor="text1"/>
                <w:sz w:val="18"/>
                <w:szCs w:val="18"/>
                <w:lang w:eastAsia="el-GR"/>
              </w:rPr>
              <w:t xml:space="preserve">Prospective </w:t>
            </w:r>
            <w:r w:rsidR="00C3424D">
              <w:rPr>
                <w:rFonts w:ascii="Calibri" w:eastAsia="Times New Roman" w:hAnsi="Calibri" w:cs="Times New Roman"/>
                <w:color w:val="000000" w:themeColor="text1"/>
                <w:sz w:val="18"/>
                <w:szCs w:val="18"/>
                <w:lang w:val="en-US" w:eastAsia="el-GR"/>
              </w:rPr>
              <w:t>C</w:t>
            </w:r>
            <w:r w:rsidR="00B74D98">
              <w:rPr>
                <w:rFonts w:ascii="Calibri" w:eastAsia="Times New Roman" w:hAnsi="Calibri" w:cs="Times New Roman"/>
                <w:color w:val="000000" w:themeColor="text1"/>
                <w:sz w:val="18"/>
                <w:szCs w:val="18"/>
                <w:lang w:val="en-US" w:eastAsia="el-GR"/>
              </w:rPr>
              <w:t>ohort</w:t>
            </w:r>
          </w:p>
        </w:tc>
        <w:tc>
          <w:tcPr>
            <w:tcW w:w="1560" w:type="dxa"/>
            <w:shd w:val="clear" w:color="auto" w:fill="auto"/>
            <w:hideMark/>
          </w:tcPr>
          <w:p w14:paraId="1B30CD2C" w14:textId="67DAD971"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and adults &gt; 6y.o. with severe asthma treated with omalizumab and immediate reactions to at least 2 foods or to 1 food and failure of OIT/ 15 participants, 12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median age 12 </w:t>
            </w:r>
            <w:r w:rsidR="00FE0EA3">
              <w:rPr>
                <w:rFonts w:ascii="Calibri" w:eastAsia="Times New Roman" w:hAnsi="Calibri" w:cs="Times New Roman"/>
                <w:color w:val="000000"/>
                <w:sz w:val="18"/>
                <w:szCs w:val="18"/>
                <w:lang w:val="en-US" w:eastAsia="el-GR"/>
              </w:rPr>
              <w:t>years</w:t>
            </w:r>
            <w:r w:rsidRPr="00593B00">
              <w:rPr>
                <w:rFonts w:ascii="Calibri" w:eastAsia="Times New Roman" w:hAnsi="Calibri" w:cs="Times New Roman"/>
                <w:color w:val="000000"/>
                <w:sz w:val="18"/>
                <w:szCs w:val="18"/>
                <w:lang w:val="en-US" w:eastAsia="el-GR"/>
              </w:rPr>
              <w:t xml:space="preserve">, 1 participant,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xml:space="preserve">, 9y.o. </w:t>
            </w:r>
            <w:proofErr w:type="spellStart"/>
            <w:r w:rsidRPr="00593B00">
              <w:rPr>
                <w:rFonts w:ascii="Calibri" w:eastAsia="Times New Roman" w:hAnsi="Calibri" w:cs="Times New Roman"/>
                <w:color w:val="000000"/>
                <w:sz w:val="18"/>
                <w:szCs w:val="18"/>
                <w:lang w:val="en-US" w:eastAsia="el-GR"/>
              </w:rPr>
              <w:t>with</w:t>
            </w:r>
            <w:proofErr w:type="spellEnd"/>
            <w:r w:rsidRPr="00593B00">
              <w:rPr>
                <w:rFonts w:ascii="Calibri" w:eastAsia="Times New Roman" w:hAnsi="Calibri" w:cs="Times New Roman"/>
                <w:color w:val="000000"/>
                <w:sz w:val="18"/>
                <w:szCs w:val="18"/>
                <w:lang w:val="en-US" w:eastAsia="el-GR"/>
              </w:rPr>
              <w:t xml:space="preserve"> hazelnut allergy.  </w:t>
            </w:r>
          </w:p>
        </w:tc>
        <w:tc>
          <w:tcPr>
            <w:tcW w:w="2676" w:type="dxa"/>
            <w:shd w:val="clear" w:color="auto" w:fill="auto"/>
            <w:hideMark/>
          </w:tcPr>
          <w:p w14:paraId="3A3BD28C" w14:textId="7993A4A4"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All participants received omalizumab 0,016mg/Kg/IgE every 2 to 4 weeks for 4 months</w:t>
            </w:r>
            <w:r w:rsidR="007D0A7E">
              <w:rPr>
                <w:rFonts w:ascii="Calibri" w:eastAsia="Times New Roman" w:hAnsi="Calibri" w:cs="Times New Roman"/>
                <w:color w:val="000000"/>
                <w:sz w:val="18"/>
                <w:szCs w:val="18"/>
                <w:lang w:val="en-US" w:eastAsia="el-GR"/>
              </w:rPr>
              <w:t>.</w:t>
            </w:r>
          </w:p>
        </w:tc>
        <w:tc>
          <w:tcPr>
            <w:tcW w:w="1784" w:type="dxa"/>
            <w:shd w:val="clear" w:color="auto" w:fill="auto"/>
            <w:hideMark/>
          </w:tcPr>
          <w:p w14:paraId="24091C3A" w14:textId="51D4C381"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682ADA">
              <w:rPr>
                <w:rFonts w:ascii="Calibri" w:eastAsia="Times New Roman" w:hAnsi="Calibri" w:cs="Times New Roman"/>
                <w:b/>
                <w:color w:val="000000"/>
                <w:sz w:val="18"/>
                <w:szCs w:val="18"/>
                <w:lang w:val="en-US" w:eastAsia="el-GR"/>
              </w:rPr>
              <w:t>Change in tolerance threshold to foods (TTF),</w:t>
            </w:r>
            <w:r w:rsidRPr="00593B00">
              <w:rPr>
                <w:rFonts w:ascii="Calibri" w:eastAsia="Times New Roman" w:hAnsi="Calibri" w:cs="Times New Roman"/>
                <w:color w:val="000000"/>
                <w:sz w:val="18"/>
                <w:szCs w:val="18"/>
                <w:lang w:val="en-US" w:eastAsia="el-GR"/>
              </w:rPr>
              <w:t xml:space="preserve"> during an OFC</w:t>
            </w:r>
            <w:r w:rsidR="00FE0EA3">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performed 2 days before omalizumab injection.   </w:t>
            </w:r>
          </w:p>
        </w:tc>
        <w:tc>
          <w:tcPr>
            <w:tcW w:w="5760" w:type="dxa"/>
            <w:shd w:val="clear" w:color="auto" w:fill="auto"/>
            <w:hideMark/>
          </w:tcPr>
          <w:p w14:paraId="0C8CAEF8" w14:textId="0D857E01"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The change in tolerance threshold to foods (TTF), per patient and per food.  (2) The number of foods fully tolerated. (3) The number of participants developing full clinical tolerance to foods (full tolerance: cow’s milk=144.4 mL/4700 mg of </w:t>
            </w:r>
            <w:r w:rsidR="003E2811" w:rsidRPr="00593B00">
              <w:rPr>
                <w:rFonts w:ascii="Calibri" w:eastAsia="Times New Roman" w:hAnsi="Calibri" w:cs="Times New Roman"/>
                <w:color w:val="000000"/>
                <w:sz w:val="18"/>
                <w:szCs w:val="18"/>
                <w:lang w:val="en-US" w:eastAsia="el-GR"/>
              </w:rPr>
              <w:t>proteins; baked</w:t>
            </w:r>
            <w:r w:rsidRPr="00593B00">
              <w:rPr>
                <w:rFonts w:ascii="Calibri" w:eastAsia="Times New Roman" w:hAnsi="Calibri" w:cs="Times New Roman"/>
                <w:color w:val="000000"/>
                <w:sz w:val="18"/>
                <w:szCs w:val="18"/>
                <w:lang w:val="en-US" w:eastAsia="el-GR"/>
              </w:rPr>
              <w:t xml:space="preserve"> milk = 80 g/ 6960 mg of proteins; hen’s egg= 45 g eggs/ 11,160 mg of proteins; baked egg = 80 g/ 9520 mg of proteins; hazelnut= at 64 g/ 8847.5 mg of proteins; wheat = 220 g/10,060 mg of proteins. (4) The number of allergic reactions to the unintentional ingestion of foods per patient in the 4 months before the treatment, and during the 4 months of treatment. (5) The change in the </w:t>
            </w:r>
            <w:proofErr w:type="spellStart"/>
            <w:r w:rsidRPr="00593B00">
              <w:rPr>
                <w:rFonts w:ascii="Calibri" w:eastAsia="Times New Roman" w:hAnsi="Calibri" w:cs="Times New Roman"/>
                <w:color w:val="000000"/>
                <w:sz w:val="18"/>
                <w:szCs w:val="18"/>
                <w:lang w:val="en-US" w:eastAsia="el-GR"/>
              </w:rPr>
              <w:t>PedsQL</w:t>
            </w:r>
            <w:proofErr w:type="spellEnd"/>
            <w:r w:rsidRPr="00593B00">
              <w:rPr>
                <w:rFonts w:ascii="Calibri" w:eastAsia="Times New Roman" w:hAnsi="Calibri" w:cs="Times New Roman"/>
                <w:color w:val="000000"/>
                <w:sz w:val="18"/>
                <w:szCs w:val="18"/>
                <w:lang w:val="en-US" w:eastAsia="el-GR"/>
              </w:rPr>
              <w:t xml:space="preserve"> 4.0 questionnaire score for parents and</w:t>
            </w:r>
            <w:r w:rsidR="00FE0EA3">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patients before and after treatment. </w:t>
            </w:r>
          </w:p>
        </w:tc>
      </w:tr>
      <w:tr w:rsidR="00611FA7" w:rsidRPr="003E2811" w14:paraId="51A9ED20" w14:textId="77777777" w:rsidTr="00682ADA">
        <w:trPr>
          <w:trHeight w:val="20"/>
        </w:trPr>
        <w:tc>
          <w:tcPr>
            <w:tcW w:w="1159" w:type="dxa"/>
            <w:shd w:val="clear" w:color="auto" w:fill="C6D9F1" w:themeFill="text2" w:themeFillTint="33"/>
            <w:hideMark/>
          </w:tcPr>
          <w:p w14:paraId="6F095667" w14:textId="77777777"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lastRenderedPageBreak/>
              <w:t>Crespo et al. 2021; Spain; NS; NS</w:t>
            </w:r>
          </w:p>
        </w:tc>
        <w:tc>
          <w:tcPr>
            <w:tcW w:w="1003" w:type="dxa"/>
            <w:shd w:val="clear" w:color="auto" w:fill="C6D9F1" w:themeFill="text2" w:themeFillTint="33"/>
            <w:hideMark/>
          </w:tcPr>
          <w:p w14:paraId="5444A0A8" w14:textId="410CAFC2" w:rsidR="00611FA7" w:rsidRPr="00593B00" w:rsidRDefault="0487491D" w:rsidP="0487491D">
            <w:pPr>
              <w:spacing w:after="0" w:line="240" w:lineRule="auto"/>
              <w:rPr>
                <w:rFonts w:ascii="Calibri" w:eastAsia="Times New Roman" w:hAnsi="Calibri" w:cs="Times New Roman"/>
                <w:color w:val="000000"/>
                <w:sz w:val="18"/>
                <w:szCs w:val="18"/>
                <w:lang w:eastAsia="el-GR"/>
              </w:rPr>
            </w:pPr>
            <w:r w:rsidRPr="0487491D">
              <w:rPr>
                <w:rFonts w:ascii="Calibri" w:eastAsia="Times New Roman" w:hAnsi="Calibri" w:cs="Times New Roman"/>
                <w:color w:val="000000" w:themeColor="text1"/>
                <w:sz w:val="18"/>
                <w:szCs w:val="18"/>
                <w:lang w:eastAsia="el-GR"/>
              </w:rPr>
              <w:t xml:space="preserve">Prospective </w:t>
            </w:r>
            <w:r w:rsidR="00682ADA">
              <w:rPr>
                <w:rFonts w:ascii="Calibri" w:eastAsia="Times New Roman" w:hAnsi="Calibri" w:cs="Times New Roman"/>
                <w:color w:val="000000" w:themeColor="text1"/>
                <w:sz w:val="18"/>
                <w:szCs w:val="18"/>
                <w:lang w:val="en-US" w:eastAsia="el-GR"/>
              </w:rPr>
              <w:t>C</w:t>
            </w:r>
            <w:r w:rsidR="00B74D98">
              <w:rPr>
                <w:rFonts w:ascii="Calibri" w:eastAsia="Times New Roman" w:hAnsi="Calibri" w:cs="Times New Roman"/>
                <w:color w:val="000000" w:themeColor="text1"/>
                <w:sz w:val="18"/>
                <w:szCs w:val="18"/>
                <w:lang w:val="en-US" w:eastAsia="el-GR"/>
              </w:rPr>
              <w:t>ohort</w:t>
            </w:r>
          </w:p>
        </w:tc>
        <w:tc>
          <w:tcPr>
            <w:tcW w:w="1560" w:type="dxa"/>
            <w:shd w:val="clear" w:color="auto" w:fill="C6D9F1" w:themeFill="text2" w:themeFillTint="33"/>
            <w:hideMark/>
          </w:tcPr>
          <w:p w14:paraId="67D434F4" w14:textId="30202562"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Children &lt; 18 </w:t>
            </w:r>
            <w:proofErr w:type="spellStart"/>
            <w:r w:rsidRPr="00593B00">
              <w:rPr>
                <w:rFonts w:ascii="Calibri" w:eastAsia="Times New Roman" w:hAnsi="Calibri" w:cs="Times New Roman"/>
                <w:color w:val="000000"/>
                <w:sz w:val="18"/>
                <w:szCs w:val="18"/>
                <w:lang w:val="en-US" w:eastAsia="el-GR"/>
              </w:rPr>
              <w:t>y.o</w:t>
            </w:r>
            <w:proofErr w:type="spellEnd"/>
            <w:r w:rsidRPr="00593B00">
              <w:rPr>
                <w:rFonts w:ascii="Calibri" w:eastAsia="Times New Roman" w:hAnsi="Calibri" w:cs="Times New Roman"/>
                <w:color w:val="000000"/>
                <w:sz w:val="18"/>
                <w:szCs w:val="18"/>
                <w:lang w:val="en-US" w:eastAsia="el-GR"/>
              </w:rPr>
              <w:t xml:space="preserve">. with </w:t>
            </w:r>
            <w:r w:rsidR="00FE0EA3">
              <w:rPr>
                <w:rFonts w:ascii="Calibri" w:eastAsia="Times New Roman" w:hAnsi="Calibri" w:cs="Times New Roman"/>
                <w:color w:val="000000"/>
                <w:sz w:val="18"/>
                <w:szCs w:val="18"/>
                <w:lang w:val="en-US" w:eastAsia="el-GR"/>
              </w:rPr>
              <w:t>IgE-mediated</w:t>
            </w:r>
            <w:r w:rsidRPr="00593B00">
              <w:rPr>
                <w:rFonts w:ascii="Calibri" w:eastAsia="Times New Roman" w:hAnsi="Calibri" w:cs="Times New Roman"/>
                <w:color w:val="000000"/>
                <w:sz w:val="18"/>
                <w:szCs w:val="18"/>
                <w:lang w:val="en-US" w:eastAsia="el-GR"/>
              </w:rPr>
              <w:t xml:space="preserve"> multiple food allergy </w:t>
            </w:r>
            <w:r w:rsidR="00FE0EA3">
              <w:rPr>
                <w:rFonts w:ascii="Calibri" w:eastAsia="Times New Roman" w:hAnsi="Calibri" w:cs="Times New Roman"/>
                <w:color w:val="000000"/>
                <w:sz w:val="18"/>
                <w:szCs w:val="18"/>
                <w:lang w:val="en-US" w:eastAsia="el-GR"/>
              </w:rPr>
              <w:t>unable to</w:t>
            </w:r>
            <w:r w:rsidRPr="00593B00">
              <w:rPr>
                <w:rFonts w:ascii="Calibri" w:eastAsia="Times New Roman" w:hAnsi="Calibri" w:cs="Times New Roman"/>
                <w:color w:val="000000"/>
                <w:sz w:val="18"/>
                <w:szCs w:val="18"/>
                <w:lang w:val="en-US" w:eastAsia="el-GR"/>
              </w:rPr>
              <w:t xml:space="preserve"> receive OIT/5 patients, 4 (80%) </w:t>
            </w:r>
            <w:r w:rsidR="00E61EEE">
              <w:rPr>
                <w:rFonts w:ascii="Calibri" w:eastAsia="Times New Roman" w:hAnsi="Calibri" w:cs="Times New Roman"/>
                <w:color w:val="000000"/>
                <w:sz w:val="18"/>
                <w:szCs w:val="18"/>
                <w:lang w:val="en-US" w:eastAsia="el-GR"/>
              </w:rPr>
              <w:t>males</w:t>
            </w:r>
            <w:r w:rsidRPr="00593B00">
              <w:rPr>
                <w:rFonts w:ascii="Calibri" w:eastAsia="Times New Roman" w:hAnsi="Calibri" w:cs="Times New Roman"/>
                <w:color w:val="000000"/>
                <w:sz w:val="18"/>
                <w:szCs w:val="18"/>
                <w:lang w:val="en-US" w:eastAsia="el-GR"/>
              </w:rPr>
              <w:t>, mean age 6</w:t>
            </w:r>
            <w:r w:rsidR="00FE0EA3">
              <w:rPr>
                <w:rFonts w:ascii="Calibri" w:eastAsia="Times New Roman" w:hAnsi="Calibri" w:cs="Times New Roman"/>
                <w:color w:val="000000"/>
                <w:sz w:val="18"/>
                <w:szCs w:val="18"/>
                <w:lang w:val="en-US" w:eastAsia="el-GR"/>
              </w:rPr>
              <w:t xml:space="preserve"> years</w:t>
            </w:r>
            <w:r w:rsidR="007D0A7E">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w:t>
            </w:r>
          </w:p>
        </w:tc>
        <w:tc>
          <w:tcPr>
            <w:tcW w:w="2676" w:type="dxa"/>
            <w:shd w:val="clear" w:color="auto" w:fill="C6D9F1" w:themeFill="text2" w:themeFillTint="33"/>
            <w:hideMark/>
          </w:tcPr>
          <w:p w14:paraId="5300725F" w14:textId="5C46F98A"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Omalizumab 0,016mg/Kg/IgE every 4 weeks</w:t>
            </w:r>
            <w:r w:rsidR="007D0A7E">
              <w:rPr>
                <w:rFonts w:ascii="Calibri" w:eastAsia="Times New Roman" w:hAnsi="Calibri" w:cs="Times New Roman"/>
                <w:color w:val="000000"/>
                <w:sz w:val="18"/>
                <w:szCs w:val="18"/>
                <w:lang w:val="en-US" w:eastAsia="el-GR"/>
              </w:rPr>
              <w:t>.</w:t>
            </w:r>
          </w:p>
        </w:tc>
        <w:tc>
          <w:tcPr>
            <w:tcW w:w="1784" w:type="dxa"/>
            <w:shd w:val="clear" w:color="auto" w:fill="C6D9F1" w:themeFill="text2" w:themeFillTint="33"/>
            <w:hideMark/>
          </w:tcPr>
          <w:p w14:paraId="53307868" w14:textId="3CB54E99" w:rsidR="00611FA7" w:rsidRPr="00593B00"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The effect of omalizumab </w:t>
            </w:r>
            <w:r w:rsidR="00FE0EA3">
              <w:rPr>
                <w:rFonts w:ascii="Calibri" w:eastAsia="Times New Roman" w:hAnsi="Calibri" w:cs="Times New Roman"/>
                <w:color w:val="000000"/>
                <w:sz w:val="18"/>
                <w:szCs w:val="18"/>
                <w:lang w:val="en-US" w:eastAsia="el-GR"/>
              </w:rPr>
              <w:t>on</w:t>
            </w:r>
            <w:r w:rsidRPr="00593B00">
              <w:rPr>
                <w:rFonts w:ascii="Calibri" w:eastAsia="Times New Roman" w:hAnsi="Calibri" w:cs="Times New Roman"/>
                <w:color w:val="000000"/>
                <w:sz w:val="18"/>
                <w:szCs w:val="18"/>
                <w:lang w:val="en-US" w:eastAsia="el-GR"/>
              </w:rPr>
              <w:t xml:space="preserve"> food allergy</w:t>
            </w:r>
            <w:r w:rsidR="003E2811" w:rsidRPr="003E2811">
              <w:rPr>
                <w:rFonts w:ascii="Calibri" w:eastAsia="Times New Roman" w:hAnsi="Calibri" w:cs="Times New Roman"/>
                <w:color w:val="000000"/>
                <w:sz w:val="18"/>
                <w:szCs w:val="18"/>
                <w:lang w:val="en-US" w:eastAsia="el-GR"/>
              </w:rPr>
              <w:t>,</w:t>
            </w:r>
            <w:r w:rsidRPr="00593B00">
              <w:rPr>
                <w:rFonts w:ascii="Calibri" w:eastAsia="Times New Roman" w:hAnsi="Calibri" w:cs="Times New Roman"/>
                <w:color w:val="000000"/>
                <w:sz w:val="18"/>
                <w:szCs w:val="18"/>
                <w:lang w:val="en-US" w:eastAsia="el-GR"/>
              </w:rPr>
              <w:t xml:space="preserve"> assessed by :(1) </w:t>
            </w:r>
            <w:r w:rsidRPr="00682ADA">
              <w:rPr>
                <w:rFonts w:ascii="Calibri" w:eastAsia="Times New Roman" w:hAnsi="Calibri" w:cs="Times New Roman"/>
                <w:b/>
                <w:color w:val="000000"/>
                <w:sz w:val="18"/>
                <w:szCs w:val="18"/>
                <w:lang w:val="en-US" w:eastAsia="el-GR"/>
              </w:rPr>
              <w:t>OFCs at least after 6 months on omalizumab</w:t>
            </w:r>
            <w:r w:rsidRPr="00593B00">
              <w:rPr>
                <w:rFonts w:ascii="Calibri" w:eastAsia="Times New Roman" w:hAnsi="Calibri" w:cs="Times New Roman"/>
                <w:color w:val="000000"/>
                <w:sz w:val="18"/>
                <w:szCs w:val="18"/>
                <w:lang w:val="en-US" w:eastAsia="el-GR"/>
              </w:rPr>
              <w:t>. (</w:t>
            </w:r>
            <w:r w:rsidR="003E2811" w:rsidRPr="00593B00">
              <w:rPr>
                <w:rFonts w:ascii="Calibri" w:eastAsia="Times New Roman" w:hAnsi="Calibri" w:cs="Times New Roman"/>
                <w:color w:val="000000"/>
                <w:sz w:val="18"/>
                <w:szCs w:val="18"/>
                <w:lang w:val="en-US" w:eastAsia="el-GR"/>
              </w:rPr>
              <w:t>2) SPTs</w:t>
            </w:r>
            <w:r w:rsidRPr="00593B00">
              <w:rPr>
                <w:rFonts w:ascii="Calibri" w:eastAsia="Times New Roman" w:hAnsi="Calibri" w:cs="Times New Roman"/>
                <w:color w:val="000000"/>
                <w:sz w:val="18"/>
                <w:szCs w:val="18"/>
                <w:lang w:val="en-US" w:eastAsia="el-GR"/>
              </w:rPr>
              <w:t xml:space="preserve">, sIgEs and </w:t>
            </w:r>
            <w:proofErr w:type="spellStart"/>
            <w:r w:rsidRPr="00593B00">
              <w:rPr>
                <w:rFonts w:ascii="Calibri" w:eastAsia="Times New Roman" w:hAnsi="Calibri" w:cs="Times New Roman"/>
                <w:color w:val="000000"/>
                <w:sz w:val="18"/>
                <w:szCs w:val="18"/>
                <w:lang w:val="en-US" w:eastAsia="el-GR"/>
              </w:rPr>
              <w:t>tIgE</w:t>
            </w:r>
            <w:proofErr w:type="spellEnd"/>
            <w:r w:rsidR="003E2811" w:rsidRPr="003E2811">
              <w:rPr>
                <w:rFonts w:ascii="Calibri" w:eastAsia="Times New Roman" w:hAnsi="Calibri" w:cs="Times New Roman"/>
                <w:color w:val="000000"/>
                <w:sz w:val="18"/>
                <w:szCs w:val="18"/>
                <w:lang w:val="en-US" w:eastAsia="el-GR"/>
              </w:rPr>
              <w:t xml:space="preserve"> </w:t>
            </w:r>
            <w:r w:rsidRPr="00593B00">
              <w:rPr>
                <w:rFonts w:ascii="Calibri" w:eastAsia="Times New Roman" w:hAnsi="Calibri" w:cs="Times New Roman"/>
                <w:color w:val="000000"/>
                <w:sz w:val="18"/>
                <w:szCs w:val="18"/>
                <w:lang w:val="en-US" w:eastAsia="el-GR"/>
              </w:rPr>
              <w:t xml:space="preserve">before and after 2 years on omalizumab. (3) QoL assessed by FAQLQ-PF before and after 2 years on omalizumab.  </w:t>
            </w:r>
          </w:p>
        </w:tc>
        <w:tc>
          <w:tcPr>
            <w:tcW w:w="5760" w:type="dxa"/>
            <w:shd w:val="clear" w:color="auto" w:fill="C6D9F1" w:themeFill="text2" w:themeFillTint="33"/>
            <w:hideMark/>
          </w:tcPr>
          <w:p w14:paraId="05881C14" w14:textId="6AAC9903" w:rsidR="00611FA7" w:rsidRPr="003E2811" w:rsidRDefault="00611FA7" w:rsidP="004E4915">
            <w:pPr>
              <w:spacing w:after="0" w:line="240" w:lineRule="auto"/>
              <w:rPr>
                <w:rFonts w:ascii="Calibri" w:eastAsia="Times New Roman" w:hAnsi="Calibri" w:cs="Times New Roman"/>
                <w:color w:val="000000"/>
                <w:sz w:val="18"/>
                <w:szCs w:val="18"/>
                <w:lang w:val="en-US" w:eastAsia="el-GR"/>
              </w:rPr>
            </w:pPr>
            <w:r w:rsidRPr="00593B00">
              <w:rPr>
                <w:rFonts w:ascii="Calibri" w:eastAsia="Times New Roman" w:hAnsi="Calibri" w:cs="Times New Roman"/>
                <w:color w:val="000000"/>
                <w:sz w:val="18"/>
                <w:szCs w:val="18"/>
                <w:lang w:val="en-US" w:eastAsia="el-GR"/>
              </w:rPr>
              <w:t xml:space="preserve">(1) Results for OFCs and immunological </w:t>
            </w:r>
            <w:r w:rsidR="003E2811" w:rsidRPr="003E2811">
              <w:rPr>
                <w:rFonts w:ascii="Calibri" w:eastAsia="Times New Roman" w:hAnsi="Calibri" w:cs="Times New Roman"/>
                <w:color w:val="000000"/>
                <w:sz w:val="18"/>
                <w:szCs w:val="18"/>
                <w:lang w:val="en-US" w:eastAsia="el-GR"/>
              </w:rPr>
              <w:t>changes</w:t>
            </w:r>
            <w:r w:rsidRPr="00593B00">
              <w:rPr>
                <w:rFonts w:ascii="Calibri" w:eastAsia="Times New Roman" w:hAnsi="Calibri" w:cs="Times New Roman"/>
                <w:color w:val="000000"/>
                <w:sz w:val="18"/>
                <w:szCs w:val="18"/>
                <w:lang w:val="en-US" w:eastAsia="el-GR"/>
              </w:rPr>
              <w:t xml:space="preserve"> are reported per patient. </w:t>
            </w:r>
            <w:r w:rsidRPr="003E2811">
              <w:rPr>
                <w:rFonts w:ascii="Calibri" w:eastAsia="Times New Roman" w:hAnsi="Calibri" w:cs="Times New Roman"/>
                <w:color w:val="000000"/>
                <w:sz w:val="18"/>
                <w:szCs w:val="18"/>
                <w:lang w:val="en-US" w:eastAsia="el-GR"/>
              </w:rPr>
              <w:t xml:space="preserve">(2) QoL changes are reported narratively for overall participants. </w:t>
            </w:r>
          </w:p>
        </w:tc>
      </w:tr>
      <w:tr w:rsidR="00664C98" w:rsidRPr="00A2595E" w14:paraId="136C0381" w14:textId="77777777" w:rsidTr="00682ADA">
        <w:trPr>
          <w:trHeight w:val="20"/>
        </w:trPr>
        <w:tc>
          <w:tcPr>
            <w:tcW w:w="13942" w:type="dxa"/>
            <w:gridSpan w:val="6"/>
            <w:shd w:val="clear" w:color="auto" w:fill="auto"/>
          </w:tcPr>
          <w:p w14:paraId="6987A258" w14:textId="64798A14" w:rsidR="00664C98" w:rsidRPr="007C0B89" w:rsidRDefault="00C44F94" w:rsidP="004E4915">
            <w:pPr>
              <w:spacing w:after="0" w:line="240" w:lineRule="auto"/>
              <w:rPr>
                <w:rFonts w:ascii="Calibri" w:eastAsia="Times New Roman" w:hAnsi="Calibri" w:cs="Times New Roman"/>
                <w:i/>
                <w:color w:val="000000"/>
                <w:sz w:val="18"/>
                <w:szCs w:val="18"/>
                <w:lang w:val="en-US" w:eastAsia="el-GR"/>
              </w:rPr>
            </w:pPr>
            <w:r w:rsidRPr="007C0B89">
              <w:rPr>
                <w:rFonts w:ascii="Calibri" w:eastAsia="Times New Roman" w:hAnsi="Calibri" w:cs="Times New Roman"/>
                <w:i/>
                <w:color w:val="000000"/>
                <w:sz w:val="18"/>
                <w:szCs w:val="18"/>
                <w:lang w:val="en-US" w:eastAsia="el-GR"/>
              </w:rPr>
              <w:t xml:space="preserve">BAT: Basophile activation test, COIT: Cashew-OIT, </w:t>
            </w:r>
            <w:r w:rsidR="00664C98" w:rsidRPr="007C0B89">
              <w:rPr>
                <w:rFonts w:ascii="Calibri" w:eastAsia="Times New Roman" w:hAnsi="Calibri" w:cs="Times New Roman"/>
                <w:i/>
                <w:color w:val="000000"/>
                <w:sz w:val="18"/>
                <w:szCs w:val="18"/>
                <w:lang w:val="en-US" w:eastAsia="el-GR"/>
              </w:rPr>
              <w:t xml:space="preserve">DBPCFC: Double-blind placebo-controlled food challenge, </w:t>
            </w:r>
            <w:r w:rsidR="00A757FA" w:rsidRPr="007C0B89">
              <w:rPr>
                <w:rFonts w:ascii="Calibri" w:eastAsia="Times New Roman" w:hAnsi="Calibri" w:cs="Times New Roman"/>
                <w:i/>
                <w:color w:val="000000"/>
                <w:sz w:val="18"/>
                <w:szCs w:val="18"/>
                <w:lang w:val="en-US" w:eastAsia="el-GR"/>
              </w:rPr>
              <w:t>ED: Eliciting dose,</w:t>
            </w:r>
            <w:r w:rsidRPr="007C0B89">
              <w:rPr>
                <w:rFonts w:ascii="Calibri" w:eastAsia="Times New Roman" w:hAnsi="Calibri" w:cs="Times New Roman"/>
                <w:i/>
                <w:color w:val="000000"/>
                <w:sz w:val="18"/>
                <w:szCs w:val="18"/>
                <w:lang w:val="en-US" w:eastAsia="el-GR"/>
              </w:rPr>
              <w:t xml:space="preserve"> </w:t>
            </w:r>
            <w:proofErr w:type="spellStart"/>
            <w:r w:rsidRPr="007C0B89">
              <w:rPr>
                <w:rFonts w:ascii="Calibri" w:eastAsia="Times New Roman" w:hAnsi="Calibri" w:cs="Times New Roman"/>
                <w:i/>
                <w:color w:val="000000"/>
                <w:sz w:val="18"/>
                <w:szCs w:val="18"/>
                <w:lang w:val="en-US" w:eastAsia="el-GR"/>
              </w:rPr>
              <w:t>mOIT</w:t>
            </w:r>
            <w:proofErr w:type="spellEnd"/>
            <w:r w:rsidRPr="007C0B89">
              <w:rPr>
                <w:rFonts w:ascii="Calibri" w:eastAsia="Times New Roman" w:hAnsi="Calibri" w:cs="Times New Roman"/>
                <w:i/>
                <w:color w:val="000000"/>
                <w:sz w:val="18"/>
                <w:szCs w:val="18"/>
                <w:lang w:val="en-US" w:eastAsia="el-GR"/>
              </w:rPr>
              <w:t xml:space="preserve">: multi-food-OIT, NS: Not specified, OFC: Oral food challenge, OIT: Oral Immunotherapy, </w:t>
            </w:r>
            <w:proofErr w:type="spellStart"/>
            <w:r w:rsidRPr="007C0B89">
              <w:rPr>
                <w:rFonts w:ascii="Calibri" w:eastAsia="Times New Roman" w:hAnsi="Calibri" w:cs="Times New Roman"/>
                <w:i/>
                <w:color w:val="000000"/>
                <w:sz w:val="18"/>
                <w:szCs w:val="18"/>
                <w:lang w:val="en-US" w:eastAsia="el-GR"/>
              </w:rPr>
              <w:t>oma</w:t>
            </w:r>
            <w:proofErr w:type="spellEnd"/>
            <w:r w:rsidRPr="007C0B89">
              <w:rPr>
                <w:rFonts w:ascii="Calibri" w:eastAsia="Times New Roman" w:hAnsi="Calibri" w:cs="Times New Roman"/>
                <w:i/>
                <w:color w:val="000000"/>
                <w:sz w:val="18"/>
                <w:szCs w:val="18"/>
                <w:lang w:val="en-US" w:eastAsia="el-GR"/>
              </w:rPr>
              <w:t>: omalizumab, POIT: peanut-OIT</w:t>
            </w:r>
            <w:r w:rsidR="00703801" w:rsidRPr="007C0B89">
              <w:rPr>
                <w:rFonts w:ascii="Calibri" w:eastAsia="Times New Roman" w:hAnsi="Calibri" w:cs="Times New Roman"/>
                <w:i/>
                <w:color w:val="000000"/>
                <w:sz w:val="18"/>
                <w:szCs w:val="18"/>
                <w:lang w:val="en-US" w:eastAsia="el-GR"/>
              </w:rPr>
              <w:t>,</w:t>
            </w:r>
            <w:r w:rsidRPr="007C0B89">
              <w:rPr>
                <w:rFonts w:ascii="Calibri" w:eastAsia="Times New Roman" w:hAnsi="Calibri" w:cs="Times New Roman"/>
                <w:i/>
                <w:color w:val="000000"/>
                <w:sz w:val="18"/>
                <w:szCs w:val="18"/>
                <w:lang w:val="en-US" w:eastAsia="el-GR"/>
              </w:rPr>
              <w:t xml:space="preserve"> QoL: Quality of life, </w:t>
            </w:r>
            <w:r w:rsidR="00A757FA" w:rsidRPr="007C0B89">
              <w:rPr>
                <w:rFonts w:ascii="Calibri" w:eastAsia="Times New Roman" w:hAnsi="Calibri" w:cs="Times New Roman"/>
                <w:i/>
                <w:color w:val="000000"/>
                <w:sz w:val="18"/>
                <w:szCs w:val="18"/>
                <w:lang w:val="en-US" w:eastAsia="el-GR"/>
              </w:rPr>
              <w:t xml:space="preserve">SCIT: Subcutaneous Immunotherapy, SLIT: Sublingual Immunotherapy </w:t>
            </w:r>
            <w:r w:rsidR="00F96610" w:rsidRPr="007C0B89">
              <w:rPr>
                <w:rFonts w:ascii="Calibri" w:eastAsia="Times New Roman" w:hAnsi="Calibri" w:cs="Times New Roman"/>
                <w:i/>
                <w:color w:val="000000"/>
                <w:sz w:val="18"/>
                <w:szCs w:val="18"/>
                <w:lang w:val="en-US" w:eastAsia="el-GR"/>
              </w:rPr>
              <w:t>SOC: Standard of care</w:t>
            </w:r>
            <w:r w:rsidR="00F36AC5" w:rsidRPr="007C0B89">
              <w:rPr>
                <w:rFonts w:ascii="Calibri" w:eastAsia="Times New Roman" w:hAnsi="Calibri" w:cs="Times New Roman"/>
                <w:i/>
                <w:color w:val="000000"/>
                <w:sz w:val="18"/>
                <w:szCs w:val="18"/>
                <w:lang w:val="en-US" w:eastAsia="el-GR"/>
              </w:rPr>
              <w:t xml:space="preserve">,, SPT: Skin prick test, </w:t>
            </w:r>
            <w:proofErr w:type="spellStart"/>
            <w:r w:rsidR="00F36AC5" w:rsidRPr="007C0B89">
              <w:rPr>
                <w:rFonts w:ascii="Calibri" w:eastAsia="Times New Roman" w:hAnsi="Calibri" w:cs="Times New Roman"/>
                <w:i/>
                <w:color w:val="000000"/>
                <w:sz w:val="18"/>
                <w:szCs w:val="18"/>
                <w:lang w:val="en-US" w:eastAsia="el-GR"/>
              </w:rPr>
              <w:t>tTN</w:t>
            </w:r>
            <w:proofErr w:type="spellEnd"/>
            <w:r w:rsidR="00F36AC5" w:rsidRPr="007C0B89">
              <w:rPr>
                <w:rFonts w:ascii="Calibri" w:eastAsia="Times New Roman" w:hAnsi="Calibri" w:cs="Times New Roman"/>
                <w:i/>
                <w:color w:val="000000"/>
                <w:sz w:val="18"/>
                <w:szCs w:val="18"/>
                <w:lang w:val="en-US" w:eastAsia="el-GR"/>
              </w:rPr>
              <w:t xml:space="preserve">: test tree nut </w:t>
            </w:r>
            <w:r w:rsidR="008E29A3" w:rsidRPr="007C0B89">
              <w:rPr>
                <w:rFonts w:ascii="Calibri" w:eastAsia="Times New Roman" w:hAnsi="Calibri" w:cs="Times New Roman"/>
                <w:i/>
                <w:color w:val="000000"/>
                <w:sz w:val="18"/>
                <w:szCs w:val="18"/>
                <w:lang w:val="en-US" w:eastAsia="el-GR"/>
              </w:rPr>
              <w:t>WOIT: Walnut-OIT</w:t>
            </w:r>
          </w:p>
        </w:tc>
      </w:tr>
    </w:tbl>
    <w:p w14:paraId="264DF3BD" w14:textId="77777777" w:rsidR="00220890" w:rsidRPr="00611FA7" w:rsidRDefault="00220890">
      <w:pPr>
        <w:rPr>
          <w:lang w:val="en-US"/>
        </w:rPr>
      </w:pPr>
    </w:p>
    <w:sectPr w:rsidR="00220890" w:rsidRPr="00611FA7" w:rsidSect="00611FA7">
      <w:headerReference w:type="default" r:id="rId6"/>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7F2F" w14:textId="77777777" w:rsidR="00744D25" w:rsidRDefault="00744D25" w:rsidP="00A2595E">
      <w:pPr>
        <w:spacing w:after="0" w:line="240" w:lineRule="auto"/>
      </w:pPr>
      <w:r>
        <w:separator/>
      </w:r>
    </w:p>
  </w:endnote>
  <w:endnote w:type="continuationSeparator" w:id="0">
    <w:p w14:paraId="1E60DEAE" w14:textId="77777777" w:rsidR="00744D25" w:rsidRDefault="00744D25" w:rsidP="00A25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86981" w14:textId="77777777" w:rsidR="00744D25" w:rsidRDefault="00744D25" w:rsidP="00A2595E">
      <w:pPr>
        <w:spacing w:after="0" w:line="240" w:lineRule="auto"/>
      </w:pPr>
      <w:r>
        <w:separator/>
      </w:r>
    </w:p>
  </w:footnote>
  <w:footnote w:type="continuationSeparator" w:id="0">
    <w:p w14:paraId="1C4A1B81" w14:textId="77777777" w:rsidR="00744D25" w:rsidRDefault="00744D25" w:rsidP="00A25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087892"/>
      <w:docPartObj>
        <w:docPartGallery w:val="Page Numbers (Top of Page)"/>
        <w:docPartUnique/>
      </w:docPartObj>
    </w:sdtPr>
    <w:sdtContent>
      <w:p w14:paraId="6F6239D9" w14:textId="3A5B6AAC" w:rsidR="00A2595E" w:rsidRDefault="00A2595E">
        <w:pPr>
          <w:pStyle w:val="a5"/>
          <w:jc w:val="right"/>
        </w:pPr>
        <w:r>
          <w:fldChar w:fldCharType="begin"/>
        </w:r>
        <w:r>
          <w:instrText>PAGE   \* MERGEFORMAT</w:instrText>
        </w:r>
        <w:r>
          <w:fldChar w:fldCharType="separate"/>
        </w:r>
        <w:r>
          <w:t>2</w:t>
        </w:r>
        <w:r>
          <w:fldChar w:fldCharType="end"/>
        </w:r>
      </w:p>
    </w:sdtContent>
  </w:sdt>
  <w:p w14:paraId="0EAF38A8" w14:textId="77777777" w:rsidR="00A2595E" w:rsidRDefault="00A2595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LAwMTQ1NrGwMDS0NDFX0lEKTi0uzszPAykwNKkFAEf7gOktAAAA"/>
  </w:docVars>
  <w:rsids>
    <w:rsidRoot w:val="003C410D"/>
    <w:rsid w:val="0000286E"/>
    <w:rsid w:val="00012915"/>
    <w:rsid w:val="00022D76"/>
    <w:rsid w:val="000320E2"/>
    <w:rsid w:val="00035140"/>
    <w:rsid w:val="000369D5"/>
    <w:rsid w:val="0008003F"/>
    <w:rsid w:val="000B07D8"/>
    <w:rsid w:val="0019452F"/>
    <w:rsid w:val="001C46C5"/>
    <w:rsid w:val="00220890"/>
    <w:rsid w:val="00250439"/>
    <w:rsid w:val="00294CC8"/>
    <w:rsid w:val="00295674"/>
    <w:rsid w:val="003356E7"/>
    <w:rsid w:val="0035429F"/>
    <w:rsid w:val="0038068D"/>
    <w:rsid w:val="003A1661"/>
    <w:rsid w:val="003C410D"/>
    <w:rsid w:val="003D1830"/>
    <w:rsid w:val="003E2811"/>
    <w:rsid w:val="00460E52"/>
    <w:rsid w:val="004777E6"/>
    <w:rsid w:val="004B6BC0"/>
    <w:rsid w:val="004D672A"/>
    <w:rsid w:val="004E4915"/>
    <w:rsid w:val="00507D99"/>
    <w:rsid w:val="005209F1"/>
    <w:rsid w:val="00587C26"/>
    <w:rsid w:val="00593B00"/>
    <w:rsid w:val="005B50FE"/>
    <w:rsid w:val="005D2B59"/>
    <w:rsid w:val="005F4BFD"/>
    <w:rsid w:val="00604DD8"/>
    <w:rsid w:val="00611FA7"/>
    <w:rsid w:val="00664C98"/>
    <w:rsid w:val="00682ADA"/>
    <w:rsid w:val="006B1BC7"/>
    <w:rsid w:val="006F154D"/>
    <w:rsid w:val="00703801"/>
    <w:rsid w:val="00723588"/>
    <w:rsid w:val="00744D25"/>
    <w:rsid w:val="0074663F"/>
    <w:rsid w:val="00786443"/>
    <w:rsid w:val="007C0B89"/>
    <w:rsid w:val="007D0A7E"/>
    <w:rsid w:val="00815157"/>
    <w:rsid w:val="00866FE5"/>
    <w:rsid w:val="00895C15"/>
    <w:rsid w:val="008B48B4"/>
    <w:rsid w:val="008D76A3"/>
    <w:rsid w:val="008E0F34"/>
    <w:rsid w:val="008E29A3"/>
    <w:rsid w:val="0090228F"/>
    <w:rsid w:val="00902B2E"/>
    <w:rsid w:val="00950D11"/>
    <w:rsid w:val="00963517"/>
    <w:rsid w:val="00981D55"/>
    <w:rsid w:val="009964C2"/>
    <w:rsid w:val="009A341E"/>
    <w:rsid w:val="009C1134"/>
    <w:rsid w:val="009E2638"/>
    <w:rsid w:val="00A2115D"/>
    <w:rsid w:val="00A2595E"/>
    <w:rsid w:val="00A757FA"/>
    <w:rsid w:val="00A96FD0"/>
    <w:rsid w:val="00AF4388"/>
    <w:rsid w:val="00AF62F8"/>
    <w:rsid w:val="00B103EB"/>
    <w:rsid w:val="00B21284"/>
    <w:rsid w:val="00B51A14"/>
    <w:rsid w:val="00B74D98"/>
    <w:rsid w:val="00BA7289"/>
    <w:rsid w:val="00C3208E"/>
    <w:rsid w:val="00C3424D"/>
    <w:rsid w:val="00C44F94"/>
    <w:rsid w:val="00C85D85"/>
    <w:rsid w:val="00CD1ADA"/>
    <w:rsid w:val="00CD3B46"/>
    <w:rsid w:val="00D83CA1"/>
    <w:rsid w:val="00DA45ED"/>
    <w:rsid w:val="00DB6BFC"/>
    <w:rsid w:val="00E2723B"/>
    <w:rsid w:val="00E458FB"/>
    <w:rsid w:val="00E61EEE"/>
    <w:rsid w:val="00E82BDD"/>
    <w:rsid w:val="00E90E8F"/>
    <w:rsid w:val="00ED059C"/>
    <w:rsid w:val="00F36AC5"/>
    <w:rsid w:val="00F60DF4"/>
    <w:rsid w:val="00F65D2D"/>
    <w:rsid w:val="00F95093"/>
    <w:rsid w:val="00F96610"/>
    <w:rsid w:val="00FA3C3C"/>
    <w:rsid w:val="00FC2D22"/>
    <w:rsid w:val="00FD300D"/>
    <w:rsid w:val="00FE0EA3"/>
    <w:rsid w:val="0487491D"/>
    <w:rsid w:val="1CE8F0D5"/>
    <w:rsid w:val="22C4E185"/>
    <w:rsid w:val="755C63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FE626"/>
  <w15:docId w15:val="{A909F681-729E-4665-A556-874A12EC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11FA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11FA7"/>
    <w:rPr>
      <w:rFonts w:ascii="Tahoma" w:hAnsi="Tahoma" w:cs="Tahoma"/>
      <w:sz w:val="16"/>
      <w:szCs w:val="16"/>
    </w:rPr>
  </w:style>
  <w:style w:type="paragraph" w:styleId="a4">
    <w:name w:val="Revision"/>
    <w:hidden/>
    <w:uiPriority w:val="99"/>
    <w:semiHidden/>
    <w:rsid w:val="005B50FE"/>
    <w:pPr>
      <w:spacing w:after="0" w:line="240" w:lineRule="auto"/>
    </w:pPr>
  </w:style>
  <w:style w:type="paragraph" w:styleId="a5">
    <w:name w:val="header"/>
    <w:basedOn w:val="a"/>
    <w:link w:val="Char0"/>
    <w:uiPriority w:val="99"/>
    <w:unhideWhenUsed/>
    <w:rsid w:val="00A2595E"/>
    <w:pPr>
      <w:tabs>
        <w:tab w:val="center" w:pos="4153"/>
        <w:tab w:val="right" w:pos="8306"/>
      </w:tabs>
      <w:spacing w:after="0" w:line="240" w:lineRule="auto"/>
    </w:pPr>
  </w:style>
  <w:style w:type="character" w:customStyle="1" w:styleId="Char0">
    <w:name w:val="Κεφαλίδα Char"/>
    <w:basedOn w:val="a0"/>
    <w:link w:val="a5"/>
    <w:uiPriority w:val="99"/>
    <w:rsid w:val="00A2595E"/>
  </w:style>
  <w:style w:type="paragraph" w:styleId="a6">
    <w:name w:val="footer"/>
    <w:basedOn w:val="a"/>
    <w:link w:val="Char1"/>
    <w:uiPriority w:val="99"/>
    <w:unhideWhenUsed/>
    <w:rsid w:val="00A2595E"/>
    <w:pPr>
      <w:tabs>
        <w:tab w:val="center" w:pos="4153"/>
        <w:tab w:val="right" w:pos="8306"/>
      </w:tabs>
      <w:spacing w:after="0" w:line="240" w:lineRule="auto"/>
    </w:pPr>
  </w:style>
  <w:style w:type="character" w:customStyle="1" w:styleId="Char1">
    <w:name w:val="Υποσέλιδο Char"/>
    <w:basedOn w:val="a0"/>
    <w:link w:val="a6"/>
    <w:uiPriority w:val="99"/>
    <w:rsid w:val="00A25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99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3921</Words>
  <Characters>21176</Characters>
  <Application>Microsoft Office Word</Application>
  <DocSecurity>0</DocSecurity>
  <Lines>176</Lines>
  <Paragraphs>50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Pasioti</dc:creator>
  <cp:lastModifiedBy>Maria Pasioti</cp:lastModifiedBy>
  <cp:revision>4</cp:revision>
  <dcterms:created xsi:type="dcterms:W3CDTF">2023-07-31T15:37:00Z</dcterms:created>
  <dcterms:modified xsi:type="dcterms:W3CDTF">2023-10-02T14:00:00Z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f2645ffb53aa576a9edbfb004692a08dec8716c47b6928250463d8e48bc76009</vt:lpwstr>
  </property>
</Properties>
</file>