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58" w:type="dxa"/>
        <w:tblInd w:w="-369" w:type="dxa"/>
        <w:tblLayout w:type="fixed"/>
        <w:tblCellMar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680"/>
        <w:gridCol w:w="850"/>
        <w:gridCol w:w="1020"/>
        <w:gridCol w:w="624"/>
        <w:gridCol w:w="510"/>
        <w:gridCol w:w="283"/>
        <w:gridCol w:w="907"/>
        <w:gridCol w:w="794"/>
        <w:gridCol w:w="907"/>
        <w:gridCol w:w="850"/>
        <w:gridCol w:w="624"/>
        <w:gridCol w:w="1531"/>
        <w:gridCol w:w="2948"/>
        <w:gridCol w:w="794"/>
        <w:gridCol w:w="1984"/>
      </w:tblGrid>
      <w:tr w:rsidR="0096099C" w:rsidRPr="00F8586A" w14:paraId="727D3B33" w14:textId="77777777" w:rsidTr="44096CB9">
        <w:trPr>
          <w:cantSplit/>
          <w:trHeight w:val="267"/>
        </w:trPr>
        <w:tc>
          <w:tcPr>
            <w:tcW w:w="16158" w:type="dxa"/>
            <w:gridSpan w:val="16"/>
            <w:shd w:val="clear" w:color="auto" w:fill="auto"/>
          </w:tcPr>
          <w:p w14:paraId="4237D1ED" w14:textId="277C50EB" w:rsidR="0096099C" w:rsidRPr="00C42080" w:rsidRDefault="0096099C" w:rsidP="0096099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6099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Table </w:t>
            </w:r>
            <w:r w:rsidR="00092B4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2</w:t>
            </w:r>
            <w:r w:rsidRPr="0096099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. Specific characteristics of studies with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Oral Immunotherapy</w:t>
            </w:r>
            <w:r w:rsidR="00C4208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_</w:t>
            </w:r>
            <w:r w:rsidR="00C42080" w:rsidRPr="007F248C">
              <w:rPr>
                <w:lang w:val="en-US"/>
              </w:rPr>
              <w:t xml:space="preserve"> </w:t>
            </w:r>
            <w:r w:rsidR="00C42080" w:rsidRPr="00C4208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The </w:t>
            </w:r>
            <w:r w:rsidR="00C4208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pre-specified</w:t>
            </w:r>
            <w:r w:rsidR="00C42080" w:rsidRPr="00C4208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outcomes of the review (desensitization: the change in the threshold of the tree nut in question required to elicit an allergic reaction while on treatment, and sustained unresponsiveness: the ability to consume foods containing the tree nut in question after discontinuing treatment) are marked in bold.</w:t>
            </w:r>
          </w:p>
        </w:tc>
      </w:tr>
      <w:tr w:rsidR="00C914DC" w:rsidRPr="00C914DC" w14:paraId="16939B48" w14:textId="77777777" w:rsidTr="44096CB9">
        <w:trPr>
          <w:cantSplit/>
          <w:trHeight w:val="1417"/>
        </w:trPr>
        <w:tc>
          <w:tcPr>
            <w:tcW w:w="852" w:type="dxa"/>
            <w:shd w:val="clear" w:color="auto" w:fill="8497B0"/>
            <w:textDirection w:val="btLr"/>
            <w:hideMark/>
          </w:tcPr>
          <w:p w14:paraId="264D179A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Study ID</w:t>
            </w:r>
          </w:p>
        </w:tc>
        <w:tc>
          <w:tcPr>
            <w:tcW w:w="680" w:type="dxa"/>
            <w:shd w:val="clear" w:color="auto" w:fill="8497B0"/>
            <w:textDirection w:val="btLr"/>
            <w:hideMark/>
          </w:tcPr>
          <w:p w14:paraId="768F2DBB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TreeNut</w:t>
            </w:r>
            <w:proofErr w:type="spellEnd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and No of subjects</w:t>
            </w:r>
          </w:p>
        </w:tc>
        <w:tc>
          <w:tcPr>
            <w:tcW w:w="850" w:type="dxa"/>
            <w:shd w:val="clear" w:color="auto" w:fill="8497B0"/>
            <w:textDirection w:val="btLr"/>
            <w:hideMark/>
          </w:tcPr>
          <w:p w14:paraId="6DDA6760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Inclusion</w:t>
            </w:r>
            <w:proofErr w:type="spellEnd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Criteria</w:t>
            </w:r>
          </w:p>
        </w:tc>
        <w:tc>
          <w:tcPr>
            <w:tcW w:w="1020" w:type="dxa"/>
            <w:shd w:val="clear" w:color="auto" w:fill="8497B0"/>
            <w:textDirection w:val="btLr"/>
            <w:hideMark/>
          </w:tcPr>
          <w:p w14:paraId="6EBCC53C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Exclusion</w:t>
            </w:r>
            <w:proofErr w:type="spellEnd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Criteria</w:t>
            </w:r>
          </w:p>
        </w:tc>
        <w:tc>
          <w:tcPr>
            <w:tcW w:w="624" w:type="dxa"/>
            <w:shd w:val="clear" w:color="auto" w:fill="8497B0"/>
            <w:textDirection w:val="btLr"/>
            <w:hideMark/>
          </w:tcPr>
          <w:p w14:paraId="5AE77646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Comparator</w:t>
            </w:r>
            <w:proofErr w:type="spellEnd"/>
          </w:p>
        </w:tc>
        <w:tc>
          <w:tcPr>
            <w:tcW w:w="510" w:type="dxa"/>
            <w:shd w:val="clear" w:color="auto" w:fill="8497B0"/>
            <w:textDirection w:val="btLr"/>
            <w:hideMark/>
          </w:tcPr>
          <w:p w14:paraId="7CB12F6C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Randomization</w:t>
            </w:r>
            <w:proofErr w:type="spellEnd"/>
          </w:p>
        </w:tc>
        <w:tc>
          <w:tcPr>
            <w:tcW w:w="283" w:type="dxa"/>
            <w:shd w:val="clear" w:color="auto" w:fill="8497B0"/>
            <w:textDirection w:val="btLr"/>
            <w:hideMark/>
          </w:tcPr>
          <w:p w14:paraId="347533D4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OFC at baseline</w:t>
            </w:r>
          </w:p>
        </w:tc>
        <w:tc>
          <w:tcPr>
            <w:tcW w:w="907" w:type="dxa"/>
            <w:shd w:val="clear" w:color="auto" w:fill="8497B0"/>
            <w:textDirection w:val="btLr"/>
            <w:hideMark/>
          </w:tcPr>
          <w:p w14:paraId="59DFBE21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Initial</w:t>
            </w:r>
            <w:proofErr w:type="spellEnd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Escalation</w:t>
            </w:r>
            <w:proofErr w:type="spellEnd"/>
          </w:p>
        </w:tc>
        <w:tc>
          <w:tcPr>
            <w:tcW w:w="794" w:type="dxa"/>
            <w:shd w:val="clear" w:color="auto" w:fill="8497B0"/>
            <w:textDirection w:val="btLr"/>
            <w:hideMark/>
          </w:tcPr>
          <w:p w14:paraId="778DF03F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Build-up phase</w:t>
            </w:r>
          </w:p>
        </w:tc>
        <w:tc>
          <w:tcPr>
            <w:tcW w:w="907" w:type="dxa"/>
            <w:shd w:val="clear" w:color="auto" w:fill="8497B0"/>
            <w:textDirection w:val="btLr"/>
            <w:hideMark/>
          </w:tcPr>
          <w:p w14:paraId="1B468F2F" w14:textId="236979DA" w:rsidR="0062079D" w:rsidRPr="007F248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Maintenance</w:t>
            </w:r>
            <w:r w:rsidR="00C05746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(mg of protein)</w:t>
            </w:r>
          </w:p>
        </w:tc>
        <w:tc>
          <w:tcPr>
            <w:tcW w:w="850" w:type="dxa"/>
            <w:shd w:val="clear" w:color="auto" w:fill="8497B0"/>
            <w:textDirection w:val="btLr"/>
            <w:hideMark/>
          </w:tcPr>
          <w:p w14:paraId="7CEFBFEF" w14:textId="01906629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Time on </w:t>
            </w:r>
            <w:r w:rsidR="000A2D09"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Intervention</w:t>
            </w:r>
          </w:p>
        </w:tc>
        <w:tc>
          <w:tcPr>
            <w:tcW w:w="624" w:type="dxa"/>
            <w:shd w:val="clear" w:color="auto" w:fill="8497B0"/>
            <w:textDirection w:val="btLr"/>
            <w:hideMark/>
          </w:tcPr>
          <w:p w14:paraId="14A32711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Discontinued</w:t>
            </w:r>
          </w:p>
        </w:tc>
        <w:tc>
          <w:tcPr>
            <w:tcW w:w="1531" w:type="dxa"/>
            <w:shd w:val="clear" w:color="auto" w:fill="8497B0"/>
            <w:textDirection w:val="btLr"/>
            <w:hideMark/>
          </w:tcPr>
          <w:p w14:paraId="521E78BD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Results Primary outcome</w:t>
            </w:r>
          </w:p>
        </w:tc>
        <w:tc>
          <w:tcPr>
            <w:tcW w:w="2948" w:type="dxa"/>
            <w:shd w:val="clear" w:color="auto" w:fill="8497B0"/>
            <w:textDirection w:val="btLr"/>
            <w:hideMark/>
          </w:tcPr>
          <w:p w14:paraId="760AC206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Results </w:t>
            </w:r>
            <w:proofErr w:type="spellStart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Secondary</w:t>
            </w:r>
            <w:proofErr w:type="spellEnd"/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outcomes</w:t>
            </w:r>
          </w:p>
        </w:tc>
        <w:tc>
          <w:tcPr>
            <w:tcW w:w="794" w:type="dxa"/>
            <w:shd w:val="clear" w:color="auto" w:fill="8497B0"/>
            <w:textDirection w:val="btLr"/>
            <w:hideMark/>
          </w:tcPr>
          <w:p w14:paraId="15C25871" w14:textId="6F64F278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Doses administered</w:t>
            </w:r>
          </w:p>
        </w:tc>
        <w:tc>
          <w:tcPr>
            <w:tcW w:w="1984" w:type="dxa"/>
            <w:shd w:val="clear" w:color="auto" w:fill="8497B0"/>
            <w:textDirection w:val="btLr"/>
            <w:hideMark/>
          </w:tcPr>
          <w:p w14:paraId="5BC7AF0E" w14:textId="77777777" w:rsidR="0062079D" w:rsidRPr="00C914DC" w:rsidRDefault="0062079D" w:rsidP="0096099C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Adverse Reactions</w:t>
            </w:r>
          </w:p>
        </w:tc>
      </w:tr>
      <w:tr w:rsidR="00257C5B" w:rsidRPr="00C914DC" w14:paraId="38755E66" w14:textId="77777777" w:rsidTr="44096CB9">
        <w:trPr>
          <w:trHeight w:val="231"/>
        </w:trPr>
        <w:tc>
          <w:tcPr>
            <w:tcW w:w="16139" w:type="dxa"/>
            <w:gridSpan w:val="16"/>
            <w:shd w:val="clear" w:color="auto" w:fill="ACB9CA"/>
            <w:hideMark/>
          </w:tcPr>
          <w:p w14:paraId="3E0DF4CE" w14:textId="01AFC64B" w:rsidR="00257C5B" w:rsidRPr="00C914DC" w:rsidRDefault="005F59DA" w:rsidP="005F59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Single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t</w:t>
            </w:r>
            <w:proofErr w:type="spellStart"/>
            <w:r w:rsidR="00257C5B"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ree</w:t>
            </w:r>
            <w:proofErr w:type="spellEnd"/>
            <w:r w:rsidR="00257C5B"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n</w:t>
            </w:r>
            <w:proofErr w:type="spellStart"/>
            <w:r w:rsidR="00257C5B"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ut</w:t>
            </w:r>
            <w:proofErr w:type="spellEnd"/>
            <w:r w:rsidR="00257C5B"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OIT</w:t>
            </w:r>
          </w:p>
        </w:tc>
      </w:tr>
      <w:tr w:rsidR="00C914DC" w:rsidRPr="00380DEA" w14:paraId="627B7666" w14:textId="77777777" w:rsidTr="44096CB9">
        <w:trPr>
          <w:trHeight w:val="3912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3BE935E5" w14:textId="77777777" w:rsidR="0062079D" w:rsidRPr="00C31291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31291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Elizur et al.2019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3418686B" w14:textId="77777777" w:rsidR="0044231D" w:rsidRPr="00C31291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31291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="0044231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31291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73 Active:</w:t>
            </w:r>
          </w:p>
          <w:p w14:paraId="7CC5673B" w14:textId="16E6ECD5" w:rsidR="0062079D" w:rsidRPr="00C31291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31291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55 Control:18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006B5290" w14:textId="7A9A0719" w:rsidR="003A77D8" w:rsidRPr="00C914DC" w:rsidRDefault="0044231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SPT&gt;3</w:t>
            </w:r>
            <w:r w:rsidR="000A200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mm</w:t>
            </w:r>
            <w:r w:rsidR="003A77D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≥0.35 kUA/L</w:t>
            </w:r>
            <w:r w:rsidR="003A77D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3C1648DB" w14:textId="75CB1FCA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Positive OFC or history </w:t>
            </w:r>
            <w:r w:rsidR="0044231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</w:t>
            </w:r>
            <w:r w:rsidR="000A200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reaction in the past year.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3DF5CE4E" w14:textId="1D79015E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Uncontrolled </w:t>
            </w:r>
            <w:r w:rsidR="000A200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asthma, Contraindication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 </w:t>
            </w:r>
            <w:r w:rsidR="000A200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receiving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adrenaline.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19F84A86" w14:textId="13663090" w:rsidR="0062079D" w:rsidRPr="00C914DC" w:rsidRDefault="000A200E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SOC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654FB565" w14:textId="2E7A2618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  <w:r w:rsidR="000A200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3DEEBECE" w14:textId="1DA8E8BF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1B59CCCD" w14:textId="71F601AB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4-d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 establish the highest tolerated dose (from 0.1 to 300mg of 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protein.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5F1282B4" w14:textId="2D9A8CDB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Monthly up to 4-fold escalations in clinic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until 4000mg 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protein.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642D1000" w14:textId="39629A22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1200mg 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479F0544" w14:textId="7A3E063F" w:rsidR="00B13F64" w:rsidRPr="00C914DC" w:rsidRDefault="00B13F64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</w:t>
            </w:r>
            <w:r w:rsidR="00C42080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OIT:</w:t>
            </w:r>
          </w:p>
          <w:p w14:paraId="3985AC51" w14:textId="77777777" w:rsidR="00B13F64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5.9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</w:p>
          <w:p w14:paraId="7EFF806F" w14:textId="3A9D4F1B" w:rsidR="00B13F64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(3.8–8.9), 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(2)</w:t>
            </w:r>
            <w:r w:rsidR="00C42080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 7.1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</w:p>
          <w:p w14:paraId="2FCBBD52" w14:textId="7BAEE120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(3.8–9.2)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362ACD27" w14:textId="0EB4D08C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230D2D42" w14:textId="1B30DBFF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49/55 (89%) participants in OIT</w:t>
            </w:r>
            <w:r w:rsidR="00B13F64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were </w:t>
            </w:r>
            <w:r w:rsidR="00B13F64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desensitized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to 4000mg of </w:t>
            </w:r>
            <w:r w:rsidR="00B13F64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WN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protein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vs 0/18 (0%) participants in control</w:t>
            </w:r>
            <w:r w:rsidR="00B13F6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(OR: 9.2, 95% CI: 4.3–19.5; p&lt;0·0001).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4B8DF985" w14:textId="2E114241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</w:t>
            </w:r>
            <w:r w:rsidR="00C42080" w:rsidRPr="007F248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</w:t>
            </w:r>
            <w:r w:rsidR="006847E7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6847E7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increased ≥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10 times their single highest tolerated dose or were </w:t>
            </w:r>
            <w:r w:rsidR="006847E7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desensitized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to ≥1000 mg but &lt;4000 mg).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(2) 45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/45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followed up for </w:t>
            </w:r>
            <w:r w:rsidR="00F019D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6m. on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1200mg 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maintenance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passed OFC to 4000mg 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WN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protein. (3)(a) co-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desensitized: 46/46(100%)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(b)co-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 desensitized: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8/15 (53%)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responded to treatment: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6/15 (40%)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(c)</w:t>
            </w:r>
            <w:r w:rsidR="006847E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co-CS desensitized or responded to treatment: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5/19 (26%). (4)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(a)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 ↓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SPT,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WBAT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/sIgG4, ↑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IgG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4. (b)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Control: </w:t>
            </w:r>
            <w:r w:rsidR="00F019D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non-significant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change. (6) Quality of life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52 patients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: (a) 34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desensitized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 all tested nuts:  improve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emotional impact (from 4.0 to 2.1; p=0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001), food anxiety (from 4.0 to 2.0; p=0·001), social and dietary limitation (from 3.0 to 1.0; p&lt;0·0001) and total score (from 3.3 to 2.0; p&lt;0·0001) (b) 18 allergic to at least one nut: statistically (not clinically) significant improvement only for the social and dietary limitation(from 3.0 to 2.6; p=0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034).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5BF45350" w14:textId="79A47072" w:rsidR="00924583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Hospital  2432, </w:t>
            </w:r>
          </w:p>
          <w:p w14:paraId="20AA342B" w14:textId="5C3B5FBB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Home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10605</w:t>
            </w:r>
            <w:r w:rsidR="00F019D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1A2D2F18" w14:textId="77777777" w:rsidR="0047256D" w:rsidRPr="00C42080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1) Per patient: </w:t>
            </w:r>
          </w:p>
          <w:p w14:paraId="58E18B64" w14:textId="77777777" w:rsidR="0047256D" w:rsidRPr="00C42080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(a) In hospital:</w:t>
            </w:r>
          </w:p>
          <w:p w14:paraId="373BE33D" w14:textId="77777777" w:rsidR="0047256D" w:rsidRPr="00C42080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47/</w:t>
            </w:r>
            <w:r w:rsidR="0047256D" w:rsidRP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55(85</w:t>
            </w:r>
            <w:r w:rsidRP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%),  </w:t>
            </w:r>
          </w:p>
          <w:p w14:paraId="74DDFAEF" w14:textId="50D284C2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grade 1: 35(64%), grade 2:27 (49%), epinephrine use: 11(20%), </w:t>
            </w:r>
          </w:p>
          <w:p w14:paraId="2257FD8D" w14:textId="77777777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(b) At home: 40/55(73%), epinephrine use: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8(15%)</w:t>
            </w:r>
          </w:p>
          <w:p w14:paraId="10E79074" w14:textId="77777777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(2) Per dose:</w:t>
            </w:r>
          </w:p>
          <w:p w14:paraId="269C9B36" w14:textId="77777777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(a) In hospital: 109/2432 (4%), </w:t>
            </w:r>
          </w:p>
          <w:p w14:paraId="3147317B" w14:textId="2757F5C4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grade 1:63 (3%), grade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46(2%), epinephrine use: 12 (&lt;1%), </w:t>
            </w:r>
          </w:p>
          <w:p w14:paraId="6A0F7E0A" w14:textId="77777777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(b) At home: 244/10605 (2%), epinephrine use: 9 (&lt;1%) </w:t>
            </w:r>
          </w:p>
          <w:p w14:paraId="63D48F4D" w14:textId="77777777" w:rsidR="0047256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(3)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EoE-like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symptoms: 3/55.</w:t>
            </w:r>
          </w:p>
          <w:p w14:paraId="3CA008B9" w14:textId="1698C01A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(4) 6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m.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follow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-up: 11/45 patients (24%), epinephrine use:1 (2%)</w:t>
            </w:r>
          </w:p>
        </w:tc>
      </w:tr>
      <w:tr w:rsidR="009C0F08" w:rsidRPr="00C914DC" w14:paraId="3EEDEA0B" w14:textId="77777777" w:rsidTr="44096CB9">
        <w:trPr>
          <w:trHeight w:val="416"/>
        </w:trPr>
        <w:tc>
          <w:tcPr>
            <w:tcW w:w="852" w:type="dxa"/>
            <w:shd w:val="clear" w:color="auto" w:fill="8DB3E2" w:themeFill="text2" w:themeFillTint="66"/>
            <w:hideMark/>
          </w:tcPr>
          <w:p w14:paraId="357A150D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Sasamoto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2021</w:t>
            </w:r>
          </w:p>
        </w:tc>
        <w:tc>
          <w:tcPr>
            <w:tcW w:w="680" w:type="dxa"/>
            <w:shd w:val="clear" w:color="auto" w:fill="8DB3E2" w:themeFill="text2" w:themeFillTint="66"/>
            <w:hideMark/>
          </w:tcPr>
          <w:p w14:paraId="27866014" w14:textId="0FFF0B5E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W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:3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69209643" w14:textId="61059838" w:rsidR="0062079D" w:rsidRPr="00C914DC" w:rsidRDefault="0047256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Children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&gt;5y.o, Positive OFC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to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75 mg walnut protein</w:t>
            </w:r>
          </w:p>
        </w:tc>
        <w:tc>
          <w:tcPr>
            <w:tcW w:w="1020" w:type="dxa"/>
            <w:shd w:val="clear" w:color="auto" w:fill="8DB3E2" w:themeFill="text2" w:themeFillTint="66"/>
            <w:hideMark/>
          </w:tcPr>
          <w:p w14:paraId="22316E9E" w14:textId="3DCC4E40" w:rsidR="0062079D" w:rsidRPr="00C914DC" w:rsidRDefault="0047256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5D6D7AEA" w14:textId="48D74538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B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SL</w:t>
            </w:r>
          </w:p>
        </w:tc>
        <w:tc>
          <w:tcPr>
            <w:tcW w:w="510" w:type="dxa"/>
            <w:shd w:val="clear" w:color="auto" w:fill="8DB3E2" w:themeFill="text2" w:themeFillTint="66"/>
            <w:hideMark/>
          </w:tcPr>
          <w:p w14:paraId="4C1142D7" w14:textId="05874EE3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8DB3E2" w:themeFill="text2" w:themeFillTint="66"/>
            <w:hideMark/>
          </w:tcPr>
          <w:p w14:paraId="4D3E1828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24C10410" w14:textId="72B3D04C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3-d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OFC in 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ospital to establish the highest tolerated dose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1BC59861" w14:textId="38360530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~50% every month, until 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5mg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06738E6B" w14:textId="29D82B99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75mg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1A2B55CC" w14:textId="73A0F195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At least 12</w:t>
            </w:r>
            <w:r w:rsidR="0047256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0B872C0F" w14:textId="36BE3699" w:rsidR="0062079D" w:rsidRPr="00C914DC" w:rsidRDefault="0047256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8DB3E2" w:themeFill="text2" w:themeFillTint="66"/>
            <w:hideMark/>
          </w:tcPr>
          <w:p w14:paraId="5BB1F0B9" w14:textId="728C2D6B" w:rsidR="0062079D" w:rsidRPr="00C914DC" w:rsidRDefault="0062079D" w:rsidP="004334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Children 1, 2, and 3 received a home starting dose at 30, 18, and 18mg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2) 75mg was achieved after 3, 4, and 3 m</w:t>
            </w:r>
            <w:r w:rsidR="006C08CB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(3)</w:t>
            </w:r>
            <w:r w:rsidR="005341EE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3964F7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2-weeks </w:t>
            </w:r>
            <w:r w:rsidR="005341EE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SU to 450 mg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achieved at 24, 14 and 12 m</w:t>
            </w:r>
            <w:r w:rsidR="006C08CB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48" w:type="dxa"/>
            <w:shd w:val="clear" w:color="auto" w:fill="8DB3E2" w:themeFill="text2" w:themeFillTint="66"/>
            <w:hideMark/>
          </w:tcPr>
          <w:p w14:paraId="546CC8AA" w14:textId="2E1627AF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and Jug r 1 sIgEs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increased after 1 m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and decreased gradually until 12 m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(2) W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sIgG4 tended to increase after starting OIT in all cases.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41E27ED2" w14:textId="77777777" w:rsidR="006C08CB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Child 1: </w:t>
            </w:r>
          </w:p>
          <w:p w14:paraId="5D5D36BA" w14:textId="6CD47E6B" w:rsidR="006C08CB" w:rsidRPr="00C914DC" w:rsidRDefault="006C08CB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Home: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584</w:t>
            </w:r>
          </w:p>
          <w:p w14:paraId="4D7E37F9" w14:textId="6CD2CFAB" w:rsidR="006C08CB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Child 2:</w:t>
            </w:r>
          </w:p>
          <w:p w14:paraId="27F9AE43" w14:textId="2F02C7E2" w:rsidR="006C08CB" w:rsidRPr="00C914DC" w:rsidRDefault="006C08CB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Home: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645</w:t>
            </w:r>
          </w:p>
          <w:p w14:paraId="2C553F09" w14:textId="715D6BB3" w:rsidR="006C08CB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Child 3:</w:t>
            </w:r>
          </w:p>
          <w:p w14:paraId="6C5B0B54" w14:textId="18BAEA11" w:rsidR="0062079D" w:rsidRPr="00C914DC" w:rsidRDefault="006C08CB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Home: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209</w:t>
            </w:r>
          </w:p>
        </w:tc>
        <w:tc>
          <w:tcPr>
            <w:tcW w:w="1984" w:type="dxa"/>
            <w:shd w:val="clear" w:color="auto" w:fill="8DB3E2" w:themeFill="text2" w:themeFillTint="66"/>
            <w:hideMark/>
          </w:tcPr>
          <w:p w14:paraId="13FE39CF" w14:textId="1D43C522" w:rsidR="004C0E40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Child 1: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 mild</w:t>
            </w:r>
            <w:r w:rsidR="005E37B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H</w:t>
            </w:r>
            <w:r w:rsidR="006C08CB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ome: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14</w:t>
            </w:r>
            <w:r w:rsidR="005E37B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 mild,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 moderate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anaphylactic),</w:t>
            </w:r>
          </w:p>
          <w:p w14:paraId="2F00A1FA" w14:textId="480F77E0" w:rsidR="004C0E40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Child 2: 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Hospital: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 mild, 1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moderate</w:t>
            </w:r>
            <w:r w:rsidR="005E37B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Home: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 mild,</w:t>
            </w:r>
          </w:p>
          <w:p w14:paraId="7BCE9318" w14:textId="29E1A234" w:rsidR="0062079D" w:rsidRPr="00C914DC" w:rsidRDefault="0062079D" w:rsidP="00BC1A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Child 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3: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</w:t>
            </w:r>
            <w:proofErr w:type="gramEnd"/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 mild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Home: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18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mild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5341E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dverse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reaction rate per intake at home: 3.1%. Epinephrine</w:t>
            </w:r>
            <w:r w:rsidR="004C0E4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="005E37B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0.</w:t>
            </w:r>
          </w:p>
        </w:tc>
      </w:tr>
      <w:tr w:rsidR="00C914DC" w:rsidRPr="00F8586A" w14:paraId="045680AD" w14:textId="77777777" w:rsidTr="44096CB9">
        <w:trPr>
          <w:trHeight w:val="2826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4838783E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Moraly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2019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3969D0F8" w14:textId="63BBD97B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H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: 100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7490BD4B" w14:textId="20BB756D" w:rsidR="00003A5E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&lt;18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Convincing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history of 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IgE 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allergy, HZSPT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&gt;3 mm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7BB022AE" w14:textId="3531FCD6" w:rsidR="00003A5E" w:rsidRPr="00C914DC" w:rsidRDefault="00003A5E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&gt;0.35 kUA/L, </w:t>
            </w:r>
          </w:p>
          <w:p w14:paraId="1915C4C4" w14:textId="77777777" w:rsidR="00003A5E" w:rsidRPr="00C914DC" w:rsidRDefault="00003A5E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ositive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HZ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DBPCFC, </w:t>
            </w:r>
          </w:p>
          <w:p w14:paraId="393EA0C5" w14:textId="77777777" w:rsidR="00EE5E06" w:rsidRPr="00C914DC" w:rsidRDefault="00EE5E06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 least 6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in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 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OIT, </w:t>
            </w:r>
          </w:p>
          <w:p w14:paraId="2B8289E5" w14:textId="287F5DCF" w:rsidR="0062079D" w:rsidRPr="00C914DC" w:rsidRDefault="00EE5E06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Open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OFC after 6 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OIT.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097F36A3" w14:textId="77777777" w:rsidR="00E22B0C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&gt;18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003A5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Discontinued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 during the first 6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No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OFC at 6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</w:p>
          <w:p w14:paraId="49F0DAD3" w14:textId="16CF1DFB" w:rsidR="0062079D" w:rsidRPr="00C914DC" w:rsidRDefault="00E22B0C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No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consent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3807B92E" w14:textId="24812B06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B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SL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1B57DC1A" w14:textId="0A5C46AC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14A38260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661415E3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None</w:t>
            </w:r>
            <w:proofErr w:type="spellEnd"/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2B988D51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25-50% every month until 50% of initial ED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16722CD4" w14:textId="12F55D4D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416mg 3 times a week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352E70AC" w14:textId="4045297D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6 m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51A53E0A" w14:textId="16E8AAAF" w:rsidR="0062079D" w:rsidRPr="00C914DC" w:rsidRDefault="00EE5E06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NA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4B49F161" w14:textId="34E6C8FD" w:rsidR="0062079D" w:rsidRPr="007F248C" w:rsidRDefault="0062079D" w:rsidP="000A20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34 </w:t>
            </w:r>
            <w:r w:rsidR="00EE5E06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(95% CI, 25-44)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participants were desensitized (Tolerated up to 695mg (1635mg CM) of hazelnut protein).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6EBDF7B8" w14:textId="398A2613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(1) median ED increased by 417 mg (IQR, 139-1386).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(2) 66 patients who were not considered desensitized had at least doubled their baseline ED at 6 m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(median ED, 259 mg IQR, 106-523). (2) median SPT decreased by 5 mm (IQR, 2-7).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(3) 44%, 51%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and 59% of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participants were desensitized at months 12, 18 and 24 respectively.</w:t>
            </w:r>
          </w:p>
        </w:tc>
        <w:tc>
          <w:tcPr>
            <w:tcW w:w="794" w:type="dxa"/>
            <w:shd w:val="clear" w:color="auto" w:fill="F2F2F2" w:themeFill="background1" w:themeFillShade="F2"/>
          </w:tcPr>
          <w:p w14:paraId="08D533C0" w14:textId="13C073BD" w:rsidR="0062079D" w:rsidRPr="00C914DC" w:rsidRDefault="00EE5E06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762F016C" w14:textId="3580950F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76 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retrospective reports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(1) 30% at least one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nonsevere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(urticaria, 6.6%; oral angioedema, 1.3%; gastrointestinal symptoms including abdominal pain and nausea, 23.7%).</w:t>
            </w:r>
            <w:r w:rsidR="00EE5E0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(2) No EoE or symptoms suggestive of EoE. (3) No serious side effects.</w:t>
            </w:r>
          </w:p>
        </w:tc>
      </w:tr>
      <w:tr w:rsidR="009C0F08" w:rsidRPr="00C914DC" w14:paraId="1EBC645D" w14:textId="77777777" w:rsidTr="44096CB9">
        <w:trPr>
          <w:trHeight w:val="5610"/>
        </w:trPr>
        <w:tc>
          <w:tcPr>
            <w:tcW w:w="852" w:type="dxa"/>
            <w:shd w:val="clear" w:color="auto" w:fill="8DB3E2" w:themeFill="text2" w:themeFillTint="66"/>
            <w:hideMark/>
          </w:tcPr>
          <w:p w14:paraId="05932AD1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Sabouraud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2022</w:t>
            </w:r>
          </w:p>
        </w:tc>
        <w:tc>
          <w:tcPr>
            <w:tcW w:w="680" w:type="dxa"/>
            <w:shd w:val="clear" w:color="auto" w:fill="8DB3E2" w:themeFill="text2" w:themeFillTint="66"/>
            <w:hideMark/>
          </w:tcPr>
          <w:p w14:paraId="79DE4FB7" w14:textId="6DBF1164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H</w:t>
            </w:r>
            <w:r w:rsidR="001A01A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70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560045DC" w14:textId="73F5AAE5" w:rsidR="00E36C70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&lt; 18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E36C7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Confirmed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IgE-mediated allergy by: (a) history and (b)SPT&gt;3 mm or sIgE&gt;0.35 kU/L OR  Strong presumption by: (a)</w:t>
            </w:r>
            <w:r w:rsidR="00E36C7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allergy to another nut and </w:t>
            </w:r>
            <w:r w:rsidR="00E36C7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b)Positive sIgE to Cor a 9 or Cor a 14or (c)</w:t>
            </w:r>
            <w:r w:rsidR="00E36C7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PT&gt;15 mm, </w:t>
            </w:r>
          </w:p>
          <w:p w14:paraId="60A51DBC" w14:textId="65A88DE1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Started H-OIT lasting more than 1y</w:t>
            </w:r>
            <w:r w:rsidR="002700C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.b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etween 2015 and 2019.</w:t>
            </w:r>
          </w:p>
        </w:tc>
        <w:tc>
          <w:tcPr>
            <w:tcW w:w="1020" w:type="dxa"/>
            <w:shd w:val="clear" w:color="auto" w:fill="8DB3E2" w:themeFill="text2" w:themeFillTint="66"/>
            <w:hideMark/>
          </w:tcPr>
          <w:p w14:paraId="397291AF" w14:textId="44324EF7" w:rsidR="0062079D" w:rsidRPr="00C914DC" w:rsidRDefault="00E36C70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7B4BBEFC" w14:textId="31904E4A" w:rsidR="0062079D" w:rsidRPr="00C914DC" w:rsidRDefault="00E22B0C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BSL</w:t>
            </w:r>
          </w:p>
        </w:tc>
        <w:tc>
          <w:tcPr>
            <w:tcW w:w="510" w:type="dxa"/>
            <w:shd w:val="clear" w:color="auto" w:fill="8DB3E2" w:themeFill="text2" w:themeFillTint="66"/>
            <w:hideMark/>
          </w:tcPr>
          <w:p w14:paraId="23EAD6A4" w14:textId="0818477A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8DB3E2" w:themeFill="text2" w:themeFillTint="66"/>
          </w:tcPr>
          <w:p w14:paraId="03390642" w14:textId="4BCE43AD" w:rsidR="0062079D" w:rsidRPr="00C914DC" w:rsidRDefault="00E22B0C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70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662D791E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None</w:t>
            </w:r>
            <w:proofErr w:type="spellEnd"/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798C5F1E" w14:textId="12AE1778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10% of the individualized intermediate target dose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 Pr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ogressively increased to reach full dose at 6 months.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1929FF55" w14:textId="77777777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Individualized</w:t>
            </w:r>
            <w:proofErr w:type="spellEnd"/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7B35160C" w14:textId="562A6B40" w:rsidR="0062079D" w:rsidRPr="00C914DC" w:rsidRDefault="00E22B0C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3E9BD713" w14:textId="1EF2F7E8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1531" w:type="dxa"/>
            <w:shd w:val="clear" w:color="auto" w:fill="8DB3E2" w:themeFill="text2" w:themeFillTint="66"/>
            <w:hideMark/>
          </w:tcPr>
          <w:p w14:paraId="7B96D289" w14:textId="07E83114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16</w:t>
            </w:r>
            <w:r w:rsidR="003C6A2E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(22.9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%) entered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the maintenance phase at 1-y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consultation.</w:t>
            </w:r>
          </w:p>
        </w:tc>
        <w:tc>
          <w:tcPr>
            <w:tcW w:w="2948" w:type="dxa"/>
            <w:shd w:val="clear" w:color="auto" w:fill="8DB3E2" w:themeFill="text2" w:themeFillTint="66"/>
            <w:hideMark/>
          </w:tcPr>
          <w:p w14:paraId="6417BB6B" w14:textId="56AA0DDE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Proportion of patients in the maintenance phase during the study period: 42 patients (60%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); median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(IQR) daily dose: 154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 mg [128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6-255] range: 46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4-1462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 mg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). (2) Change of the cumulative dose of OFC: (a) 6m</w:t>
            </w:r>
            <w:r w:rsidR="00E22B0C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: increased to 68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3 mg (31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2-175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1) from 21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4 mg (12.8-36.8); P &lt; .001. (b) 1y</w:t>
            </w:r>
            <w:r w:rsidR="00E22B0C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: increased to 220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9 mg (86.1-492.0) from 21</w:t>
            </w:r>
            <w:r w:rsidR="00266912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4 mg (12.8-3 6.8); P &lt; .001). (3) 36/70 (51.4%) reached &gt;120 mg of </w:t>
            </w:r>
            <w:r w:rsidR="00E22B0C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HZ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proteins at the 1-y</w:t>
            </w:r>
            <w:r w:rsidR="00E22B0C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consultation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 (4) Immunological changes at 1-y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vs </w:t>
            </w:r>
            <w:r w:rsidR="00E22B0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BSL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(a) sIgE: (9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 kU/L [2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4-25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3] vs 11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 kU/L [3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7-36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5]; P = 0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73, (b) SPT:  4mm [0-7]) vs 6mm [3-10]; P = .02, (c)sIgG4: 1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 mg/L [0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6-3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2]) vs 0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 mg/L [0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2-0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9]; P = .003,(d)IgG4/IgE: 44,7 [12-177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9] vs 16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 [7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4-53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8]; P &lt; .001. (5)</w:t>
            </w:r>
            <w:r w:rsidR="0060326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Satisfaction questionnaire score (63 children aged &gt; 8y.o: (a)satisfaction: 5[4-6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8], (b)effectiveness: 6[5-7],</w:t>
            </w:r>
            <w:r w:rsidR="0060326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(c) treatment recommendation: 7[5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3-7] (d) Enjoy eating hazelnut every day: 3[1-4]), (e) H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-OIT as a strain: 5[3-6]), (f) H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-OIT as a medication: 4[2-6].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7D7DD634" w14:textId="331C876A" w:rsidR="0062079D" w:rsidRPr="00C914DC" w:rsidRDefault="00603261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984" w:type="dxa"/>
            <w:shd w:val="clear" w:color="auto" w:fill="8DB3E2" w:themeFill="text2" w:themeFillTint="66"/>
            <w:hideMark/>
          </w:tcPr>
          <w:p w14:paraId="56E5C761" w14:textId="5EE8E5D4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Retrospective reports at consultations-grading by Ring and </w:t>
            </w:r>
            <w:r w:rsidR="0060326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Messmer: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6D9275E6" w14:textId="55AE63BD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="0060326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1) H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ome: </w:t>
            </w:r>
          </w:p>
          <w:p w14:paraId="7D62FB30" w14:textId="1C9CF1A8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40(57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1%) patients had at least 1 adverse effect: </w:t>
            </w:r>
          </w:p>
          <w:p w14:paraId="2886F7D8" w14:textId="5003E8A6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36(51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4%) mild, 17(24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3%) aversion,</w:t>
            </w:r>
          </w:p>
          <w:p w14:paraId="6C72EA1C" w14:textId="37A86DF1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14(20%) recurrent abdominal pain; 2(2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9%) severe systemic allergic reactions,</w:t>
            </w:r>
          </w:p>
          <w:p w14:paraId="7A56EAA8" w14:textId="77777777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 used epinephrine. </w:t>
            </w:r>
          </w:p>
          <w:p w14:paraId="1CCFD728" w14:textId="77777777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(2) </w:t>
            </w:r>
            <w:r w:rsidR="00603261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ospital: </w:t>
            </w:r>
          </w:p>
          <w:p w14:paraId="3111D8B1" w14:textId="1C15C2BB" w:rsidR="00603261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7/212 (3</w:t>
            </w:r>
            <w:r w:rsidR="0026691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3%) severe systemic reactions during OFCs; epinephrine use: 4 during OFCs. </w:t>
            </w:r>
          </w:p>
          <w:p w14:paraId="5F8F7D07" w14:textId="6C7DCC41" w:rsidR="0062079D" w:rsidRPr="00C914DC" w:rsidRDefault="0062079D" w:rsidP="000A20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(3) EoE: 1</w:t>
            </w:r>
          </w:p>
        </w:tc>
      </w:tr>
      <w:tr w:rsidR="00C914DC" w:rsidRPr="00C914DC" w14:paraId="70D3EEF6" w14:textId="77777777" w:rsidTr="44096CB9">
        <w:trPr>
          <w:trHeight w:val="4860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3C631010" w14:textId="77777777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 xml:space="preserve">Elizur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al.2022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3F6C0C35" w14:textId="4C13375B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C</w:t>
            </w:r>
            <w:r w:rsidR="007B35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: 65 Active: 50 Control: 15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335E54FB" w14:textId="77777777" w:rsidR="007B35B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Positive OFC or a recent reaction to cashew</w:t>
            </w:r>
            <w:r w:rsidR="007B35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2F1D114A" w14:textId="31B5B6FB" w:rsidR="0062079D" w:rsidRPr="00C914DC" w:rsidRDefault="007B35B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 &gt; 3mm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≥0.35 kUA/L.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5B3C4A7A" w14:textId="57571835" w:rsidR="007B35B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Uncontrolled 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asthma, Diagnosis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eosinophilic gastrointestinal disease,</w:t>
            </w:r>
          </w:p>
          <w:p w14:paraId="092D1B07" w14:textId="161BFB0A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Autoimmune diseases.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22729889" w14:textId="7E72AE76" w:rsidR="0062079D" w:rsidRPr="00C914DC" w:rsidRDefault="007B35B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SOC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21529411" w14:textId="109BD0EB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780710E9" w14:textId="539AE28A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7C50ECB7" w14:textId="5630C68C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4-d</w:t>
            </w:r>
            <w:r w:rsidR="007B35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OFC to the highest tolerated dose (0.1</w:t>
            </w:r>
            <w:r w:rsidR="00C36DC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360mg </w:t>
            </w:r>
            <w:r w:rsidR="007B35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protein</w:t>
            </w:r>
            <w:r w:rsidR="00C36DC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60B96916" w14:textId="45BEC844" w:rsidR="00B11C7E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Monthly 4-fold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increases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in clinic until 4000mg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CS</w:t>
            </w:r>
          </w:p>
          <w:p w14:paraId="4796199F" w14:textId="434C49D6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protein.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6461CD63" w14:textId="1516D831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1200mg 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17114CFF" w14:textId="7EEBF4C6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OIT:12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(range, 3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57), Control: 17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(range, 5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44.1)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0DC39A0C" w14:textId="10DA98AE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OIT: 3 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23F975CF" w14:textId="3CD660D9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ITT: 44/50 (88%) OIT- treated and 0% controls </w:t>
            </w:r>
            <w:r w:rsidR="00B11C7E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tolerated 4000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mg of </w:t>
            </w:r>
            <w:r w:rsidR="00B11C7E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CS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protein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(Odds ratio 8.3,</w:t>
            </w:r>
            <w:r w:rsidR="00FE23D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95% CI 3.9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17.7, p &lt; 0.001).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62BB03B5" w14:textId="77777777" w:rsidR="00972369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1) 3 OIT and 0 control were partially desensitized to cashew (1200mg </w:t>
            </w:r>
            <w:r w:rsidR="0097236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CS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protein).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34294990" w14:textId="77A03EBB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(2) OIT: </w:t>
            </w:r>
            <w:r w:rsidR="0097236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CS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SPT (median 10 vs. 4 mm, p&lt;0.001), BAT (median 23.2% vs. 1.25%, p&lt;0.001), and sIgE </w:t>
            </w:r>
            <w:r w:rsidR="002F299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median 3.95 vs. 2.2 kU/L, p = 0.001) Ana o3</w:t>
            </w:r>
            <w:r w:rsidR="002F299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IgE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(median 3.7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1.6 kU/L, p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&lt;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0.001) decreased significantly, and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IgG4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to CS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(median 0.32 vs. 23.4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/L, p&lt;0.001) and to Ana o3 (median 0.15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22.9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/L, p&lt;0.001) increased significantly.  Controls: no significant changes were noted (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median 12.5 vs. 12.5 mm, sIgE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median 8.2 vs. 6 kU/L, BAT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median 37.7% vs. 36%, sIgG4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0.26 vs. 0.54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/L,  and Ana o3sIgE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median 8.3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5.9 kU/L,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and Ana o3sIgG4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median 0.19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0.17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/L, (3) OIT group: 35/44 patients who were fully desensitized to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were fully desensitized to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10/11 children with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co-allergy, were fully desensitized to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2/10 refused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OFC, 4/8 reacted (3 at lower doses). (4)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SPT (median 10 vs. 4 mm, p&lt;0.001), BAT (median 28.6% vs. 0.6%, p&lt;0.001), and sIgE (median 4.8 vs. 1.9 kU/L, p&lt;0.001) decreased, and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IgG4 (median 0.44 vs. 14.7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/L, p&lt;0.001) increased. (5) 44/44 children passed OFC to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after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6 m. on 12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00mg </w:t>
            </w:r>
            <w:r w:rsidR="003E534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maintenance.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2EF7D81B" w14:textId="76016ED0" w:rsidR="0062079D" w:rsidRPr="00C914DC" w:rsidRDefault="008D56E4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</w:t>
            </w:r>
            <w:proofErr w:type="spellStart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ospital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: 1913, </w:t>
            </w:r>
            <w:proofErr w:type="spellStart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Home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: 17816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443203E1" w14:textId="77777777" w:rsidR="00F06BE2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WAO Subcutaneous Immunotherapy Systemic Reaction Grading System:(A) In hospital: (1) per patient: 44 (88%) reactions, 28 (56%) grade 1, 34 (68%) grade 2, 9 (18%) epinephrine use; (2) per dose: 80 (4.2%) reactions, 37 (1.9%) grade 1, 44 (2.3%) grade 2, 12 (0.63%) epinephrine use; (B) Home: (1) per patient: Any reaction: 26 (52%), A single reaction: 5 (10%),  </w:t>
            </w:r>
          </w:p>
          <w:p w14:paraId="752A3F86" w14:textId="073C1756" w:rsidR="0062079D" w:rsidRPr="00C914DC" w:rsidRDefault="0062079D" w:rsidP="007B35B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F06BE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 reactions:12 (24%), ≥5 reactions: 9 (18%), Epinephrine: 3 (6%). (2) per dose: Any reaction:108 (0.61%), Epinephrine: 3 (0.017%). 1 patient OITIGER</w:t>
            </w:r>
            <w:r w:rsidR="00B11C7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 patient EOE.</w:t>
            </w:r>
          </w:p>
        </w:tc>
      </w:tr>
      <w:tr w:rsidR="00257C5B" w:rsidRPr="00C914DC" w14:paraId="41FA337B" w14:textId="77777777" w:rsidTr="44096CB9">
        <w:trPr>
          <w:trHeight w:val="255"/>
        </w:trPr>
        <w:tc>
          <w:tcPr>
            <w:tcW w:w="16139" w:type="dxa"/>
            <w:gridSpan w:val="16"/>
            <w:shd w:val="clear" w:color="auto" w:fill="ACB9CA"/>
            <w:hideMark/>
          </w:tcPr>
          <w:p w14:paraId="0A6AE5AF" w14:textId="0CF5A8BB" w:rsidR="00257C5B" w:rsidRPr="00C914DC" w:rsidRDefault="00257C5B" w:rsidP="00257C5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Multi OIT</w:t>
            </w:r>
          </w:p>
        </w:tc>
      </w:tr>
      <w:tr w:rsidR="009C0F08" w:rsidRPr="00C914DC" w14:paraId="3FC9E41E" w14:textId="77777777" w:rsidTr="44096CB9">
        <w:trPr>
          <w:trHeight w:val="5370"/>
        </w:trPr>
        <w:tc>
          <w:tcPr>
            <w:tcW w:w="852" w:type="dxa"/>
            <w:shd w:val="clear" w:color="auto" w:fill="8DB3E2" w:themeFill="text2" w:themeFillTint="66"/>
            <w:hideMark/>
          </w:tcPr>
          <w:p w14:paraId="3695C568" w14:textId="77777777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Begin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et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2014a</w:t>
            </w:r>
          </w:p>
        </w:tc>
        <w:tc>
          <w:tcPr>
            <w:tcW w:w="680" w:type="dxa"/>
            <w:shd w:val="clear" w:color="auto" w:fill="8DB3E2" w:themeFill="text2" w:themeFillTint="66"/>
            <w:hideMark/>
          </w:tcPr>
          <w:p w14:paraId="2AC30AD0" w14:textId="5195F2C7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13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14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H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3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5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178293D9" w14:textId="201127C3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4-55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SPT&gt; 7mm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IgE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&gt;2ku/</w:t>
            </w:r>
            <w:r w:rsidR="0023517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L, Positive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DBPCFC up to 182mg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</w:t>
            </w:r>
            <w:r w:rsidR="001F5AE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protein,   DBPCFC to nuts, sesame seed, dairy or egg.</w:t>
            </w:r>
          </w:p>
        </w:tc>
        <w:tc>
          <w:tcPr>
            <w:tcW w:w="1020" w:type="dxa"/>
            <w:shd w:val="clear" w:color="auto" w:fill="8DB3E2" w:themeFill="text2" w:themeFillTint="66"/>
            <w:hideMark/>
          </w:tcPr>
          <w:p w14:paraId="076EADD9" w14:textId="36FB1008" w:rsidR="0062079D" w:rsidRPr="00C914DC" w:rsidRDefault="00235179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EoE, Autoimmune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disease, S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evere cardiac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diseases, Chronic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treatment with (a) b- antagonists,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)steroids, History of anaphylaxis requiring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ICU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admission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Frequent allergic or non-allergic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urticaria, 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Poorly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controlled asthma.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3C101248" w14:textId="43834B8E" w:rsidR="0062079D" w:rsidRPr="00C914DC" w:rsidRDefault="00235179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PN-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OIT</w:t>
            </w:r>
          </w:p>
        </w:tc>
        <w:tc>
          <w:tcPr>
            <w:tcW w:w="510" w:type="dxa"/>
            <w:shd w:val="clear" w:color="auto" w:fill="8DB3E2" w:themeFill="text2" w:themeFillTint="66"/>
            <w:hideMark/>
          </w:tcPr>
          <w:p w14:paraId="4F9A33B0" w14:textId="1EF6690B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8DB3E2" w:themeFill="text2" w:themeFillTint="66"/>
            <w:hideMark/>
          </w:tcPr>
          <w:p w14:paraId="69BDD77A" w14:textId="7D714D0B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2FF428FE" w14:textId="1B47D166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0.1</w:t>
            </w:r>
            <w:r w:rsidR="0023517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6mg of total </w:t>
            </w:r>
            <w:r w:rsidR="0023517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food protein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or the highest tolerated dose</w:t>
            </w:r>
            <w:r w:rsidR="0023517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44D564ED" w14:textId="1FCD4681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</w:t>
            </w:r>
            <w:r w:rsidR="00BF435A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-108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 every 2 weeks</w:t>
            </w:r>
            <w:r w:rsidR="0023517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498DAAF8" w14:textId="6102504F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4000mg of 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food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protein (20g 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max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total food protein)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5AE4C1E3" w14:textId="77777777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Individualized</w:t>
            </w:r>
            <w:proofErr w:type="spellEnd"/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14EEFA7C" w14:textId="6971D999" w:rsidR="0062079D" w:rsidRPr="00C914DC" w:rsidRDefault="0062079D" w:rsidP="00EB2F0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 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NOIT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 </w:t>
            </w:r>
          </w:p>
        </w:tc>
        <w:tc>
          <w:tcPr>
            <w:tcW w:w="1531" w:type="dxa"/>
            <w:shd w:val="clear" w:color="auto" w:fill="8DB3E2" w:themeFill="text2" w:themeFillTint="66"/>
            <w:hideMark/>
          </w:tcPr>
          <w:p w14:paraId="7F53A706" w14:textId="601D4E8E" w:rsidR="00A72A7C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Initial escalation: (a)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15 reactions in 15/25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(60%)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participants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adrenaline: 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0,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b)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PNOIT: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6 reaction</w:t>
            </w:r>
            <w:r w:rsidR="00FD31D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in 6/15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(40%)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participants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adrenaline: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0</w:t>
            </w:r>
            <w:r w:rsidR="00EB2F0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Hospital: (a)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 reaction rate 3.4% (0-23.1)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5C35E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adrenaline: 0,</w:t>
            </w:r>
          </w:p>
          <w:p w14:paraId="4FF1E11B" w14:textId="3DFDC376" w:rsidR="00A72A7C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(b) 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OIT:  reaction rate: 3.7% (0-16.6)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5C35E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adrenaline: 0,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313728C2" w14:textId="7484ADC9" w:rsidR="00A72A7C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(3) Home: </w:t>
            </w:r>
          </w:p>
          <w:p w14:paraId="2F0C126F" w14:textId="5B5D7B35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(a)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reaction rate 3.1% (0.6-29.2)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adrenaline: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(b)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OIT: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reaction rate: 2.9% (0.1-59)</w:t>
            </w:r>
            <w:r w:rsidR="00A72A7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adrenaline: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48" w:type="dxa"/>
            <w:shd w:val="clear" w:color="auto" w:fill="8DB3E2" w:themeFill="text2" w:themeFillTint="66"/>
            <w:hideMark/>
          </w:tcPr>
          <w:p w14:paraId="7D2BE651" w14:textId="24159442" w:rsidR="0062079D" w:rsidRPr="00C42080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Participants in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OIT reached a 10-fold increase in threshold dose of food allergen protein, as well as a dose of 300mg, 1000mg and 4000mg food allergen protein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significantly faster than those on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(2) The dose progression in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was unrelated to the number or combinations of foods in the OIT mix. (3) 12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OIT: increase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IgG4 (both groups) and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IgG4 (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group) (p&lt;0.05)</w:t>
            </w:r>
            <w:r w:rsidR="00C42080" w:rsidRPr="007F248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C4208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(4) All participants in </w:t>
            </w:r>
            <w:proofErr w:type="spellStart"/>
            <w:r w:rsidR="00C4208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="00C4208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tolerated 4000mg of treenut protein.</w:t>
            </w:r>
            <w:r w:rsidR="00C42080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0B73F689" w14:textId="270BE521" w:rsidR="00E20CA0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(a)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mOIT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</w:t>
            </w:r>
          </w:p>
          <w:p w14:paraId="4D23E02F" w14:textId="77777777" w:rsidR="008D0F4D" w:rsidRPr="00C914DC" w:rsidRDefault="008D0F4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hospital:</w:t>
            </w:r>
          </w:p>
          <w:p w14:paraId="27EA4635" w14:textId="3D1C3239" w:rsidR="00E20CA0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603, 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home: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12030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rush: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total: 12658 </w:t>
            </w:r>
          </w:p>
          <w:p w14:paraId="182FA1E5" w14:textId="524EB85C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(b)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OIT: 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hospital: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277, 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home: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7830, 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rush: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15, total:8122</w:t>
            </w:r>
          </w:p>
        </w:tc>
        <w:tc>
          <w:tcPr>
            <w:tcW w:w="1984" w:type="dxa"/>
            <w:shd w:val="clear" w:color="auto" w:fill="8DB3E2" w:themeFill="text2" w:themeFillTint="66"/>
            <w:hideMark/>
          </w:tcPr>
          <w:p w14:paraId="76629A64" w14:textId="77777777" w:rsidR="0062079D" w:rsidRPr="00C914DC" w:rsidRDefault="0062079D" w:rsidP="009E649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See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Primary outcome</w:t>
            </w:r>
          </w:p>
        </w:tc>
      </w:tr>
      <w:tr w:rsidR="00C914DC" w:rsidRPr="00C914DC" w14:paraId="19648ADA" w14:textId="77777777" w:rsidTr="44096CB9">
        <w:trPr>
          <w:trHeight w:val="5370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3F411B0E" w14:textId="77777777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 xml:space="preserve">Andorf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2017a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1897B2AF" w14:textId="3AC5AE7E" w:rsidR="0065054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13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="006505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3FB7BEDA" w14:textId="0EAEB061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8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H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3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5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07219813" w14:textId="6BA35FBF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0,5-60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SPT&gt;7mm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&gt;2ku/L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ositive DBPCFC up to 182mg of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PN </w:t>
            </w:r>
            <w:r w:rsidR="001856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protein, DBPCFC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 nuts, sesame seed, dairy or egg.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2D676A00" w14:textId="02CF7732" w:rsidR="00E20CA0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Moderate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severe </w:t>
            </w:r>
            <w:r w:rsidR="00E20CA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allergic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reaction in the last 6 months, </w:t>
            </w:r>
          </w:p>
          <w:p w14:paraId="2ED3D371" w14:textId="22A04244" w:rsidR="0062079D" w:rsidRPr="00C914DC" w:rsidRDefault="00E20CA0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 decrease in skin tests and sIgE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1037FE4C" w14:textId="16D46B94" w:rsidR="0018566E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300mg</w:t>
            </w:r>
            <w:r w:rsidR="00BC1AB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aily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</w:t>
            </w:r>
          </w:p>
          <w:p w14:paraId="1DE758F1" w14:textId="343AC567" w:rsidR="0018566E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2g</w:t>
            </w:r>
            <w:r w:rsidR="00F6386E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daily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</w:t>
            </w:r>
          </w:p>
          <w:p w14:paraId="0F6354EB" w14:textId="36024C50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300mg every other day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70BD7E0E" w14:textId="65BA3310" w:rsidR="0062079D" w:rsidRPr="00C914DC" w:rsidRDefault="0065054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Individualized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13584E60" w14:textId="3452E45C" w:rsidR="0062079D" w:rsidRPr="00C914DC" w:rsidRDefault="009C0087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</w:t>
            </w:r>
          </w:p>
          <w:p w14:paraId="3099D241" w14:textId="0E319E16" w:rsidR="0065054D" w:rsidRPr="00C914DC" w:rsidRDefault="0065054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2EDB66DF" w14:textId="19579C67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0.1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6mg of total 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food protein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or the highest tolerated dose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32064EA8" w14:textId="7CAEACA8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108-25% every 2 weeks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37044E1C" w14:textId="424C849D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2000mg per allergen daily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3B356229" w14:textId="702185CC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Up to 72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m., median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48</w:t>
            </w:r>
            <w:r w:rsidR="008D0F4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(27-72)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0A039E82" w14:textId="5422AC14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 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70697E2D" w14:textId="6B44BD28" w:rsidR="008C58D9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</w:t>
            </w:r>
            <w:r w:rsidR="00FD31D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Low dose: 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10/25 (40%) </w:t>
            </w:r>
            <w:r w:rsidR="00FD31D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High dose: 1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40%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were on a high long-term maintenance dose for all foods. (2) 1 stopped eating 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after 25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m. o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 a high dose but ate traces.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(3) 6 on low </w:t>
            </w:r>
            <w:r w:rsidR="008C58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dose, returned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 high dose after varying times. 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(4) Per allergen on low dose at the end of the study: W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N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6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%, P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6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%, </w:t>
            </w:r>
          </w:p>
          <w:p w14:paraId="043F7F49" w14:textId="518D98B7" w:rsidR="008C58D9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P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N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4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%,</w:t>
            </w:r>
          </w:p>
          <w:p w14:paraId="70EA8D50" w14:textId="77777777" w:rsidR="008C58D9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H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Z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100%,</w:t>
            </w:r>
          </w:p>
          <w:p w14:paraId="37ECC39E" w14:textId="77777777" w:rsidR="008C58D9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A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L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60%,</w:t>
            </w:r>
          </w:p>
          <w:p w14:paraId="06A27C41" w14:textId="77777777" w:rsidR="008C58D9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CS 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46%</w:t>
            </w:r>
            <w:r w:rsidR="008C58D9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, </w:t>
            </w:r>
          </w:p>
          <w:p w14:paraId="47E48C03" w14:textId="09535E93" w:rsidR="0062079D" w:rsidRPr="007F248C" w:rsidRDefault="0062079D" w:rsidP="00E20CA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(5) All tolerated 2 g protein or more during OFC, independent of high vs. low long-term maintenance dose.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25DC1E11" w14:textId="661ED073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SPTs were significantly decreased during the active phase, and remained low over LTFU, except for </w:t>
            </w:r>
            <w:r w:rsidR="007E76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PC, AL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and sesame. (2) A significant trend of increasing sIgG4/sIgE ratios was observed at the end of active phase for all the food allergens and persisted over LTFU. (3) Neither SPT wheal diameter nor IgG4/IgE ratio was significantly associated with a low vs. a high dose.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087A36E4" w14:textId="77777777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25598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53986B98" w14:textId="28708F44" w:rsidR="0062079D" w:rsidRPr="00C914DC" w:rsidRDefault="0062079D" w:rsidP="00E20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1) 1207 reactions (2.29% of maintenance doses):1073(88.9</w:t>
            </w:r>
            <w:r w:rsidR="00E1447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</w:t>
            </w:r>
            <w:r w:rsidR="00E14472" w:rsidRPr="00E1447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) </w:t>
            </w:r>
            <w:proofErr w:type="gramStart"/>
            <w:r w:rsidR="00E14472" w:rsidRPr="00E14472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mild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 129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(10.69%)</w:t>
            </w:r>
            <w:r w:rsidR="007E76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moderate, 5 (0.41%) severe. No fatal or serious adverse events. No epinephrine use. (</w:t>
            </w:r>
            <w:r w:rsidR="007E76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2) The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frequency of allergic adverse events decreased over time. (3) Safety results did not differ based on low vs. high</w:t>
            </w:r>
            <w:r w:rsidR="007E76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maintenance dose. (4) median reactions/participant: 25 (0-35)</w:t>
            </w:r>
          </w:p>
        </w:tc>
      </w:tr>
      <w:tr w:rsidR="00257C5B" w:rsidRPr="00C914DC" w14:paraId="25CD6ED5" w14:textId="77777777" w:rsidTr="44096CB9">
        <w:trPr>
          <w:trHeight w:val="283"/>
        </w:trPr>
        <w:tc>
          <w:tcPr>
            <w:tcW w:w="16139" w:type="dxa"/>
            <w:gridSpan w:val="16"/>
            <w:shd w:val="clear" w:color="auto" w:fill="ACB9CA"/>
            <w:hideMark/>
          </w:tcPr>
          <w:p w14:paraId="3B28C2FE" w14:textId="4E41F60B" w:rsidR="00257C5B" w:rsidRPr="00C914DC" w:rsidRDefault="00257C5B" w:rsidP="00257C5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Multi OIT with Omalizumab</w:t>
            </w:r>
          </w:p>
        </w:tc>
      </w:tr>
      <w:tr w:rsidR="00C914DC" w:rsidRPr="00C914DC" w14:paraId="572C0A5C" w14:textId="77777777" w:rsidTr="44096CB9">
        <w:trPr>
          <w:trHeight w:val="5880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5521972D" w14:textId="77777777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Begin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2014b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04B1833A" w14:textId="31866181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Active: C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14 W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9 P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 H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:3 A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6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27B7CC47" w14:textId="77777777" w:rsidR="00C80E76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4-55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</w:p>
          <w:p w14:paraId="2903EE6F" w14:textId="4F5B8B44" w:rsidR="0062079D" w:rsidRPr="00C914DC" w:rsidRDefault="00C80E76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ensitivity to at least two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foods, documented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by SPT&gt;3 mm and sIgE&gt;0.35 </w:t>
            </w:r>
            <w:proofErr w:type="spellStart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ku</w:t>
            </w:r>
            <w:proofErr w:type="spellEnd"/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/L,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and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positive DBPCFC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16DEF22B" w14:textId="59C3F6F8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EoE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Autoimmune disease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Severe cardiac disease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hronic treatment with b-antagonists or steroids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istory of severe anaphylaxis requiring admission to an intensive care unit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Frequent allergic or non-allergic urticari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oorly controlled asthma.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01FD06EF" w14:textId="5F08075E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B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SL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62FFB1D9" w14:textId="520F8E8B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0656C66D" w14:textId="07FA58BD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09977630" w14:textId="015ED21F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250 mg of protein of each food, or the highest tolerated dose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129DCAC9" w14:textId="63F321A6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80-14% every 2 weeks</w:t>
            </w:r>
            <w:r w:rsidR="00C80E76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4A792F1A" w14:textId="77777777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4000mg of protein of each food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2610C71F" w14:textId="77777777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Individualized</w:t>
            </w:r>
            <w:proofErr w:type="spellEnd"/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6CB3BF75" w14:textId="2EEB8BD2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46C4EB7B" w14:textId="718CCB61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Initial escalation: (a) 13 mild reactions in 13/25 participants (52%) (b) 0 epinephrine use. (2) Hospital escalations: (a) 13 mild reactions/ 227 doses (5.7%), (b) median reaction rate 0% (0-25), (c) 0 epinephrine use. (3) Home dosing: (a) 401 reactions/7530 doses (5.3%), (b) mild: 385(5.1%), moderate: 15(0.2%), severe: 1 (0.01%), (c) median reaction rate 3.2% (0.1-18.5).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(d) 1 epinephrine use (0.01%)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6D5ED21A" w14:textId="77777777" w:rsidR="0062079D" w:rsidRDefault="0062079D" w:rsidP="00C80E7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1) Time to reach and maintain (a) 300 mg: 2months, (b) 1000 mg: 3months, (c) 4000 </w:t>
            </w:r>
            <w:r w:rsidR="0024049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mg: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9 months per food allergen protein, median 18 (7-36) weeks. (2) Time to reach </w:t>
            </w:r>
            <w:r w:rsidR="00240490"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a 10</w:t>
            </w:r>
            <w:r w:rsidRPr="007F248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fold increase from the baseline reactivity threshold: 2 months.</w:t>
            </w:r>
          </w:p>
          <w:p w14:paraId="0B8AB0D1" w14:textId="3EBA4A13" w:rsidR="00B52D9E" w:rsidRPr="00C914DC" w:rsidRDefault="00B52D9E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(3)</w:t>
            </w:r>
            <w:r w:rsidRPr="007F248C">
              <w:rPr>
                <w:lang w:val="en-US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All participants </w:t>
            </w:r>
            <w:r w:rsidRPr="00B52D9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reach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ed</w:t>
            </w:r>
            <w:r w:rsidRPr="00B52D9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maintenance dose (4000 mg per allergen) by 9 months. All participants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B52D9E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US"/>
              </w:rPr>
              <w:t>reached a dose equivalent to a 10-fold increase of all their allergens by 2 months of therapy.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62AE0150" w14:textId="77777777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7782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48754D87" w14:textId="77777777" w:rsidR="0062079D" w:rsidRPr="00C914DC" w:rsidRDefault="0062079D" w:rsidP="00C80E7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In total 427 reactions</w:t>
            </w:r>
          </w:p>
        </w:tc>
      </w:tr>
      <w:tr w:rsidR="009C0F08" w:rsidRPr="00F8586A" w14:paraId="73ECE230" w14:textId="77777777" w:rsidTr="44096CB9">
        <w:trPr>
          <w:trHeight w:val="3075"/>
        </w:trPr>
        <w:tc>
          <w:tcPr>
            <w:tcW w:w="852" w:type="dxa"/>
            <w:shd w:val="clear" w:color="auto" w:fill="8DB3E2" w:themeFill="text2" w:themeFillTint="66"/>
            <w:hideMark/>
          </w:tcPr>
          <w:p w14:paraId="4F964EDA" w14:textId="77777777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Andorf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2017b</w:t>
            </w:r>
          </w:p>
        </w:tc>
        <w:tc>
          <w:tcPr>
            <w:tcW w:w="680" w:type="dxa"/>
            <w:shd w:val="clear" w:color="auto" w:fill="8DB3E2" w:themeFill="text2" w:themeFillTint="66"/>
            <w:hideMark/>
          </w:tcPr>
          <w:p w14:paraId="545BDC75" w14:textId="731636D1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18 W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10 P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8 H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 A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6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3FAFEC26" w14:textId="747BB493" w:rsidR="00CF7599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0,5-60 </w:t>
            </w:r>
            <w:proofErr w:type="spellStart"/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</w:p>
          <w:p w14:paraId="6325577B" w14:textId="2ADCC8F5" w:rsidR="0062079D" w:rsidRPr="00C914DC" w:rsidRDefault="00CF7599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SPT&gt;7mm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PN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sIgE&gt;2ku/L positive DBPCFC up to 182mg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PN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protein. Further DBPCFC were also performed to nuts, sesame seed, dairy or egg.</w:t>
            </w:r>
          </w:p>
        </w:tc>
        <w:tc>
          <w:tcPr>
            <w:tcW w:w="1020" w:type="dxa"/>
            <w:shd w:val="clear" w:color="auto" w:fill="8DB3E2" w:themeFill="text2" w:themeFillTint="66"/>
            <w:hideMark/>
          </w:tcPr>
          <w:p w14:paraId="2A9A07DD" w14:textId="29E640F9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Moderate to severe </w:t>
            </w:r>
            <w:r w:rsidR="009C0087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allergic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reaction in the last 6 months, no decrease in skin tests and sIgE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722C7EA0" w14:textId="42FC7B33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300mg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2gr maintenance.</w:t>
            </w:r>
          </w:p>
        </w:tc>
        <w:tc>
          <w:tcPr>
            <w:tcW w:w="510" w:type="dxa"/>
            <w:shd w:val="clear" w:color="auto" w:fill="8DB3E2" w:themeFill="text2" w:themeFillTint="66"/>
            <w:hideMark/>
          </w:tcPr>
          <w:p w14:paraId="3002BC0F" w14:textId="777ABFEB" w:rsidR="0062079D" w:rsidRPr="00C914DC" w:rsidRDefault="009C0087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NA</w:t>
            </w:r>
          </w:p>
        </w:tc>
        <w:tc>
          <w:tcPr>
            <w:tcW w:w="283" w:type="dxa"/>
            <w:shd w:val="clear" w:color="auto" w:fill="8DB3E2" w:themeFill="text2" w:themeFillTint="66"/>
            <w:hideMark/>
          </w:tcPr>
          <w:p w14:paraId="73F54FB5" w14:textId="4E5410B4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0247959E" w14:textId="42362486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250mg of protein of each food, or the highest tolerated dose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0F438B65" w14:textId="6BA55EE3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80-14% every 2 weeks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2D474FA0" w14:textId="362727EC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2g -4g per allergen daily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23C684DE" w14:textId="26D839FD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Up to 62 m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after reaching the 2 g maintenance dose for the first food (median 53 m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range 32–62)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11E40707" w14:textId="2A63FD98" w:rsidR="0062079D" w:rsidRPr="00C914DC" w:rsidRDefault="00CF7599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531" w:type="dxa"/>
            <w:shd w:val="clear" w:color="auto" w:fill="8DB3E2" w:themeFill="text2" w:themeFillTint="66"/>
            <w:hideMark/>
          </w:tcPr>
          <w:p w14:paraId="713F54E4" w14:textId="25A894E2" w:rsidR="00C756A5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Per allergen on low dose at the end of the study: W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80%, P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100%, P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92.3%, </w:t>
            </w:r>
            <w:r w:rsidR="00CF759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HZ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85.7%, </w:t>
            </w:r>
            <w:r w:rsidR="00C756A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100%, C</w:t>
            </w:r>
            <w:r w:rsidR="00C756A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94.4%</w:t>
            </w:r>
            <w:r w:rsidR="00C756A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73EE4ADE" w14:textId="4C86FA5B" w:rsidR="0062079D" w:rsidRPr="007F248C" w:rsidRDefault="0062079D" w:rsidP="009469B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(2) Each participant on </w:t>
            </w:r>
            <w:r w:rsidR="00C756A5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long-term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maintenance dosing tolerated 2 g protein or more in an OFC, independent of high vs. low long-term maintenance dose.</w:t>
            </w:r>
          </w:p>
        </w:tc>
        <w:tc>
          <w:tcPr>
            <w:tcW w:w="2948" w:type="dxa"/>
            <w:shd w:val="clear" w:color="auto" w:fill="8DB3E2" w:themeFill="text2" w:themeFillTint="66"/>
            <w:hideMark/>
          </w:tcPr>
          <w:p w14:paraId="17BB10C0" w14:textId="4F6464DD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The log10 IgG4/IgE ratio levels were not significantly different between a low and a high maintenance dose. (2) SPT decreased during the dose escalation phase and varied across a large range for the participants per allergen, however, it was not significantly dependent on a low or high maintenance dose. (3)</w:t>
            </w:r>
            <w:r w:rsidR="00C756A5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 the 8 participants with pecan in their OIT and 10 with walnut, 7 were desensitized to both foods.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7E7E5104" w14:textId="5FCA70DA" w:rsidR="0062079D" w:rsidRPr="00C914DC" w:rsidRDefault="00C756A5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984" w:type="dxa"/>
            <w:shd w:val="clear" w:color="auto" w:fill="8DB3E2" w:themeFill="text2" w:themeFillTint="66"/>
            <w:hideMark/>
          </w:tcPr>
          <w:p w14:paraId="40D7FD2F" w14:textId="77777777" w:rsidR="00C756A5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1126 reactions (3.5% of doses):</w:t>
            </w:r>
          </w:p>
          <w:p w14:paraId="2278152D" w14:textId="77777777" w:rsidR="00C756A5" w:rsidRPr="00C914DC" w:rsidRDefault="00C756A5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Mild: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1076(95.6%)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Moderate: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40(3.6%)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 Severe: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5(0.4%)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(4 skin reactions, 1 nasal congestion/ 2 gr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group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). </w:t>
            </w:r>
          </w:p>
          <w:p w14:paraId="3A0D94D2" w14:textId="77777777" w:rsidR="00C756A5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(2) No serious adverse events. </w:t>
            </w:r>
          </w:p>
          <w:p w14:paraId="14534C87" w14:textId="77777777" w:rsidR="00C756A5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(3) No anaphylactic reactions. </w:t>
            </w:r>
          </w:p>
          <w:p w14:paraId="4EF6FA4B" w14:textId="36130FD6" w:rsidR="0062079D" w:rsidRPr="00C914DC" w:rsidRDefault="0062079D" w:rsidP="009469B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(4) Epinephrine was used (no details provided).</w:t>
            </w:r>
          </w:p>
        </w:tc>
      </w:tr>
      <w:tr w:rsidR="00C914DC" w:rsidRPr="00380DEA" w14:paraId="406446A5" w14:textId="77777777" w:rsidTr="44096CB9">
        <w:trPr>
          <w:trHeight w:val="3330"/>
        </w:trPr>
        <w:tc>
          <w:tcPr>
            <w:tcW w:w="852" w:type="dxa"/>
            <w:shd w:val="clear" w:color="auto" w:fill="F2F2F2" w:themeFill="background1" w:themeFillShade="F2"/>
            <w:hideMark/>
          </w:tcPr>
          <w:p w14:paraId="61AE4E8F" w14:textId="77777777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 xml:space="preserve">Andorf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et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al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. 2018</w:t>
            </w:r>
          </w:p>
        </w:tc>
        <w:tc>
          <w:tcPr>
            <w:tcW w:w="680" w:type="dxa"/>
            <w:shd w:val="clear" w:color="auto" w:fill="F2F2F2" w:themeFill="background1" w:themeFillShade="F2"/>
            <w:hideMark/>
          </w:tcPr>
          <w:p w14:paraId="7708BF5A" w14:textId="6E0ED7F1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Oma:     C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25 W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20 H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17 A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6        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11 W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5 H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 A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5636D44B" w14:textId="77777777" w:rsidR="00006922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5-15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SPT≥6mm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25A1E61E" w14:textId="64884C2B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sIgE&gt;4 kU/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 positive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DBPCFC at ≤500mg of food protein.</w:t>
            </w:r>
          </w:p>
        </w:tc>
        <w:tc>
          <w:tcPr>
            <w:tcW w:w="1020" w:type="dxa"/>
            <w:shd w:val="clear" w:color="auto" w:fill="F2F2F2" w:themeFill="background1" w:themeFillShade="F2"/>
            <w:hideMark/>
          </w:tcPr>
          <w:p w14:paraId="04AF5B06" w14:textId="77777777" w:rsidR="00006922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EoE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4F05E1A4" w14:textId="09CC80D8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Severe asthma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2FAE3B21" w14:textId="447242B9" w:rsidR="0062079D" w:rsidRPr="00C914DC" w:rsidRDefault="00373013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Multi-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OIT</w:t>
            </w:r>
          </w:p>
        </w:tc>
        <w:tc>
          <w:tcPr>
            <w:tcW w:w="510" w:type="dxa"/>
            <w:shd w:val="clear" w:color="auto" w:fill="F2F2F2" w:themeFill="background1" w:themeFillShade="F2"/>
            <w:hideMark/>
          </w:tcPr>
          <w:p w14:paraId="4A1F1FB4" w14:textId="5BD6BC6C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  <w:r w:rsidR="00006922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:3</w:t>
            </w:r>
          </w:p>
        </w:tc>
        <w:tc>
          <w:tcPr>
            <w:tcW w:w="283" w:type="dxa"/>
            <w:shd w:val="clear" w:color="auto" w:fill="F2F2F2" w:themeFill="background1" w:themeFillShade="F2"/>
            <w:hideMark/>
          </w:tcPr>
          <w:p w14:paraId="27101781" w14:textId="7C10D021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71919856" w14:textId="19D31E47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-1250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 food protein (divided equally among the number of foods included)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798E1632" w14:textId="3D7424DF" w:rsidR="0062079D" w:rsidRPr="00C914DC" w:rsidRDefault="0042515C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very 2 weeks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907" w:type="dxa"/>
            <w:shd w:val="clear" w:color="auto" w:fill="F2F2F2" w:themeFill="background1" w:themeFillShade="F2"/>
            <w:hideMark/>
          </w:tcPr>
          <w:p w14:paraId="5AF67F36" w14:textId="4548FCD3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gr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 protein of each food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max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10g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total food protein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850" w:type="dxa"/>
            <w:shd w:val="clear" w:color="auto" w:fill="F2F2F2" w:themeFill="background1" w:themeFillShade="F2"/>
            <w:hideMark/>
          </w:tcPr>
          <w:p w14:paraId="3D7B2EFB" w14:textId="2C80F2EB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36w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624" w:type="dxa"/>
            <w:shd w:val="clear" w:color="auto" w:fill="F2F2F2" w:themeFill="background1" w:themeFillShade="F2"/>
            <w:hideMark/>
          </w:tcPr>
          <w:p w14:paraId="0553BEB0" w14:textId="77777777" w:rsidR="0042515C" w:rsidRPr="00C914DC" w:rsidRDefault="0042515C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ma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 6, </w:t>
            </w:r>
          </w:p>
          <w:p w14:paraId="39C63065" w14:textId="73D5B164" w:rsidR="0062079D" w:rsidRPr="00C914DC" w:rsidRDefault="0042515C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8 </w:t>
            </w:r>
          </w:p>
        </w:tc>
        <w:tc>
          <w:tcPr>
            <w:tcW w:w="1531" w:type="dxa"/>
            <w:shd w:val="clear" w:color="auto" w:fill="F2F2F2" w:themeFill="background1" w:themeFillShade="F2"/>
            <w:hideMark/>
          </w:tcPr>
          <w:p w14:paraId="7B84605E" w14:textId="11C24AEC" w:rsidR="002B4AB9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(1)Tolerated 2</w:t>
            </w:r>
            <w:r w:rsidR="0042515C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gr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of ≥2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allergens: oma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30/36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vs </w:t>
            </w:r>
            <w:r w:rsidR="0042515C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:4/12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</w:p>
          <w:p w14:paraId="5AC8E46B" w14:textId="77777777" w:rsidR="002B4AB9" w:rsidRPr="007F248C" w:rsidRDefault="002B4AB9" w:rsidP="0000692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(2)</w:t>
            </w:r>
            <w:r w:rsidR="0062079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Per allergen: </w:t>
            </w:r>
          </w:p>
          <w:p w14:paraId="2984CF31" w14:textId="77777777" w:rsidR="002B4AB9" w:rsidRPr="007F248C" w:rsidRDefault="0062079D" w:rsidP="0000692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(a)A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L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oma:4/6 vs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.control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:0/1 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b)C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S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oma:20/25vs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.control: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4/11, (c)H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Z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oma:16/17 vs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.control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:3/7(d)W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N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oma:17/20</w:t>
            </w:r>
          </w:p>
          <w:p w14:paraId="033B6B09" w14:textId="058DBC7E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vs</w:t>
            </w:r>
            <w:r w:rsidR="002B4AB9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.control</w:t>
            </w:r>
            <w:proofErr w:type="spellEnd"/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0/5</w:t>
            </w:r>
          </w:p>
        </w:tc>
        <w:tc>
          <w:tcPr>
            <w:tcW w:w="2948" w:type="dxa"/>
            <w:shd w:val="clear" w:color="auto" w:fill="F2F2F2" w:themeFill="background1" w:themeFillShade="F2"/>
            <w:hideMark/>
          </w:tcPr>
          <w:p w14:paraId="10161FF3" w14:textId="5C79CA54" w:rsidR="002B4AB9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1)Tolerated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4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g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of ≥2 allergens:  oma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30/36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vs.control: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4/12. </w:t>
            </w:r>
          </w:p>
          <w:p w14:paraId="2E77CAF3" w14:textId="6E5929AA" w:rsidR="002B4AB9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2)Tolerated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2g of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(a)≥3allergens: oma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21/26 vs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2/7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(b)≥4 allergens: oma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13/17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vs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0/5, (c)5 allergens: oma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4/7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vs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:0/1.</w:t>
            </w:r>
          </w:p>
          <w:p w14:paraId="1985F1AB" w14:textId="61BDC7E5" w:rsidR="0062079D" w:rsidRPr="00C914DC" w:rsidRDefault="0062079D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3)Participants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with only mild symptoms during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build-up: oma:6(17%) vs 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0(0%). (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4)Participants</w:t>
            </w:r>
            <w:proofErr w:type="gramEnd"/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with only mild symptoms during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build-up and maintenance: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3(8%)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vs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.control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0(0%).(5)sIgG4/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IgE significantly increased between baseline and 36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and SPTs were significant decrease. (6) 20/24</w:t>
            </w:r>
            <w:r w:rsidR="002B4AB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patients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with 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PS co-allergy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were desensitized to </w:t>
            </w:r>
            <w:proofErr w:type="gramStart"/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18/20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, 2/4 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17/17 (100%) 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patients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with 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PE co-allergy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were desensitized to </w:t>
            </w:r>
            <w:proofErr w:type="gramStart"/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all in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794" w:type="dxa"/>
            <w:shd w:val="clear" w:color="auto" w:fill="F2F2F2" w:themeFill="background1" w:themeFillShade="F2"/>
            <w:hideMark/>
          </w:tcPr>
          <w:p w14:paraId="4294E5D8" w14:textId="129F6D20" w:rsidR="0062079D" w:rsidRPr="00C914DC" w:rsidRDefault="00D40539" w:rsidP="0000692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984" w:type="dxa"/>
            <w:shd w:val="clear" w:color="auto" w:fill="F2F2F2" w:themeFill="background1" w:themeFillShade="F2"/>
            <w:hideMark/>
          </w:tcPr>
          <w:p w14:paraId="65426D34" w14:textId="300A6843" w:rsidR="0062079D" w:rsidRPr="00C914DC" w:rsidRDefault="0062079D" w:rsidP="0055164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Per patient: (a)8-16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oma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36/36, </w:t>
            </w:r>
            <w:r w:rsid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:12/12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(b) 17-24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:oma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33/36, </w:t>
            </w:r>
            <w:r w:rsid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:4/12, (c)25-36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:oma</w:t>
            </w:r>
            <w:r w:rsidR="00D4053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33/36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:4/12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(2)Median per-participant 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doses: (a)8-16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any:oma:24, </w:t>
            </w:r>
            <w:r w:rsid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:68, grade1:oma:24,</w:t>
            </w:r>
            <w:r w:rsid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56, grade2:oma: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2,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(b)17-24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:any: oma:26,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39,grade1:oma:22,</w:t>
            </w:r>
            <w:r w:rsidR="00924583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19, grade 2: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0, 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:0, (c)25-36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any: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29, 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29, grade1: oma:16,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:28, grade2: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oma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0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(3)Epinephrine use: (a)8-16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:oma:3 events/2 patients, pl: 2events/2patients,(b) 17-24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:oma:0 events/0patients,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:1event/1patient, (c)25-36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oma:2events/2patients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,control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3events/2patients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</w:p>
        </w:tc>
      </w:tr>
      <w:tr w:rsidR="009C0F08" w:rsidRPr="00F8586A" w14:paraId="1F2DE8C4" w14:textId="77777777" w:rsidTr="44096CB9">
        <w:trPr>
          <w:trHeight w:val="5625"/>
        </w:trPr>
        <w:tc>
          <w:tcPr>
            <w:tcW w:w="852" w:type="dxa"/>
            <w:shd w:val="clear" w:color="auto" w:fill="8DB3E2" w:themeFill="text2" w:themeFillTint="66"/>
            <w:hideMark/>
          </w:tcPr>
          <w:p w14:paraId="61F71137" w14:textId="77777777" w:rsidR="0062079D" w:rsidRPr="0055164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55164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lastRenderedPageBreak/>
              <w:t>Andorf et al. 2019</w:t>
            </w:r>
          </w:p>
        </w:tc>
        <w:tc>
          <w:tcPr>
            <w:tcW w:w="680" w:type="dxa"/>
            <w:shd w:val="clear" w:color="auto" w:fill="8DB3E2" w:themeFill="text2" w:themeFillTint="66"/>
            <w:hideMark/>
          </w:tcPr>
          <w:p w14:paraId="587D06E1" w14:textId="77777777" w:rsidR="00D57CC4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(1) 1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C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:10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:3 W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11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4 H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7 A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2 (2) 300mg: C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13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3 W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9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4 H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4 A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:2</w:t>
            </w:r>
          </w:p>
          <w:p w14:paraId="5E5C4CAF" w14:textId="033DACCF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(3) 0mg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 C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11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2 W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11 P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4 H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Z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6 A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L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1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15F6D062" w14:textId="5EF4E466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5-55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y.o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sIgE&gt;4kU/L,  SPT≥6mml, positive DBPCFC at ≤125mg of food protein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tIgE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&lt; 2000kU/L,  Reaching the maintenance dose (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&lt;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1gr per food protein) by 28-29 w.</w:t>
            </w:r>
          </w:p>
        </w:tc>
        <w:tc>
          <w:tcPr>
            <w:tcW w:w="1020" w:type="dxa"/>
            <w:shd w:val="clear" w:color="auto" w:fill="8DB3E2" w:themeFill="text2" w:themeFillTint="66"/>
            <w:hideMark/>
          </w:tcPr>
          <w:p w14:paraId="3E172756" w14:textId="77777777" w:rsidR="00D57CC4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History of severe anaphylaxis (intubation or admission to an ICU), 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F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requent allergic or non-allergic urticaria,</w:t>
            </w:r>
          </w:p>
          <w:p w14:paraId="38A50E47" w14:textId="7F5294F6" w:rsidR="0062079D" w:rsidRPr="00C914DC" w:rsidRDefault="00D57CC4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oorly controlled persistent asthma,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Eosinophilic es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ophagitis, colitis, or gastritis.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75081752" w14:textId="12AE857E" w:rsidR="00D57CC4" w:rsidRPr="00C914DC" w:rsidRDefault="00D57CC4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1gr</w:t>
            </w:r>
            <w:r w:rsidR="00BC3A2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300mg</w:t>
            </w:r>
            <w:r w:rsidR="00BC3A2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/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0mg maintenance</w:t>
            </w:r>
          </w:p>
          <w:p w14:paraId="7D19C589" w14:textId="427DF40B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  <w:p w14:paraId="2F2188FE" w14:textId="3FE2DBDF" w:rsidR="00D57CC4" w:rsidRPr="00C914DC" w:rsidRDefault="00D57CC4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8DB3E2" w:themeFill="text2" w:themeFillTint="66"/>
            <w:hideMark/>
          </w:tcPr>
          <w:p w14:paraId="349151E4" w14:textId="5DD437C9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:1:1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shd w:val="clear" w:color="auto" w:fill="8DB3E2" w:themeFill="text2" w:themeFillTint="66"/>
            <w:hideMark/>
          </w:tcPr>
          <w:p w14:paraId="45FF5498" w14:textId="0E5E7721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652C8D8E" w14:textId="3D5A7446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 d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.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-6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2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mg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total allergens)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793F7D57" w14:textId="16E5263F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15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-900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 increase every 2</w:t>
            </w:r>
            <w:r w:rsidR="00D57CC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w.</w:t>
            </w:r>
          </w:p>
        </w:tc>
        <w:tc>
          <w:tcPr>
            <w:tcW w:w="907" w:type="dxa"/>
            <w:shd w:val="clear" w:color="auto" w:fill="8DB3E2" w:themeFill="text2" w:themeFillTint="66"/>
            <w:hideMark/>
          </w:tcPr>
          <w:p w14:paraId="13B85D02" w14:textId="4F4078EC" w:rsidR="0062079D" w:rsidRPr="00C914DC" w:rsidRDefault="000B17E6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atients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reached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maintenance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at 30 w. r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eceive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d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OFC to 4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gr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per allergen. Tolerant randomized to 1g, 300mg and 0mg maintenance for 6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</w:p>
        </w:tc>
        <w:tc>
          <w:tcPr>
            <w:tcW w:w="850" w:type="dxa"/>
            <w:shd w:val="clear" w:color="auto" w:fill="8DB3E2" w:themeFill="text2" w:themeFillTint="66"/>
            <w:hideMark/>
          </w:tcPr>
          <w:p w14:paraId="22D4C682" w14:textId="678348F7" w:rsidR="0062079D" w:rsidRPr="00C914DC" w:rsidRDefault="000B17E6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36w.</w:t>
            </w:r>
          </w:p>
        </w:tc>
        <w:tc>
          <w:tcPr>
            <w:tcW w:w="624" w:type="dxa"/>
            <w:shd w:val="clear" w:color="auto" w:fill="8DB3E2" w:themeFill="text2" w:themeFillTint="66"/>
            <w:hideMark/>
          </w:tcPr>
          <w:p w14:paraId="4A6CEABF" w14:textId="77777777" w:rsidR="000B17E6" w:rsidRPr="00C914DC" w:rsidRDefault="000B17E6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1gr: 2</w:t>
            </w:r>
            <w:r w:rsidR="0062079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14:paraId="57D02638" w14:textId="60FD45C3" w:rsidR="0062079D" w:rsidRPr="00C914DC" w:rsidRDefault="000B17E6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300mg:1, 0mg:4</w:t>
            </w:r>
          </w:p>
        </w:tc>
        <w:tc>
          <w:tcPr>
            <w:tcW w:w="1531" w:type="dxa"/>
            <w:shd w:val="clear" w:color="auto" w:fill="8DB3E2" w:themeFill="text2" w:themeFillTint="66"/>
            <w:hideMark/>
          </w:tcPr>
          <w:p w14:paraId="7027BE6E" w14:textId="0134F7C7" w:rsidR="00240490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(1)Tolerated 2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gr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of ≥2 allergens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(a)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ITT: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active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1gr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+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300mg) vs 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0gr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: 34/40 vs 11/20, 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(b)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PP: active vs 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0mg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34/37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v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s 11/16, (</w:t>
            </w:r>
            <w:r w:rsidR="00E07B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c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 1gr vs 300mg : 17/19</w:t>
            </w:r>
            <w:r w:rsidR="00240490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vs 17/21 </w:t>
            </w:r>
          </w:p>
          <w:p w14:paraId="675706A3" w14:textId="3EF44D1B" w:rsidR="0062079D" w:rsidRPr="007F248C" w:rsidRDefault="0062079D" w:rsidP="00D57CC4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</w:pP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(</w:t>
            </w:r>
            <w:bookmarkStart w:id="0" w:name="_Hlk124874051"/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d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) C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S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1gr: 9/10, 300mg: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12/13, 0gr: 2/11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,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W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N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1gr:11/11,  300mg: 9/9, 0 gr:8/11,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PE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1gr: 4/4, 300mg: 5/5, 0gr: 1/4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, HZ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 1gr: 6/7, 300mg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: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3/4, 0gr: 3/6, </w:t>
            </w:r>
            <w:r w:rsidR="00240490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AL: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1gr 2/2 ,300 mg: 1/1, 0 gr: 1/1.</w:t>
            </w:r>
            <w:bookmarkEnd w:id="0"/>
          </w:p>
        </w:tc>
        <w:tc>
          <w:tcPr>
            <w:tcW w:w="2948" w:type="dxa"/>
            <w:shd w:val="clear" w:color="auto" w:fill="8DB3E2" w:themeFill="text2" w:themeFillTint="66"/>
            <w:hideMark/>
          </w:tcPr>
          <w:p w14:paraId="10A68252" w14:textId="03403897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(1) Active vs 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0gr: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(a)Tolerated 4g of ≥2 allergens: 28/40 vs 9/20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OR: 2.8, 95% CI: 0.8–10.0, P = 0.09), (b)Tolerated 2g each of (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)≥3 allergens: 25/26 vs 8/16, p&lt;0.05 (ii) ≥4 allergens:  15/18 vs 3/9, p&lt;0.05 (iii) 5 allergens: 10/12 vs 0/3 p&lt;0.05 (2) 1g vs 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0g: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(a)Tolerated 2g of ≥2 allergens: 17/19 vs 11/20, (b) Tolerated 4g of ≥2 allergens: 14/19 vs 9/20, (c)Tolerated 2g each of (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)≥3 allergens: 13/14 vs 8/16, (ii) ≥4 allergens:  7/8 vs 3/9, (iii) 5 allergens: 5/ vs 0/3, (3)300mg vs 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0gr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(a)Tolerated 2g of ≥2 allergens: 17/21vs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11/20, (b) Tolerated 4</w:t>
            </w:r>
            <w:r w:rsidR="00B311C8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g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≥2 allergens: 14/21 vs 9/20, (c)Tolerated 2g each of (</w:t>
            </w:r>
            <w:proofErr w:type="spell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)≥3 allergens: 12/12 vs 8/16, (ii) ≥4 allergens: 8/10 vs 3/9, (iii) 5 allergens: 5/6 vs 0/3. (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4a) 4/4 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PE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(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WN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in OIT) allergic patients (1-1gr, 1-300mg, 2-0mg) passed the 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PE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challenge at 36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w.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(4b) 7/8 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PS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(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CS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in OIT) patients (3-1gr, 3-300mg, 1/2-0mg) passed the </w:t>
            </w:r>
            <w:r w:rsidR="0084115D"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>PS</w:t>
            </w:r>
            <w:r w:rsidRPr="007F248C">
              <w:rPr>
                <w:rFonts w:eastAsia="Times New Roman" w:cstheme="minorHAnsi"/>
                <w:b/>
                <w:color w:val="000000"/>
                <w:sz w:val="16"/>
                <w:szCs w:val="16"/>
                <w:lang w:val="en-US"/>
              </w:rPr>
              <w:t xml:space="preserve"> challenge at 36w</w:t>
            </w:r>
            <w:r w:rsidR="0084115D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</w:t>
            </w:r>
            <w:proofErr w:type="gramStart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5)↑</w:t>
            </w:r>
            <w:proofErr w:type="gramEnd"/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peanut sIgG4/IgE (↑ IgG4), SPT ↔</w:t>
            </w:r>
          </w:p>
        </w:tc>
        <w:tc>
          <w:tcPr>
            <w:tcW w:w="794" w:type="dxa"/>
            <w:shd w:val="clear" w:color="auto" w:fill="8DB3E2" w:themeFill="text2" w:themeFillTint="66"/>
            <w:hideMark/>
          </w:tcPr>
          <w:p w14:paraId="5EE234DE" w14:textId="74EBCF94" w:rsidR="0062079D" w:rsidRPr="00C914DC" w:rsidRDefault="00240490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NR</w:t>
            </w:r>
          </w:p>
        </w:tc>
        <w:tc>
          <w:tcPr>
            <w:tcW w:w="1984" w:type="dxa"/>
            <w:shd w:val="clear" w:color="auto" w:fill="8DB3E2" w:themeFill="text2" w:themeFillTint="66"/>
            <w:hideMark/>
          </w:tcPr>
          <w:p w14:paraId="27130184" w14:textId="4DD38445" w:rsidR="0062079D" w:rsidRPr="00C914DC" w:rsidRDefault="0062079D" w:rsidP="00D57C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</w:pP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(A) Median per-participant </w:t>
            </w:r>
            <w:r w:rsidR="006A419F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%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of doses with AE: (1) 1gr: a)8-16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 78,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Treated: 0, Grade1: 29, Grade2: 0, Grade3: 0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b)17-29</w:t>
            </w:r>
            <w:r w:rsidR="009E26D9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Total:53, Treated: 13, Grade1: 22, Grade2: 12, Grade3: 0 c)30-36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 0,Treated: 0,Grade1: 0, Grade2: 0, Grade3: 0, (2)300mg: a)8-16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78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Treated: 0, Grade1: 29, Grade2:0, Grade3: 0 b)17-29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Total:53, Treated: 13, Grade1: 22, Grade2: 12, Grade3: 0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c)30-36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 0,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Treated: 0,Grade1: 0, Grade2: 0, Grade3: 0 (3)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0gr: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a)8-16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 61, Treated: 0, Grade1: 44, Grade2: 0 , Grade3: 0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b)17-29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w.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Total:68, Treated: 6, Grade1: 32, Grade2: 11, Grade3: 0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c)30-36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Total:6,Treated:0, Grade1: 0, Grade2: 0, Grade3:0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,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(4)non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-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randomized: a)8-16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63, Treated: 23, Grade1: 38, Grade2: 15, Grade3: 0 b)17-29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Total:59, Treated: 12, Grade1: 41, Grade2: 12, Grade3: 0 c) 30-36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w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 Total: 22,Treated: 0, Grade1:22, Grade2: 0, Grade3: 0. (B) Epinephrine use: 8 uses/6 patients (3: 1 gr, 2</w:t>
            </w:r>
            <w:r w:rsidR="00A15687" w:rsidRPr="007F248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non-randomized, 1</w:t>
            </w:r>
            <w:r w:rsidR="00A15687" w:rsidRPr="007F248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: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DD7744"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 xml:space="preserve">0gr </w:t>
            </w:r>
            <w:r w:rsidRPr="00C914DC">
              <w:rPr>
                <w:rFonts w:eastAsia="Times New Roman" w:cstheme="minorHAnsi"/>
                <w:color w:val="000000"/>
                <w:sz w:val="16"/>
                <w:szCs w:val="16"/>
                <w:lang w:val="en-US"/>
              </w:rPr>
              <w:t>(before randomization)/6 during home maintenance/ 2 during build-up at home).</w:t>
            </w:r>
          </w:p>
        </w:tc>
      </w:tr>
    </w:tbl>
    <w:p w14:paraId="3C054A69" w14:textId="5F45E55A" w:rsidR="00C62818" w:rsidRPr="0096099C" w:rsidRDefault="00C62818" w:rsidP="00C62818">
      <w:pPr>
        <w:rPr>
          <w:rFonts w:eastAsia="Times New Roman" w:cstheme="minorHAnsi"/>
          <w:i/>
          <w:color w:val="000000"/>
          <w:sz w:val="16"/>
          <w:szCs w:val="16"/>
          <w:lang w:val="en-US"/>
        </w:rPr>
      </w:pPr>
      <w:r w:rsidRPr="0096099C">
        <w:rPr>
          <w:rFonts w:cstheme="minorHAnsi"/>
          <w:i/>
          <w:sz w:val="18"/>
          <w:szCs w:val="18"/>
          <w:lang w:val="en-US"/>
        </w:rPr>
        <w:t xml:space="preserve">AL: almond, BSL: Baseline, 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CM: Cumulative Dose, </w:t>
      </w:r>
      <w:r w:rsidRPr="0096099C">
        <w:rPr>
          <w:rFonts w:cstheme="minorHAnsi"/>
          <w:i/>
          <w:sz w:val="18"/>
          <w:szCs w:val="18"/>
          <w:lang w:val="en-US"/>
        </w:rPr>
        <w:t xml:space="preserve"> CS: cashew, 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ED: Eliciting Dose, </w:t>
      </w:r>
      <w:r w:rsidR="003A0598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EOE: </w:t>
      </w:r>
      <w:r w:rsidR="003A0598" w:rsidRPr="003A0598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 Eosinophilic Esophagitis</w:t>
      </w:r>
      <w:r w:rsidR="003A0598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, </w:t>
      </w:r>
      <w:r w:rsidRPr="0096099C">
        <w:rPr>
          <w:rFonts w:cstheme="minorHAnsi"/>
          <w:i/>
          <w:sz w:val="18"/>
          <w:szCs w:val="18"/>
          <w:lang w:val="en-US"/>
        </w:rPr>
        <w:t>HZ: hazelnut,</w:t>
      </w:r>
      <w:r w:rsidR="002600CA">
        <w:rPr>
          <w:rFonts w:cstheme="minorHAnsi"/>
          <w:i/>
          <w:sz w:val="18"/>
          <w:szCs w:val="18"/>
          <w:lang w:val="en-US"/>
        </w:rPr>
        <w:t xml:space="preserve"> ITT: intention to treat,</w:t>
      </w:r>
      <w:r w:rsidRPr="0096099C">
        <w:rPr>
          <w:rFonts w:cstheme="minorHAnsi"/>
          <w:i/>
          <w:sz w:val="18"/>
          <w:szCs w:val="18"/>
          <w:lang w:val="en-US"/>
        </w:rPr>
        <w:t xml:space="preserve"> m: months, 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NA: </w:t>
      </w:r>
      <w:proofErr w:type="spellStart"/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>non</w:t>
      </w:r>
      <w:proofErr w:type="spellEnd"/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 applicable, NR: not reported/not assessed, </w:t>
      </w:r>
      <w:r w:rsidRPr="0096099C">
        <w:rPr>
          <w:rFonts w:cstheme="minorHAnsi"/>
          <w:i/>
          <w:sz w:val="18"/>
          <w:szCs w:val="18"/>
          <w:lang w:val="en-US"/>
        </w:rPr>
        <w:t>(m)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>OIT: (multi) Oral Immunotherapy</w:t>
      </w:r>
      <w:r w:rsidRPr="0096099C">
        <w:rPr>
          <w:rFonts w:cstheme="minorHAnsi"/>
          <w:i/>
          <w:sz w:val="18"/>
          <w:szCs w:val="18"/>
          <w:lang w:val="en-US"/>
        </w:rPr>
        <w:t xml:space="preserve"> , </w:t>
      </w:r>
      <w:r w:rsidR="001D4085">
        <w:rPr>
          <w:rFonts w:cstheme="minorHAnsi"/>
          <w:i/>
          <w:sz w:val="18"/>
          <w:szCs w:val="18"/>
          <w:lang w:val="en-US"/>
        </w:rPr>
        <w:t xml:space="preserve">OITGER: </w:t>
      </w:r>
      <w:r w:rsidR="001D4085" w:rsidRPr="001D4085">
        <w:rPr>
          <w:rFonts w:cstheme="minorHAnsi"/>
          <w:i/>
          <w:sz w:val="18"/>
          <w:szCs w:val="18"/>
          <w:lang w:val="en-US"/>
        </w:rPr>
        <w:t>oral immunotherapy-induced gastrointestinal and eosinophilic responses</w:t>
      </w:r>
      <w:r w:rsidR="001D4085">
        <w:rPr>
          <w:rFonts w:cstheme="minorHAnsi"/>
          <w:i/>
          <w:sz w:val="18"/>
          <w:szCs w:val="18"/>
          <w:lang w:val="en-US"/>
        </w:rPr>
        <w:t>,</w:t>
      </w:r>
      <w:r w:rsidR="001D4085" w:rsidRPr="001D4085">
        <w:rPr>
          <w:rFonts w:cstheme="minorHAnsi"/>
          <w:i/>
          <w:sz w:val="18"/>
          <w:szCs w:val="18"/>
          <w:lang w:val="en-US"/>
        </w:rPr>
        <w:t xml:space="preserve"> </w:t>
      </w:r>
      <w:r w:rsidRPr="0096099C">
        <w:rPr>
          <w:rFonts w:cstheme="minorHAnsi"/>
          <w:i/>
          <w:sz w:val="18"/>
          <w:szCs w:val="18"/>
          <w:lang w:val="en-US"/>
        </w:rPr>
        <w:t xml:space="preserve">PE: pecan, PN: peanut, </w:t>
      </w:r>
      <w:r w:rsidR="002600CA">
        <w:rPr>
          <w:rFonts w:cstheme="minorHAnsi"/>
          <w:i/>
          <w:sz w:val="18"/>
          <w:szCs w:val="18"/>
          <w:lang w:val="en-US"/>
        </w:rPr>
        <w:t xml:space="preserve">PP: per protocol, </w:t>
      </w:r>
      <w:r w:rsidRPr="0096099C">
        <w:rPr>
          <w:rFonts w:cstheme="minorHAnsi"/>
          <w:i/>
          <w:sz w:val="18"/>
          <w:szCs w:val="18"/>
          <w:lang w:val="en-US"/>
        </w:rPr>
        <w:t xml:space="preserve">PS: pistachio, 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 xml:space="preserve">QoL: Quality of Life, </w:t>
      </w:r>
      <w:r w:rsidRPr="0096099C">
        <w:rPr>
          <w:rFonts w:cstheme="minorHAnsi"/>
          <w:i/>
          <w:sz w:val="18"/>
          <w:szCs w:val="18"/>
          <w:lang w:val="en-US"/>
        </w:rPr>
        <w:t xml:space="preserve"> </w:t>
      </w:r>
      <w:r w:rsidR="002700CC" w:rsidRPr="0096099C">
        <w:rPr>
          <w:rFonts w:cstheme="minorHAnsi"/>
          <w:i/>
          <w:sz w:val="18"/>
          <w:szCs w:val="18"/>
          <w:lang w:val="en-US"/>
        </w:rPr>
        <w:t xml:space="preserve">SOC: Standard of care, </w:t>
      </w:r>
      <w:r w:rsidRPr="0096099C">
        <w:rPr>
          <w:rFonts w:eastAsia="Times New Roman" w:cstheme="minorHAnsi"/>
          <w:i/>
          <w:color w:val="000000"/>
          <w:sz w:val="16"/>
          <w:szCs w:val="16"/>
          <w:lang w:val="en-US"/>
        </w:rPr>
        <w:t>SU: Sustained Unresponsiveness,</w:t>
      </w:r>
      <w:r w:rsidRPr="0096099C">
        <w:rPr>
          <w:rFonts w:cstheme="minorHAnsi"/>
          <w:i/>
          <w:sz w:val="18"/>
          <w:szCs w:val="18"/>
          <w:lang w:val="en-US"/>
        </w:rPr>
        <w:t xml:space="preserve"> (t)TN: (test) tree nut,</w:t>
      </w:r>
      <w:r w:rsidR="00410347" w:rsidRPr="0096099C">
        <w:rPr>
          <w:rFonts w:cstheme="minorHAnsi"/>
          <w:i/>
          <w:sz w:val="18"/>
          <w:szCs w:val="18"/>
          <w:lang w:val="en-US"/>
        </w:rPr>
        <w:t xml:space="preserve"> w: wee</w:t>
      </w:r>
      <w:r w:rsidRPr="0096099C">
        <w:rPr>
          <w:rFonts w:cstheme="minorHAnsi"/>
          <w:i/>
          <w:sz w:val="18"/>
          <w:szCs w:val="18"/>
          <w:lang w:val="en-US"/>
        </w:rPr>
        <w:t xml:space="preserve">ks, </w:t>
      </w:r>
      <w:r w:rsidR="00410347" w:rsidRPr="0096099C">
        <w:rPr>
          <w:rFonts w:cstheme="minorHAnsi"/>
          <w:i/>
          <w:sz w:val="18"/>
          <w:szCs w:val="18"/>
          <w:lang w:val="en-US"/>
        </w:rPr>
        <w:t xml:space="preserve">WN: walnut, y: years. </w:t>
      </w:r>
    </w:p>
    <w:p w14:paraId="4988F034" w14:textId="77777777" w:rsidR="003C6A2E" w:rsidRDefault="003C6A2E" w:rsidP="00205EBE">
      <w:pPr>
        <w:rPr>
          <w:rFonts w:cstheme="minorHAnsi"/>
          <w:sz w:val="18"/>
          <w:szCs w:val="18"/>
          <w:lang w:val="en-US"/>
        </w:rPr>
      </w:pPr>
    </w:p>
    <w:p w14:paraId="6A6C7C4E" w14:textId="77777777" w:rsidR="003C6A2E" w:rsidRDefault="003C6A2E" w:rsidP="00205EBE">
      <w:pPr>
        <w:rPr>
          <w:rFonts w:cstheme="minorHAnsi"/>
          <w:sz w:val="18"/>
          <w:szCs w:val="18"/>
          <w:lang w:val="en-US"/>
        </w:rPr>
      </w:pPr>
    </w:p>
    <w:p w14:paraId="7449BABF" w14:textId="259364CE" w:rsidR="00433422" w:rsidRPr="00205EBE" w:rsidRDefault="003C6A2E" w:rsidP="00205EBE">
      <w:pPr>
        <w:rPr>
          <w:rFonts w:cstheme="minorHAnsi"/>
          <w:sz w:val="18"/>
          <w:szCs w:val="18"/>
          <w:lang w:val="en-US"/>
        </w:rPr>
      </w:pPr>
      <w:r>
        <w:rPr>
          <w:rFonts w:ascii="Calibri" w:hAnsi="Calibri" w:cstheme="minorHAnsi"/>
          <w:noProof/>
          <w:sz w:val="18"/>
          <w:szCs w:val="18"/>
          <w:lang w:val="en-US"/>
        </w:rPr>
        <w:fldChar w:fldCharType="begin"/>
      </w:r>
      <w:r>
        <w:rPr>
          <w:rFonts w:cstheme="minorHAnsi"/>
          <w:sz w:val="18"/>
          <w:szCs w:val="18"/>
        </w:rPr>
        <w:instrText xml:space="preserve"> ADDIN EN.REFLIST </w:instrText>
      </w:r>
      <w:r>
        <w:rPr>
          <w:rFonts w:ascii="Calibri" w:hAnsi="Calibri" w:cstheme="minorHAnsi"/>
          <w:noProof/>
          <w:sz w:val="18"/>
          <w:szCs w:val="18"/>
          <w:lang w:val="en-US"/>
        </w:rPr>
        <w:fldChar w:fldCharType="end"/>
      </w:r>
    </w:p>
    <w:sectPr w:rsidR="00433422" w:rsidRPr="00205EBE" w:rsidSect="00B13F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D5EFB"/>
    <w:multiLevelType w:val="hybridMultilevel"/>
    <w:tmpl w:val="6FB4E9A4"/>
    <w:lvl w:ilvl="0" w:tplc="34948C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763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0MrUwMjU2NDMyNTBX0lEKTi0uzszPAykwrQUAtl60y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fxxtx2tez0dtjes02q5e9pjpt09vd9wdrrs&quot;&gt;TN_IT_ v2&lt;record-ids&gt;&lt;item&gt;10&lt;/item&gt;&lt;/record-ids&gt;&lt;/item&gt;&lt;/Libraries&gt;"/>
  </w:docVars>
  <w:rsids>
    <w:rsidRoot w:val="00B22CA7"/>
    <w:rsid w:val="00003A5E"/>
    <w:rsid w:val="00006922"/>
    <w:rsid w:val="000430B7"/>
    <w:rsid w:val="00043871"/>
    <w:rsid w:val="00092B45"/>
    <w:rsid w:val="000A200E"/>
    <w:rsid w:val="000A2D09"/>
    <w:rsid w:val="000B17E6"/>
    <w:rsid w:val="000B3EEC"/>
    <w:rsid w:val="00121CC3"/>
    <w:rsid w:val="00124B69"/>
    <w:rsid w:val="0018566E"/>
    <w:rsid w:val="001A01AA"/>
    <w:rsid w:val="001A6A1E"/>
    <w:rsid w:val="001D4085"/>
    <w:rsid w:val="001F5AEC"/>
    <w:rsid w:val="001F5F5D"/>
    <w:rsid w:val="00205EBE"/>
    <w:rsid w:val="00235179"/>
    <w:rsid w:val="00240490"/>
    <w:rsid w:val="00245F45"/>
    <w:rsid w:val="00257C5B"/>
    <w:rsid w:val="002600CA"/>
    <w:rsid w:val="00266912"/>
    <w:rsid w:val="002700CC"/>
    <w:rsid w:val="002B4AB9"/>
    <w:rsid w:val="002E4313"/>
    <w:rsid w:val="002F299A"/>
    <w:rsid w:val="003270A0"/>
    <w:rsid w:val="0036017D"/>
    <w:rsid w:val="003702A4"/>
    <w:rsid w:val="00373013"/>
    <w:rsid w:val="00376278"/>
    <w:rsid w:val="00380A5C"/>
    <w:rsid w:val="00380DEA"/>
    <w:rsid w:val="003964F7"/>
    <w:rsid w:val="003A0598"/>
    <w:rsid w:val="003A77D8"/>
    <w:rsid w:val="003C6A2E"/>
    <w:rsid w:val="003D6860"/>
    <w:rsid w:val="003E5345"/>
    <w:rsid w:val="003F27E4"/>
    <w:rsid w:val="003F3990"/>
    <w:rsid w:val="00410347"/>
    <w:rsid w:val="00412309"/>
    <w:rsid w:val="0042515C"/>
    <w:rsid w:val="00433422"/>
    <w:rsid w:val="0043691A"/>
    <w:rsid w:val="0044231D"/>
    <w:rsid w:val="00450436"/>
    <w:rsid w:val="0047256D"/>
    <w:rsid w:val="004C0E40"/>
    <w:rsid w:val="005341EE"/>
    <w:rsid w:val="0055164C"/>
    <w:rsid w:val="00586062"/>
    <w:rsid w:val="00595BCC"/>
    <w:rsid w:val="005C222A"/>
    <w:rsid w:val="005C35ED"/>
    <w:rsid w:val="005E37BA"/>
    <w:rsid w:val="005F59DA"/>
    <w:rsid w:val="00603261"/>
    <w:rsid w:val="0062079D"/>
    <w:rsid w:val="00621BD4"/>
    <w:rsid w:val="0064372D"/>
    <w:rsid w:val="0065054D"/>
    <w:rsid w:val="006526F4"/>
    <w:rsid w:val="0066768E"/>
    <w:rsid w:val="006847E7"/>
    <w:rsid w:val="006969E5"/>
    <w:rsid w:val="006A419F"/>
    <w:rsid w:val="006C08CB"/>
    <w:rsid w:val="00765A08"/>
    <w:rsid w:val="00770935"/>
    <w:rsid w:val="007B35BD"/>
    <w:rsid w:val="007E76C4"/>
    <w:rsid w:val="007F248C"/>
    <w:rsid w:val="00801BA5"/>
    <w:rsid w:val="00810A19"/>
    <w:rsid w:val="0084115D"/>
    <w:rsid w:val="008575AD"/>
    <w:rsid w:val="008670E3"/>
    <w:rsid w:val="00883478"/>
    <w:rsid w:val="008C58D9"/>
    <w:rsid w:val="008D0F4D"/>
    <w:rsid w:val="008D56E4"/>
    <w:rsid w:val="008F31E7"/>
    <w:rsid w:val="00924583"/>
    <w:rsid w:val="009469B7"/>
    <w:rsid w:val="0096099C"/>
    <w:rsid w:val="00972369"/>
    <w:rsid w:val="009A4502"/>
    <w:rsid w:val="009C0087"/>
    <w:rsid w:val="009C0F08"/>
    <w:rsid w:val="009E26D9"/>
    <w:rsid w:val="009E3E3D"/>
    <w:rsid w:val="009E649B"/>
    <w:rsid w:val="00A15687"/>
    <w:rsid w:val="00A2115D"/>
    <w:rsid w:val="00A32EB5"/>
    <w:rsid w:val="00A564BC"/>
    <w:rsid w:val="00A72A7C"/>
    <w:rsid w:val="00A81BE4"/>
    <w:rsid w:val="00AD2242"/>
    <w:rsid w:val="00AE31C0"/>
    <w:rsid w:val="00AE545B"/>
    <w:rsid w:val="00B11C7E"/>
    <w:rsid w:val="00B13F64"/>
    <w:rsid w:val="00B22CA7"/>
    <w:rsid w:val="00B23884"/>
    <w:rsid w:val="00B311C8"/>
    <w:rsid w:val="00B52D9E"/>
    <w:rsid w:val="00B7339A"/>
    <w:rsid w:val="00B85AB9"/>
    <w:rsid w:val="00BC1355"/>
    <w:rsid w:val="00BC1ABD"/>
    <w:rsid w:val="00BC3A24"/>
    <w:rsid w:val="00BD1492"/>
    <w:rsid w:val="00BF435A"/>
    <w:rsid w:val="00C05746"/>
    <w:rsid w:val="00C23377"/>
    <w:rsid w:val="00C31291"/>
    <w:rsid w:val="00C36DC6"/>
    <w:rsid w:val="00C372F8"/>
    <w:rsid w:val="00C42080"/>
    <w:rsid w:val="00C576A8"/>
    <w:rsid w:val="00C62818"/>
    <w:rsid w:val="00C71D23"/>
    <w:rsid w:val="00C756A5"/>
    <w:rsid w:val="00C75732"/>
    <w:rsid w:val="00C80E76"/>
    <w:rsid w:val="00C914DC"/>
    <w:rsid w:val="00CB31D6"/>
    <w:rsid w:val="00CF7599"/>
    <w:rsid w:val="00D07FB4"/>
    <w:rsid w:val="00D40539"/>
    <w:rsid w:val="00D409CA"/>
    <w:rsid w:val="00D57CC4"/>
    <w:rsid w:val="00D662B6"/>
    <w:rsid w:val="00DA0D8E"/>
    <w:rsid w:val="00DA25F6"/>
    <w:rsid w:val="00DA45ED"/>
    <w:rsid w:val="00DD7744"/>
    <w:rsid w:val="00E07BDC"/>
    <w:rsid w:val="00E14472"/>
    <w:rsid w:val="00E20328"/>
    <w:rsid w:val="00E20CA0"/>
    <w:rsid w:val="00E22B0C"/>
    <w:rsid w:val="00E36C70"/>
    <w:rsid w:val="00E74169"/>
    <w:rsid w:val="00EB2F02"/>
    <w:rsid w:val="00EE5E06"/>
    <w:rsid w:val="00F019D1"/>
    <w:rsid w:val="00F03C57"/>
    <w:rsid w:val="00F06BE2"/>
    <w:rsid w:val="00F6386E"/>
    <w:rsid w:val="00F8586A"/>
    <w:rsid w:val="00F91B4A"/>
    <w:rsid w:val="00FC0795"/>
    <w:rsid w:val="00FC508F"/>
    <w:rsid w:val="00FD31D6"/>
    <w:rsid w:val="00FE23D2"/>
    <w:rsid w:val="00FF0D72"/>
    <w:rsid w:val="440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733B"/>
  <w15:docId w15:val="{DC1C2A8F-7E8D-4267-8E82-46D14CC1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68E"/>
    <w:pPr>
      <w:ind w:left="720"/>
      <w:contextualSpacing/>
    </w:pPr>
  </w:style>
  <w:style w:type="paragraph" w:styleId="a4">
    <w:name w:val="Revision"/>
    <w:hidden/>
    <w:uiPriority w:val="99"/>
    <w:semiHidden/>
    <w:rsid w:val="00380A5C"/>
    <w:pPr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F0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03C57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a"/>
    <w:link w:val="EndNoteBibliographyTitleChar"/>
    <w:rsid w:val="003C6A2E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a0"/>
    <w:link w:val="EndNoteBibliographyTitle"/>
    <w:rsid w:val="003C6A2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a"/>
    <w:link w:val="EndNoteBibliographyChar"/>
    <w:rsid w:val="003C6A2E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a0"/>
    <w:link w:val="EndNoteBibliography"/>
    <w:rsid w:val="003C6A2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DD31-7DA3-427E-9CBE-8A51D136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3176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Pasioti</dc:creator>
  <cp:lastModifiedBy>Maria Pasioti</cp:lastModifiedBy>
  <cp:revision>3</cp:revision>
  <dcterms:created xsi:type="dcterms:W3CDTF">2023-08-01T07:40:00Z</dcterms:created>
  <dcterms:modified xsi:type="dcterms:W3CDTF">2023-10-02T14:00:00Z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92cabf20eb56003b4559941fd6829c667898a46b1b8c4470a076f58b5f0c77f5</vt:lpwstr>
  </property>
</Properties>
</file>