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B43B6" w14:textId="77777777" w:rsidR="00E042C1" w:rsidRDefault="00E042C1">
      <w:pPr>
        <w:jc w:val="both"/>
        <w:rPr>
          <w:b/>
          <w:sz w:val="44"/>
          <w:szCs w:val="44"/>
        </w:rPr>
      </w:pPr>
    </w:p>
    <w:p w14:paraId="702F89DA" w14:textId="77777777" w:rsidR="00E042C1" w:rsidRDefault="00E042C1">
      <w:pPr>
        <w:jc w:val="both"/>
        <w:rPr>
          <w:b/>
          <w:sz w:val="44"/>
          <w:szCs w:val="44"/>
        </w:rPr>
      </w:pPr>
    </w:p>
    <w:p w14:paraId="00000001" w14:textId="5E1C49FD" w:rsidR="00740C0C" w:rsidRPr="00E042C1" w:rsidRDefault="000452B5" w:rsidP="00E042C1">
      <w:pPr>
        <w:jc w:val="center"/>
        <w:rPr>
          <w:b/>
          <w:sz w:val="44"/>
          <w:szCs w:val="44"/>
        </w:rPr>
      </w:pPr>
      <w:r>
        <w:rPr>
          <w:b/>
          <w:sz w:val="44"/>
          <w:szCs w:val="44"/>
        </w:rPr>
        <w:t xml:space="preserve">Case Report of </w:t>
      </w:r>
      <w:r w:rsidR="00A622BB" w:rsidRPr="00E042C1">
        <w:rPr>
          <w:b/>
          <w:sz w:val="44"/>
          <w:szCs w:val="44"/>
        </w:rPr>
        <w:t>C</w:t>
      </w:r>
      <w:r>
        <w:rPr>
          <w:b/>
          <w:sz w:val="44"/>
          <w:szCs w:val="44"/>
        </w:rPr>
        <w:t>hronic</w:t>
      </w:r>
      <w:r w:rsidR="00E042C1">
        <w:rPr>
          <w:b/>
          <w:sz w:val="44"/>
          <w:szCs w:val="44"/>
        </w:rPr>
        <w:t xml:space="preserve"> </w:t>
      </w:r>
      <w:r w:rsidR="00A622BB" w:rsidRPr="00E042C1">
        <w:rPr>
          <w:b/>
          <w:sz w:val="44"/>
          <w:szCs w:val="44"/>
        </w:rPr>
        <w:t>E</w:t>
      </w:r>
      <w:r>
        <w:rPr>
          <w:b/>
          <w:sz w:val="44"/>
          <w:szCs w:val="44"/>
        </w:rPr>
        <w:t>osinophilic</w:t>
      </w:r>
      <w:r w:rsidR="00A622BB" w:rsidRPr="00E042C1">
        <w:rPr>
          <w:b/>
          <w:sz w:val="44"/>
          <w:szCs w:val="44"/>
        </w:rPr>
        <w:t xml:space="preserve"> L</w:t>
      </w:r>
      <w:r>
        <w:rPr>
          <w:b/>
          <w:sz w:val="44"/>
          <w:szCs w:val="44"/>
        </w:rPr>
        <w:t>eukemia</w:t>
      </w:r>
      <w:r w:rsidR="00A622BB" w:rsidRPr="00E042C1">
        <w:rPr>
          <w:b/>
          <w:sz w:val="44"/>
          <w:szCs w:val="44"/>
        </w:rPr>
        <w:t xml:space="preserve"> A</w:t>
      </w:r>
      <w:r>
        <w:rPr>
          <w:b/>
          <w:sz w:val="44"/>
          <w:szCs w:val="44"/>
        </w:rPr>
        <w:t>ssociated</w:t>
      </w:r>
      <w:r w:rsidR="00A622BB" w:rsidRPr="00E042C1">
        <w:rPr>
          <w:b/>
          <w:sz w:val="44"/>
          <w:szCs w:val="44"/>
        </w:rPr>
        <w:t xml:space="preserve"> </w:t>
      </w:r>
      <w:r w:rsidRPr="00E042C1">
        <w:rPr>
          <w:b/>
          <w:sz w:val="44"/>
          <w:szCs w:val="44"/>
        </w:rPr>
        <w:t>with</w:t>
      </w:r>
      <w:r w:rsidR="00A622BB" w:rsidRPr="00E042C1">
        <w:rPr>
          <w:b/>
          <w:sz w:val="44"/>
          <w:szCs w:val="44"/>
        </w:rPr>
        <w:t xml:space="preserve"> L</w:t>
      </w:r>
      <w:r>
        <w:rPr>
          <w:b/>
          <w:sz w:val="44"/>
          <w:szCs w:val="44"/>
        </w:rPr>
        <w:t>ong</w:t>
      </w:r>
      <w:r w:rsidR="00A622BB" w:rsidRPr="00E042C1">
        <w:rPr>
          <w:b/>
          <w:sz w:val="44"/>
          <w:szCs w:val="44"/>
        </w:rPr>
        <w:t>-T</w:t>
      </w:r>
      <w:r>
        <w:rPr>
          <w:b/>
          <w:sz w:val="44"/>
          <w:szCs w:val="44"/>
        </w:rPr>
        <w:t>erm</w:t>
      </w:r>
      <w:r w:rsidR="00A622BB" w:rsidRPr="00E042C1">
        <w:rPr>
          <w:b/>
          <w:sz w:val="44"/>
          <w:szCs w:val="44"/>
        </w:rPr>
        <w:t xml:space="preserve"> U</w:t>
      </w:r>
      <w:r>
        <w:rPr>
          <w:b/>
          <w:sz w:val="44"/>
          <w:szCs w:val="44"/>
        </w:rPr>
        <w:t>se</w:t>
      </w:r>
      <w:r w:rsidR="00A622BB" w:rsidRPr="00E042C1">
        <w:rPr>
          <w:b/>
          <w:sz w:val="44"/>
          <w:szCs w:val="44"/>
        </w:rPr>
        <w:t xml:space="preserve"> </w:t>
      </w:r>
      <w:r>
        <w:rPr>
          <w:b/>
          <w:sz w:val="44"/>
          <w:szCs w:val="44"/>
        </w:rPr>
        <w:t>of</w:t>
      </w:r>
      <w:r w:rsidR="00A622BB" w:rsidRPr="00E042C1">
        <w:rPr>
          <w:b/>
          <w:sz w:val="44"/>
          <w:szCs w:val="44"/>
        </w:rPr>
        <w:t xml:space="preserve"> I</w:t>
      </w:r>
      <w:r>
        <w:rPr>
          <w:b/>
          <w:sz w:val="44"/>
          <w:szCs w:val="44"/>
        </w:rPr>
        <w:t>nfliximab</w:t>
      </w:r>
    </w:p>
    <w:p w14:paraId="00000002" w14:textId="77777777" w:rsidR="00740C0C" w:rsidRDefault="00740C0C" w:rsidP="00E042C1">
      <w:pPr>
        <w:jc w:val="center"/>
      </w:pPr>
    </w:p>
    <w:p w14:paraId="5725655B" w14:textId="77777777" w:rsidR="00E042C1" w:rsidRDefault="00E042C1" w:rsidP="00E042C1">
      <w:pPr>
        <w:spacing w:line="480" w:lineRule="auto"/>
        <w:jc w:val="center"/>
      </w:pPr>
    </w:p>
    <w:p w14:paraId="6A87148F" w14:textId="77777777" w:rsidR="00CF7BCB" w:rsidRPr="00AE368D" w:rsidRDefault="00CF7BCB" w:rsidP="00CF7BCB">
      <w:pPr>
        <w:ind w:firstLine="720"/>
        <w:jc w:val="both"/>
        <w:rPr>
          <w:color w:val="000000" w:themeColor="text1"/>
        </w:rPr>
      </w:pPr>
    </w:p>
    <w:p w14:paraId="5B2CA5A3" w14:textId="77777777" w:rsidR="00CF7BCB" w:rsidRDefault="00CF7BCB" w:rsidP="00CF7BCB">
      <w:pPr>
        <w:ind w:firstLine="720"/>
        <w:jc w:val="center"/>
        <w:rPr>
          <w:color w:val="000000" w:themeColor="text1"/>
          <w:sz w:val="28"/>
          <w:szCs w:val="28"/>
        </w:rPr>
      </w:pPr>
      <w:r w:rsidRPr="00AE368D">
        <w:rPr>
          <w:b/>
          <w:color w:val="000000" w:themeColor="text1"/>
          <w:sz w:val="28"/>
          <w:szCs w:val="28"/>
        </w:rPr>
        <w:t>Authors:</w:t>
      </w:r>
      <w:r w:rsidRPr="00B46AB9">
        <w:rPr>
          <w:color w:val="000000" w:themeColor="text1"/>
          <w:sz w:val="28"/>
          <w:szCs w:val="28"/>
        </w:rPr>
        <w:t xml:space="preserve"> </w:t>
      </w:r>
    </w:p>
    <w:p w14:paraId="6E13873B" w14:textId="09B6E313" w:rsidR="005D5F66" w:rsidRDefault="005D5F66" w:rsidP="00CF7BCB">
      <w:pPr>
        <w:ind w:firstLine="720"/>
        <w:jc w:val="center"/>
        <w:rPr>
          <w:color w:val="000000" w:themeColor="text1"/>
          <w:sz w:val="28"/>
          <w:szCs w:val="28"/>
        </w:rPr>
      </w:pPr>
      <w:r>
        <w:rPr>
          <w:color w:val="000000" w:themeColor="text1"/>
          <w:sz w:val="28"/>
          <w:szCs w:val="28"/>
        </w:rPr>
        <w:t>William Morse</w:t>
      </w:r>
      <w:r w:rsidRPr="00AE368D">
        <w:rPr>
          <w:color w:val="000000" w:themeColor="text1"/>
          <w:sz w:val="28"/>
          <w:szCs w:val="28"/>
        </w:rPr>
        <w:t xml:space="preserve"> </w:t>
      </w:r>
      <w:r>
        <w:rPr>
          <w:color w:val="000000" w:themeColor="text1"/>
          <w:sz w:val="28"/>
          <w:szCs w:val="28"/>
        </w:rPr>
        <w:t>medical student</w:t>
      </w:r>
      <w:r>
        <w:rPr>
          <w:color w:val="000000" w:themeColor="text1"/>
          <w:sz w:val="28"/>
          <w:szCs w:val="28"/>
          <w:vertAlign w:val="superscript"/>
        </w:rPr>
        <w:t>1</w:t>
      </w:r>
    </w:p>
    <w:p w14:paraId="5ADB4970" w14:textId="3FDB4761" w:rsidR="00CF7BCB" w:rsidRPr="00AE368D" w:rsidRDefault="00CF7BCB" w:rsidP="004A474C">
      <w:pPr>
        <w:ind w:firstLine="720"/>
        <w:jc w:val="center"/>
        <w:rPr>
          <w:color w:val="000000" w:themeColor="text1"/>
          <w:sz w:val="28"/>
          <w:szCs w:val="28"/>
          <w:vertAlign w:val="superscript"/>
        </w:rPr>
      </w:pPr>
      <w:r>
        <w:rPr>
          <w:color w:val="000000" w:themeColor="text1"/>
          <w:sz w:val="28"/>
          <w:szCs w:val="28"/>
        </w:rPr>
        <w:t>Haroon Nawaz</w:t>
      </w:r>
      <w:r w:rsidRPr="00AE368D">
        <w:rPr>
          <w:color w:val="000000" w:themeColor="text1"/>
          <w:sz w:val="28"/>
          <w:szCs w:val="28"/>
        </w:rPr>
        <w:t xml:space="preserve"> MD</w:t>
      </w:r>
      <w:r w:rsidR="005D5F66">
        <w:rPr>
          <w:color w:val="000000" w:themeColor="text1"/>
          <w:sz w:val="28"/>
          <w:szCs w:val="28"/>
          <w:vertAlign w:val="superscript"/>
        </w:rPr>
        <w:t>2</w:t>
      </w:r>
    </w:p>
    <w:p w14:paraId="299D24C2" w14:textId="034212D7" w:rsidR="00CF7BCB" w:rsidRPr="00B46AB9" w:rsidRDefault="00CF7BCB" w:rsidP="00CF7BCB">
      <w:pPr>
        <w:ind w:firstLine="720"/>
        <w:jc w:val="center"/>
        <w:rPr>
          <w:color w:val="000000" w:themeColor="text1"/>
          <w:sz w:val="28"/>
          <w:szCs w:val="28"/>
          <w:vertAlign w:val="superscript"/>
        </w:rPr>
      </w:pPr>
      <w:proofErr w:type="spellStart"/>
      <w:proofErr w:type="gramStart"/>
      <w:r>
        <w:rPr>
          <w:color w:val="000000" w:themeColor="text1"/>
          <w:sz w:val="28"/>
          <w:szCs w:val="28"/>
        </w:rPr>
        <w:t>Ayesha.A.Choudhry</w:t>
      </w:r>
      <w:proofErr w:type="spellEnd"/>
      <w:proofErr w:type="gramEnd"/>
      <w:r>
        <w:rPr>
          <w:color w:val="000000" w:themeColor="text1"/>
          <w:sz w:val="28"/>
          <w:szCs w:val="28"/>
        </w:rPr>
        <w:t xml:space="preserve"> </w:t>
      </w:r>
      <w:r w:rsidRPr="00B46AB9">
        <w:rPr>
          <w:color w:val="000000" w:themeColor="text1"/>
          <w:sz w:val="28"/>
          <w:szCs w:val="28"/>
        </w:rPr>
        <w:t>MBBS</w:t>
      </w:r>
      <w:r w:rsidR="005D5F66">
        <w:rPr>
          <w:color w:val="000000" w:themeColor="text1"/>
          <w:sz w:val="28"/>
          <w:szCs w:val="28"/>
          <w:vertAlign w:val="superscript"/>
        </w:rPr>
        <w:t>3</w:t>
      </w:r>
    </w:p>
    <w:p w14:paraId="446314FF" w14:textId="78854E46" w:rsidR="00E20C1D" w:rsidRPr="00B46AB9" w:rsidRDefault="00E20C1D" w:rsidP="00CF7BCB">
      <w:pPr>
        <w:ind w:firstLine="720"/>
        <w:jc w:val="center"/>
        <w:rPr>
          <w:color w:val="000000" w:themeColor="text1"/>
          <w:sz w:val="28"/>
          <w:szCs w:val="28"/>
          <w:vertAlign w:val="superscript"/>
        </w:rPr>
      </w:pPr>
    </w:p>
    <w:p w14:paraId="38F2F2EB" w14:textId="77777777" w:rsidR="00CF7BCB" w:rsidRPr="00AE368D" w:rsidRDefault="00CF7BCB" w:rsidP="00CF7BCB">
      <w:pPr>
        <w:ind w:firstLine="720"/>
        <w:jc w:val="center"/>
        <w:rPr>
          <w:color w:val="000000" w:themeColor="text1"/>
          <w:sz w:val="28"/>
          <w:szCs w:val="28"/>
          <w:vertAlign w:val="superscript"/>
        </w:rPr>
      </w:pPr>
    </w:p>
    <w:p w14:paraId="5B5DE1BC" w14:textId="77777777" w:rsidR="00CF7BCB" w:rsidRPr="0033233D" w:rsidRDefault="00CF7BCB" w:rsidP="00CF7BCB">
      <w:pPr>
        <w:ind w:firstLine="720"/>
        <w:jc w:val="center"/>
        <w:rPr>
          <w:color w:val="000000" w:themeColor="text1"/>
          <w:sz w:val="28"/>
          <w:szCs w:val="28"/>
          <w:vertAlign w:val="superscript"/>
        </w:rPr>
      </w:pPr>
    </w:p>
    <w:p w14:paraId="3BA9C443" w14:textId="77777777" w:rsidR="00CF7BCB" w:rsidRPr="00AE368D" w:rsidRDefault="00CF7BCB" w:rsidP="00CF7BCB">
      <w:pPr>
        <w:ind w:firstLine="720"/>
        <w:rPr>
          <w:color w:val="000000" w:themeColor="text1"/>
          <w:sz w:val="28"/>
          <w:szCs w:val="28"/>
        </w:rPr>
      </w:pPr>
    </w:p>
    <w:p w14:paraId="7ADB0572" w14:textId="657C86C5" w:rsidR="00CF7BCB" w:rsidRPr="005D5F66" w:rsidRDefault="005D5F66" w:rsidP="005D5F66">
      <w:pPr>
        <w:ind w:firstLine="720"/>
        <w:jc w:val="center"/>
        <w:rPr>
          <w:color w:val="000000" w:themeColor="text1"/>
          <w:sz w:val="28"/>
          <w:szCs w:val="28"/>
          <w:vertAlign w:val="superscript"/>
        </w:rPr>
      </w:pPr>
      <w:r>
        <w:rPr>
          <w:color w:val="000000" w:themeColor="text1"/>
          <w:sz w:val="28"/>
          <w:szCs w:val="28"/>
        </w:rPr>
        <w:t>Ross University School of Medicine</w:t>
      </w:r>
      <w:r>
        <w:rPr>
          <w:color w:val="000000" w:themeColor="text1"/>
          <w:sz w:val="28"/>
          <w:szCs w:val="28"/>
          <w:vertAlign w:val="superscript"/>
        </w:rPr>
        <w:t>1</w:t>
      </w:r>
    </w:p>
    <w:p w14:paraId="47BF9FE5" w14:textId="5C9B9173" w:rsidR="005D5F66" w:rsidRPr="00AE368D" w:rsidRDefault="005D5F66" w:rsidP="005D5F66">
      <w:pPr>
        <w:ind w:firstLine="720"/>
        <w:jc w:val="center"/>
        <w:rPr>
          <w:color w:val="000000" w:themeColor="text1"/>
          <w:sz w:val="28"/>
          <w:szCs w:val="28"/>
        </w:rPr>
      </w:pPr>
      <w:r>
        <w:rPr>
          <w:color w:val="000000" w:themeColor="text1"/>
          <w:sz w:val="28"/>
          <w:szCs w:val="28"/>
        </w:rPr>
        <w:t>Westside Regional Medical Center</w:t>
      </w:r>
      <w:r>
        <w:rPr>
          <w:color w:val="000000" w:themeColor="text1"/>
          <w:sz w:val="28"/>
          <w:szCs w:val="28"/>
          <w:vertAlign w:val="superscript"/>
        </w:rPr>
        <w:t>2</w:t>
      </w:r>
    </w:p>
    <w:p w14:paraId="2E6FD5E5" w14:textId="6B4EAFD6" w:rsidR="005D5F66" w:rsidRPr="00AE368D" w:rsidRDefault="005D5F66" w:rsidP="005D5F66">
      <w:pPr>
        <w:ind w:firstLine="720"/>
        <w:jc w:val="center"/>
        <w:rPr>
          <w:color w:val="000000" w:themeColor="text1"/>
          <w:sz w:val="28"/>
          <w:szCs w:val="28"/>
        </w:rPr>
      </w:pPr>
      <w:r>
        <w:rPr>
          <w:color w:val="000000" w:themeColor="text1"/>
          <w:sz w:val="28"/>
          <w:szCs w:val="28"/>
        </w:rPr>
        <w:t>Fatima Jinnah Medical University</w:t>
      </w:r>
      <w:r>
        <w:rPr>
          <w:color w:val="000000" w:themeColor="text1"/>
          <w:sz w:val="28"/>
          <w:szCs w:val="28"/>
          <w:vertAlign w:val="superscript"/>
        </w:rPr>
        <w:t>3</w:t>
      </w:r>
    </w:p>
    <w:p w14:paraId="26BF6B18" w14:textId="46FA738F" w:rsidR="00EA551E" w:rsidRDefault="00EA551E" w:rsidP="00E20C1D">
      <w:pPr>
        <w:ind w:firstLine="720"/>
        <w:jc w:val="center"/>
        <w:rPr>
          <w:color w:val="000000" w:themeColor="text1"/>
          <w:sz w:val="28"/>
          <w:szCs w:val="28"/>
        </w:rPr>
      </w:pPr>
    </w:p>
    <w:p w14:paraId="11300B58" w14:textId="77777777" w:rsidR="005D5F66" w:rsidRPr="00AE368D" w:rsidRDefault="005D5F66" w:rsidP="00E20C1D">
      <w:pPr>
        <w:ind w:firstLine="720"/>
        <w:jc w:val="center"/>
        <w:rPr>
          <w:color w:val="000000" w:themeColor="text1"/>
          <w:sz w:val="28"/>
          <w:szCs w:val="28"/>
        </w:rPr>
      </w:pPr>
    </w:p>
    <w:p w14:paraId="07EEA0D7" w14:textId="77777777" w:rsidR="00EA551E" w:rsidRDefault="00EA551E" w:rsidP="00EA551E">
      <w:pPr>
        <w:rPr>
          <w:rFonts w:ascii="Arial" w:hAnsi="Arial" w:cs="Arial"/>
          <w:color w:val="000000" w:themeColor="text1"/>
          <w:sz w:val="28"/>
          <w:szCs w:val="28"/>
        </w:rPr>
      </w:pPr>
    </w:p>
    <w:p w14:paraId="4EF685A5" w14:textId="5F9EDF36" w:rsidR="003B7A40" w:rsidRDefault="003B7A40" w:rsidP="003B7A40">
      <w:pPr>
        <w:jc w:val="center"/>
        <w:rPr>
          <w:color w:val="000000" w:themeColor="text1"/>
          <w:sz w:val="28"/>
          <w:szCs w:val="28"/>
          <w:shd w:val="clear" w:color="auto" w:fill="FFFFFF"/>
        </w:rPr>
      </w:pPr>
      <w:proofErr w:type="spellStart"/>
      <w:r w:rsidRPr="00EA551E">
        <w:rPr>
          <w:color w:val="000000" w:themeColor="text1"/>
          <w:sz w:val="28"/>
          <w:szCs w:val="28"/>
        </w:rPr>
        <w:t>Orcid</w:t>
      </w:r>
      <w:proofErr w:type="spellEnd"/>
      <w:r w:rsidRPr="00EA551E">
        <w:rPr>
          <w:color w:val="000000" w:themeColor="text1"/>
          <w:sz w:val="28"/>
          <w:szCs w:val="28"/>
        </w:rPr>
        <w:t xml:space="preserve"> ID</w:t>
      </w:r>
      <w:r>
        <w:rPr>
          <w:color w:val="000000" w:themeColor="text1"/>
          <w:sz w:val="28"/>
          <w:szCs w:val="28"/>
          <w:vertAlign w:val="superscript"/>
        </w:rPr>
        <w:t>1</w:t>
      </w:r>
      <w:r w:rsidRPr="00EA551E">
        <w:rPr>
          <w:color w:val="000000" w:themeColor="text1"/>
          <w:sz w:val="28"/>
          <w:szCs w:val="28"/>
        </w:rPr>
        <w:t xml:space="preserve"> # </w:t>
      </w:r>
      <w:r w:rsidRPr="00EA551E">
        <w:rPr>
          <w:color w:val="000000" w:themeColor="text1"/>
          <w:sz w:val="28"/>
          <w:szCs w:val="28"/>
          <w:shd w:val="clear" w:color="auto" w:fill="FFFFFF"/>
        </w:rPr>
        <w:t>0000-0002-5552-4990</w:t>
      </w:r>
    </w:p>
    <w:p w14:paraId="4D3ED9E8" w14:textId="77777777" w:rsidR="003B7A40" w:rsidRPr="00EA551E" w:rsidRDefault="003B7A40" w:rsidP="003B7A40">
      <w:pPr>
        <w:jc w:val="center"/>
        <w:rPr>
          <w:color w:val="000000" w:themeColor="text1"/>
          <w:sz w:val="28"/>
          <w:szCs w:val="28"/>
          <w:shd w:val="clear" w:color="auto" w:fill="FFFFFF"/>
        </w:rPr>
      </w:pPr>
      <w:proofErr w:type="spellStart"/>
      <w:r w:rsidRPr="00EA551E">
        <w:rPr>
          <w:color w:val="000000" w:themeColor="text1"/>
          <w:sz w:val="28"/>
          <w:szCs w:val="28"/>
        </w:rPr>
        <w:t>Orcid</w:t>
      </w:r>
      <w:proofErr w:type="spellEnd"/>
      <w:r w:rsidRPr="00EA551E">
        <w:rPr>
          <w:color w:val="000000" w:themeColor="text1"/>
          <w:sz w:val="28"/>
          <w:szCs w:val="28"/>
        </w:rPr>
        <w:t xml:space="preserve"> ID</w:t>
      </w:r>
      <w:r>
        <w:rPr>
          <w:color w:val="000000" w:themeColor="text1"/>
          <w:sz w:val="28"/>
          <w:szCs w:val="28"/>
          <w:vertAlign w:val="superscript"/>
        </w:rPr>
        <w:t>3</w:t>
      </w:r>
      <w:r w:rsidRPr="00EA551E">
        <w:rPr>
          <w:color w:val="000000" w:themeColor="text1"/>
          <w:sz w:val="28"/>
          <w:szCs w:val="28"/>
        </w:rPr>
        <w:t xml:space="preserve"> # </w:t>
      </w:r>
      <w:r w:rsidRPr="00EA551E">
        <w:rPr>
          <w:color w:val="000000" w:themeColor="text1"/>
          <w:sz w:val="28"/>
          <w:szCs w:val="28"/>
          <w:shd w:val="clear" w:color="auto" w:fill="FFFFFF"/>
        </w:rPr>
        <w:t>0000-0002-0039-0163</w:t>
      </w:r>
    </w:p>
    <w:p w14:paraId="12AF9775" w14:textId="02EEA074" w:rsidR="00E20C1D" w:rsidRPr="00EA551E" w:rsidRDefault="00EA551E" w:rsidP="003B7A40">
      <w:pPr>
        <w:jc w:val="center"/>
        <w:rPr>
          <w:color w:val="000000" w:themeColor="text1"/>
          <w:sz w:val="28"/>
          <w:szCs w:val="28"/>
        </w:rPr>
      </w:pPr>
      <w:proofErr w:type="spellStart"/>
      <w:r w:rsidRPr="00EA551E">
        <w:rPr>
          <w:color w:val="000000" w:themeColor="text1"/>
          <w:sz w:val="28"/>
          <w:szCs w:val="28"/>
        </w:rPr>
        <w:t>Orcid</w:t>
      </w:r>
      <w:proofErr w:type="spellEnd"/>
      <w:r w:rsidRPr="00EA551E">
        <w:rPr>
          <w:color w:val="000000" w:themeColor="text1"/>
          <w:sz w:val="28"/>
          <w:szCs w:val="28"/>
        </w:rPr>
        <w:t xml:space="preserve"> ID</w:t>
      </w:r>
      <w:r w:rsidR="003B7A40">
        <w:rPr>
          <w:color w:val="000000" w:themeColor="text1"/>
          <w:sz w:val="28"/>
          <w:szCs w:val="28"/>
          <w:vertAlign w:val="superscript"/>
        </w:rPr>
        <w:t>3</w:t>
      </w:r>
      <w:r w:rsidRPr="00EA551E">
        <w:rPr>
          <w:color w:val="000000" w:themeColor="text1"/>
          <w:sz w:val="28"/>
          <w:szCs w:val="28"/>
        </w:rPr>
        <w:t xml:space="preserve"> # 0000-0002-2430-6448</w:t>
      </w:r>
    </w:p>
    <w:p w14:paraId="4A600FBA" w14:textId="77777777" w:rsidR="003B7A40" w:rsidRPr="00EA551E" w:rsidRDefault="003B7A40" w:rsidP="00EA551E">
      <w:pPr>
        <w:jc w:val="center"/>
        <w:rPr>
          <w:color w:val="000000" w:themeColor="text1"/>
          <w:sz w:val="28"/>
          <w:szCs w:val="28"/>
          <w:shd w:val="clear" w:color="auto" w:fill="FFFFFF"/>
        </w:rPr>
      </w:pPr>
    </w:p>
    <w:p w14:paraId="79684730" w14:textId="69073BC3" w:rsidR="00EA551E" w:rsidRPr="00EA551E" w:rsidRDefault="00EA551E" w:rsidP="00EA551E">
      <w:pPr>
        <w:jc w:val="center"/>
        <w:rPr>
          <w:rFonts w:ascii="Arial" w:hAnsi="Arial" w:cs="Arial"/>
          <w:sz w:val="28"/>
          <w:szCs w:val="28"/>
        </w:rPr>
      </w:pPr>
    </w:p>
    <w:p w14:paraId="26F81F99" w14:textId="43A6C217" w:rsidR="00EA551E" w:rsidRPr="00E20C1D" w:rsidRDefault="00EA551E" w:rsidP="00CF7BCB">
      <w:pPr>
        <w:ind w:firstLine="720"/>
        <w:jc w:val="center"/>
        <w:rPr>
          <w:color w:val="000000" w:themeColor="text1"/>
          <w:sz w:val="28"/>
          <w:szCs w:val="28"/>
        </w:rPr>
      </w:pPr>
    </w:p>
    <w:p w14:paraId="079B3C02" w14:textId="708C2176" w:rsidR="00CF7BCB" w:rsidRPr="00AE368D" w:rsidRDefault="00CF7BCB" w:rsidP="00CF7BCB">
      <w:pPr>
        <w:ind w:firstLine="720"/>
        <w:jc w:val="center"/>
        <w:rPr>
          <w:color w:val="000000" w:themeColor="text1"/>
          <w:sz w:val="28"/>
          <w:szCs w:val="28"/>
        </w:rPr>
      </w:pPr>
    </w:p>
    <w:p w14:paraId="6959C8FA" w14:textId="77777777" w:rsidR="00CF7BCB" w:rsidRPr="00AE368D" w:rsidRDefault="00CF7BCB" w:rsidP="00CF7BCB">
      <w:pPr>
        <w:ind w:firstLine="720"/>
        <w:jc w:val="center"/>
        <w:rPr>
          <w:color w:val="000000" w:themeColor="text1"/>
          <w:sz w:val="28"/>
          <w:szCs w:val="28"/>
        </w:rPr>
      </w:pPr>
      <w:r w:rsidRPr="00AE368D">
        <w:rPr>
          <w:color w:val="000000" w:themeColor="text1"/>
          <w:sz w:val="28"/>
          <w:szCs w:val="28"/>
        </w:rPr>
        <w:t>Conflicts of Interest: none</w:t>
      </w:r>
    </w:p>
    <w:p w14:paraId="34801E20" w14:textId="77777777" w:rsidR="00CF7BCB" w:rsidRPr="00AE368D" w:rsidRDefault="00CF7BCB" w:rsidP="00CF7BCB">
      <w:pPr>
        <w:ind w:firstLine="720"/>
        <w:jc w:val="center"/>
        <w:rPr>
          <w:color w:val="000000" w:themeColor="text1"/>
          <w:sz w:val="28"/>
          <w:szCs w:val="28"/>
        </w:rPr>
      </w:pPr>
      <w:r w:rsidRPr="00AE368D">
        <w:rPr>
          <w:color w:val="000000" w:themeColor="text1"/>
          <w:sz w:val="28"/>
          <w:szCs w:val="28"/>
        </w:rPr>
        <w:t>Funding disclosure: none</w:t>
      </w:r>
    </w:p>
    <w:p w14:paraId="32107C68" w14:textId="5CB80793" w:rsidR="00CF7BCB" w:rsidRPr="00AE368D" w:rsidRDefault="00CF7BCB" w:rsidP="001C4C07">
      <w:pPr>
        <w:rPr>
          <w:color w:val="000000" w:themeColor="text1"/>
          <w:sz w:val="28"/>
          <w:szCs w:val="28"/>
        </w:rPr>
      </w:pPr>
      <w:r w:rsidRPr="00AE368D">
        <w:rPr>
          <w:color w:val="000000" w:themeColor="text1"/>
          <w:sz w:val="28"/>
          <w:szCs w:val="28"/>
        </w:rPr>
        <w:t>Consent: Written informed consent</w:t>
      </w:r>
      <w:r w:rsidR="001C4C07">
        <w:rPr>
          <w:color w:val="000000" w:themeColor="text1"/>
          <w:sz w:val="28"/>
          <w:szCs w:val="28"/>
        </w:rPr>
        <w:t xml:space="preserve"> was obtained by the patient from the patient to publish this report in accordance with the journals patient consent policy</w:t>
      </w:r>
    </w:p>
    <w:p w14:paraId="3D815FE6" w14:textId="77777777" w:rsidR="00CF7BCB" w:rsidRPr="00AE368D" w:rsidRDefault="00CF7BCB" w:rsidP="00CF7BCB">
      <w:pPr>
        <w:ind w:firstLine="720"/>
        <w:jc w:val="center"/>
        <w:rPr>
          <w:color w:val="000000" w:themeColor="text1"/>
          <w:sz w:val="28"/>
          <w:szCs w:val="28"/>
        </w:rPr>
      </w:pPr>
    </w:p>
    <w:p w14:paraId="264977D3" w14:textId="77777777" w:rsidR="00CF7BCB" w:rsidRPr="00AE368D" w:rsidRDefault="00CF7BCB" w:rsidP="00CF7BCB">
      <w:pPr>
        <w:ind w:firstLine="720"/>
        <w:jc w:val="both"/>
        <w:rPr>
          <w:color w:val="000000" w:themeColor="text1"/>
          <w:sz w:val="28"/>
          <w:szCs w:val="28"/>
        </w:rPr>
      </w:pPr>
    </w:p>
    <w:p w14:paraId="08CF0AC9" w14:textId="77777777" w:rsidR="00E20C1D" w:rsidRDefault="00E20C1D" w:rsidP="00E20C1D">
      <w:pPr>
        <w:spacing w:line="480" w:lineRule="auto"/>
      </w:pPr>
    </w:p>
    <w:p w14:paraId="5A7349EF" w14:textId="77777777" w:rsidR="006633E3" w:rsidRDefault="006633E3" w:rsidP="00E20C1D">
      <w:pPr>
        <w:spacing w:line="480" w:lineRule="auto"/>
        <w:jc w:val="center"/>
        <w:rPr>
          <w:b/>
          <w:bCs/>
        </w:rPr>
      </w:pPr>
    </w:p>
    <w:p w14:paraId="12223FE8" w14:textId="77777777" w:rsidR="005D5F66" w:rsidRDefault="005D5F66" w:rsidP="00E20C1D">
      <w:pPr>
        <w:spacing w:line="480" w:lineRule="auto"/>
        <w:jc w:val="center"/>
        <w:rPr>
          <w:b/>
          <w:bCs/>
        </w:rPr>
      </w:pPr>
    </w:p>
    <w:p w14:paraId="533B3A20" w14:textId="44BC980F" w:rsidR="00CF7BCB" w:rsidRPr="000452B5" w:rsidRDefault="00E042C1" w:rsidP="00E20C1D">
      <w:pPr>
        <w:spacing w:line="480" w:lineRule="auto"/>
        <w:jc w:val="center"/>
      </w:pPr>
      <w:r w:rsidRPr="00E042C1">
        <w:rPr>
          <w:b/>
          <w:bCs/>
        </w:rPr>
        <w:t xml:space="preserve">Word count: </w:t>
      </w:r>
      <w:r w:rsidR="00041938">
        <w:t>1030</w:t>
      </w:r>
    </w:p>
    <w:p w14:paraId="00000005" w14:textId="6BD729F5" w:rsidR="00740C0C" w:rsidRPr="00041938" w:rsidRDefault="00A622BB" w:rsidP="00041938">
      <w:pPr>
        <w:spacing w:line="480" w:lineRule="auto"/>
      </w:pPr>
      <w:r w:rsidRPr="00041938">
        <w:rPr>
          <w:b/>
        </w:rPr>
        <w:t>Abstract</w:t>
      </w:r>
      <w:r w:rsidRPr="00041938">
        <w:t>:</w:t>
      </w:r>
      <w:r w:rsidR="001C1BD6" w:rsidRPr="00041938">
        <w:t xml:space="preserve"> </w:t>
      </w:r>
    </w:p>
    <w:p w14:paraId="00000006" w14:textId="0E3CAB45" w:rsidR="00740C0C" w:rsidRPr="00041938" w:rsidRDefault="00A622BB" w:rsidP="001C1BD6">
      <w:pPr>
        <w:ind w:firstLine="720"/>
        <w:jc w:val="both"/>
      </w:pPr>
      <w:r w:rsidRPr="00041938">
        <w:t xml:space="preserve">Hypereosinophilic syndrome (HES) is a rare condition in which the quantity of eosinophils in the body’s blood and tissues increases substantially. </w:t>
      </w:r>
      <w:proofErr w:type="spellStart"/>
      <w:r w:rsidR="006633E3" w:rsidRPr="00041938">
        <w:t>Hypereosinophilic</w:t>
      </w:r>
      <w:proofErr w:type="spellEnd"/>
      <w:r w:rsidR="006633E3" w:rsidRPr="00041938">
        <w:t xml:space="preserve"> syndrome</w:t>
      </w:r>
      <w:r w:rsidRPr="00041938">
        <w:t xml:space="preserve"> can often go underdiagnosed as the symptoms</w:t>
      </w:r>
      <w:r w:rsidR="006633E3">
        <w:t xml:space="preserve"> </w:t>
      </w:r>
      <w:r w:rsidRPr="00041938">
        <w:t xml:space="preserve">such as cough, malaise, chills, night sweat, and flu-like symptoms can often be attributed to allergic causes. We present a patient who has been diagnosed with </w:t>
      </w:r>
      <w:proofErr w:type="spellStart"/>
      <w:r w:rsidR="006633E3" w:rsidRPr="00041938">
        <w:t>Hypereosinophilic</w:t>
      </w:r>
      <w:proofErr w:type="spellEnd"/>
      <w:r w:rsidR="006633E3" w:rsidRPr="00041938">
        <w:t xml:space="preserve"> syndrome</w:t>
      </w:r>
      <w:r w:rsidRPr="00041938">
        <w:t>, later determined to be chronic eosinophilic leukemia, after long-term treatment with infliximab for ulcerative colitis. Follow</w:t>
      </w:r>
      <w:r w:rsidR="00390374">
        <w:t>-</w:t>
      </w:r>
      <w:r w:rsidRPr="00041938">
        <w:t>up immunochemistry showed that discontinuation of infliximab improved the polyclonality of eosinophils in our patient. Further research and reported cases will help us better understand this relationship.</w:t>
      </w:r>
    </w:p>
    <w:p w14:paraId="725FADF6" w14:textId="77777777" w:rsidR="001C1BD6" w:rsidRPr="00041938" w:rsidRDefault="001C1BD6">
      <w:pPr>
        <w:jc w:val="both"/>
      </w:pPr>
    </w:p>
    <w:p w14:paraId="00000007" w14:textId="77777777" w:rsidR="00740C0C" w:rsidRPr="00041938" w:rsidRDefault="00740C0C">
      <w:pPr>
        <w:jc w:val="both"/>
      </w:pPr>
    </w:p>
    <w:p w14:paraId="00000008" w14:textId="073BAFF2" w:rsidR="00740C0C" w:rsidRPr="00041938" w:rsidRDefault="00A622BB">
      <w:pPr>
        <w:jc w:val="both"/>
      </w:pPr>
      <w:r w:rsidRPr="00041938">
        <w:rPr>
          <w:b/>
        </w:rPr>
        <w:t>Keywords</w:t>
      </w:r>
      <w:r w:rsidRPr="00041938">
        <w:t>: hypereosinophilic syndrome; chronic eosinophilic leukemia; infliximab; imatinib; bone marrow biopsy; diagnosis; epidemiology; chemotherapy</w:t>
      </w:r>
      <w:r w:rsidR="001C1BD6" w:rsidRPr="00041938">
        <w:t>.</w:t>
      </w:r>
    </w:p>
    <w:p w14:paraId="66A947FD" w14:textId="77777777" w:rsidR="001C1BD6" w:rsidRPr="00041938" w:rsidRDefault="001C1BD6">
      <w:pPr>
        <w:jc w:val="both"/>
      </w:pPr>
    </w:p>
    <w:p w14:paraId="00000009" w14:textId="77777777" w:rsidR="00740C0C" w:rsidRPr="00041938" w:rsidRDefault="00740C0C">
      <w:pPr>
        <w:jc w:val="both"/>
      </w:pPr>
    </w:p>
    <w:p w14:paraId="0000000A" w14:textId="1352A3BD" w:rsidR="00740C0C" w:rsidRPr="00041938" w:rsidRDefault="00A622BB">
      <w:pPr>
        <w:jc w:val="both"/>
      </w:pPr>
      <w:r w:rsidRPr="00041938">
        <w:rPr>
          <w:b/>
        </w:rPr>
        <w:t>Introduction</w:t>
      </w:r>
      <w:r w:rsidRPr="00041938">
        <w:t>:</w:t>
      </w:r>
    </w:p>
    <w:p w14:paraId="64603EDB" w14:textId="77777777" w:rsidR="001C1BD6" w:rsidRPr="00041938" w:rsidRDefault="001C1BD6">
      <w:pPr>
        <w:jc w:val="both"/>
      </w:pPr>
    </w:p>
    <w:p w14:paraId="0000000B" w14:textId="588206BE" w:rsidR="00740C0C" w:rsidRPr="00041938" w:rsidRDefault="00A622BB" w:rsidP="001C1BD6">
      <w:pPr>
        <w:ind w:firstLine="720"/>
        <w:jc w:val="both"/>
      </w:pPr>
      <w:r w:rsidRPr="00041938">
        <w:rPr>
          <w:rFonts w:eastAsia="Arial Unicode MS"/>
        </w:rPr>
        <w:t xml:space="preserve">Hypereosinophilic syndrome (HES) is a rare disorder in which there is an unidentified increase in the number of eosinophils in the blood and tissues throughout the body. The criteria to determine this syndrome include eosinophilia (≥1500/mm3) in the blood for greater than six months, no evidence indicating there may be a parasitic infection, allergic reaction, or any other common cause of eosinophilia, and signs that systemic organs may be involved depending on the patients presenting symptoms </w:t>
      </w:r>
      <w:r w:rsidR="001C1BD6" w:rsidRPr="00041938">
        <w:rPr>
          <w:rFonts w:eastAsia="Arial Unicode MS"/>
        </w:rPr>
        <w:t>[</w:t>
      </w:r>
      <w:r w:rsidR="0030150D">
        <w:rPr>
          <w:rFonts w:eastAsia="Arial Unicode MS"/>
        </w:rPr>
        <w:t>9</w:t>
      </w:r>
      <w:r w:rsidR="001C1BD6" w:rsidRPr="00041938">
        <w:rPr>
          <w:rFonts w:eastAsia="Arial Unicode MS"/>
        </w:rPr>
        <w:t>]</w:t>
      </w:r>
      <w:r w:rsidRPr="00041938">
        <w:rPr>
          <w:rFonts w:eastAsia="Arial Unicode MS"/>
        </w:rPr>
        <w:t xml:space="preserve">. Two variants of </w:t>
      </w:r>
      <w:proofErr w:type="spellStart"/>
      <w:r w:rsidR="006633E3" w:rsidRPr="00041938">
        <w:t>Hypereosinophilic</w:t>
      </w:r>
      <w:proofErr w:type="spellEnd"/>
      <w:r w:rsidR="006633E3" w:rsidRPr="00041938">
        <w:t xml:space="preserve"> syndrome</w:t>
      </w:r>
      <w:r w:rsidRPr="00041938">
        <w:rPr>
          <w:rFonts w:eastAsia="Arial Unicode MS"/>
        </w:rPr>
        <w:t xml:space="preserve"> have been identified with varying underlying etiology. These subtypes are known as the lymphocytic variant and the myeloproliferative variant of chronic eosinophilic leukemia </w:t>
      </w:r>
      <w:r w:rsidR="001C1BD6" w:rsidRPr="00041938">
        <w:rPr>
          <w:rFonts w:eastAsia="Arial Unicode MS"/>
        </w:rPr>
        <w:t>[</w:t>
      </w:r>
      <w:r w:rsidR="0030150D">
        <w:rPr>
          <w:rFonts w:eastAsia="Arial Unicode MS"/>
        </w:rPr>
        <w:t>6</w:t>
      </w:r>
      <w:r w:rsidR="001C1BD6" w:rsidRPr="00041938">
        <w:rPr>
          <w:rFonts w:eastAsia="Arial Unicode MS"/>
        </w:rPr>
        <w:t>]</w:t>
      </w:r>
      <w:r w:rsidRPr="00041938">
        <w:rPr>
          <w:rFonts w:eastAsia="Arial Unicode MS"/>
        </w:rPr>
        <w:t xml:space="preserve">. </w:t>
      </w:r>
      <w:proofErr w:type="spellStart"/>
      <w:r w:rsidR="006633E3" w:rsidRPr="00041938">
        <w:t>Hypereosinophilic</w:t>
      </w:r>
      <w:proofErr w:type="spellEnd"/>
      <w:r w:rsidR="006633E3" w:rsidRPr="00041938">
        <w:t xml:space="preserve"> syndrome</w:t>
      </w:r>
      <w:r w:rsidRPr="00041938">
        <w:rPr>
          <w:rFonts w:eastAsia="Arial Unicode MS"/>
        </w:rPr>
        <w:t xml:space="preserve"> primarily occurs in persons between the ages of 20 and 50, more often in males than females, though cases have been rising in the children and infant population </w:t>
      </w:r>
      <w:r w:rsidR="001C1BD6" w:rsidRPr="00041938">
        <w:rPr>
          <w:rFonts w:eastAsia="Arial Unicode MS"/>
        </w:rPr>
        <w:t>[</w:t>
      </w:r>
      <w:r w:rsidR="0090057F">
        <w:rPr>
          <w:rFonts w:eastAsia="Arial Unicode MS"/>
        </w:rPr>
        <w:t>2</w:t>
      </w:r>
      <w:r w:rsidR="001C1BD6" w:rsidRPr="00041938">
        <w:rPr>
          <w:rFonts w:eastAsia="Arial Unicode MS"/>
        </w:rPr>
        <w:t>]</w:t>
      </w:r>
      <w:r w:rsidRPr="00041938">
        <w:rPr>
          <w:rFonts w:eastAsia="Arial Unicode MS"/>
        </w:rPr>
        <w:t>. Though</w:t>
      </w:r>
      <w:r w:rsidR="00390374">
        <w:rPr>
          <w:rFonts w:eastAsia="Arial Unicode MS"/>
        </w:rPr>
        <w:t>,</w:t>
      </w:r>
      <w:r w:rsidRPr="00041938">
        <w:rPr>
          <w:rFonts w:eastAsia="Arial Unicode MS"/>
        </w:rPr>
        <w:t xml:space="preserve"> there is a lack of population-based data, the incidence of </w:t>
      </w:r>
      <w:proofErr w:type="spellStart"/>
      <w:r w:rsidR="006633E3" w:rsidRPr="00041938">
        <w:t>Hypereosinophilic</w:t>
      </w:r>
      <w:proofErr w:type="spellEnd"/>
      <w:r w:rsidR="006633E3" w:rsidRPr="00041938">
        <w:t xml:space="preserve"> syndrome</w:t>
      </w:r>
      <w:r w:rsidRPr="00041938">
        <w:rPr>
          <w:rFonts w:eastAsia="Arial Unicode MS"/>
        </w:rPr>
        <w:t xml:space="preserve"> reported by the Surveillance, Epidemiology, and End Results (SEER) database is known to range from 0.3 to 6.3 per 100,000 </w:t>
      </w:r>
      <w:r w:rsidR="001C1BD6" w:rsidRPr="00041938">
        <w:rPr>
          <w:rFonts w:eastAsia="Arial Unicode MS"/>
        </w:rPr>
        <w:t>[</w:t>
      </w:r>
      <w:r w:rsidR="0030150D">
        <w:rPr>
          <w:rFonts w:eastAsia="Arial Unicode MS"/>
        </w:rPr>
        <w:t>4</w:t>
      </w:r>
      <w:r w:rsidR="001C1BD6" w:rsidRPr="00041938">
        <w:rPr>
          <w:rFonts w:eastAsia="Arial Unicode MS"/>
        </w:rPr>
        <w:t>]</w:t>
      </w:r>
      <w:r w:rsidRPr="00041938">
        <w:rPr>
          <w:rFonts w:eastAsia="Arial Unicode MS"/>
        </w:rPr>
        <w:t xml:space="preserve">. Clinical manifestations of the syndrome present similarly in all ages, with the most common presenting symptoms including rash, myalgias, fatigue, cough, dyspnea, and retinal lesions </w:t>
      </w:r>
      <w:r w:rsidR="001C1BD6" w:rsidRPr="00041938">
        <w:rPr>
          <w:rFonts w:eastAsia="Arial Unicode MS"/>
        </w:rPr>
        <w:t>[</w:t>
      </w:r>
      <w:r w:rsidR="0090057F">
        <w:rPr>
          <w:rFonts w:eastAsia="Arial Unicode MS"/>
        </w:rPr>
        <w:t>1</w:t>
      </w:r>
      <w:r w:rsidR="001C1BD6" w:rsidRPr="00041938">
        <w:rPr>
          <w:rFonts w:eastAsia="Arial Unicode MS"/>
        </w:rPr>
        <w:t>]</w:t>
      </w:r>
      <w:r w:rsidRPr="00041938">
        <w:rPr>
          <w:rFonts w:eastAsia="Arial Unicode MS"/>
        </w:rPr>
        <w:t xml:space="preserve">. We present a patient diagnosed with </w:t>
      </w:r>
      <w:proofErr w:type="spellStart"/>
      <w:r w:rsidR="006633E3" w:rsidRPr="00041938">
        <w:t>Hypereosinophilic</w:t>
      </w:r>
      <w:proofErr w:type="spellEnd"/>
      <w:r w:rsidR="006633E3" w:rsidRPr="00041938">
        <w:t xml:space="preserve"> syndrome</w:t>
      </w:r>
      <w:r w:rsidRPr="00041938">
        <w:rPr>
          <w:rFonts w:eastAsia="Arial Unicode MS"/>
        </w:rPr>
        <w:t>, later determined to be chronic eosinophilic leukemia, after long-term treatment with infliximab for ulcerative colitis.</w:t>
      </w:r>
    </w:p>
    <w:p w14:paraId="0000000C" w14:textId="77777777" w:rsidR="00740C0C" w:rsidRPr="00041938" w:rsidRDefault="00740C0C">
      <w:pPr>
        <w:jc w:val="both"/>
        <w:rPr>
          <w:b/>
        </w:rPr>
      </w:pPr>
    </w:p>
    <w:p w14:paraId="0000000D" w14:textId="77777777" w:rsidR="00740C0C" w:rsidRPr="00041938" w:rsidRDefault="00740C0C">
      <w:pPr>
        <w:jc w:val="both"/>
        <w:rPr>
          <w:b/>
        </w:rPr>
      </w:pPr>
    </w:p>
    <w:p w14:paraId="0000000E" w14:textId="5B585669" w:rsidR="00740C0C" w:rsidRPr="00041938" w:rsidRDefault="00A622BB">
      <w:pPr>
        <w:jc w:val="both"/>
      </w:pPr>
      <w:r w:rsidRPr="00041938">
        <w:rPr>
          <w:b/>
        </w:rPr>
        <w:t>Case presentation</w:t>
      </w:r>
      <w:r w:rsidRPr="00041938">
        <w:t>:</w:t>
      </w:r>
    </w:p>
    <w:p w14:paraId="66F7E7D6" w14:textId="77777777" w:rsidR="001C1BD6" w:rsidRPr="00041938" w:rsidRDefault="001C1BD6">
      <w:pPr>
        <w:jc w:val="both"/>
      </w:pPr>
    </w:p>
    <w:p w14:paraId="00000010" w14:textId="0C0FA590" w:rsidR="00740C0C" w:rsidRPr="00041938" w:rsidRDefault="00A622BB" w:rsidP="001C1BD6">
      <w:pPr>
        <w:ind w:firstLine="720"/>
        <w:jc w:val="both"/>
      </w:pPr>
      <w:r w:rsidRPr="00041938">
        <w:t xml:space="preserve">A </w:t>
      </w:r>
      <w:r w:rsidR="001C1BD6" w:rsidRPr="00041938">
        <w:t>44-year-old</w:t>
      </w:r>
      <w:r w:rsidRPr="00041938">
        <w:t xml:space="preserve"> male</w:t>
      </w:r>
      <w:r w:rsidR="001C1BD6" w:rsidRPr="00041938">
        <w:t xml:space="preserve"> presents to the office</w:t>
      </w:r>
      <w:r w:rsidRPr="00041938">
        <w:t xml:space="preserve"> with a past medical history of ulcerative colitis for seven years. The patient was actively treated with infliximab and mercaptopurine for the past seven years.  The patient presented with a cough, malaise, chills, night sweat, and flu-like symptoms. Initially, the patient was treated for possible allergic bronchitis as he has a history of </w:t>
      </w:r>
      <w:r w:rsidRPr="00041938">
        <w:lastRenderedPageBreak/>
        <w:t>allergies without any improvement. On lab results, complete blood count was increased. White blood cell count was increased to 30</w:t>
      </w:r>
      <w:r w:rsidR="00390374">
        <w:t>,</w:t>
      </w:r>
      <w:r w:rsidRPr="00041938">
        <w:t>000 with predominant eosinophilia.</w:t>
      </w:r>
      <w:r w:rsidR="001C1BD6" w:rsidRPr="00041938">
        <w:t xml:space="preserve"> </w:t>
      </w:r>
      <w:r w:rsidRPr="00041938">
        <w:t xml:space="preserve">Computerized Tomography (CT) scan of the chest with contrast showed bilateral apical infiltrates with no adenopathy or mass. </w:t>
      </w:r>
      <w:r w:rsidR="006633E3" w:rsidRPr="00041938">
        <w:t>Computerized Tomography</w:t>
      </w:r>
      <w:r w:rsidRPr="00041938">
        <w:t xml:space="preserve"> scan of abdomen and pelvis did not show any hepatosplenomegaly.  Bone marrow biopsy showed hypercellular bone marrow with trilineage hematopoiesis and markedly increased eosinophils. The blast cells were less than 1 percent.  Surprisingly, a peripheral molecular panel of myeloproliferative disease showed positive platelet-derived growth factor receptor A</w:t>
      </w:r>
      <w:r w:rsidR="001C1BD6" w:rsidRPr="00041938">
        <w:t xml:space="preserve"> </w:t>
      </w:r>
      <w:r w:rsidRPr="00041938">
        <w:t>(PDGFRA), and myeloproliferative leukemia mutation (MPL) was positive, suggesting a diagnosis of chronic eosinophilic leukemia. The patient was receiving infliximab every two months for several years and was suspected as the cause of leukemia. After stopping infliximab and initiating the treatment with imatinib, the patient’s condition improved significantly.</w:t>
      </w:r>
      <w:r w:rsidR="00041938" w:rsidRPr="00041938">
        <w:t xml:space="preserve"> A</w:t>
      </w:r>
      <w:r w:rsidRPr="00041938">
        <w:t xml:space="preserve"> </w:t>
      </w:r>
      <w:r w:rsidR="00041938" w:rsidRPr="00041938">
        <w:t>f</w:t>
      </w:r>
      <w:r w:rsidRPr="00041938">
        <w:t>ollow up immunohistochemistry</w:t>
      </w:r>
      <w:r w:rsidR="00041938" w:rsidRPr="00041938">
        <w:t xml:space="preserve"> was</w:t>
      </w:r>
      <w:r w:rsidRPr="00041938">
        <w:t xml:space="preserve"> performed </w:t>
      </w:r>
      <w:r w:rsidR="00041938" w:rsidRPr="00041938">
        <w:t xml:space="preserve">and </w:t>
      </w:r>
      <w:r w:rsidRPr="00041938">
        <w:t>showed polyclonal plasma cells rather than monoclonal. This confirmed our suspicion that the chronic eosinophilic leukemia in our patient was associated with chronic use of infliximab.</w:t>
      </w:r>
    </w:p>
    <w:p w14:paraId="00000011" w14:textId="3C76E005" w:rsidR="00740C0C" w:rsidRDefault="00740C0C">
      <w:pPr>
        <w:jc w:val="both"/>
      </w:pPr>
    </w:p>
    <w:p w14:paraId="377CE5F3" w14:textId="77777777" w:rsidR="00041938" w:rsidRPr="00041938" w:rsidRDefault="00041938">
      <w:pPr>
        <w:jc w:val="both"/>
      </w:pPr>
    </w:p>
    <w:p w14:paraId="7267F9DA" w14:textId="6D46D089" w:rsidR="00041938" w:rsidRDefault="00A622BB">
      <w:pPr>
        <w:jc w:val="both"/>
      </w:pPr>
      <w:r w:rsidRPr="00041938">
        <w:rPr>
          <w:b/>
        </w:rPr>
        <w:t>Discussion</w:t>
      </w:r>
      <w:r w:rsidRPr="00041938">
        <w:t>:</w:t>
      </w:r>
    </w:p>
    <w:p w14:paraId="50BAF68E" w14:textId="77777777" w:rsidR="00041938" w:rsidRPr="00041938" w:rsidRDefault="00041938">
      <w:pPr>
        <w:jc w:val="both"/>
      </w:pPr>
    </w:p>
    <w:p w14:paraId="00000016" w14:textId="7C4B689B" w:rsidR="00740C0C" w:rsidRPr="00041938" w:rsidRDefault="00A622BB" w:rsidP="00041938">
      <w:pPr>
        <w:ind w:firstLine="720"/>
        <w:jc w:val="both"/>
      </w:pPr>
      <w:r w:rsidRPr="00041938">
        <w:t xml:space="preserve">According to the World Health Organization (WHO), the clinical course of </w:t>
      </w:r>
      <w:proofErr w:type="spellStart"/>
      <w:r w:rsidR="006633E3" w:rsidRPr="00041938">
        <w:t>Hypereosinophilic</w:t>
      </w:r>
      <w:proofErr w:type="spellEnd"/>
      <w:r w:rsidR="006633E3" w:rsidRPr="00041938">
        <w:t xml:space="preserve"> syndrome</w:t>
      </w:r>
      <w:r w:rsidRPr="00041938">
        <w:t xml:space="preserve"> may affect various organs, with dermatologic involvement reported being the highest (69%), followed by pulmonary (44%), gastrointestinal (38%), and cardiac-related issues (20%) respectively </w:t>
      </w:r>
      <w:r w:rsidR="00041938" w:rsidRPr="00041938">
        <w:t>[</w:t>
      </w:r>
      <w:r w:rsidR="0030150D">
        <w:t>8</w:t>
      </w:r>
      <w:r w:rsidR="00041938" w:rsidRPr="00041938">
        <w:t>]</w:t>
      </w:r>
      <w:r w:rsidRPr="00041938">
        <w:t>.</w:t>
      </w:r>
      <w:r w:rsidR="00041938" w:rsidRPr="00041938">
        <w:t xml:space="preserve"> </w:t>
      </w:r>
      <w:r w:rsidRPr="00041938">
        <w:t>Eosinophils are known to develop from C</w:t>
      </w:r>
      <w:r w:rsidR="006633E3">
        <w:t>D</w:t>
      </w:r>
      <w:r w:rsidRPr="00041938">
        <w:t>34+ hematopoietic stem cells along the myeloid lineage. The cytokine network typically controls the eosinophil levels throughout the body’s tissues and organs. When there is an imbalance, T-cells, mast cells, and stromal cells are triggered to release cytokines such as I</w:t>
      </w:r>
      <w:r w:rsidR="006633E3">
        <w:t>nterleukin</w:t>
      </w:r>
      <w:r w:rsidRPr="00041938">
        <w:t xml:space="preserve">-5, </w:t>
      </w:r>
      <w:r w:rsidR="006633E3" w:rsidRPr="00041938">
        <w:t>I</w:t>
      </w:r>
      <w:r w:rsidR="006633E3">
        <w:t>nterleukin-</w:t>
      </w:r>
      <w:r w:rsidRPr="00041938">
        <w:t>3,</w:t>
      </w:r>
      <w:r w:rsidR="006633E3">
        <w:t xml:space="preserve"> and</w:t>
      </w:r>
      <w:r w:rsidRPr="00041938">
        <w:t xml:space="preserve"> </w:t>
      </w:r>
      <w:r w:rsidR="006633E3">
        <w:t>granulocyte-macrophage</w:t>
      </w:r>
      <w:r w:rsidRPr="00041938">
        <w:t>-</w:t>
      </w:r>
      <w:r w:rsidR="006633E3">
        <w:t>colony-stimulating factor</w:t>
      </w:r>
      <w:r w:rsidRPr="00041938">
        <w:t xml:space="preserve">, and platelet-derived growth factor (PDGF), resulting in exponential growth and activation of eosinophils. This results in a vicious cycle as the activated eosinophils release their own mediators stored in granules to promote growth, negatively influencing homeostasis. The active molecules can damage the surrounding environment leading to fibrosis and thrombosis in various organs </w:t>
      </w:r>
      <w:r w:rsidR="00041938" w:rsidRPr="00041938">
        <w:t>[</w:t>
      </w:r>
      <w:r w:rsidR="0030150D">
        <w:t>10</w:t>
      </w:r>
      <w:r w:rsidR="00041938" w:rsidRPr="00041938">
        <w:t>]</w:t>
      </w:r>
      <w:r w:rsidRPr="00041938">
        <w:t xml:space="preserve">. Since there is a likelihood that </w:t>
      </w:r>
      <w:proofErr w:type="spellStart"/>
      <w:r w:rsidR="006633E3">
        <w:t>hypereosino</w:t>
      </w:r>
      <w:r w:rsidR="00F049BB">
        <w:t>philic</w:t>
      </w:r>
      <w:proofErr w:type="spellEnd"/>
      <w:r w:rsidR="00F049BB">
        <w:t xml:space="preserve"> syndrome</w:t>
      </w:r>
      <w:r w:rsidRPr="00041938">
        <w:t xml:space="preserve"> can affect many organ systems, the diagnostic workup should be thorough and catered to the presenting symptoms of the patient. After taking a careful history and physical exam, a complete blood count with differentials, routine chemistries, electrocardiogram, echocardiogram, pulmonary function tests, chest X-ray, ultrasound or computed tomography, bone marrow aspirate, and tissue biopsies may be ordered. Given the other known causes of an increased number of eosinophils, tests can also be ordered to rule out infection by blood culture, stool culture, serological studies (for </w:t>
      </w:r>
      <w:r w:rsidR="00F049BB">
        <w:t>human immunodeficiency virus</w:t>
      </w:r>
      <w:r w:rsidRPr="00041938">
        <w:t xml:space="preserve">, </w:t>
      </w:r>
      <w:r w:rsidR="00F049BB">
        <w:t>cytomegalovirus</w:t>
      </w:r>
      <w:r w:rsidRPr="00041938">
        <w:t xml:space="preserve">, </w:t>
      </w:r>
      <w:r w:rsidR="00F049BB">
        <w:t>Epstein barre virus</w:t>
      </w:r>
      <w:r w:rsidRPr="00041938">
        <w:t xml:space="preserve">, </w:t>
      </w:r>
      <w:r w:rsidR="00F049BB">
        <w:t>hepatitis B virus</w:t>
      </w:r>
      <w:r w:rsidRPr="00041938">
        <w:t xml:space="preserve">, </w:t>
      </w:r>
      <w:r w:rsidR="00F049BB">
        <w:t>hepatitis C virus</w:t>
      </w:r>
      <w:r w:rsidRPr="00041938">
        <w:t xml:space="preserve">), and imaging studies if necessary </w:t>
      </w:r>
      <w:r w:rsidR="00041938" w:rsidRPr="00041938">
        <w:t>[</w:t>
      </w:r>
      <w:r w:rsidR="0030150D">
        <w:t>5</w:t>
      </w:r>
      <w:r w:rsidR="00041938" w:rsidRPr="00041938">
        <w:t>]</w:t>
      </w:r>
      <w:r w:rsidRPr="00041938">
        <w:t xml:space="preserve">. </w:t>
      </w:r>
      <w:r w:rsidR="00041938" w:rsidRPr="00041938">
        <w:t xml:space="preserve"> </w:t>
      </w:r>
      <w:r w:rsidRPr="00041938">
        <w:t xml:space="preserve">For acute intervention in severe cases, it is essential to treat with a single stat dose of a high-dose glucocorticoid such as prednisone or methylprednisolone once the possibility of a parasitic infection has been ruled out. If unable to rule out a parasitic infection, ivermectin should be administered along with the steroid to prevent possible </w:t>
      </w:r>
      <w:proofErr w:type="spellStart"/>
      <w:r w:rsidRPr="00041938">
        <w:t>strongyloides</w:t>
      </w:r>
      <w:proofErr w:type="spellEnd"/>
      <w:r w:rsidRPr="00041938">
        <w:t xml:space="preserve"> hyper-infection syndrome. After two days, if no sufficient improvement is seen in the </w:t>
      </w:r>
      <w:proofErr w:type="spellStart"/>
      <w:r w:rsidR="00400812">
        <w:t>hypereosinophilic</w:t>
      </w:r>
      <w:proofErr w:type="spellEnd"/>
      <w:r w:rsidR="00400812">
        <w:t xml:space="preserve"> syndrome</w:t>
      </w:r>
      <w:r w:rsidRPr="00041938">
        <w:t xml:space="preserve"> or clinical symptoms, second-line treatment should be added to the patient's regimen, such as imatinib for the myeloproliferative variant, until their absolute eosinophil counts have improved. Studies have shown that imatinib, a tyrosine kinase receptor inhibitor, has high efficacy for </w:t>
      </w:r>
      <w:proofErr w:type="spellStart"/>
      <w:r w:rsidR="00400812">
        <w:t>hypereosinophilic</w:t>
      </w:r>
      <w:proofErr w:type="spellEnd"/>
      <w:r w:rsidR="00400812">
        <w:t xml:space="preserve"> syndrome</w:t>
      </w:r>
      <w:r w:rsidRPr="00041938">
        <w:t xml:space="preserve"> and other </w:t>
      </w:r>
      <w:r w:rsidRPr="00041938">
        <w:lastRenderedPageBreak/>
        <w:t xml:space="preserve">related chronic myeloid disorders </w:t>
      </w:r>
      <w:r w:rsidR="00041938" w:rsidRPr="00041938">
        <w:t>[</w:t>
      </w:r>
      <w:r w:rsidR="0030150D">
        <w:t>3</w:t>
      </w:r>
      <w:r w:rsidR="00041938" w:rsidRPr="00041938">
        <w:t>]</w:t>
      </w:r>
      <w:r w:rsidRPr="00041938">
        <w:t xml:space="preserve">.  Though asymptomatic patients do not require treatment, they must be closely monitored to avoid organ damage </w:t>
      </w:r>
      <w:r w:rsidR="00041938" w:rsidRPr="00041938">
        <w:t>[</w:t>
      </w:r>
      <w:r w:rsidR="0030150D">
        <w:t>7</w:t>
      </w:r>
      <w:r w:rsidR="00041938" w:rsidRPr="00041938">
        <w:t>]</w:t>
      </w:r>
      <w:r w:rsidRPr="00041938">
        <w:t>.</w:t>
      </w:r>
    </w:p>
    <w:p w14:paraId="00000017" w14:textId="77777777" w:rsidR="00740C0C" w:rsidRPr="00041938" w:rsidRDefault="00740C0C">
      <w:pPr>
        <w:jc w:val="both"/>
      </w:pPr>
    </w:p>
    <w:p w14:paraId="06A17BB0" w14:textId="77777777" w:rsidR="00041938" w:rsidRPr="00041938" w:rsidRDefault="00041938">
      <w:pPr>
        <w:jc w:val="both"/>
        <w:rPr>
          <w:b/>
        </w:rPr>
      </w:pPr>
    </w:p>
    <w:p w14:paraId="00000018" w14:textId="413AC4EC" w:rsidR="00740C0C" w:rsidRPr="00041938" w:rsidRDefault="00A622BB">
      <w:pPr>
        <w:jc w:val="both"/>
      </w:pPr>
      <w:r w:rsidRPr="00041938">
        <w:rPr>
          <w:b/>
        </w:rPr>
        <w:t>Conclusion</w:t>
      </w:r>
      <w:r w:rsidRPr="00041938">
        <w:t xml:space="preserve">: </w:t>
      </w:r>
    </w:p>
    <w:p w14:paraId="00000019" w14:textId="77777777" w:rsidR="00740C0C" w:rsidRPr="00041938" w:rsidRDefault="00740C0C">
      <w:pPr>
        <w:jc w:val="both"/>
      </w:pPr>
    </w:p>
    <w:p w14:paraId="0000001A" w14:textId="348E79FE" w:rsidR="00740C0C" w:rsidRPr="00041938" w:rsidRDefault="00A622BB" w:rsidP="00041938">
      <w:pPr>
        <w:ind w:firstLine="720"/>
        <w:jc w:val="both"/>
      </w:pPr>
      <w:r w:rsidRPr="00041938">
        <w:t xml:space="preserve">We report a severely underreported association between infliximab and monoclonal proliferation, leading to, in our case, chronic eosinophilic leukemia. We recommend clinicians remain vigilant regarding symptoms of </w:t>
      </w:r>
      <w:proofErr w:type="spellStart"/>
      <w:r w:rsidR="00400812">
        <w:t>hypereosinophilic</w:t>
      </w:r>
      <w:proofErr w:type="spellEnd"/>
      <w:r w:rsidR="00400812">
        <w:t xml:space="preserve"> syndrome</w:t>
      </w:r>
      <w:r w:rsidRPr="00041938">
        <w:t xml:space="preserve"> in long-term users of infliximab. Depending on lab results, additional immunochemistry workup may be necessary to determine monoclonality if leukemia is suspected. Following discontinuation of infliximab and appropriate treatment initiation, an increase in polyclonality may substantiate the suspicion of leukemia secondary to infliximab. We hope that further research and cases are reported in the literature to understand this relationship better. </w:t>
      </w:r>
    </w:p>
    <w:p w14:paraId="0000001B" w14:textId="7C12BC44" w:rsidR="00740C0C" w:rsidRPr="00041938" w:rsidRDefault="00740C0C">
      <w:pPr>
        <w:jc w:val="both"/>
      </w:pPr>
    </w:p>
    <w:p w14:paraId="75CD78C8" w14:textId="669F8910" w:rsidR="00041938" w:rsidRPr="00041938" w:rsidRDefault="00041938">
      <w:pPr>
        <w:jc w:val="both"/>
      </w:pPr>
    </w:p>
    <w:p w14:paraId="115A271F" w14:textId="4A9B90D9" w:rsidR="00041938" w:rsidRPr="00041938" w:rsidRDefault="00041938">
      <w:pPr>
        <w:jc w:val="both"/>
      </w:pPr>
    </w:p>
    <w:p w14:paraId="4D10C4B3" w14:textId="1756E823" w:rsidR="00041938" w:rsidRPr="00041938" w:rsidRDefault="00041938">
      <w:pPr>
        <w:jc w:val="both"/>
      </w:pPr>
    </w:p>
    <w:p w14:paraId="7C1449C6" w14:textId="315F2093" w:rsidR="00041938" w:rsidRPr="00041938" w:rsidRDefault="00041938">
      <w:pPr>
        <w:jc w:val="both"/>
      </w:pPr>
    </w:p>
    <w:p w14:paraId="297173C2" w14:textId="0072907A" w:rsidR="00041938" w:rsidRPr="00041938" w:rsidRDefault="00041938">
      <w:pPr>
        <w:jc w:val="both"/>
      </w:pPr>
    </w:p>
    <w:p w14:paraId="461D583C" w14:textId="6ECECD50" w:rsidR="00041938" w:rsidRPr="00041938" w:rsidRDefault="00041938">
      <w:pPr>
        <w:jc w:val="both"/>
      </w:pPr>
    </w:p>
    <w:p w14:paraId="0EA7615D" w14:textId="464EE475" w:rsidR="00041938" w:rsidRPr="00041938" w:rsidRDefault="00041938">
      <w:pPr>
        <w:jc w:val="both"/>
      </w:pPr>
    </w:p>
    <w:p w14:paraId="5B9F34C5" w14:textId="05B8425C" w:rsidR="00041938" w:rsidRPr="00041938" w:rsidRDefault="00041938">
      <w:pPr>
        <w:jc w:val="both"/>
      </w:pPr>
    </w:p>
    <w:p w14:paraId="08D68044" w14:textId="28037710" w:rsidR="00041938" w:rsidRPr="00041938" w:rsidRDefault="00041938">
      <w:pPr>
        <w:jc w:val="both"/>
      </w:pPr>
    </w:p>
    <w:p w14:paraId="27FB69CB" w14:textId="7316676F" w:rsidR="00041938" w:rsidRPr="00041938" w:rsidRDefault="00041938">
      <w:pPr>
        <w:jc w:val="both"/>
      </w:pPr>
    </w:p>
    <w:p w14:paraId="3D8B1399" w14:textId="1B7B9B3E" w:rsidR="00041938" w:rsidRPr="00041938" w:rsidRDefault="00041938">
      <w:pPr>
        <w:jc w:val="both"/>
      </w:pPr>
    </w:p>
    <w:p w14:paraId="6FFF5803" w14:textId="31E057AA" w:rsidR="00041938" w:rsidRPr="00041938" w:rsidRDefault="00041938">
      <w:pPr>
        <w:jc w:val="both"/>
      </w:pPr>
    </w:p>
    <w:p w14:paraId="068FCFE1" w14:textId="5626AA47" w:rsidR="00041938" w:rsidRPr="00041938" w:rsidRDefault="00041938">
      <w:pPr>
        <w:jc w:val="both"/>
      </w:pPr>
    </w:p>
    <w:p w14:paraId="245F40D5" w14:textId="7546F974" w:rsidR="00041938" w:rsidRPr="00041938" w:rsidRDefault="00041938">
      <w:pPr>
        <w:jc w:val="both"/>
      </w:pPr>
    </w:p>
    <w:p w14:paraId="3EDCBB52" w14:textId="350B0D16" w:rsidR="00041938" w:rsidRPr="00041938" w:rsidRDefault="00041938">
      <w:pPr>
        <w:jc w:val="both"/>
      </w:pPr>
    </w:p>
    <w:p w14:paraId="0401C5BC" w14:textId="530B6E60" w:rsidR="00041938" w:rsidRPr="00041938" w:rsidRDefault="00041938">
      <w:pPr>
        <w:jc w:val="both"/>
      </w:pPr>
    </w:p>
    <w:p w14:paraId="789631BD" w14:textId="34FF09D6" w:rsidR="00041938" w:rsidRPr="00041938" w:rsidRDefault="00041938">
      <w:pPr>
        <w:jc w:val="both"/>
      </w:pPr>
    </w:p>
    <w:p w14:paraId="3729190E" w14:textId="3EB2FE69" w:rsidR="00041938" w:rsidRPr="00041938" w:rsidRDefault="00041938">
      <w:pPr>
        <w:jc w:val="both"/>
      </w:pPr>
    </w:p>
    <w:p w14:paraId="73D6D131" w14:textId="132436D8" w:rsidR="00041938" w:rsidRPr="00041938" w:rsidRDefault="00041938">
      <w:pPr>
        <w:jc w:val="both"/>
      </w:pPr>
    </w:p>
    <w:p w14:paraId="06B07704" w14:textId="2F9176E2" w:rsidR="00041938" w:rsidRDefault="00041938">
      <w:pPr>
        <w:jc w:val="both"/>
      </w:pPr>
    </w:p>
    <w:p w14:paraId="7A8A9902" w14:textId="58EADE83" w:rsidR="00041938" w:rsidRDefault="00041938">
      <w:pPr>
        <w:jc w:val="both"/>
      </w:pPr>
    </w:p>
    <w:p w14:paraId="45672E3E" w14:textId="2265D485" w:rsidR="00400812" w:rsidRDefault="00400812">
      <w:pPr>
        <w:jc w:val="both"/>
      </w:pPr>
    </w:p>
    <w:p w14:paraId="3796BD8C" w14:textId="2CF2656C" w:rsidR="00400812" w:rsidRDefault="00400812">
      <w:pPr>
        <w:jc w:val="both"/>
      </w:pPr>
    </w:p>
    <w:p w14:paraId="6A29B799" w14:textId="5D7560D7" w:rsidR="00400812" w:rsidRDefault="00400812">
      <w:pPr>
        <w:jc w:val="both"/>
      </w:pPr>
    </w:p>
    <w:p w14:paraId="7B110666" w14:textId="572F5F47" w:rsidR="00400812" w:rsidRDefault="00400812">
      <w:pPr>
        <w:jc w:val="both"/>
      </w:pPr>
    </w:p>
    <w:p w14:paraId="4F671A1B" w14:textId="41616C8E" w:rsidR="00400812" w:rsidRDefault="00400812">
      <w:pPr>
        <w:jc w:val="both"/>
      </w:pPr>
    </w:p>
    <w:p w14:paraId="518E48E5" w14:textId="5A8F53B4" w:rsidR="00400812" w:rsidRDefault="00400812">
      <w:pPr>
        <w:jc w:val="both"/>
      </w:pPr>
    </w:p>
    <w:p w14:paraId="478B0A6A" w14:textId="3C1B5F2C" w:rsidR="00400812" w:rsidRDefault="00400812">
      <w:pPr>
        <w:jc w:val="both"/>
      </w:pPr>
    </w:p>
    <w:p w14:paraId="011EEC96" w14:textId="1A66E28D" w:rsidR="00400812" w:rsidRDefault="00400812">
      <w:pPr>
        <w:jc w:val="both"/>
      </w:pPr>
    </w:p>
    <w:p w14:paraId="780E0D91" w14:textId="4E2B70EB" w:rsidR="00400812" w:rsidRDefault="00400812">
      <w:pPr>
        <w:jc w:val="both"/>
      </w:pPr>
    </w:p>
    <w:p w14:paraId="7397C58E" w14:textId="2082BECA" w:rsidR="00400812" w:rsidRDefault="00400812">
      <w:pPr>
        <w:jc w:val="both"/>
      </w:pPr>
    </w:p>
    <w:p w14:paraId="52DE1BEE" w14:textId="2DE25D6B" w:rsidR="00400812" w:rsidRDefault="00400812">
      <w:pPr>
        <w:jc w:val="both"/>
      </w:pPr>
    </w:p>
    <w:p w14:paraId="6026912F" w14:textId="429CA492" w:rsidR="00400812" w:rsidRDefault="00400812">
      <w:pPr>
        <w:jc w:val="both"/>
      </w:pPr>
    </w:p>
    <w:p w14:paraId="0E624F7B" w14:textId="6C8FDE60" w:rsidR="00400812" w:rsidRDefault="00400812">
      <w:pPr>
        <w:jc w:val="both"/>
      </w:pPr>
    </w:p>
    <w:p w14:paraId="6652E7A8" w14:textId="77777777" w:rsidR="00400812" w:rsidRPr="00041938" w:rsidRDefault="00400812">
      <w:pPr>
        <w:jc w:val="both"/>
      </w:pPr>
    </w:p>
    <w:p w14:paraId="5D9F3758" w14:textId="77777777" w:rsidR="0058421E" w:rsidRDefault="00AD0940" w:rsidP="00AD0940">
      <w:pPr>
        <w:spacing w:before="100" w:beforeAutospacing="1" w:after="96"/>
        <w:rPr>
          <w:color w:val="000033"/>
        </w:rPr>
      </w:pPr>
      <w:r w:rsidRPr="0075476A">
        <w:rPr>
          <w:b/>
          <w:bCs/>
          <w:color w:val="000000" w:themeColor="text1"/>
          <w:shd w:val="clear" w:color="auto" w:fill="FFFFFF"/>
        </w:rPr>
        <w:t>DECLARATIONS</w:t>
      </w:r>
      <w:r w:rsidRPr="00BB0D5F">
        <w:rPr>
          <w:color w:val="000033"/>
        </w:rPr>
        <w:br/>
      </w:r>
    </w:p>
    <w:p w14:paraId="401B0E40" w14:textId="4AC62C44" w:rsidR="0058421E" w:rsidRDefault="0058421E" w:rsidP="0058421E">
      <w:pPr>
        <w:spacing w:before="100" w:beforeAutospacing="1" w:after="96"/>
        <w:rPr>
          <w:color w:val="000033"/>
          <w:shd w:val="clear" w:color="auto" w:fill="FFFFFF"/>
        </w:rPr>
      </w:pPr>
      <w:r w:rsidRPr="00C7185C">
        <w:rPr>
          <w:color w:val="000033"/>
          <w:shd w:val="clear" w:color="auto" w:fill="FFFFFF"/>
        </w:rPr>
        <w:t>Funding: No</w:t>
      </w:r>
      <w:r>
        <w:rPr>
          <w:color w:val="000033"/>
          <w:shd w:val="clear" w:color="auto" w:fill="FFFFFF"/>
        </w:rPr>
        <w:t>ne.</w:t>
      </w:r>
    </w:p>
    <w:p w14:paraId="3266CC82" w14:textId="77777777" w:rsidR="0058421E" w:rsidRDefault="0058421E" w:rsidP="00AD0940">
      <w:pPr>
        <w:spacing w:before="100" w:beforeAutospacing="1" w:after="96"/>
        <w:rPr>
          <w:color w:val="000033"/>
          <w:shd w:val="clear" w:color="auto" w:fill="FFFFFF"/>
        </w:rPr>
      </w:pPr>
      <w:r w:rsidRPr="00C7185C">
        <w:rPr>
          <w:color w:val="000033"/>
          <w:shd w:val="clear" w:color="auto" w:fill="FFFFFF"/>
        </w:rPr>
        <w:t>Competing interests: None</w:t>
      </w:r>
    </w:p>
    <w:p w14:paraId="6BB9940C" w14:textId="4B4F0B06" w:rsidR="00AD0940" w:rsidRPr="0058421E" w:rsidRDefault="00AD0940" w:rsidP="00AD0940">
      <w:pPr>
        <w:spacing w:before="100" w:beforeAutospacing="1" w:after="96"/>
        <w:rPr>
          <w:color w:val="000033"/>
          <w:shd w:val="clear" w:color="auto" w:fill="FFFFFF"/>
        </w:rPr>
      </w:pPr>
      <w:r w:rsidRPr="00BB0D5F">
        <w:rPr>
          <w:color w:val="000033"/>
        </w:rPr>
        <w:br/>
      </w:r>
      <w:r w:rsidRPr="00BB0D5F">
        <w:rPr>
          <w:color w:val="000033"/>
          <w:shd w:val="clear" w:color="auto" w:fill="FFFFFF"/>
        </w:rPr>
        <w:t>Ethics approval and consent to participate</w:t>
      </w:r>
      <w:r w:rsidRPr="00F03A05">
        <w:rPr>
          <w:color w:val="000033"/>
          <w:shd w:val="clear" w:color="auto" w:fill="FFFFFF"/>
        </w:rPr>
        <w:t>: Approved informed consent</w:t>
      </w:r>
      <w:r>
        <w:rPr>
          <w:color w:val="000033"/>
          <w:shd w:val="clear" w:color="auto" w:fill="FFFFFF"/>
        </w:rPr>
        <w:t>.</w:t>
      </w:r>
      <w:r w:rsidRPr="00F03A05">
        <w:rPr>
          <w:color w:val="000033"/>
          <w:shd w:val="clear" w:color="auto" w:fill="FFFFFF"/>
        </w:rPr>
        <w:t xml:space="preserve"> </w:t>
      </w:r>
    </w:p>
    <w:p w14:paraId="497184A6" w14:textId="77777777" w:rsidR="00AD0940" w:rsidRDefault="00AD0940" w:rsidP="00AD0940">
      <w:pPr>
        <w:spacing w:before="100" w:beforeAutospacing="1" w:after="96"/>
        <w:rPr>
          <w:color w:val="000033"/>
          <w:shd w:val="clear" w:color="auto" w:fill="FFFFFF"/>
        </w:rPr>
      </w:pPr>
      <w:r w:rsidRPr="00BB0D5F">
        <w:rPr>
          <w:color w:val="000033"/>
          <w:shd w:val="clear" w:color="auto" w:fill="FFFFFF"/>
        </w:rPr>
        <w:t>Consent for publication</w:t>
      </w:r>
      <w:r w:rsidRPr="00F03A05">
        <w:rPr>
          <w:color w:val="000033"/>
          <w:shd w:val="clear" w:color="auto" w:fill="FFFFFF"/>
        </w:rPr>
        <w:t>: Approved</w:t>
      </w:r>
      <w:r>
        <w:rPr>
          <w:color w:val="000033"/>
          <w:shd w:val="clear" w:color="auto" w:fill="FFFFFF"/>
        </w:rPr>
        <w:t xml:space="preserve"> verbal</w:t>
      </w:r>
      <w:r w:rsidRPr="00F03A05">
        <w:rPr>
          <w:color w:val="000033"/>
          <w:shd w:val="clear" w:color="auto" w:fill="FFFFFF"/>
        </w:rPr>
        <w:t xml:space="preserve"> informed consent</w:t>
      </w:r>
      <w:r>
        <w:rPr>
          <w:color w:val="000033"/>
          <w:shd w:val="clear" w:color="auto" w:fill="FFFFFF"/>
        </w:rPr>
        <w:t xml:space="preserve">. Approved by Westside Regional Medical Center and Northwest Medical Center. </w:t>
      </w:r>
      <w:r w:rsidRPr="00F03A05">
        <w:rPr>
          <w:color w:val="000000" w:themeColor="text1"/>
        </w:rPr>
        <w:t>All authors approved manuscript</w:t>
      </w:r>
      <w:r>
        <w:rPr>
          <w:color w:val="000000" w:themeColor="text1"/>
        </w:rPr>
        <w:t>.</w:t>
      </w:r>
    </w:p>
    <w:p w14:paraId="22FAAA8D" w14:textId="77777777" w:rsidR="00AD0940" w:rsidRPr="00C16FE8" w:rsidRDefault="00AD0940" w:rsidP="00AD0940">
      <w:pPr>
        <w:spacing w:before="100" w:beforeAutospacing="1" w:after="96"/>
        <w:rPr>
          <w:color w:val="000033"/>
          <w:shd w:val="clear" w:color="auto" w:fill="FFFFFF"/>
        </w:rPr>
      </w:pPr>
      <w:r w:rsidRPr="00BB0D5F">
        <w:rPr>
          <w:color w:val="000033"/>
          <w:shd w:val="clear" w:color="auto" w:fill="FFFFFF"/>
        </w:rPr>
        <w:t>Availability of data and material</w:t>
      </w:r>
      <w:r w:rsidRPr="00F03A05">
        <w:rPr>
          <w:color w:val="000033"/>
          <w:shd w:val="clear" w:color="auto" w:fill="FFFFFF"/>
        </w:rPr>
        <w:t xml:space="preserve">: </w:t>
      </w:r>
      <w:r w:rsidRPr="00A309D0">
        <w:rPr>
          <w:color w:val="000000" w:themeColor="text1"/>
        </w:rPr>
        <w:t xml:space="preserve">The datasets generated and/or analyzed during the current study are not publicly available </w:t>
      </w:r>
      <w:r>
        <w:rPr>
          <w:color w:val="000000" w:themeColor="text1"/>
        </w:rPr>
        <w:t>due to HIPAA but</w:t>
      </w:r>
      <w:r w:rsidRPr="00A309D0">
        <w:rPr>
          <w:color w:val="000000" w:themeColor="text1"/>
        </w:rPr>
        <w:t xml:space="preserve"> are available from the corresponding author on reasonable request</w:t>
      </w:r>
      <w:r>
        <w:rPr>
          <w:color w:val="000000" w:themeColor="text1"/>
        </w:rPr>
        <w:t>, if permissible by patient.</w:t>
      </w:r>
    </w:p>
    <w:p w14:paraId="034F8098" w14:textId="77777777" w:rsidR="00AD0940" w:rsidRDefault="00AD0940" w:rsidP="00AD0940">
      <w:pPr>
        <w:spacing w:before="100" w:beforeAutospacing="1" w:after="96"/>
        <w:rPr>
          <w:color w:val="000033"/>
        </w:rPr>
      </w:pPr>
      <w:r w:rsidRPr="00C7185C">
        <w:rPr>
          <w:color w:val="000033"/>
          <w:shd w:val="clear" w:color="auto" w:fill="FFFFFF"/>
        </w:rPr>
        <w:t xml:space="preserve">Authors' contributions: </w:t>
      </w:r>
      <w:r>
        <w:rPr>
          <w:color w:val="000033"/>
          <w:shd w:val="clear" w:color="auto" w:fill="FFFFFF"/>
        </w:rPr>
        <w:t>‘WM’ was a major contributor in the writing of the manuscript.</w:t>
      </w:r>
      <w:r>
        <w:rPr>
          <w:color w:val="000033"/>
        </w:rPr>
        <w:t xml:space="preserve"> ‘HN’ oversaw the patient with the attending physician and contributed to the editing of the paper. ‘A.A.C’ helped with the interpretation of the patient data. All authors approved the final manuscript.</w:t>
      </w:r>
    </w:p>
    <w:p w14:paraId="77B901BE" w14:textId="77777777" w:rsidR="00AD0940" w:rsidRDefault="00AD0940" w:rsidP="00AD0940">
      <w:pPr>
        <w:jc w:val="both"/>
        <w:rPr>
          <w:color w:val="000033"/>
          <w:shd w:val="clear" w:color="auto" w:fill="FFFFFF"/>
        </w:rPr>
      </w:pPr>
    </w:p>
    <w:p w14:paraId="21C05348" w14:textId="3EDD46C0" w:rsidR="00AD0940" w:rsidRDefault="00AD0940">
      <w:pPr>
        <w:jc w:val="both"/>
        <w:rPr>
          <w:b/>
        </w:rPr>
      </w:pPr>
      <w:r w:rsidRPr="00C7185C">
        <w:rPr>
          <w:color w:val="000033"/>
          <w:shd w:val="clear" w:color="auto" w:fill="FFFFFF"/>
        </w:rPr>
        <w:t>Acknowledgements:</w:t>
      </w:r>
      <w:r>
        <w:rPr>
          <w:color w:val="000033"/>
          <w:shd w:val="clear" w:color="auto" w:fill="FFFFFF"/>
        </w:rPr>
        <w:t xml:space="preserve"> Not applicable</w:t>
      </w:r>
    </w:p>
    <w:p w14:paraId="5AD11D85" w14:textId="77777777" w:rsidR="00AD0940" w:rsidRDefault="00AD0940">
      <w:pPr>
        <w:jc w:val="both"/>
        <w:rPr>
          <w:b/>
        </w:rPr>
      </w:pPr>
    </w:p>
    <w:p w14:paraId="2A4C5A49" w14:textId="77777777" w:rsidR="00AD0940" w:rsidRDefault="00AD0940">
      <w:pPr>
        <w:jc w:val="both"/>
        <w:rPr>
          <w:b/>
        </w:rPr>
      </w:pPr>
    </w:p>
    <w:p w14:paraId="3508A821" w14:textId="77777777" w:rsidR="00AD0940" w:rsidRDefault="00AD0940">
      <w:pPr>
        <w:jc w:val="both"/>
        <w:rPr>
          <w:b/>
        </w:rPr>
      </w:pPr>
    </w:p>
    <w:p w14:paraId="73B907C6" w14:textId="77777777" w:rsidR="00AD0940" w:rsidRDefault="00AD0940">
      <w:pPr>
        <w:jc w:val="both"/>
        <w:rPr>
          <w:b/>
        </w:rPr>
      </w:pPr>
    </w:p>
    <w:p w14:paraId="7AE88EFF" w14:textId="77777777" w:rsidR="00AD0940" w:rsidRDefault="00AD0940">
      <w:pPr>
        <w:jc w:val="both"/>
        <w:rPr>
          <w:b/>
        </w:rPr>
      </w:pPr>
    </w:p>
    <w:p w14:paraId="3A13C79C" w14:textId="77777777" w:rsidR="00AD0940" w:rsidRDefault="00AD0940">
      <w:pPr>
        <w:jc w:val="both"/>
        <w:rPr>
          <w:b/>
        </w:rPr>
      </w:pPr>
    </w:p>
    <w:p w14:paraId="02E4F4F3" w14:textId="77777777" w:rsidR="00AD0940" w:rsidRDefault="00AD0940">
      <w:pPr>
        <w:jc w:val="both"/>
        <w:rPr>
          <w:b/>
        </w:rPr>
      </w:pPr>
    </w:p>
    <w:p w14:paraId="1F53C502" w14:textId="77777777" w:rsidR="00AD0940" w:rsidRDefault="00AD0940">
      <w:pPr>
        <w:jc w:val="both"/>
        <w:rPr>
          <w:b/>
        </w:rPr>
      </w:pPr>
    </w:p>
    <w:p w14:paraId="17889F93" w14:textId="77777777" w:rsidR="00AD0940" w:rsidRDefault="00AD0940">
      <w:pPr>
        <w:jc w:val="both"/>
        <w:rPr>
          <w:b/>
        </w:rPr>
      </w:pPr>
    </w:p>
    <w:p w14:paraId="1ABBE820" w14:textId="77777777" w:rsidR="00AD0940" w:rsidRDefault="00AD0940">
      <w:pPr>
        <w:jc w:val="both"/>
        <w:rPr>
          <w:b/>
        </w:rPr>
      </w:pPr>
    </w:p>
    <w:p w14:paraId="584DCB2B" w14:textId="77777777" w:rsidR="00AD0940" w:rsidRDefault="00AD0940">
      <w:pPr>
        <w:jc w:val="both"/>
        <w:rPr>
          <w:b/>
        </w:rPr>
      </w:pPr>
    </w:p>
    <w:p w14:paraId="0A2180EB" w14:textId="77777777" w:rsidR="00AD0940" w:rsidRDefault="00AD0940">
      <w:pPr>
        <w:jc w:val="both"/>
        <w:rPr>
          <w:b/>
        </w:rPr>
      </w:pPr>
    </w:p>
    <w:p w14:paraId="487514A0" w14:textId="77777777" w:rsidR="00AD0940" w:rsidRDefault="00AD0940">
      <w:pPr>
        <w:jc w:val="both"/>
        <w:rPr>
          <w:b/>
        </w:rPr>
      </w:pPr>
    </w:p>
    <w:p w14:paraId="2D3C3FEC" w14:textId="77777777" w:rsidR="00AD0940" w:rsidRDefault="00AD0940">
      <w:pPr>
        <w:jc w:val="both"/>
        <w:rPr>
          <w:b/>
        </w:rPr>
      </w:pPr>
    </w:p>
    <w:p w14:paraId="22EF1318" w14:textId="77777777" w:rsidR="00AD0940" w:rsidRDefault="00AD0940">
      <w:pPr>
        <w:jc w:val="both"/>
        <w:rPr>
          <w:b/>
        </w:rPr>
      </w:pPr>
    </w:p>
    <w:p w14:paraId="7ABF2BE5" w14:textId="77777777" w:rsidR="00AD0940" w:rsidRDefault="00AD0940">
      <w:pPr>
        <w:jc w:val="both"/>
        <w:rPr>
          <w:b/>
        </w:rPr>
      </w:pPr>
    </w:p>
    <w:p w14:paraId="1B074EF9" w14:textId="77777777" w:rsidR="00AD0940" w:rsidRDefault="00AD0940">
      <w:pPr>
        <w:jc w:val="both"/>
        <w:rPr>
          <w:b/>
        </w:rPr>
      </w:pPr>
    </w:p>
    <w:p w14:paraId="3A114120" w14:textId="77777777" w:rsidR="00AD0940" w:rsidRDefault="00AD0940">
      <w:pPr>
        <w:jc w:val="both"/>
        <w:rPr>
          <w:b/>
        </w:rPr>
      </w:pPr>
    </w:p>
    <w:p w14:paraId="5F21FF59" w14:textId="77777777" w:rsidR="00AD0940" w:rsidRDefault="00AD0940">
      <w:pPr>
        <w:jc w:val="both"/>
        <w:rPr>
          <w:b/>
        </w:rPr>
      </w:pPr>
    </w:p>
    <w:p w14:paraId="65A1EE83" w14:textId="77777777" w:rsidR="00AD0940" w:rsidRDefault="00AD0940">
      <w:pPr>
        <w:jc w:val="both"/>
        <w:rPr>
          <w:b/>
        </w:rPr>
      </w:pPr>
    </w:p>
    <w:p w14:paraId="36A370FE" w14:textId="77777777" w:rsidR="00AD0940" w:rsidRDefault="00AD0940">
      <w:pPr>
        <w:jc w:val="both"/>
        <w:rPr>
          <w:b/>
        </w:rPr>
      </w:pPr>
    </w:p>
    <w:p w14:paraId="27D9C40B" w14:textId="77777777" w:rsidR="00AD0940" w:rsidRDefault="00AD0940">
      <w:pPr>
        <w:jc w:val="both"/>
        <w:rPr>
          <w:b/>
        </w:rPr>
      </w:pPr>
    </w:p>
    <w:p w14:paraId="5CA767B7" w14:textId="77777777" w:rsidR="00AD0940" w:rsidRDefault="00AD0940">
      <w:pPr>
        <w:jc w:val="both"/>
        <w:rPr>
          <w:b/>
        </w:rPr>
      </w:pPr>
    </w:p>
    <w:p w14:paraId="220F6EAC" w14:textId="77777777" w:rsidR="00AD0940" w:rsidRDefault="00AD0940">
      <w:pPr>
        <w:jc w:val="both"/>
        <w:rPr>
          <w:b/>
        </w:rPr>
      </w:pPr>
    </w:p>
    <w:p w14:paraId="6349B878" w14:textId="77777777" w:rsidR="00AD0940" w:rsidRDefault="00AD0940">
      <w:pPr>
        <w:jc w:val="both"/>
        <w:rPr>
          <w:b/>
        </w:rPr>
      </w:pPr>
    </w:p>
    <w:p w14:paraId="0000001C" w14:textId="45157581" w:rsidR="00740C0C" w:rsidRDefault="00A622BB">
      <w:pPr>
        <w:jc w:val="both"/>
      </w:pPr>
      <w:r w:rsidRPr="00041938">
        <w:rPr>
          <w:b/>
        </w:rPr>
        <w:t>References:</w:t>
      </w:r>
      <w:r w:rsidRPr="00041938">
        <w:t xml:space="preserve"> </w:t>
      </w:r>
    </w:p>
    <w:p w14:paraId="27EF0119" w14:textId="1709E72A" w:rsidR="0090057F" w:rsidRDefault="0090057F">
      <w:pPr>
        <w:jc w:val="both"/>
      </w:pPr>
    </w:p>
    <w:p w14:paraId="71F5E9E1" w14:textId="77777777" w:rsidR="0090057F" w:rsidRDefault="0090057F">
      <w:pPr>
        <w:jc w:val="both"/>
      </w:pPr>
    </w:p>
    <w:p w14:paraId="6EAFC6CB" w14:textId="4CD2D69A" w:rsidR="0090057F" w:rsidRPr="0090057F" w:rsidRDefault="0090057F" w:rsidP="0090057F">
      <w:pPr>
        <w:numPr>
          <w:ilvl w:val="0"/>
          <w:numId w:val="1"/>
        </w:numPr>
        <w:jc w:val="both"/>
        <w:rPr>
          <w:color w:val="303030"/>
          <w:highlight w:val="white"/>
        </w:rPr>
      </w:pPr>
      <w:r w:rsidRPr="00041938">
        <w:rPr>
          <w:color w:val="303030"/>
          <w:highlight w:val="white"/>
        </w:rPr>
        <w:t xml:space="preserve">Alan Paul </w:t>
      </w:r>
      <w:proofErr w:type="spellStart"/>
      <w:r w:rsidRPr="00041938">
        <w:rPr>
          <w:color w:val="303030"/>
          <w:highlight w:val="white"/>
        </w:rPr>
        <w:t>Knutsen</w:t>
      </w:r>
      <w:proofErr w:type="spellEnd"/>
      <w:r w:rsidRPr="00041938">
        <w:rPr>
          <w:color w:val="303030"/>
          <w:highlight w:val="white"/>
        </w:rPr>
        <w:t xml:space="preserve">, James </w:t>
      </w:r>
      <w:proofErr w:type="spellStart"/>
      <w:r w:rsidRPr="00041938">
        <w:rPr>
          <w:color w:val="303030"/>
          <w:highlight w:val="white"/>
        </w:rPr>
        <w:t>Temprano</w:t>
      </w:r>
      <w:proofErr w:type="spellEnd"/>
      <w:r w:rsidRPr="00041938">
        <w:rPr>
          <w:color w:val="303030"/>
          <w:highlight w:val="white"/>
        </w:rPr>
        <w:t xml:space="preserve">, Deepika </w:t>
      </w:r>
      <w:proofErr w:type="spellStart"/>
      <w:r w:rsidRPr="00041938">
        <w:rPr>
          <w:color w:val="303030"/>
          <w:highlight w:val="white"/>
        </w:rPr>
        <w:t>Bhatla</w:t>
      </w:r>
      <w:proofErr w:type="spellEnd"/>
      <w:r w:rsidRPr="00041938">
        <w:rPr>
          <w:color w:val="303030"/>
          <w:highlight w:val="white"/>
        </w:rPr>
        <w:t xml:space="preserve">, Raymond G </w:t>
      </w:r>
      <w:proofErr w:type="spellStart"/>
      <w:r w:rsidRPr="00041938">
        <w:rPr>
          <w:color w:val="303030"/>
          <w:highlight w:val="white"/>
        </w:rPr>
        <w:t>Slavin</w:t>
      </w:r>
      <w:proofErr w:type="spellEnd"/>
      <w:r w:rsidRPr="00041938">
        <w:rPr>
          <w:color w:val="303030"/>
          <w:highlight w:val="white"/>
        </w:rPr>
        <w:t xml:space="preserve">, 65 - Hypersensitivity Pneumonitis and Eosinophilic Lung Diseases, Editor(s): Robert William Wilmott, Robin </w:t>
      </w:r>
      <w:proofErr w:type="spellStart"/>
      <w:r w:rsidRPr="00041938">
        <w:rPr>
          <w:color w:val="303030"/>
          <w:highlight w:val="white"/>
        </w:rPr>
        <w:t>Deterding</w:t>
      </w:r>
      <w:proofErr w:type="spellEnd"/>
      <w:r w:rsidRPr="00041938">
        <w:rPr>
          <w:color w:val="303030"/>
          <w:highlight w:val="white"/>
        </w:rPr>
        <w:t xml:space="preserve">, Albert Li, Felix </w:t>
      </w:r>
      <w:proofErr w:type="spellStart"/>
      <w:r w:rsidRPr="00041938">
        <w:rPr>
          <w:color w:val="303030"/>
          <w:highlight w:val="white"/>
        </w:rPr>
        <w:t>Ratjen</w:t>
      </w:r>
      <w:proofErr w:type="spellEnd"/>
      <w:r w:rsidRPr="00041938">
        <w:rPr>
          <w:color w:val="303030"/>
          <w:highlight w:val="white"/>
        </w:rPr>
        <w:t xml:space="preserve">, Peter Sly, Heather J. </w:t>
      </w:r>
      <w:proofErr w:type="spellStart"/>
      <w:r w:rsidRPr="00041938">
        <w:rPr>
          <w:color w:val="303030"/>
          <w:highlight w:val="white"/>
        </w:rPr>
        <w:t>Zar</w:t>
      </w:r>
      <w:proofErr w:type="spellEnd"/>
      <w:r w:rsidRPr="00041938">
        <w:rPr>
          <w:color w:val="303030"/>
          <w:highlight w:val="white"/>
        </w:rPr>
        <w:t xml:space="preserve">, Andrew Bush, </w:t>
      </w:r>
      <w:proofErr w:type="spellStart"/>
      <w:r w:rsidRPr="00041938">
        <w:rPr>
          <w:color w:val="303030"/>
          <w:highlight w:val="white"/>
        </w:rPr>
        <w:t>Kendig's</w:t>
      </w:r>
      <w:proofErr w:type="spellEnd"/>
      <w:r w:rsidRPr="00041938">
        <w:rPr>
          <w:color w:val="303030"/>
          <w:highlight w:val="white"/>
        </w:rPr>
        <w:t xml:space="preserve"> Disorders of the Respiratory Tract in Children (Ninth Edition), Elsevier, </w:t>
      </w:r>
      <w:r w:rsidR="0030150D" w:rsidRPr="00041938">
        <w:rPr>
          <w:color w:val="303030"/>
          <w:highlight w:val="white"/>
        </w:rPr>
        <w:t>2019, Pages</w:t>
      </w:r>
      <w:r w:rsidRPr="00041938">
        <w:rPr>
          <w:color w:val="303030"/>
          <w:highlight w:val="white"/>
        </w:rPr>
        <w:t>944-967.e</w:t>
      </w:r>
      <w:proofErr w:type="gramStart"/>
      <w:r w:rsidRPr="00041938">
        <w:rPr>
          <w:color w:val="303030"/>
          <w:highlight w:val="white"/>
        </w:rPr>
        <w:t>6,ISBN</w:t>
      </w:r>
      <w:proofErr w:type="gramEnd"/>
      <w:r w:rsidRPr="00041938">
        <w:rPr>
          <w:color w:val="303030"/>
          <w:highlight w:val="white"/>
        </w:rPr>
        <w:t>9780323448871,https://doi.org/10.1016/B978-0-323-44887-1.00065-1.</w:t>
      </w:r>
    </w:p>
    <w:p w14:paraId="1A284CC0" w14:textId="513455F2" w:rsidR="00041938" w:rsidRDefault="00041938">
      <w:pPr>
        <w:jc w:val="both"/>
      </w:pPr>
    </w:p>
    <w:p w14:paraId="177194EA" w14:textId="186F94F2" w:rsidR="0090057F" w:rsidRDefault="0090057F" w:rsidP="0090057F">
      <w:pPr>
        <w:numPr>
          <w:ilvl w:val="0"/>
          <w:numId w:val="1"/>
        </w:numPr>
        <w:jc w:val="both"/>
        <w:rPr>
          <w:color w:val="303030"/>
          <w:highlight w:val="white"/>
        </w:rPr>
      </w:pPr>
      <w:r w:rsidRPr="00041938">
        <w:rPr>
          <w:color w:val="303030"/>
          <w:highlight w:val="white"/>
        </w:rPr>
        <w:t xml:space="preserve">Alan P. </w:t>
      </w:r>
      <w:proofErr w:type="spellStart"/>
      <w:r w:rsidRPr="00041938">
        <w:rPr>
          <w:color w:val="303030"/>
          <w:highlight w:val="white"/>
        </w:rPr>
        <w:t>Knutsen</w:t>
      </w:r>
      <w:proofErr w:type="spellEnd"/>
      <w:r w:rsidRPr="00041938">
        <w:rPr>
          <w:color w:val="303030"/>
          <w:highlight w:val="white"/>
        </w:rPr>
        <w:t xml:space="preserve">, James </w:t>
      </w:r>
      <w:proofErr w:type="spellStart"/>
      <w:r w:rsidRPr="00041938">
        <w:rPr>
          <w:color w:val="303030"/>
          <w:highlight w:val="white"/>
        </w:rPr>
        <w:t>Temprano</w:t>
      </w:r>
      <w:proofErr w:type="spellEnd"/>
      <w:r w:rsidRPr="00041938">
        <w:rPr>
          <w:color w:val="303030"/>
          <w:highlight w:val="white"/>
        </w:rPr>
        <w:t xml:space="preserve">, Jamie L. Wooldridge, Deepika </w:t>
      </w:r>
      <w:proofErr w:type="spellStart"/>
      <w:r w:rsidRPr="00041938">
        <w:rPr>
          <w:color w:val="303030"/>
          <w:highlight w:val="white"/>
        </w:rPr>
        <w:t>Bhatla</w:t>
      </w:r>
      <w:proofErr w:type="spellEnd"/>
      <w:r w:rsidRPr="00041938">
        <w:rPr>
          <w:color w:val="303030"/>
          <w:highlight w:val="white"/>
        </w:rPr>
        <w:t xml:space="preserve">, Raymond G. </w:t>
      </w:r>
      <w:proofErr w:type="spellStart"/>
      <w:r w:rsidRPr="00041938">
        <w:rPr>
          <w:color w:val="303030"/>
          <w:highlight w:val="white"/>
        </w:rPr>
        <w:t>Slavin</w:t>
      </w:r>
      <w:proofErr w:type="spellEnd"/>
      <w:r w:rsidRPr="00041938">
        <w:rPr>
          <w:color w:val="303030"/>
          <w:highlight w:val="white"/>
        </w:rPr>
        <w:t xml:space="preserve">, 59 - Environmental Exposures in the Normal Host, Editor(s): Robert W. Wilmott, Thomas F. Boat, Andrew Bush, Victor </w:t>
      </w:r>
      <w:proofErr w:type="spellStart"/>
      <w:r w:rsidRPr="00041938">
        <w:rPr>
          <w:color w:val="303030"/>
          <w:highlight w:val="white"/>
        </w:rPr>
        <w:t>Chernick</w:t>
      </w:r>
      <w:proofErr w:type="spellEnd"/>
      <w:r w:rsidRPr="00041938">
        <w:rPr>
          <w:color w:val="303030"/>
          <w:highlight w:val="white"/>
        </w:rPr>
        <w:t xml:space="preserve">, Robin R. </w:t>
      </w:r>
      <w:proofErr w:type="spellStart"/>
      <w:r w:rsidRPr="00041938">
        <w:rPr>
          <w:color w:val="303030"/>
          <w:highlight w:val="white"/>
        </w:rPr>
        <w:t>Deterding</w:t>
      </w:r>
      <w:proofErr w:type="spellEnd"/>
      <w:r w:rsidRPr="00041938">
        <w:rPr>
          <w:color w:val="303030"/>
          <w:highlight w:val="white"/>
        </w:rPr>
        <w:t xml:space="preserve">, Felix </w:t>
      </w:r>
      <w:proofErr w:type="spellStart"/>
      <w:r w:rsidRPr="00041938">
        <w:rPr>
          <w:color w:val="303030"/>
          <w:highlight w:val="white"/>
        </w:rPr>
        <w:t>Ratjen</w:t>
      </w:r>
      <w:proofErr w:type="spellEnd"/>
      <w:r w:rsidRPr="00041938">
        <w:rPr>
          <w:color w:val="303030"/>
          <w:highlight w:val="white"/>
        </w:rPr>
        <w:t xml:space="preserve">, </w:t>
      </w:r>
      <w:proofErr w:type="spellStart"/>
      <w:r w:rsidRPr="00041938">
        <w:rPr>
          <w:color w:val="303030"/>
          <w:highlight w:val="white"/>
        </w:rPr>
        <w:t>Kendig</w:t>
      </w:r>
      <w:proofErr w:type="spellEnd"/>
      <w:r w:rsidRPr="00041938">
        <w:rPr>
          <w:color w:val="303030"/>
          <w:highlight w:val="white"/>
        </w:rPr>
        <w:t xml:space="preserve"> &amp; </w:t>
      </w:r>
      <w:proofErr w:type="spellStart"/>
      <w:r w:rsidRPr="00041938">
        <w:rPr>
          <w:color w:val="303030"/>
          <w:highlight w:val="white"/>
        </w:rPr>
        <w:t>Chernick's</w:t>
      </w:r>
      <w:proofErr w:type="spellEnd"/>
      <w:r w:rsidRPr="00041938">
        <w:rPr>
          <w:color w:val="303030"/>
          <w:highlight w:val="white"/>
        </w:rPr>
        <w:t xml:space="preserve"> Disorders of the Respiratory Tract in Children (Eighth Edition), W.B. Saunders,</w:t>
      </w:r>
      <w:proofErr w:type="gramStart"/>
      <w:r w:rsidR="0030150D" w:rsidRPr="00041938">
        <w:rPr>
          <w:color w:val="303030"/>
          <w:highlight w:val="white"/>
        </w:rPr>
        <w:t>2012,Pages</w:t>
      </w:r>
      <w:proofErr w:type="gramEnd"/>
      <w:r w:rsidRPr="00041938">
        <w:rPr>
          <w:color w:val="303030"/>
          <w:highlight w:val="white"/>
        </w:rPr>
        <w:t>858-876,ISBN9781437719840,https://doi.org/10.1016/B978-1-4377-1984-0.00059-0.</w:t>
      </w:r>
    </w:p>
    <w:p w14:paraId="603BB42C" w14:textId="77777777" w:rsidR="0090057F" w:rsidRDefault="0090057F" w:rsidP="0090057F">
      <w:pPr>
        <w:pStyle w:val="ListParagraph"/>
        <w:rPr>
          <w:rFonts w:ascii="Times New Roman" w:hAnsi="Times New Roman" w:cs="Times New Roman"/>
          <w:color w:val="303030"/>
          <w:sz w:val="24"/>
          <w:szCs w:val="24"/>
          <w:highlight w:val="white"/>
        </w:rPr>
      </w:pPr>
    </w:p>
    <w:p w14:paraId="6D7BE123" w14:textId="3DA80EE7" w:rsidR="0090057F" w:rsidRPr="0030150D" w:rsidRDefault="0090057F" w:rsidP="0090057F">
      <w:pPr>
        <w:numPr>
          <w:ilvl w:val="0"/>
          <w:numId w:val="1"/>
        </w:numPr>
        <w:jc w:val="both"/>
        <w:rPr>
          <w:color w:val="303030"/>
          <w:highlight w:val="white"/>
        </w:rPr>
      </w:pPr>
      <w:proofErr w:type="spellStart"/>
      <w:r w:rsidRPr="00041938">
        <w:rPr>
          <w:color w:val="1A1A1A"/>
          <w:highlight w:val="white"/>
        </w:rPr>
        <w:t>Animesh</w:t>
      </w:r>
      <w:proofErr w:type="spellEnd"/>
      <w:r w:rsidRPr="00041938">
        <w:rPr>
          <w:color w:val="1A1A1A"/>
          <w:highlight w:val="white"/>
        </w:rPr>
        <w:t xml:space="preserve"> </w:t>
      </w:r>
      <w:proofErr w:type="spellStart"/>
      <w:r w:rsidRPr="00041938">
        <w:rPr>
          <w:color w:val="1A1A1A"/>
          <w:highlight w:val="white"/>
        </w:rPr>
        <w:t>Pardanani</w:t>
      </w:r>
      <w:proofErr w:type="spellEnd"/>
      <w:r w:rsidRPr="00041938">
        <w:rPr>
          <w:color w:val="1A1A1A"/>
          <w:highlight w:val="white"/>
        </w:rPr>
        <w:t xml:space="preserve">, Terra Reeder, Luis F. </w:t>
      </w:r>
      <w:proofErr w:type="spellStart"/>
      <w:r w:rsidRPr="00041938">
        <w:rPr>
          <w:color w:val="1A1A1A"/>
          <w:highlight w:val="white"/>
        </w:rPr>
        <w:t>Porrata</w:t>
      </w:r>
      <w:proofErr w:type="spellEnd"/>
      <w:r w:rsidRPr="00041938">
        <w:rPr>
          <w:color w:val="1A1A1A"/>
          <w:highlight w:val="white"/>
        </w:rPr>
        <w:t xml:space="preserve">, Chin-Yang Li, Henry D. </w:t>
      </w:r>
      <w:proofErr w:type="spellStart"/>
      <w:r w:rsidRPr="00041938">
        <w:rPr>
          <w:color w:val="1A1A1A"/>
          <w:highlight w:val="white"/>
        </w:rPr>
        <w:t>Tazelaar</w:t>
      </w:r>
      <w:proofErr w:type="spellEnd"/>
      <w:r w:rsidRPr="00041938">
        <w:rPr>
          <w:color w:val="1A1A1A"/>
          <w:highlight w:val="white"/>
        </w:rPr>
        <w:t xml:space="preserve">, E. Joanna Baxter, Thomas E. </w:t>
      </w:r>
      <w:proofErr w:type="spellStart"/>
      <w:r w:rsidRPr="00041938">
        <w:rPr>
          <w:color w:val="1A1A1A"/>
          <w:highlight w:val="white"/>
        </w:rPr>
        <w:t>Witzig</w:t>
      </w:r>
      <w:proofErr w:type="spellEnd"/>
      <w:r w:rsidRPr="00041938">
        <w:rPr>
          <w:color w:val="1A1A1A"/>
          <w:highlight w:val="white"/>
        </w:rPr>
        <w:t xml:space="preserve">, Nicholas C. P. Cross, </w:t>
      </w:r>
      <w:proofErr w:type="spellStart"/>
      <w:r w:rsidRPr="00041938">
        <w:rPr>
          <w:color w:val="1A1A1A"/>
          <w:highlight w:val="white"/>
        </w:rPr>
        <w:t>Ayalew</w:t>
      </w:r>
      <w:proofErr w:type="spellEnd"/>
      <w:r w:rsidRPr="00041938">
        <w:rPr>
          <w:color w:val="1A1A1A"/>
          <w:highlight w:val="white"/>
        </w:rPr>
        <w:t xml:space="preserve"> </w:t>
      </w:r>
      <w:proofErr w:type="spellStart"/>
      <w:r w:rsidRPr="00041938">
        <w:rPr>
          <w:color w:val="1A1A1A"/>
          <w:highlight w:val="white"/>
        </w:rPr>
        <w:t>Tefferi</w:t>
      </w:r>
      <w:proofErr w:type="spellEnd"/>
      <w:r w:rsidRPr="00041938">
        <w:rPr>
          <w:color w:val="1A1A1A"/>
          <w:highlight w:val="white"/>
        </w:rPr>
        <w:t xml:space="preserve">; Imatinib therapy for </w:t>
      </w:r>
      <w:proofErr w:type="spellStart"/>
      <w:r w:rsidRPr="00041938">
        <w:rPr>
          <w:color w:val="1A1A1A"/>
          <w:highlight w:val="white"/>
        </w:rPr>
        <w:t>hypereosinophilic</w:t>
      </w:r>
      <w:proofErr w:type="spellEnd"/>
      <w:r w:rsidRPr="00041938">
        <w:rPr>
          <w:color w:val="1A1A1A"/>
          <w:highlight w:val="white"/>
        </w:rPr>
        <w:t xml:space="preserve"> syndrome and other eosinophilic disorders. Blood 2003; 101 (9): 3391–3397. </w:t>
      </w:r>
      <w:proofErr w:type="spellStart"/>
      <w:r w:rsidRPr="00041938">
        <w:rPr>
          <w:color w:val="1A1A1A"/>
          <w:highlight w:val="white"/>
        </w:rPr>
        <w:t>doi</w:t>
      </w:r>
      <w:proofErr w:type="spellEnd"/>
      <w:r w:rsidRPr="00041938">
        <w:rPr>
          <w:color w:val="1A1A1A"/>
          <w:highlight w:val="white"/>
        </w:rPr>
        <w:t xml:space="preserve">: </w:t>
      </w:r>
      <w:r w:rsidRPr="0030150D">
        <w:rPr>
          <w:color w:val="1A1A1A"/>
          <w:highlight w:val="white"/>
        </w:rPr>
        <w:t>https://doi.org/10.1182/blood-2002-10-3103</w:t>
      </w:r>
    </w:p>
    <w:p w14:paraId="26FA4BB6" w14:textId="77777777" w:rsidR="0030150D" w:rsidRDefault="0030150D" w:rsidP="0030150D">
      <w:pPr>
        <w:pStyle w:val="ListParagraph"/>
        <w:rPr>
          <w:rFonts w:ascii="Times New Roman" w:hAnsi="Times New Roman" w:cs="Times New Roman"/>
          <w:color w:val="303030"/>
          <w:sz w:val="24"/>
          <w:szCs w:val="24"/>
          <w:highlight w:val="white"/>
        </w:rPr>
      </w:pPr>
    </w:p>
    <w:p w14:paraId="6B3750F1" w14:textId="7EA3C734" w:rsidR="0030150D" w:rsidRDefault="0030150D" w:rsidP="0030150D">
      <w:pPr>
        <w:numPr>
          <w:ilvl w:val="0"/>
          <w:numId w:val="1"/>
        </w:numPr>
        <w:jc w:val="both"/>
        <w:rPr>
          <w:color w:val="303030"/>
          <w:highlight w:val="white"/>
        </w:rPr>
      </w:pPr>
      <w:r w:rsidRPr="00041938">
        <w:rPr>
          <w:color w:val="303030"/>
          <w:highlight w:val="white"/>
        </w:rPr>
        <w:t xml:space="preserve">Crane MM, Chang CM, Kobayashi MG, Weller PF. Incidence of myeloproliferative </w:t>
      </w:r>
      <w:proofErr w:type="spellStart"/>
      <w:r w:rsidRPr="00041938">
        <w:rPr>
          <w:color w:val="303030"/>
          <w:highlight w:val="white"/>
        </w:rPr>
        <w:t>hypereosinophilic</w:t>
      </w:r>
      <w:proofErr w:type="spellEnd"/>
      <w:r w:rsidRPr="00041938">
        <w:rPr>
          <w:color w:val="303030"/>
          <w:highlight w:val="white"/>
        </w:rPr>
        <w:t xml:space="preserve"> syndrome in the United States and an estimate of all </w:t>
      </w:r>
      <w:proofErr w:type="spellStart"/>
      <w:r w:rsidRPr="00041938">
        <w:rPr>
          <w:color w:val="303030"/>
          <w:highlight w:val="white"/>
        </w:rPr>
        <w:t>hypereosinophilic</w:t>
      </w:r>
      <w:proofErr w:type="spellEnd"/>
      <w:r w:rsidRPr="00041938">
        <w:rPr>
          <w:color w:val="303030"/>
          <w:highlight w:val="white"/>
        </w:rPr>
        <w:t xml:space="preserve"> syndrome incidence. J Allergy Clin Immunol. 2010;126(1):179-181. </w:t>
      </w:r>
      <w:proofErr w:type="gramStart"/>
      <w:r w:rsidRPr="00041938">
        <w:rPr>
          <w:color w:val="303030"/>
          <w:highlight w:val="white"/>
        </w:rPr>
        <w:t>doi:10.1016/j.jaci</w:t>
      </w:r>
      <w:proofErr w:type="gramEnd"/>
      <w:r w:rsidRPr="00041938">
        <w:rPr>
          <w:color w:val="303030"/>
          <w:highlight w:val="white"/>
        </w:rPr>
        <w:t>.2010.03.035</w:t>
      </w:r>
    </w:p>
    <w:p w14:paraId="55FB0E3A" w14:textId="77777777" w:rsidR="0030150D" w:rsidRDefault="0030150D" w:rsidP="0030150D">
      <w:pPr>
        <w:pStyle w:val="ListParagraph"/>
        <w:rPr>
          <w:rFonts w:ascii="Times New Roman" w:hAnsi="Times New Roman" w:cs="Times New Roman"/>
          <w:color w:val="303030"/>
          <w:sz w:val="24"/>
          <w:szCs w:val="24"/>
          <w:highlight w:val="white"/>
        </w:rPr>
      </w:pPr>
    </w:p>
    <w:p w14:paraId="6C1E0036" w14:textId="3C47FE6F" w:rsidR="0030150D" w:rsidRDefault="0030150D" w:rsidP="0030150D">
      <w:pPr>
        <w:numPr>
          <w:ilvl w:val="0"/>
          <w:numId w:val="1"/>
        </w:numPr>
        <w:jc w:val="both"/>
        <w:rPr>
          <w:color w:val="303030"/>
          <w:highlight w:val="white"/>
        </w:rPr>
      </w:pPr>
      <w:proofErr w:type="spellStart"/>
      <w:r w:rsidRPr="00041938">
        <w:rPr>
          <w:color w:val="303030"/>
          <w:highlight w:val="white"/>
        </w:rPr>
        <w:t>Helbig</w:t>
      </w:r>
      <w:proofErr w:type="spellEnd"/>
      <w:r w:rsidRPr="00041938">
        <w:rPr>
          <w:color w:val="303030"/>
          <w:highlight w:val="white"/>
        </w:rPr>
        <w:t xml:space="preserve"> G, </w:t>
      </w:r>
      <w:proofErr w:type="spellStart"/>
      <w:r w:rsidRPr="00041938">
        <w:rPr>
          <w:color w:val="303030"/>
          <w:highlight w:val="white"/>
        </w:rPr>
        <w:t>Wieczorkiewicz</w:t>
      </w:r>
      <w:proofErr w:type="spellEnd"/>
      <w:r w:rsidRPr="00041938">
        <w:rPr>
          <w:color w:val="303030"/>
          <w:highlight w:val="white"/>
        </w:rPr>
        <w:t xml:space="preserve"> A, </w:t>
      </w:r>
      <w:proofErr w:type="spellStart"/>
      <w:r w:rsidRPr="00041938">
        <w:rPr>
          <w:color w:val="303030"/>
          <w:highlight w:val="white"/>
        </w:rPr>
        <w:t>Dziaczkowska-Suszek</w:t>
      </w:r>
      <w:proofErr w:type="spellEnd"/>
      <w:r w:rsidRPr="00041938">
        <w:rPr>
          <w:color w:val="303030"/>
          <w:highlight w:val="white"/>
        </w:rPr>
        <w:t xml:space="preserve"> J, Majewski M, </w:t>
      </w:r>
      <w:proofErr w:type="spellStart"/>
      <w:r w:rsidRPr="00041938">
        <w:rPr>
          <w:color w:val="303030"/>
          <w:highlight w:val="white"/>
        </w:rPr>
        <w:t>Kyrcz-Krzemien</w:t>
      </w:r>
      <w:proofErr w:type="spellEnd"/>
      <w:r w:rsidRPr="00041938">
        <w:rPr>
          <w:color w:val="303030"/>
          <w:highlight w:val="white"/>
        </w:rPr>
        <w:t xml:space="preserve"> S. T-cell abnormalities are present at high frequencies in patients with </w:t>
      </w:r>
      <w:proofErr w:type="spellStart"/>
      <w:r w:rsidRPr="00041938">
        <w:rPr>
          <w:color w:val="303030"/>
          <w:highlight w:val="white"/>
        </w:rPr>
        <w:t>hypereosinophilic</w:t>
      </w:r>
      <w:proofErr w:type="spellEnd"/>
      <w:r w:rsidRPr="00041938">
        <w:rPr>
          <w:color w:val="303030"/>
          <w:highlight w:val="white"/>
        </w:rPr>
        <w:t xml:space="preserve"> syndrome. </w:t>
      </w:r>
      <w:proofErr w:type="spellStart"/>
      <w:r w:rsidRPr="00041938">
        <w:rPr>
          <w:color w:val="303030"/>
          <w:highlight w:val="white"/>
        </w:rPr>
        <w:t>Haematologica</w:t>
      </w:r>
      <w:proofErr w:type="spellEnd"/>
      <w:r w:rsidRPr="00041938">
        <w:rPr>
          <w:color w:val="303030"/>
          <w:highlight w:val="white"/>
        </w:rPr>
        <w:t>. 2009;94(9):1236-1241. doi:10.3324/haematol.2008.005447</w:t>
      </w:r>
    </w:p>
    <w:p w14:paraId="53B3461E" w14:textId="77777777" w:rsidR="0030150D" w:rsidRDefault="0030150D" w:rsidP="0030150D">
      <w:pPr>
        <w:pStyle w:val="ListParagraph"/>
        <w:rPr>
          <w:rFonts w:ascii="Times New Roman" w:hAnsi="Times New Roman" w:cs="Times New Roman"/>
          <w:color w:val="303030"/>
          <w:sz w:val="24"/>
          <w:szCs w:val="24"/>
          <w:highlight w:val="white"/>
        </w:rPr>
      </w:pPr>
    </w:p>
    <w:p w14:paraId="30F8CBE8" w14:textId="77777777" w:rsidR="0030150D" w:rsidRDefault="0030150D" w:rsidP="0030150D">
      <w:pPr>
        <w:ind w:left="720"/>
        <w:jc w:val="both"/>
        <w:rPr>
          <w:color w:val="303030"/>
          <w:highlight w:val="white"/>
        </w:rPr>
      </w:pPr>
    </w:p>
    <w:p w14:paraId="21F12C94" w14:textId="0AADA2DE" w:rsidR="0030150D" w:rsidRPr="0030150D" w:rsidRDefault="0030150D" w:rsidP="0030150D">
      <w:pPr>
        <w:numPr>
          <w:ilvl w:val="0"/>
          <w:numId w:val="1"/>
        </w:numPr>
        <w:jc w:val="both"/>
      </w:pPr>
      <w:proofErr w:type="spellStart"/>
      <w:r w:rsidRPr="00041938">
        <w:rPr>
          <w:color w:val="303030"/>
          <w:highlight w:val="white"/>
        </w:rPr>
        <w:t>Ogbogu</w:t>
      </w:r>
      <w:proofErr w:type="spellEnd"/>
      <w:r w:rsidRPr="00041938">
        <w:rPr>
          <w:color w:val="303030"/>
          <w:highlight w:val="white"/>
        </w:rPr>
        <w:t xml:space="preserve"> PU, </w:t>
      </w:r>
      <w:proofErr w:type="spellStart"/>
      <w:r w:rsidRPr="00041938">
        <w:rPr>
          <w:color w:val="303030"/>
          <w:highlight w:val="white"/>
        </w:rPr>
        <w:t>Bochner</w:t>
      </w:r>
      <w:proofErr w:type="spellEnd"/>
      <w:r w:rsidRPr="00041938">
        <w:rPr>
          <w:color w:val="303030"/>
          <w:highlight w:val="white"/>
        </w:rPr>
        <w:t xml:space="preserve"> BS, Butterfield JH, et al. </w:t>
      </w:r>
      <w:proofErr w:type="spellStart"/>
      <w:r w:rsidRPr="00041938">
        <w:rPr>
          <w:color w:val="303030"/>
          <w:highlight w:val="white"/>
        </w:rPr>
        <w:t>Hypereosinophilic</w:t>
      </w:r>
      <w:proofErr w:type="spellEnd"/>
      <w:r w:rsidRPr="00041938">
        <w:rPr>
          <w:color w:val="303030"/>
          <w:highlight w:val="white"/>
        </w:rPr>
        <w:t xml:space="preserve"> syndrome: a multicenter, retrospective analysis of clinical characteristics and response to therapy. J Allergy Clin Immunol. 2009;124(6):1319-</w:t>
      </w:r>
      <w:proofErr w:type="gramStart"/>
      <w:r w:rsidRPr="00041938">
        <w:rPr>
          <w:color w:val="303030"/>
          <w:highlight w:val="white"/>
        </w:rPr>
        <w:t>25.e</w:t>
      </w:r>
      <w:proofErr w:type="gramEnd"/>
      <w:r w:rsidRPr="00041938">
        <w:rPr>
          <w:color w:val="303030"/>
          <w:highlight w:val="white"/>
        </w:rPr>
        <w:t xml:space="preserve">3. </w:t>
      </w:r>
      <w:proofErr w:type="gramStart"/>
      <w:r w:rsidRPr="00041938">
        <w:rPr>
          <w:color w:val="303030"/>
          <w:highlight w:val="white"/>
        </w:rPr>
        <w:t>doi:10.1016/j.jaci</w:t>
      </w:r>
      <w:proofErr w:type="gramEnd"/>
      <w:r w:rsidRPr="00041938">
        <w:rPr>
          <w:color w:val="303030"/>
          <w:highlight w:val="white"/>
        </w:rPr>
        <w:t>.2009.09.022</w:t>
      </w:r>
    </w:p>
    <w:p w14:paraId="424DDE0A" w14:textId="77777777" w:rsidR="0030150D" w:rsidRPr="0030150D" w:rsidRDefault="0030150D" w:rsidP="0030150D">
      <w:pPr>
        <w:ind w:left="720"/>
        <w:jc w:val="both"/>
      </w:pPr>
    </w:p>
    <w:p w14:paraId="0C1EE1DA" w14:textId="507C38CE" w:rsidR="0030150D" w:rsidRDefault="0030150D" w:rsidP="0030150D">
      <w:pPr>
        <w:numPr>
          <w:ilvl w:val="0"/>
          <w:numId w:val="1"/>
        </w:numPr>
        <w:jc w:val="both"/>
        <w:rPr>
          <w:color w:val="1A1A1A"/>
          <w:highlight w:val="white"/>
        </w:rPr>
      </w:pPr>
      <w:r w:rsidRPr="00041938">
        <w:rPr>
          <w:color w:val="1A1A1A"/>
          <w:highlight w:val="white"/>
        </w:rPr>
        <w:t xml:space="preserve">Schuster B, Zink A, </w:t>
      </w:r>
      <w:proofErr w:type="spellStart"/>
      <w:r w:rsidRPr="00041938">
        <w:rPr>
          <w:color w:val="1A1A1A"/>
          <w:highlight w:val="white"/>
        </w:rPr>
        <w:t>Eyerich</w:t>
      </w:r>
      <w:proofErr w:type="spellEnd"/>
      <w:r w:rsidRPr="00041938">
        <w:rPr>
          <w:color w:val="1A1A1A"/>
          <w:highlight w:val="white"/>
        </w:rPr>
        <w:t xml:space="preserve"> K. Medical algorithm: Diagnosis and treatment of </w:t>
      </w:r>
      <w:proofErr w:type="spellStart"/>
      <w:r w:rsidRPr="00041938">
        <w:rPr>
          <w:color w:val="1A1A1A"/>
          <w:highlight w:val="white"/>
        </w:rPr>
        <w:t>hypereosinophilic</w:t>
      </w:r>
      <w:proofErr w:type="spellEnd"/>
      <w:r w:rsidRPr="00041938">
        <w:rPr>
          <w:color w:val="1A1A1A"/>
          <w:highlight w:val="white"/>
        </w:rPr>
        <w:t xml:space="preserve"> syndrome. Allergy 2020;75(11):3003-3006. DOI: 10.1111/all.14368.</w:t>
      </w:r>
    </w:p>
    <w:p w14:paraId="24E83DA7" w14:textId="77777777" w:rsidR="0030150D" w:rsidRDefault="0030150D" w:rsidP="0030150D">
      <w:pPr>
        <w:pStyle w:val="ListParagraph"/>
        <w:rPr>
          <w:rFonts w:ascii="Times New Roman" w:hAnsi="Times New Roman" w:cs="Times New Roman"/>
          <w:color w:val="1A1A1A"/>
          <w:sz w:val="24"/>
          <w:szCs w:val="24"/>
          <w:highlight w:val="white"/>
        </w:rPr>
      </w:pPr>
    </w:p>
    <w:p w14:paraId="489C07E8" w14:textId="69940A3F" w:rsidR="0030150D" w:rsidRPr="0030150D" w:rsidRDefault="0030150D" w:rsidP="0030150D">
      <w:pPr>
        <w:numPr>
          <w:ilvl w:val="0"/>
          <w:numId w:val="1"/>
        </w:numPr>
        <w:jc w:val="both"/>
        <w:rPr>
          <w:color w:val="303030"/>
          <w:highlight w:val="white"/>
        </w:rPr>
      </w:pPr>
      <w:proofErr w:type="spellStart"/>
      <w:r w:rsidRPr="00041938">
        <w:rPr>
          <w:color w:val="303030"/>
          <w:highlight w:val="white"/>
        </w:rPr>
        <w:lastRenderedPageBreak/>
        <w:t>Shomali</w:t>
      </w:r>
      <w:proofErr w:type="spellEnd"/>
      <w:r w:rsidRPr="00041938">
        <w:rPr>
          <w:color w:val="303030"/>
          <w:highlight w:val="white"/>
        </w:rPr>
        <w:t xml:space="preserve"> W, </w:t>
      </w:r>
      <w:proofErr w:type="spellStart"/>
      <w:r w:rsidRPr="00041938">
        <w:rPr>
          <w:color w:val="303030"/>
          <w:highlight w:val="white"/>
        </w:rPr>
        <w:t>Gotlib</w:t>
      </w:r>
      <w:proofErr w:type="spellEnd"/>
      <w:r w:rsidRPr="00041938">
        <w:rPr>
          <w:color w:val="303030"/>
          <w:highlight w:val="white"/>
        </w:rPr>
        <w:t xml:space="preserve"> J. World Health Organization-defined eosinophilic disorders: 2019 update on diagnosis, risk stratification, and management. Am J </w:t>
      </w:r>
      <w:proofErr w:type="spellStart"/>
      <w:r w:rsidRPr="00041938">
        <w:rPr>
          <w:color w:val="303030"/>
          <w:highlight w:val="white"/>
        </w:rPr>
        <w:t>Hematol</w:t>
      </w:r>
      <w:proofErr w:type="spellEnd"/>
      <w:r w:rsidRPr="00041938">
        <w:rPr>
          <w:color w:val="303030"/>
          <w:highlight w:val="white"/>
        </w:rPr>
        <w:t xml:space="preserve"> 2019;94(10):1149-1167. DOI: 10.1002/ajh.25617.</w:t>
      </w:r>
    </w:p>
    <w:p w14:paraId="10C3149B" w14:textId="1B5DB598" w:rsidR="0030150D" w:rsidRPr="0090057F" w:rsidRDefault="0030150D" w:rsidP="0030150D">
      <w:pPr>
        <w:ind w:left="360"/>
        <w:jc w:val="both"/>
        <w:rPr>
          <w:color w:val="303030"/>
          <w:highlight w:val="white"/>
        </w:rPr>
      </w:pPr>
    </w:p>
    <w:p w14:paraId="5FD2075E" w14:textId="77777777" w:rsidR="0090057F" w:rsidRPr="00041938" w:rsidRDefault="0090057F">
      <w:pPr>
        <w:jc w:val="both"/>
      </w:pPr>
    </w:p>
    <w:p w14:paraId="0000001D" w14:textId="3A7D938E" w:rsidR="00740C0C" w:rsidRDefault="00A622BB">
      <w:pPr>
        <w:numPr>
          <w:ilvl w:val="0"/>
          <w:numId w:val="1"/>
        </w:numPr>
        <w:jc w:val="both"/>
      </w:pPr>
      <w:r w:rsidRPr="00041938">
        <w:t xml:space="preserve">Simon H-U, Rothenberg ME, </w:t>
      </w:r>
      <w:proofErr w:type="spellStart"/>
      <w:r w:rsidRPr="00041938">
        <w:t>Bochner</w:t>
      </w:r>
      <w:proofErr w:type="spellEnd"/>
      <w:r w:rsidRPr="00041938">
        <w:t xml:space="preserve"> BS, et al. Refining the definition of hypereosinophilic syndrome. J Allergy Clin </w:t>
      </w:r>
      <w:proofErr w:type="spellStart"/>
      <w:r w:rsidRPr="00041938">
        <w:t>Immun</w:t>
      </w:r>
      <w:proofErr w:type="spellEnd"/>
      <w:r w:rsidRPr="00041938">
        <w:t xml:space="preserve"> 2010;126(1):45-49. DOI: 10.1016/j.jaci.2010.03.042.</w:t>
      </w:r>
    </w:p>
    <w:p w14:paraId="7E92735E" w14:textId="77777777" w:rsidR="0090057F" w:rsidRPr="00041938" w:rsidRDefault="0090057F" w:rsidP="0090057F">
      <w:pPr>
        <w:ind w:left="720"/>
        <w:jc w:val="both"/>
      </w:pPr>
    </w:p>
    <w:p w14:paraId="55DDD692" w14:textId="77777777" w:rsidR="0090057F" w:rsidRPr="00041938" w:rsidRDefault="0090057F" w:rsidP="0030150D">
      <w:pPr>
        <w:jc w:val="both"/>
        <w:rPr>
          <w:color w:val="303030"/>
          <w:highlight w:val="white"/>
        </w:rPr>
      </w:pPr>
    </w:p>
    <w:p w14:paraId="5AF4E99D" w14:textId="77777777" w:rsidR="0090057F" w:rsidRPr="00041938" w:rsidRDefault="0090057F" w:rsidP="0030150D">
      <w:pPr>
        <w:jc w:val="both"/>
        <w:rPr>
          <w:color w:val="303030"/>
          <w:highlight w:val="white"/>
        </w:rPr>
      </w:pPr>
    </w:p>
    <w:p w14:paraId="34738176" w14:textId="1BEC2862" w:rsidR="0090057F" w:rsidRPr="0030150D" w:rsidRDefault="00A622BB" w:rsidP="0090057F">
      <w:pPr>
        <w:numPr>
          <w:ilvl w:val="0"/>
          <w:numId w:val="1"/>
        </w:numPr>
        <w:jc w:val="both"/>
        <w:rPr>
          <w:color w:val="303030"/>
          <w:highlight w:val="white"/>
        </w:rPr>
      </w:pPr>
      <w:r w:rsidRPr="00041938">
        <w:rPr>
          <w:color w:val="303030"/>
          <w:highlight w:val="white"/>
        </w:rPr>
        <w:t xml:space="preserve">Valent P, </w:t>
      </w:r>
      <w:proofErr w:type="spellStart"/>
      <w:r w:rsidRPr="00041938">
        <w:rPr>
          <w:color w:val="303030"/>
          <w:highlight w:val="white"/>
        </w:rPr>
        <w:t>Klion</w:t>
      </w:r>
      <w:proofErr w:type="spellEnd"/>
      <w:r w:rsidRPr="00041938">
        <w:rPr>
          <w:color w:val="303030"/>
          <w:highlight w:val="white"/>
        </w:rPr>
        <w:t xml:space="preserve"> AD, Horny H-P, et al. Contemporary consensus proposal on criteria and classification of eosinophilic disorders and related syndromes. J Allergy Clin </w:t>
      </w:r>
      <w:proofErr w:type="spellStart"/>
      <w:r w:rsidRPr="00041938">
        <w:rPr>
          <w:color w:val="303030"/>
          <w:highlight w:val="white"/>
        </w:rPr>
        <w:t>Immun</w:t>
      </w:r>
      <w:proofErr w:type="spellEnd"/>
      <w:r w:rsidRPr="00041938">
        <w:rPr>
          <w:color w:val="303030"/>
          <w:highlight w:val="white"/>
        </w:rPr>
        <w:t xml:space="preserve"> 2012;130(3):607-612.e9. DOI: 10.1016/j.jaci.2012.02.019.</w:t>
      </w:r>
    </w:p>
    <w:p w14:paraId="6E9DB18B" w14:textId="77777777" w:rsidR="0090057F" w:rsidRPr="00041938" w:rsidRDefault="0090057F" w:rsidP="0090057F">
      <w:pPr>
        <w:ind w:left="720"/>
        <w:jc w:val="both"/>
        <w:rPr>
          <w:color w:val="303030"/>
          <w:highlight w:val="white"/>
        </w:rPr>
      </w:pPr>
    </w:p>
    <w:p w14:paraId="00000026" w14:textId="404BF2BC" w:rsidR="00740C0C" w:rsidRPr="00041938" w:rsidRDefault="00740C0C" w:rsidP="0030150D">
      <w:pPr>
        <w:ind w:left="720"/>
        <w:jc w:val="both"/>
        <w:rPr>
          <w:color w:val="1A1A1A"/>
          <w:highlight w:val="white"/>
        </w:rPr>
      </w:pPr>
    </w:p>
    <w:sectPr w:rsidR="00740C0C" w:rsidRPr="00041938" w:rsidSect="00041938">
      <w:headerReference w:type="even" r:id="rId7"/>
      <w:headerReference w:type="default" r:id="rId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8AFF8" w14:textId="77777777" w:rsidR="00C83FCE" w:rsidRDefault="00C83FCE" w:rsidP="00041938">
      <w:r>
        <w:separator/>
      </w:r>
    </w:p>
  </w:endnote>
  <w:endnote w:type="continuationSeparator" w:id="0">
    <w:p w14:paraId="45A7DA16" w14:textId="77777777" w:rsidR="00C83FCE" w:rsidRDefault="00C83FCE" w:rsidP="0004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CB0C5" w14:textId="77777777" w:rsidR="00C83FCE" w:rsidRDefault="00C83FCE" w:rsidP="00041938">
      <w:r>
        <w:separator/>
      </w:r>
    </w:p>
  </w:footnote>
  <w:footnote w:type="continuationSeparator" w:id="0">
    <w:p w14:paraId="3BB47B1B" w14:textId="77777777" w:rsidR="00C83FCE" w:rsidRDefault="00C83FCE" w:rsidP="00041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9011654"/>
      <w:docPartObj>
        <w:docPartGallery w:val="Page Numbers (Top of Page)"/>
        <w:docPartUnique/>
      </w:docPartObj>
    </w:sdtPr>
    <w:sdtContent>
      <w:p w14:paraId="5A28469F" w14:textId="280199AA" w:rsidR="00041938" w:rsidRDefault="00041938" w:rsidP="00FF75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FAA622" w14:textId="77777777" w:rsidR="00041938" w:rsidRDefault="00041938" w:rsidP="0004193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60251"/>
      <w:docPartObj>
        <w:docPartGallery w:val="Page Numbers (Top of Page)"/>
        <w:docPartUnique/>
      </w:docPartObj>
    </w:sdtPr>
    <w:sdtContent>
      <w:p w14:paraId="178EFE09" w14:textId="2CB93BC3" w:rsidR="00041938" w:rsidRDefault="00041938" w:rsidP="00FF752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3FB7A23" w14:textId="77777777" w:rsidR="00041938" w:rsidRDefault="00041938" w:rsidP="0004193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A1F98"/>
    <w:multiLevelType w:val="multilevel"/>
    <w:tmpl w:val="9B6296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33674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C0C"/>
    <w:rsid w:val="00041938"/>
    <w:rsid w:val="000452B5"/>
    <w:rsid w:val="00084BC6"/>
    <w:rsid w:val="000E573F"/>
    <w:rsid w:val="001C1BD6"/>
    <w:rsid w:val="001C4C07"/>
    <w:rsid w:val="0030150D"/>
    <w:rsid w:val="00390374"/>
    <w:rsid w:val="003B7A40"/>
    <w:rsid w:val="00400812"/>
    <w:rsid w:val="004A474C"/>
    <w:rsid w:val="00501916"/>
    <w:rsid w:val="0058421E"/>
    <w:rsid w:val="005D5F66"/>
    <w:rsid w:val="0062704F"/>
    <w:rsid w:val="006633E3"/>
    <w:rsid w:val="00740C0C"/>
    <w:rsid w:val="00745EA5"/>
    <w:rsid w:val="00796B74"/>
    <w:rsid w:val="007E17A4"/>
    <w:rsid w:val="00801AF9"/>
    <w:rsid w:val="0082459A"/>
    <w:rsid w:val="008A0F21"/>
    <w:rsid w:val="0090057F"/>
    <w:rsid w:val="00A1484B"/>
    <w:rsid w:val="00A622BB"/>
    <w:rsid w:val="00AD0940"/>
    <w:rsid w:val="00B035C6"/>
    <w:rsid w:val="00B9580C"/>
    <w:rsid w:val="00C83FCE"/>
    <w:rsid w:val="00CF7BCB"/>
    <w:rsid w:val="00D01768"/>
    <w:rsid w:val="00E042C1"/>
    <w:rsid w:val="00E20C1D"/>
    <w:rsid w:val="00EA551E"/>
    <w:rsid w:val="00F049BB"/>
    <w:rsid w:val="00F071DB"/>
    <w:rsid w:val="00F522F2"/>
    <w:rsid w:val="00F53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424D"/>
  <w15:docId w15:val="{78F5312C-2915-4CB5-B5ED-FD4493967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51E"/>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NormalWeb">
    <w:name w:val="Normal (Web)"/>
    <w:basedOn w:val="Normal"/>
    <w:uiPriority w:val="99"/>
    <w:semiHidden/>
    <w:unhideWhenUsed/>
    <w:rsid w:val="00E042C1"/>
    <w:pPr>
      <w:spacing w:before="100" w:beforeAutospacing="1" w:after="100" w:afterAutospacing="1"/>
    </w:pPr>
  </w:style>
  <w:style w:type="paragraph" w:styleId="Header">
    <w:name w:val="header"/>
    <w:basedOn w:val="Normal"/>
    <w:link w:val="HeaderChar"/>
    <w:uiPriority w:val="99"/>
    <w:unhideWhenUsed/>
    <w:rsid w:val="00041938"/>
    <w:pPr>
      <w:tabs>
        <w:tab w:val="center" w:pos="4680"/>
        <w:tab w:val="right" w:pos="9360"/>
      </w:tabs>
    </w:pPr>
    <w:rPr>
      <w:rFonts w:ascii="Arial" w:eastAsia="Arial" w:hAnsi="Arial" w:cs="Arial"/>
      <w:sz w:val="22"/>
      <w:szCs w:val="22"/>
      <w:lang w:val="en"/>
    </w:rPr>
  </w:style>
  <w:style w:type="character" w:customStyle="1" w:styleId="HeaderChar">
    <w:name w:val="Header Char"/>
    <w:basedOn w:val="DefaultParagraphFont"/>
    <w:link w:val="Header"/>
    <w:uiPriority w:val="99"/>
    <w:rsid w:val="00041938"/>
  </w:style>
  <w:style w:type="paragraph" w:styleId="Footer">
    <w:name w:val="footer"/>
    <w:basedOn w:val="Normal"/>
    <w:link w:val="FooterChar"/>
    <w:uiPriority w:val="99"/>
    <w:unhideWhenUsed/>
    <w:rsid w:val="00041938"/>
    <w:pPr>
      <w:tabs>
        <w:tab w:val="center" w:pos="4680"/>
        <w:tab w:val="right" w:pos="9360"/>
      </w:tabs>
    </w:pPr>
    <w:rPr>
      <w:rFonts w:ascii="Arial" w:eastAsia="Arial" w:hAnsi="Arial" w:cs="Arial"/>
      <w:sz w:val="22"/>
      <w:szCs w:val="22"/>
      <w:lang w:val="en"/>
    </w:rPr>
  </w:style>
  <w:style w:type="character" w:customStyle="1" w:styleId="FooterChar">
    <w:name w:val="Footer Char"/>
    <w:basedOn w:val="DefaultParagraphFont"/>
    <w:link w:val="Footer"/>
    <w:uiPriority w:val="99"/>
    <w:rsid w:val="00041938"/>
  </w:style>
  <w:style w:type="character" w:styleId="PageNumber">
    <w:name w:val="page number"/>
    <w:basedOn w:val="DefaultParagraphFont"/>
    <w:uiPriority w:val="99"/>
    <w:semiHidden/>
    <w:unhideWhenUsed/>
    <w:rsid w:val="00041938"/>
  </w:style>
  <w:style w:type="paragraph" w:styleId="ListParagraph">
    <w:name w:val="List Paragraph"/>
    <w:basedOn w:val="Normal"/>
    <w:uiPriority w:val="34"/>
    <w:qFormat/>
    <w:rsid w:val="0090057F"/>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90057F"/>
    <w:rPr>
      <w:color w:val="0000FF" w:themeColor="hyperlink"/>
      <w:u w:val="single"/>
    </w:rPr>
  </w:style>
  <w:style w:type="character" w:styleId="UnresolvedMention">
    <w:name w:val="Unresolved Mention"/>
    <w:basedOn w:val="DefaultParagraphFont"/>
    <w:uiPriority w:val="99"/>
    <w:semiHidden/>
    <w:unhideWhenUsed/>
    <w:rsid w:val="00900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49628">
      <w:bodyDiv w:val="1"/>
      <w:marLeft w:val="0"/>
      <w:marRight w:val="0"/>
      <w:marTop w:val="0"/>
      <w:marBottom w:val="0"/>
      <w:divBdr>
        <w:top w:val="none" w:sz="0" w:space="0" w:color="auto"/>
        <w:left w:val="none" w:sz="0" w:space="0" w:color="auto"/>
        <w:bottom w:val="none" w:sz="0" w:space="0" w:color="auto"/>
        <w:right w:val="none" w:sz="0" w:space="0" w:color="auto"/>
      </w:divBdr>
    </w:div>
    <w:div w:id="1900093592">
      <w:bodyDiv w:val="1"/>
      <w:marLeft w:val="0"/>
      <w:marRight w:val="0"/>
      <w:marTop w:val="0"/>
      <w:marBottom w:val="0"/>
      <w:divBdr>
        <w:top w:val="none" w:sz="0" w:space="0" w:color="auto"/>
        <w:left w:val="none" w:sz="0" w:space="0" w:color="auto"/>
        <w:bottom w:val="none" w:sz="0" w:space="0" w:color="auto"/>
        <w:right w:val="none" w:sz="0" w:space="0" w:color="auto"/>
      </w:divBdr>
    </w:div>
    <w:div w:id="2048868680">
      <w:bodyDiv w:val="1"/>
      <w:marLeft w:val="0"/>
      <w:marRight w:val="0"/>
      <w:marTop w:val="0"/>
      <w:marBottom w:val="0"/>
      <w:divBdr>
        <w:top w:val="none" w:sz="0" w:space="0" w:color="auto"/>
        <w:left w:val="none" w:sz="0" w:space="0" w:color="auto"/>
        <w:bottom w:val="none" w:sz="0" w:space="0" w:color="auto"/>
        <w:right w:val="none" w:sz="0" w:space="0" w:color="auto"/>
      </w:divBdr>
      <w:divsChild>
        <w:div w:id="196236500">
          <w:marLeft w:val="0"/>
          <w:marRight w:val="0"/>
          <w:marTop w:val="0"/>
          <w:marBottom w:val="0"/>
          <w:divBdr>
            <w:top w:val="none" w:sz="0" w:space="0" w:color="auto"/>
            <w:left w:val="none" w:sz="0" w:space="0" w:color="auto"/>
            <w:bottom w:val="none" w:sz="0" w:space="0" w:color="auto"/>
            <w:right w:val="none" w:sz="0" w:space="0" w:color="auto"/>
          </w:divBdr>
          <w:divsChild>
            <w:div w:id="762797790">
              <w:marLeft w:val="0"/>
              <w:marRight w:val="0"/>
              <w:marTop w:val="0"/>
              <w:marBottom w:val="0"/>
              <w:divBdr>
                <w:top w:val="none" w:sz="0" w:space="0" w:color="auto"/>
                <w:left w:val="none" w:sz="0" w:space="0" w:color="auto"/>
                <w:bottom w:val="none" w:sz="0" w:space="0" w:color="auto"/>
                <w:right w:val="none" w:sz="0" w:space="0" w:color="auto"/>
              </w:divBdr>
              <w:divsChild>
                <w:div w:id="14817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7</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Morse William</cp:lastModifiedBy>
  <cp:revision>16</cp:revision>
  <dcterms:created xsi:type="dcterms:W3CDTF">2021-01-22T22:29:00Z</dcterms:created>
  <dcterms:modified xsi:type="dcterms:W3CDTF">2022-09-27T20:10:00Z</dcterms:modified>
</cp:coreProperties>
</file>