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7622" w14:textId="10A48248" w:rsidR="001B3F2E" w:rsidRDefault="001B3F2E" w:rsidP="00A30102">
      <w:pPr>
        <w:spacing w:after="120" w:line="360" w:lineRule="auto"/>
        <w:jc w:val="both"/>
      </w:pPr>
      <w:r w:rsidRPr="00AE0D78">
        <w:rPr>
          <w:b/>
          <w:bCs/>
        </w:rPr>
        <w:t>Abstract</w:t>
      </w:r>
      <w:r w:rsidR="00AE0D78">
        <w:t xml:space="preserve"> (</w:t>
      </w:r>
      <w:r w:rsidR="00EC0BB4">
        <w:t>2</w:t>
      </w:r>
      <w:r w:rsidR="00061CD4">
        <w:t>4</w:t>
      </w:r>
      <w:r w:rsidR="00F47756">
        <w:t>6</w:t>
      </w:r>
      <w:r w:rsidR="00AE0D78">
        <w:t>/250 words)</w:t>
      </w:r>
    </w:p>
    <w:p w14:paraId="001B1CDF" w14:textId="2EB2C1A7" w:rsidR="009A1DAA" w:rsidRPr="0056314F" w:rsidRDefault="00F10686" w:rsidP="0056314F">
      <w:pPr>
        <w:spacing w:after="240" w:line="360" w:lineRule="auto"/>
        <w:jc w:val="both"/>
      </w:pPr>
      <w:r>
        <w:t>Sublingual b</w:t>
      </w:r>
      <w:r w:rsidR="00AB383A">
        <w:t>uprenorphine is used in the treatment of opioid use disorder (OUD) and neonatal opioid withdrawal syndrome (NOWS).</w:t>
      </w:r>
      <w:r w:rsidR="009A34A6" w:rsidRPr="009A34A6">
        <w:t xml:space="preserve"> </w:t>
      </w:r>
      <w:r w:rsidR="009A34A6">
        <w:t xml:space="preserve">The aim of </w:t>
      </w:r>
      <w:r w:rsidR="00A042BD">
        <w:t>this</w:t>
      </w:r>
      <w:r w:rsidR="009A34A6">
        <w:t xml:space="preserve"> study was to develop a full physiologically-based pharmacokinetic (PBPK) model that can </w:t>
      </w:r>
      <w:r w:rsidR="008F19EA">
        <w:t xml:space="preserve">adequately </w:t>
      </w:r>
      <w:r w:rsidR="009A34A6">
        <w:t xml:space="preserve">describe </w:t>
      </w:r>
      <w:r w:rsidR="009A34A6" w:rsidRPr="00782AA0">
        <w:t>dose- and formulation-dependent</w:t>
      </w:r>
      <w:r w:rsidR="008F19EA">
        <w:t xml:space="preserve"> bioavailability of</w:t>
      </w:r>
      <w:r w:rsidR="009A34A6" w:rsidRPr="00782AA0">
        <w:t xml:space="preserve"> </w:t>
      </w:r>
      <w:r w:rsidR="000611D8">
        <w:t>buprenorphine</w:t>
      </w:r>
      <w:r w:rsidR="00AE0D78" w:rsidRPr="00AE0D78">
        <w:t>.</w:t>
      </w:r>
      <w:r w:rsidR="004B53E9">
        <w:rPr>
          <w:b/>
          <w:bCs/>
        </w:rPr>
        <w:t xml:space="preserve"> </w:t>
      </w:r>
      <w:r w:rsidR="00AB383A" w:rsidRPr="00E72B7D">
        <w:t>Simcyp (v</w:t>
      </w:r>
      <w:r w:rsidR="00AB383A">
        <w:t>21</w:t>
      </w:r>
      <w:r w:rsidR="00AB383A" w:rsidRPr="00E72B7D">
        <w:t>.</w:t>
      </w:r>
      <w:r w:rsidR="00AB383A">
        <w:t>0</w:t>
      </w:r>
      <w:r w:rsidR="00AB383A" w:rsidRPr="00E72B7D">
        <w:t>)</w:t>
      </w:r>
      <w:r w:rsidR="00C2352E">
        <w:t xml:space="preserve"> was used for model construction</w:t>
      </w:r>
      <w:r w:rsidR="00AE0D78" w:rsidRPr="00AE0D78">
        <w:t>.</w:t>
      </w:r>
      <w:r w:rsidR="00C2352E">
        <w:t xml:space="preserve"> Linear </w:t>
      </w:r>
      <w:r w:rsidR="000611D8">
        <w:t xml:space="preserve">regression modeling </w:t>
      </w:r>
      <w:r w:rsidR="001C0E60">
        <w:t xml:space="preserve">was </w:t>
      </w:r>
      <w:r w:rsidR="00972635">
        <w:t>explored</w:t>
      </w:r>
      <w:r w:rsidR="001C0E60">
        <w:t xml:space="preserve"> to describe sublingual absorption of buprenorphine across dose.</w:t>
      </w:r>
      <w:r w:rsidR="00A572A7">
        <w:t xml:space="preserve"> </w:t>
      </w:r>
      <w:r w:rsidR="00D96878">
        <w:t>Published c</w:t>
      </w:r>
      <w:r w:rsidR="00A572A7">
        <w:t xml:space="preserve">linical </w:t>
      </w:r>
      <w:r w:rsidR="007D7632">
        <w:t>trial</w:t>
      </w:r>
      <w:r w:rsidR="00A572A7">
        <w:t xml:space="preserve"> data not used in model development were used for validation. </w:t>
      </w:r>
      <w:r w:rsidR="0046407B">
        <w:t xml:space="preserve">The PBPK model’s predictive performance was deemed </w:t>
      </w:r>
      <w:r w:rsidR="00273C58">
        <w:t xml:space="preserve">adequate </w:t>
      </w:r>
      <w:r w:rsidR="0046407B">
        <w:t>if the</w:t>
      </w:r>
      <w:r w:rsidR="00B105AB">
        <w:t xml:space="preserve"> geometric means of</w:t>
      </w:r>
      <w:r w:rsidR="0046407B">
        <w:t xml:space="preserve"> ratio</w:t>
      </w:r>
      <w:r w:rsidR="00496308">
        <w:t>s</w:t>
      </w:r>
      <w:r w:rsidR="0046407B">
        <w:t xml:space="preserve"> between predicted and observed (P/O</w:t>
      </w:r>
      <w:r w:rsidR="00496308">
        <w:t xml:space="preserve"> ratio</w:t>
      </w:r>
      <w:r w:rsidR="00C34BE7">
        <w:t>s</w:t>
      </w:r>
      <w:r w:rsidR="0046407B">
        <w:t>) area under the curve (AUC), apparent clearance</w:t>
      </w:r>
      <w:r w:rsidR="00743099">
        <w:t xml:space="preserve"> (CL/F), peak concentration (C</w:t>
      </w:r>
      <w:r w:rsidR="00743099" w:rsidRPr="00743099">
        <w:rPr>
          <w:vertAlign w:val="subscript"/>
        </w:rPr>
        <w:t>max</w:t>
      </w:r>
      <w:r w:rsidR="00743099">
        <w:t>), and time to reach C</w:t>
      </w:r>
      <w:r w:rsidR="00743099" w:rsidRPr="00743099">
        <w:rPr>
          <w:vertAlign w:val="subscript"/>
        </w:rPr>
        <w:t>max</w:t>
      </w:r>
      <w:r w:rsidR="00743099">
        <w:t xml:space="preserve"> (T</w:t>
      </w:r>
      <w:r w:rsidR="00743099" w:rsidRPr="00743099">
        <w:rPr>
          <w:vertAlign w:val="subscript"/>
        </w:rPr>
        <w:t>max</w:t>
      </w:r>
      <w:r w:rsidR="00743099">
        <w:t>)</w:t>
      </w:r>
      <w:r w:rsidR="00B105AB">
        <w:t xml:space="preserve"> fell within the 1.25-fold prediction error range.</w:t>
      </w:r>
      <w:r w:rsidR="004B53E9">
        <w:rPr>
          <w:b/>
          <w:bCs/>
        </w:rPr>
        <w:t xml:space="preserve"> </w:t>
      </w:r>
      <w:r w:rsidR="009348CC">
        <w:t>Sublingual buprenorphine absorption was best described by a regression model with logarithmically transformed dose</w:t>
      </w:r>
      <w:r w:rsidR="00AE0D78" w:rsidRPr="00AE0D78">
        <w:t>.</w:t>
      </w:r>
      <w:r w:rsidR="009348CC">
        <w:t xml:space="preserve"> </w:t>
      </w:r>
      <w:r w:rsidR="00BC12E3">
        <w:t xml:space="preserve">By integrating </w:t>
      </w:r>
      <w:r w:rsidR="009348CC">
        <w:t xml:space="preserve">this </w:t>
      </w:r>
      <w:r w:rsidR="00BC12E3">
        <w:t>nonlinear</w:t>
      </w:r>
      <w:r w:rsidR="009348CC">
        <w:t xml:space="preserve"> absorption </w:t>
      </w:r>
      <w:r w:rsidR="00BC12E3">
        <w:t>profile,</w:t>
      </w:r>
      <w:r w:rsidR="009348CC">
        <w:t xml:space="preserve"> the PBPK model </w:t>
      </w:r>
      <w:r w:rsidR="00273C58">
        <w:t>adequate</w:t>
      </w:r>
      <w:r w:rsidR="00BC12E3">
        <w:t>ly</w:t>
      </w:r>
      <w:r w:rsidR="00273C58">
        <w:t xml:space="preserve"> </w:t>
      </w:r>
      <w:r w:rsidR="009348CC">
        <w:t>predict</w:t>
      </w:r>
      <w:r w:rsidR="00BC12E3">
        <w:t>ed buprenorphine</w:t>
      </w:r>
      <w:r w:rsidR="009348CC">
        <w:t xml:space="preserve"> </w:t>
      </w:r>
      <w:r w:rsidR="00BC12E3">
        <w:t>pharmacokinetics (</w:t>
      </w:r>
      <w:r w:rsidR="009348CC">
        <w:t>PK</w:t>
      </w:r>
      <w:r w:rsidR="00BC12E3">
        <w:t>)</w:t>
      </w:r>
      <w:r w:rsidR="009348CC">
        <w:t xml:space="preserve"> following administration of sublingual tablets and solution</w:t>
      </w:r>
      <w:r w:rsidR="00FD3B11">
        <w:t xml:space="preserve"> across a dose range of 2–32 mg</w:t>
      </w:r>
      <w:r w:rsidR="0026619E">
        <w:t>, with geometric mean (95% confidence interval) P/O ratios for AUC, CL/F, C</w:t>
      </w:r>
      <w:r w:rsidR="0026619E" w:rsidRPr="0026619E">
        <w:rPr>
          <w:vertAlign w:val="subscript"/>
        </w:rPr>
        <w:t>max</w:t>
      </w:r>
      <w:r w:rsidR="0026619E">
        <w:t>, and T</w:t>
      </w:r>
      <w:r w:rsidR="0026619E" w:rsidRPr="0026619E">
        <w:rPr>
          <w:vertAlign w:val="subscript"/>
        </w:rPr>
        <w:t>max</w:t>
      </w:r>
      <w:r w:rsidR="0026619E">
        <w:t xml:space="preserve"> equaling 0.99</w:t>
      </w:r>
      <w:r w:rsidR="0026619E" w:rsidRPr="008E1D43">
        <w:t xml:space="preserve"> (0.</w:t>
      </w:r>
      <w:r w:rsidR="0026619E">
        <w:t>86</w:t>
      </w:r>
      <w:r w:rsidR="0026619E" w:rsidRPr="008E1D43">
        <w:t>–1.</w:t>
      </w:r>
      <w:r w:rsidR="0026619E">
        <w:t>12</w:t>
      </w:r>
      <w:r w:rsidR="0026619E" w:rsidRPr="008E1D43">
        <w:t xml:space="preserve">), </w:t>
      </w:r>
      <w:r w:rsidR="0026619E">
        <w:t>1.04</w:t>
      </w:r>
      <w:r w:rsidR="0026619E" w:rsidRPr="008E1D43">
        <w:t xml:space="preserve"> (0.</w:t>
      </w:r>
      <w:r w:rsidR="0026619E">
        <w:t>92</w:t>
      </w:r>
      <w:r w:rsidR="0026619E" w:rsidRPr="008E1D43">
        <w:t>–1.</w:t>
      </w:r>
      <w:r w:rsidR="0026619E">
        <w:t>18</w:t>
      </w:r>
      <w:r w:rsidR="0026619E" w:rsidRPr="008E1D43">
        <w:t xml:space="preserve">), </w:t>
      </w:r>
      <w:r w:rsidR="0026619E">
        <w:t>1.24</w:t>
      </w:r>
      <w:r w:rsidR="0026619E" w:rsidRPr="008E1D43">
        <w:t xml:space="preserve"> (</w:t>
      </w:r>
      <w:r w:rsidR="0026619E">
        <w:t>1.09</w:t>
      </w:r>
      <w:r w:rsidR="0026619E" w:rsidRPr="008E1D43">
        <w:t>–1.</w:t>
      </w:r>
      <w:r w:rsidR="0026619E">
        <w:t>40</w:t>
      </w:r>
      <w:r w:rsidR="0026619E" w:rsidRPr="008E1D43">
        <w:t xml:space="preserve">), </w:t>
      </w:r>
      <w:r w:rsidR="0026619E">
        <w:t>and 1.07</w:t>
      </w:r>
      <w:r w:rsidR="0026619E" w:rsidRPr="008E1D43">
        <w:t xml:space="preserve"> (</w:t>
      </w:r>
      <w:r w:rsidR="0026619E">
        <w:t>0.95</w:t>
      </w:r>
      <w:r w:rsidR="0026619E" w:rsidRPr="008E1D43">
        <w:t>–1.</w:t>
      </w:r>
      <w:r w:rsidR="0026619E">
        <w:t>20</w:t>
      </w:r>
      <w:r w:rsidR="0026619E" w:rsidRPr="008E1D43">
        <w:t>)</w:t>
      </w:r>
      <w:r w:rsidR="0026619E">
        <w:t xml:space="preserve">, </w:t>
      </w:r>
      <w:r w:rsidR="0026619E" w:rsidRPr="008E1D43">
        <w:t>respectively</w:t>
      </w:r>
      <w:r w:rsidR="0026619E">
        <w:t>.</w:t>
      </w:r>
      <w:r w:rsidR="004B53E9">
        <w:rPr>
          <w:b/>
          <w:bCs/>
        </w:rPr>
        <w:t xml:space="preserve"> </w:t>
      </w:r>
      <w:r w:rsidR="004B53E9">
        <w:t xml:space="preserve">In conclusion, a </w:t>
      </w:r>
      <w:r w:rsidR="00061CD4">
        <w:t xml:space="preserve">fully </w:t>
      </w:r>
      <w:r w:rsidR="009E673C">
        <w:t xml:space="preserve">validated PBPK model </w:t>
      </w:r>
      <w:r w:rsidR="009D7782">
        <w:t xml:space="preserve">was developed that </w:t>
      </w:r>
      <w:r w:rsidR="00273C58">
        <w:t xml:space="preserve">adequately </w:t>
      </w:r>
      <w:r w:rsidR="009D7782">
        <w:t xml:space="preserve">predicts </w:t>
      </w:r>
      <w:r w:rsidR="009D7782" w:rsidRPr="00782AA0">
        <w:t xml:space="preserve">dose- and formulation-dependent </w:t>
      </w:r>
      <w:r w:rsidR="009D7782">
        <w:t>buprenorphine PK following sublingual administration</w:t>
      </w:r>
      <w:r w:rsidR="00AE0D78" w:rsidRPr="00AE0D78">
        <w:t>.</w:t>
      </w:r>
      <w:r w:rsidR="00F643A9">
        <w:t xml:space="preserve"> The model forms the </w:t>
      </w:r>
      <w:r w:rsidR="00C34BE7">
        <w:t>foundation</w:t>
      </w:r>
      <w:r w:rsidR="00F643A9">
        <w:t xml:space="preserve"> on which a fetomaternal PBPK model </w:t>
      </w:r>
      <w:r w:rsidR="00D97412">
        <w:t xml:space="preserve">for buprenorphine </w:t>
      </w:r>
      <w:r w:rsidR="00F643A9">
        <w:t xml:space="preserve">can be </w:t>
      </w:r>
      <w:r w:rsidR="005F6D93">
        <w:t>built</w:t>
      </w:r>
      <w:r w:rsidR="00F643A9">
        <w:t>.</w:t>
      </w:r>
      <w:r w:rsidR="00206382">
        <w:t xml:space="preserve"> </w:t>
      </w:r>
      <w:r w:rsidR="007C7E54">
        <w:t>Fetomaternal PBPK modeling will allow conceptualization of prenatal buprenorphine exposure and investigation of its influence on postnatal NOWS severity.</w:t>
      </w:r>
      <w:r w:rsidR="009A1DAA">
        <w:br w:type="page"/>
      </w:r>
    </w:p>
    <w:p w14:paraId="5F1E4C0F" w14:textId="1E166026" w:rsidR="009A1DAA" w:rsidRPr="00597DD2" w:rsidRDefault="009A1DAA" w:rsidP="00A30102">
      <w:pPr>
        <w:pStyle w:val="ListParagraph"/>
        <w:numPr>
          <w:ilvl w:val="0"/>
          <w:numId w:val="12"/>
        </w:numPr>
        <w:spacing w:after="120" w:line="360" w:lineRule="auto"/>
        <w:ind w:left="360"/>
        <w:jc w:val="both"/>
      </w:pPr>
      <w:r w:rsidRPr="00597DD2">
        <w:rPr>
          <w:b/>
          <w:bCs/>
        </w:rPr>
        <w:lastRenderedPageBreak/>
        <w:t>Introduction</w:t>
      </w:r>
    </w:p>
    <w:p w14:paraId="34DF267C" w14:textId="25A52124" w:rsidR="00D0660C" w:rsidRPr="00597DD2" w:rsidRDefault="001C6401" w:rsidP="00722ADB">
      <w:pPr>
        <w:spacing w:line="360" w:lineRule="auto"/>
        <w:jc w:val="both"/>
      </w:pPr>
      <w:r w:rsidRPr="00597DD2">
        <w:t xml:space="preserve">The opioid epidemic continues to </w:t>
      </w:r>
      <w:r w:rsidR="00D0660C" w:rsidRPr="00597DD2">
        <w:t>worsen and expand across</w:t>
      </w:r>
      <w:r w:rsidRPr="00597DD2">
        <w:t xml:space="preserve"> the </w:t>
      </w:r>
      <w:r w:rsidR="008138AF" w:rsidRPr="00597DD2">
        <w:t>United States</w:t>
      </w:r>
      <w:r w:rsidRPr="00597DD2">
        <w:t>. Synthetic opioids, especially illicitly manufactured fentanyl, are now the leading cause of drug overdose deaths. Between 2013 and 2019, the synthetic opioid-involved death rate increased more than 10-fold, from 1.0 to 11.4 per 100,000</w:t>
      </w:r>
      <w:r w:rsidR="00D677D6" w:rsidRPr="00597DD2">
        <w:t xml:space="preserve"> </w:t>
      </w:r>
      <w:r w:rsidR="002E7A65">
        <w:rPr>
          <w:noProof/>
        </w:rPr>
        <w:t>[1]</w:t>
      </w:r>
      <w:r w:rsidR="00D677D6" w:rsidRPr="00597DD2">
        <w:t>.</w:t>
      </w:r>
      <w:r w:rsidR="00B67F1C" w:rsidRPr="00597DD2">
        <w:t xml:space="preserve"> </w:t>
      </w:r>
      <w:r w:rsidR="002B1E77" w:rsidRPr="00597DD2">
        <w:t>Buprenorphine</w:t>
      </w:r>
      <w:r w:rsidR="00C06C43" w:rsidRPr="00597DD2">
        <w:t xml:space="preserve">, administered as </w:t>
      </w:r>
      <w:r w:rsidR="00182EBB" w:rsidRPr="00597DD2">
        <w:t xml:space="preserve">a </w:t>
      </w:r>
      <w:r w:rsidR="00C06C43" w:rsidRPr="00597DD2">
        <w:t>sublingual tablet or solution,</w:t>
      </w:r>
      <w:r w:rsidR="002B1E77" w:rsidRPr="00597DD2">
        <w:t xml:space="preserve"> is used in the management of opioid use disorder (OUD)</w:t>
      </w:r>
      <w:r w:rsidR="00E41081" w:rsidRPr="00597DD2">
        <w:t xml:space="preserve">. </w:t>
      </w:r>
      <w:r w:rsidR="008138AF" w:rsidRPr="00597DD2">
        <w:t>Buprenorphine</w:t>
      </w:r>
      <w:r w:rsidR="00E41081" w:rsidRPr="00597DD2">
        <w:t xml:space="preserve"> acts as a partial agonist at the μ opioid receptor</w:t>
      </w:r>
      <w:r w:rsidR="008E2AE8" w:rsidRPr="00597DD2">
        <w:t xml:space="preserve"> </w:t>
      </w:r>
      <w:r w:rsidR="002E7A65">
        <w:rPr>
          <w:noProof/>
        </w:rPr>
        <w:t>[2]</w:t>
      </w:r>
      <w:r w:rsidR="008E2AE8" w:rsidRPr="00597DD2">
        <w:t>,</w:t>
      </w:r>
      <w:r w:rsidR="00E41081" w:rsidRPr="00597DD2">
        <w:t xml:space="preserve"> as an antagonist at δ and κ opioid receptors</w:t>
      </w:r>
      <w:r w:rsidR="008E2AE8" w:rsidRPr="00597DD2">
        <w:t xml:space="preserve"> </w:t>
      </w:r>
      <w:r w:rsidR="002E7A65">
        <w:rPr>
          <w:noProof/>
        </w:rPr>
        <w:t>[3, 4]</w:t>
      </w:r>
      <w:r w:rsidR="008E2AE8" w:rsidRPr="00597DD2">
        <w:t>,</w:t>
      </w:r>
      <w:r w:rsidR="00E41081" w:rsidRPr="00597DD2">
        <w:t xml:space="preserve"> and as a full agonist at the nociceptin/orphanin FQ (NOP) opioid receptor</w:t>
      </w:r>
      <w:r w:rsidR="008E2AE8" w:rsidRPr="00597DD2">
        <w:t xml:space="preserve"> </w:t>
      </w:r>
      <w:r w:rsidR="002E7A65">
        <w:rPr>
          <w:noProof/>
        </w:rPr>
        <w:t>[5]</w:t>
      </w:r>
      <w:r w:rsidR="008E2AE8" w:rsidRPr="00597DD2">
        <w:t>.</w:t>
      </w:r>
      <w:r w:rsidR="00E41081" w:rsidRPr="00597DD2">
        <w:t xml:space="preserve"> This intricate pharmacological profile gives rise to buprenorphine’s </w:t>
      </w:r>
      <w:r w:rsidR="00D0660C" w:rsidRPr="00597DD2">
        <w:t>more</w:t>
      </w:r>
      <w:r w:rsidR="00E41081" w:rsidRPr="00597DD2">
        <w:t xml:space="preserve"> desirable clinical properties</w:t>
      </w:r>
      <w:r w:rsidR="003F0016" w:rsidRPr="00597DD2">
        <w:t xml:space="preserve"> compared to other opioids</w:t>
      </w:r>
      <w:r w:rsidR="00E41081" w:rsidRPr="00597DD2">
        <w:t xml:space="preserve">, such as lower </w:t>
      </w:r>
      <w:r w:rsidR="003F0016" w:rsidRPr="00597DD2">
        <w:t xml:space="preserve">abuse </w:t>
      </w:r>
      <w:r w:rsidR="00E41081" w:rsidRPr="00597DD2">
        <w:t xml:space="preserve">potential </w:t>
      </w:r>
      <w:r w:rsidR="003F0016" w:rsidRPr="00597DD2">
        <w:t>and reduced likelihood of fatal respiratory depression</w:t>
      </w:r>
      <w:r w:rsidR="008E2AE8" w:rsidRPr="00597DD2">
        <w:t xml:space="preserve"> </w:t>
      </w:r>
      <w:r w:rsidR="002E7A65">
        <w:rPr>
          <w:noProof/>
        </w:rPr>
        <w:t>[6]</w:t>
      </w:r>
      <w:r w:rsidR="008E2AE8" w:rsidRPr="00597DD2">
        <w:t>.</w:t>
      </w:r>
      <w:r w:rsidR="00E41081" w:rsidRPr="00597DD2">
        <w:t xml:space="preserve"> </w:t>
      </w:r>
      <w:r w:rsidR="00B7781E" w:rsidRPr="00597DD2">
        <w:t>Among Medicaid enrollees diagnosed with OUD, the use of buprenorphine increased from 28.1% to 37.3% between 2014 and 2018, making it the most prescribed medication to treat OUD</w:t>
      </w:r>
      <w:r w:rsidR="008E2AE8" w:rsidRPr="00597DD2">
        <w:t xml:space="preserve"> </w:t>
      </w:r>
      <w:r w:rsidR="002E7A65">
        <w:rPr>
          <w:noProof/>
        </w:rPr>
        <w:t>[7]</w:t>
      </w:r>
      <w:r w:rsidR="008E2AE8" w:rsidRPr="00597DD2">
        <w:t>.</w:t>
      </w:r>
    </w:p>
    <w:p w14:paraId="75D53BF4" w14:textId="6F7EBA40" w:rsidR="00DA732D" w:rsidRPr="00597DD2" w:rsidRDefault="00D0660C" w:rsidP="00722ADB">
      <w:pPr>
        <w:spacing w:line="360" w:lineRule="auto"/>
        <w:jc w:val="both"/>
      </w:pPr>
      <w:r w:rsidRPr="00597DD2">
        <w:tab/>
      </w:r>
      <w:r w:rsidR="00B7781E" w:rsidRPr="00597DD2">
        <w:t xml:space="preserve"> </w:t>
      </w:r>
      <w:r w:rsidR="00A479B2" w:rsidRPr="00597DD2">
        <w:t>Opioid use during pregnancy is not uncommon. In 2019, 6.6% of pregnant women self-reported use of prescription opioids, of which 21.2% disclosed opioid misuse</w:t>
      </w:r>
      <w:r w:rsidR="008E2AE8" w:rsidRPr="00597DD2">
        <w:t xml:space="preserve"> </w:t>
      </w:r>
      <w:r w:rsidR="002E7A65">
        <w:rPr>
          <w:noProof/>
        </w:rPr>
        <w:t>[8]</w:t>
      </w:r>
      <w:r w:rsidR="008E2AE8" w:rsidRPr="00597DD2">
        <w:t>.</w:t>
      </w:r>
      <w:r w:rsidR="001A726D" w:rsidRPr="00597DD2">
        <w:t xml:space="preserve"> Newborns prenatally exposed to opioids are at risk of developing neonatal opioid withdrawal syndrome (NOWS) after birth. </w:t>
      </w:r>
      <w:r w:rsidR="00800386" w:rsidRPr="00597DD2">
        <w:t>NOWS is characterized by gastrointestinal dysfunction and neurologic excitability</w:t>
      </w:r>
      <w:r w:rsidR="008E2AE8" w:rsidRPr="00597DD2">
        <w:t xml:space="preserve"> </w:t>
      </w:r>
      <w:r w:rsidR="002E7A65">
        <w:rPr>
          <w:noProof/>
        </w:rPr>
        <w:t>[9]</w:t>
      </w:r>
      <w:r w:rsidR="008E2AE8" w:rsidRPr="00597DD2">
        <w:t>,</w:t>
      </w:r>
      <w:r w:rsidR="00800386" w:rsidRPr="00597DD2">
        <w:t xml:space="preserve"> and requires pharmacological treatment in those neonates whose symptoms are otherwise insufficiently controlled</w:t>
      </w:r>
      <w:r w:rsidR="008E2AE8" w:rsidRPr="00597DD2">
        <w:t xml:space="preserve"> </w:t>
      </w:r>
      <w:r w:rsidR="002E7A65">
        <w:rPr>
          <w:noProof/>
        </w:rPr>
        <w:t>[10]</w:t>
      </w:r>
      <w:r w:rsidR="008E2AE8" w:rsidRPr="00597DD2">
        <w:t>.</w:t>
      </w:r>
      <w:r w:rsidR="007F784C" w:rsidRPr="00597DD2">
        <w:t xml:space="preserve"> </w:t>
      </w:r>
      <w:r w:rsidR="00C363E1" w:rsidRPr="00597DD2">
        <w:t>Sublingually administered b</w:t>
      </w:r>
      <w:r w:rsidR="007F784C" w:rsidRPr="00597DD2">
        <w:t>uprenorphine is an emerging treatment for NOWS</w:t>
      </w:r>
      <w:r w:rsidR="008E2AE8" w:rsidRPr="00597DD2">
        <w:t xml:space="preserve"> </w:t>
      </w:r>
      <w:r w:rsidR="002E7A65">
        <w:rPr>
          <w:noProof/>
        </w:rPr>
        <w:t>[11]</w:t>
      </w:r>
      <w:r w:rsidR="008E2AE8" w:rsidRPr="00597DD2">
        <w:t>,</w:t>
      </w:r>
      <w:r w:rsidR="007F784C" w:rsidRPr="00597DD2">
        <w:t xml:space="preserve"> </w:t>
      </w:r>
      <w:r w:rsidR="002871CA" w:rsidRPr="00597DD2">
        <w:t xml:space="preserve">but current dosing strategies have been empirically established and lack a robust pharmacokinetic (PK) and pharmacodynamic (PD) rationale. </w:t>
      </w:r>
      <w:r w:rsidR="00E37EF3" w:rsidRPr="00597DD2">
        <w:t>Neonatal buprenorphine PK is highly variable</w:t>
      </w:r>
      <w:r w:rsidR="008E2AE8" w:rsidRPr="00597DD2">
        <w:t xml:space="preserve"> </w:t>
      </w:r>
      <w:r w:rsidR="002E7A65">
        <w:rPr>
          <w:noProof/>
        </w:rPr>
        <w:t>[12-14]</w:t>
      </w:r>
      <w:r w:rsidR="008E2AE8" w:rsidRPr="00597DD2">
        <w:t>,</w:t>
      </w:r>
      <w:r w:rsidR="007F784C" w:rsidRPr="00597DD2">
        <w:t xml:space="preserve"> </w:t>
      </w:r>
      <w:r w:rsidR="00CB315D" w:rsidRPr="00597DD2">
        <w:t>and recent physiologically-based pharmacokinetic (PBPK) modeling and simulation by our group indicated variability is likely driven by differences in the extent of sublingual absorption, biliary clearance, and cytochrome P450 (CYP) 3A4 activity, especially early in life</w:t>
      </w:r>
      <w:r w:rsidR="008E2AE8" w:rsidRPr="00597DD2">
        <w:t xml:space="preserve"> </w:t>
      </w:r>
      <w:r w:rsidR="002E7A65">
        <w:rPr>
          <w:noProof/>
        </w:rPr>
        <w:t>[15]</w:t>
      </w:r>
      <w:r w:rsidR="008E2AE8" w:rsidRPr="00597DD2">
        <w:t>.</w:t>
      </w:r>
      <w:r w:rsidR="004F2B1C" w:rsidRPr="00597DD2">
        <w:t xml:space="preserve"> Strategies to improve </w:t>
      </w:r>
      <w:r w:rsidR="00FB68AF" w:rsidRPr="00597DD2">
        <w:t xml:space="preserve">the treatment of NOWS with buprenorphine include </w:t>
      </w:r>
      <w:r w:rsidR="008D5DF0" w:rsidRPr="00597DD2">
        <w:t>further improving our understanding of the complex PK/PD relationship and</w:t>
      </w:r>
      <w:r w:rsidR="00A4456E" w:rsidRPr="00597DD2">
        <w:t xml:space="preserve"> subsequently</w:t>
      </w:r>
      <w:r w:rsidR="00C30F13" w:rsidRPr="00597DD2">
        <w:t xml:space="preserve"> </w:t>
      </w:r>
      <w:r w:rsidR="00FB68AF" w:rsidRPr="00597DD2">
        <w:t xml:space="preserve">adjusting the starting dose to the expected PK profile of the neonate. Additionally, </w:t>
      </w:r>
      <w:r w:rsidR="002B76B2" w:rsidRPr="00597DD2">
        <w:t>initial</w:t>
      </w:r>
      <w:r w:rsidR="00EB174B" w:rsidRPr="00597DD2">
        <w:t xml:space="preserve"> dosing could be tailored to the anticipated NOWS severity. </w:t>
      </w:r>
    </w:p>
    <w:p w14:paraId="1B72EC77" w14:textId="1E513505" w:rsidR="00C8578F" w:rsidRPr="00597DD2" w:rsidRDefault="00C8578F" w:rsidP="00722ADB">
      <w:pPr>
        <w:spacing w:line="360" w:lineRule="auto"/>
        <w:jc w:val="both"/>
      </w:pPr>
      <w:r w:rsidRPr="00597DD2">
        <w:tab/>
        <w:t>The severity of NOWS differs greatly between affected neonates, but symptoms tend to be more severe in newborns born at term</w:t>
      </w:r>
      <w:r w:rsidR="008E2AE8" w:rsidRPr="00597DD2">
        <w:t xml:space="preserve"> </w:t>
      </w:r>
      <w:r w:rsidR="002E7A65">
        <w:rPr>
          <w:noProof/>
        </w:rPr>
        <w:t>[16]</w:t>
      </w:r>
      <w:r w:rsidR="008E2AE8" w:rsidRPr="00597DD2">
        <w:t>,</w:t>
      </w:r>
      <w:r w:rsidRPr="00597DD2">
        <w:t xml:space="preserve"> whose mothers used tobacco during pregnancy</w:t>
      </w:r>
      <w:r w:rsidR="008E2AE8" w:rsidRPr="00597DD2">
        <w:t xml:space="preserve"> </w:t>
      </w:r>
      <w:r w:rsidR="002E7A65">
        <w:rPr>
          <w:noProof/>
        </w:rPr>
        <w:t>[17, 18]</w:t>
      </w:r>
      <w:r w:rsidR="008E2AE8" w:rsidRPr="00597DD2">
        <w:t>,</w:t>
      </w:r>
      <w:r w:rsidRPr="00597DD2">
        <w:t xml:space="preserve"> and those who had greater opioid exposure </w:t>
      </w:r>
      <w:r w:rsidRPr="00597DD2">
        <w:rPr>
          <w:i/>
          <w:iCs/>
        </w:rPr>
        <w:t>in utero</w:t>
      </w:r>
      <w:r w:rsidR="008E2AE8" w:rsidRPr="00597DD2">
        <w:t xml:space="preserve"> </w:t>
      </w:r>
      <w:r w:rsidR="002E7A65">
        <w:rPr>
          <w:noProof/>
        </w:rPr>
        <w:t>[19]</w:t>
      </w:r>
      <w:r w:rsidR="008E2AE8" w:rsidRPr="00597DD2">
        <w:t>.</w:t>
      </w:r>
      <w:r w:rsidR="0015618F" w:rsidRPr="00597DD2">
        <w:t xml:space="preserve"> Estimating the extent of prenatal opioid exposure is challenging</w:t>
      </w:r>
      <w:r w:rsidR="00012AF5" w:rsidRPr="00597DD2">
        <w:t xml:space="preserve">. Intuitively, fetal opioid exposure may strongly correlate with </w:t>
      </w:r>
      <w:r w:rsidR="00012AF5" w:rsidRPr="00597DD2">
        <w:lastRenderedPageBreak/>
        <w:t xml:space="preserve">maternal intake, but </w:t>
      </w:r>
      <w:r w:rsidR="00060468" w:rsidRPr="00597DD2">
        <w:t>studies have failed to demonstrate a consistent relationship between maternal OUD medication dose and postnatal NOWS severity</w:t>
      </w:r>
      <w:r w:rsidR="008E2AE8" w:rsidRPr="00597DD2">
        <w:t xml:space="preserve"> </w:t>
      </w:r>
      <w:r w:rsidR="002E7A65">
        <w:rPr>
          <w:noProof/>
        </w:rPr>
        <w:t>[17, 20-22]</w:t>
      </w:r>
      <w:r w:rsidR="008E2AE8" w:rsidRPr="00597DD2">
        <w:t>.</w:t>
      </w:r>
      <w:r w:rsidR="00060468" w:rsidRPr="00597DD2">
        <w:t xml:space="preserve"> </w:t>
      </w:r>
      <w:r w:rsidR="00065E19" w:rsidRPr="00597DD2">
        <w:t xml:space="preserve">This may be, in part, explained by the everchanging nature of maternal opioid PK </w:t>
      </w:r>
      <w:r w:rsidR="00EF7340" w:rsidRPr="00597DD2">
        <w:t>during</w:t>
      </w:r>
      <w:r w:rsidR="00065E19" w:rsidRPr="00597DD2">
        <w:t xml:space="preserve"> pregnancy and the likelihood that fetuses are more vulnerable to</w:t>
      </w:r>
      <w:r w:rsidR="00B51FED" w:rsidRPr="00597DD2">
        <w:t xml:space="preserve"> opioid effects at certain points during gestation</w:t>
      </w:r>
      <w:r w:rsidR="008E2AE8" w:rsidRPr="00597DD2">
        <w:t xml:space="preserve"> </w:t>
      </w:r>
      <w:r w:rsidR="002E7A65">
        <w:rPr>
          <w:noProof/>
        </w:rPr>
        <w:t>[19]</w:t>
      </w:r>
      <w:r w:rsidR="008E2AE8" w:rsidRPr="00597DD2">
        <w:t>.</w:t>
      </w:r>
      <w:r w:rsidR="00C952E2" w:rsidRPr="00597DD2">
        <w:t xml:space="preserve"> </w:t>
      </w:r>
      <w:r w:rsidR="00A07313" w:rsidRPr="00597DD2">
        <w:t xml:space="preserve">Fetomaternal PBPK modeling offers a comprehensive framework that can incorporate the kaleidoscopic interplay of maternal and fetal factors that ultimately </w:t>
      </w:r>
      <w:r w:rsidR="007A5DB0" w:rsidRPr="00597DD2">
        <w:t>dictate</w:t>
      </w:r>
      <w:r w:rsidR="00A07313" w:rsidRPr="00597DD2">
        <w:t xml:space="preserve"> prenatal opioid exposure.</w:t>
      </w:r>
      <w:r w:rsidR="00E07713" w:rsidRPr="00597DD2">
        <w:t xml:space="preserve"> This, in turn, </w:t>
      </w:r>
      <w:r w:rsidR="00C874DB" w:rsidRPr="00597DD2">
        <w:t xml:space="preserve">can open the way for </w:t>
      </w:r>
      <w:r w:rsidR="003E3E80" w:rsidRPr="00597DD2">
        <w:t>precision treatment of NOWS based on the prenatally modeled severity.</w:t>
      </w:r>
    </w:p>
    <w:p w14:paraId="3D105AD2" w14:textId="421B5926" w:rsidR="009A1DAA" w:rsidRPr="00597DD2" w:rsidRDefault="00D835C0" w:rsidP="00B2049C">
      <w:pPr>
        <w:spacing w:line="360" w:lineRule="auto"/>
        <w:jc w:val="both"/>
      </w:pPr>
      <w:r w:rsidRPr="00597DD2">
        <w:tab/>
      </w:r>
      <w:r w:rsidR="00FC7995" w:rsidRPr="00597DD2">
        <w:t xml:space="preserve">Accurately </w:t>
      </w:r>
      <w:r w:rsidR="00E85A5D" w:rsidRPr="00597DD2">
        <w:t>predicting</w:t>
      </w:r>
      <w:r w:rsidR="00FC7995" w:rsidRPr="00597DD2">
        <w:t xml:space="preserve"> buprenorphine PK</w:t>
      </w:r>
      <w:r w:rsidR="00E85A5D" w:rsidRPr="00597DD2">
        <w:t xml:space="preserve"> following sublingual administration</w:t>
      </w:r>
      <w:r w:rsidR="00FC7995" w:rsidRPr="00597DD2">
        <w:t xml:space="preserve"> is challenging since bioavailability is dependent on the formulation (tablet </w:t>
      </w:r>
      <w:r w:rsidR="00FC7995" w:rsidRPr="00597DD2">
        <w:rPr>
          <w:i/>
          <w:iCs/>
        </w:rPr>
        <w:t>vs</w:t>
      </w:r>
      <w:r w:rsidR="00FC7995" w:rsidRPr="00597DD2">
        <w:t>. solution)</w:t>
      </w:r>
      <w:r w:rsidR="008E2AE8" w:rsidRPr="00597DD2">
        <w:t xml:space="preserve"> </w:t>
      </w:r>
      <w:r w:rsidR="002E7A65">
        <w:rPr>
          <w:noProof/>
        </w:rPr>
        <w:t>[23-27]</w:t>
      </w:r>
      <w:r w:rsidRPr="00597DD2">
        <w:t xml:space="preserve"> </w:t>
      </w:r>
      <w:r w:rsidR="00FC7995" w:rsidRPr="00597DD2">
        <w:t>and decreases with dose</w:t>
      </w:r>
      <w:r w:rsidR="008E2AE8" w:rsidRPr="00597DD2">
        <w:t xml:space="preserve"> </w:t>
      </w:r>
      <w:r w:rsidR="002E7A65">
        <w:rPr>
          <w:noProof/>
        </w:rPr>
        <w:t>[26, 28, 29]</w:t>
      </w:r>
      <w:r w:rsidR="008E2AE8" w:rsidRPr="00597DD2">
        <w:t>.</w:t>
      </w:r>
      <w:r w:rsidR="00FC7995" w:rsidRPr="00597DD2">
        <w:t xml:space="preserve"> </w:t>
      </w:r>
      <w:r w:rsidR="00814F5A" w:rsidRPr="00597DD2">
        <w:t>Several PBPK models for sublingual buprenorphine have been developed to date, but none have adequately</w:t>
      </w:r>
      <w:r w:rsidR="00E93CA9" w:rsidRPr="00597DD2">
        <w:t xml:space="preserve"> integrated nonlinear bioavailability.</w:t>
      </w:r>
      <w:r w:rsidR="00814F5A" w:rsidRPr="00597DD2">
        <w:t xml:space="preserve"> </w:t>
      </w:r>
      <w:r w:rsidR="002E7A65">
        <w:rPr>
          <w:noProof/>
        </w:rPr>
        <w:t>Kalluri et al. [30]</w:t>
      </w:r>
      <w:r w:rsidR="008E2AE8" w:rsidRPr="00597DD2">
        <w:t xml:space="preserve"> </w:t>
      </w:r>
      <w:r w:rsidRPr="00597DD2">
        <w:t>constructed a full PBPK model, which was later expanded to a pregnancy PBPK model</w:t>
      </w:r>
      <w:r w:rsidR="008E2AE8" w:rsidRPr="00597DD2">
        <w:t xml:space="preserve"> </w:t>
      </w:r>
      <w:r w:rsidR="002E7A65">
        <w:rPr>
          <w:noProof/>
        </w:rPr>
        <w:t>[31]</w:t>
      </w:r>
      <w:r w:rsidR="008E2AE8" w:rsidRPr="00597DD2">
        <w:t>,</w:t>
      </w:r>
      <w:r w:rsidR="00A663D9" w:rsidRPr="00597DD2">
        <w:t xml:space="preserve"> but others were not able to recreate th</w:t>
      </w:r>
      <w:r w:rsidR="00FC7995" w:rsidRPr="00597DD2">
        <w:t>e</w:t>
      </w:r>
      <w:r w:rsidR="00A663D9" w:rsidRPr="00597DD2">
        <w:t>s</w:t>
      </w:r>
      <w:r w:rsidR="00FC7995" w:rsidRPr="00597DD2">
        <w:t>e</w:t>
      </w:r>
      <w:r w:rsidR="00A663D9" w:rsidRPr="00597DD2">
        <w:t xml:space="preserve"> model</w:t>
      </w:r>
      <w:r w:rsidR="00FC7995" w:rsidRPr="00597DD2">
        <w:t>s</w:t>
      </w:r>
      <w:r w:rsidR="00A663D9" w:rsidRPr="00597DD2">
        <w:t xml:space="preserve"> due to the ambiguous description of sublingual absorption</w:t>
      </w:r>
      <w:r w:rsidR="008E2AE8" w:rsidRPr="00597DD2">
        <w:t xml:space="preserve"> </w:t>
      </w:r>
      <w:r w:rsidR="002E7A65">
        <w:rPr>
          <w:noProof/>
        </w:rPr>
        <w:t>[32]</w:t>
      </w:r>
      <w:r w:rsidR="008E2AE8" w:rsidRPr="00597DD2">
        <w:t>.</w:t>
      </w:r>
      <w:r w:rsidR="002C6589" w:rsidRPr="00597DD2">
        <w:t xml:space="preserve"> Our group developed a neonatal minimal PBPK model</w:t>
      </w:r>
      <w:r w:rsidR="008E2AE8" w:rsidRPr="00597DD2">
        <w:t xml:space="preserve"> </w:t>
      </w:r>
      <w:r w:rsidR="002E7A65">
        <w:rPr>
          <w:noProof/>
        </w:rPr>
        <w:t>[15]</w:t>
      </w:r>
      <w:r w:rsidR="008E2AE8" w:rsidRPr="00597DD2">
        <w:t>,</w:t>
      </w:r>
      <w:r w:rsidR="002C6589" w:rsidRPr="00597DD2">
        <w:t xml:space="preserve"> which was based on a model developed by </w:t>
      </w:r>
      <w:r w:rsidR="002E7A65">
        <w:rPr>
          <w:noProof/>
        </w:rPr>
        <w:t>Johnson et al. [33]</w:t>
      </w:r>
      <w:r w:rsidR="008E2AE8" w:rsidRPr="00597DD2">
        <w:t>,</w:t>
      </w:r>
      <w:r w:rsidR="00FC7995" w:rsidRPr="00597DD2">
        <w:t xml:space="preserve"> </w:t>
      </w:r>
      <w:r w:rsidR="005F4384" w:rsidRPr="00597DD2">
        <w:t>but</w:t>
      </w:r>
      <w:r w:rsidR="00FC7995" w:rsidRPr="00597DD2">
        <w:t xml:space="preserve"> given the neonatal application, </w:t>
      </w:r>
      <w:r w:rsidR="005F4384" w:rsidRPr="00597DD2">
        <w:t xml:space="preserve">the model was </w:t>
      </w:r>
      <w:r w:rsidR="00FC7995" w:rsidRPr="00597DD2">
        <w:t xml:space="preserve">only validated for low doses, and does not accurately </w:t>
      </w:r>
      <w:r w:rsidR="005F4384" w:rsidRPr="00597DD2">
        <w:t>capture reduced bioavailability with higher doses.</w:t>
      </w:r>
      <w:r w:rsidR="0030423A" w:rsidRPr="00597DD2">
        <w:t xml:space="preserve"> To lay a strong foundation for </w:t>
      </w:r>
      <w:r w:rsidR="00782AA0" w:rsidRPr="00597DD2">
        <w:t xml:space="preserve">planned </w:t>
      </w:r>
      <w:r w:rsidR="00F560DC" w:rsidRPr="00597DD2">
        <w:t xml:space="preserve">fetomaternal PBPK modeling, the aim of the present study was to </w:t>
      </w:r>
      <w:r w:rsidR="00782AA0" w:rsidRPr="00597DD2">
        <w:t>develop a full PBPK model</w:t>
      </w:r>
      <w:r w:rsidR="003A2A14" w:rsidRPr="00597DD2">
        <w:t xml:space="preserve"> for buprenorphine</w:t>
      </w:r>
      <w:r w:rsidR="0030423A" w:rsidRPr="00597DD2">
        <w:t xml:space="preserve"> </w:t>
      </w:r>
      <w:r w:rsidR="00782AA0" w:rsidRPr="00597DD2">
        <w:t xml:space="preserve">that can </w:t>
      </w:r>
      <w:r w:rsidR="00273C58" w:rsidRPr="00597DD2">
        <w:t xml:space="preserve">adequately </w:t>
      </w:r>
      <w:r w:rsidR="00782AA0" w:rsidRPr="00597DD2">
        <w:t xml:space="preserve">describe dose- and formulation-dependent </w:t>
      </w:r>
      <w:r w:rsidR="00F62969" w:rsidRPr="00597DD2">
        <w:t xml:space="preserve">bioavailability </w:t>
      </w:r>
      <w:r w:rsidR="003A2A14" w:rsidRPr="00597DD2">
        <w:t>following</w:t>
      </w:r>
      <w:r w:rsidR="00782AA0" w:rsidRPr="00597DD2">
        <w:t xml:space="preserve"> sublingual </w:t>
      </w:r>
      <w:r w:rsidR="003A2A14" w:rsidRPr="00597DD2">
        <w:t>administration</w:t>
      </w:r>
      <w:r w:rsidR="005E5F39" w:rsidRPr="00597DD2">
        <w:t>.</w:t>
      </w:r>
      <w:r w:rsidR="009A1DAA" w:rsidRPr="00597DD2">
        <w:br w:type="page"/>
      </w:r>
    </w:p>
    <w:p w14:paraId="55DA1090" w14:textId="2EE89A9C" w:rsidR="009A1DAA" w:rsidRPr="00597DD2" w:rsidRDefault="00C96145" w:rsidP="00A30102">
      <w:pPr>
        <w:pStyle w:val="ListParagraph"/>
        <w:numPr>
          <w:ilvl w:val="0"/>
          <w:numId w:val="12"/>
        </w:numPr>
        <w:spacing w:after="120" w:line="360" w:lineRule="auto"/>
        <w:ind w:left="360"/>
        <w:jc w:val="both"/>
      </w:pPr>
      <w:r w:rsidRPr="00597DD2">
        <w:rPr>
          <w:b/>
          <w:bCs/>
        </w:rPr>
        <w:lastRenderedPageBreak/>
        <w:t>Material</w:t>
      </w:r>
      <w:r w:rsidR="00F474C5">
        <w:rPr>
          <w:b/>
          <w:bCs/>
        </w:rPr>
        <w:t>s</w:t>
      </w:r>
      <w:r w:rsidRPr="00597DD2">
        <w:rPr>
          <w:b/>
          <w:bCs/>
        </w:rPr>
        <w:t xml:space="preserve"> and </w:t>
      </w:r>
      <w:r w:rsidR="00F474C5">
        <w:rPr>
          <w:b/>
          <w:bCs/>
        </w:rPr>
        <w:t>M</w:t>
      </w:r>
      <w:r w:rsidR="00F42647" w:rsidRPr="00597DD2">
        <w:rPr>
          <w:b/>
          <w:bCs/>
        </w:rPr>
        <w:t>ethods</w:t>
      </w:r>
    </w:p>
    <w:p w14:paraId="442CECC2" w14:textId="7567B4ED" w:rsidR="00265478" w:rsidRPr="00597DD2" w:rsidRDefault="00265478" w:rsidP="00A30102">
      <w:pPr>
        <w:spacing w:after="120" w:line="360" w:lineRule="auto"/>
        <w:jc w:val="both"/>
        <w:rPr>
          <w:i/>
          <w:iCs/>
        </w:rPr>
      </w:pPr>
      <w:r w:rsidRPr="00597DD2">
        <w:rPr>
          <w:i/>
          <w:iCs/>
        </w:rPr>
        <w:t>2.1 PBPK model development</w:t>
      </w:r>
    </w:p>
    <w:p w14:paraId="4AC66B6F" w14:textId="305E82DF" w:rsidR="00AC22D7" w:rsidRPr="00597DD2" w:rsidRDefault="00E72B7D" w:rsidP="00AC22D7">
      <w:pPr>
        <w:spacing w:line="360" w:lineRule="auto"/>
        <w:jc w:val="both"/>
        <w:rPr>
          <w:color w:val="000000"/>
        </w:rPr>
      </w:pPr>
      <w:r w:rsidRPr="00597DD2">
        <w:t xml:space="preserve">A full PBPK model for buprenorphine was constructed and validated using Simcyp (v21.0; Simcyp Limited, Sheffield, UK). </w:t>
      </w:r>
      <w:r w:rsidR="00AC22D7" w:rsidRPr="00597DD2">
        <w:rPr>
          <w:color w:val="000000"/>
        </w:rPr>
        <w:t xml:space="preserve">A schematic representation of the PBPK model is shown in </w:t>
      </w:r>
      <w:r w:rsidR="00AC22D7" w:rsidRPr="00597DD2">
        <w:rPr>
          <w:b/>
          <w:bCs/>
          <w:color w:val="000000"/>
        </w:rPr>
        <w:t>Figure 1</w:t>
      </w:r>
      <w:r w:rsidR="00AC22D7" w:rsidRPr="00597DD2">
        <w:rPr>
          <w:color w:val="000000"/>
        </w:rPr>
        <w:t xml:space="preserve">. </w:t>
      </w:r>
      <w:r w:rsidR="00AC22D7" w:rsidRPr="00597DD2">
        <w:t xml:space="preserve">Drug physiochemical and physiological parameters used to build the PBPK model are shown in </w:t>
      </w:r>
      <w:r w:rsidR="00AC22D7" w:rsidRPr="00597DD2">
        <w:rPr>
          <w:b/>
          <w:bCs/>
        </w:rPr>
        <w:t>Table 1</w:t>
      </w:r>
      <w:r w:rsidR="008E2AE8" w:rsidRPr="00597DD2">
        <w:t xml:space="preserve"> </w:t>
      </w:r>
      <w:r w:rsidR="002E7A65">
        <w:rPr>
          <w:noProof/>
          <w:color w:val="000000"/>
        </w:rPr>
        <w:t>[33-45]</w:t>
      </w:r>
      <w:r w:rsidR="00570F98" w:rsidRPr="00597DD2">
        <w:rPr>
          <w:color w:val="000000"/>
        </w:rPr>
        <w:t>.</w:t>
      </w:r>
    </w:p>
    <w:p w14:paraId="146963C2" w14:textId="7F41C936" w:rsidR="00AC22D7" w:rsidRPr="00597DD2" w:rsidRDefault="00E72B7D" w:rsidP="00AC22D7">
      <w:pPr>
        <w:spacing w:line="360" w:lineRule="auto"/>
        <w:ind w:firstLine="360"/>
        <w:jc w:val="both"/>
      </w:pPr>
      <w:r w:rsidRPr="00597DD2">
        <w:t xml:space="preserve">The </w:t>
      </w:r>
      <w:r w:rsidR="00220913" w:rsidRPr="00597DD2">
        <w:t xml:space="preserve">present </w:t>
      </w:r>
      <w:r w:rsidRPr="00597DD2">
        <w:t xml:space="preserve">model was based on </w:t>
      </w:r>
      <w:r w:rsidR="0024293E" w:rsidRPr="00597DD2">
        <w:t>a</w:t>
      </w:r>
      <w:r w:rsidRPr="00597DD2">
        <w:t xml:space="preserve"> minimal PBPK model</w:t>
      </w:r>
      <w:r w:rsidR="00220913" w:rsidRPr="00597DD2">
        <w:t xml:space="preserve"> for buprenorphine</w:t>
      </w:r>
      <w:r w:rsidR="00D145DE" w:rsidRPr="00597DD2">
        <w:t xml:space="preserve"> developed earlier by our group</w:t>
      </w:r>
      <w:r w:rsidR="009E205F" w:rsidRPr="00597DD2">
        <w:t xml:space="preserve"> </w:t>
      </w:r>
      <w:r w:rsidR="002E7A65">
        <w:rPr>
          <w:noProof/>
        </w:rPr>
        <w:t>[15]</w:t>
      </w:r>
      <w:r w:rsidR="009E205F" w:rsidRPr="00597DD2">
        <w:t>,</w:t>
      </w:r>
      <w:r w:rsidR="00D145DE" w:rsidRPr="00597DD2">
        <w:t xml:space="preserve"> which, in turn, was </w:t>
      </w:r>
      <w:r w:rsidR="00220913" w:rsidRPr="00597DD2">
        <w:t>adapted from a</w:t>
      </w:r>
      <w:r w:rsidR="00D145DE" w:rsidRPr="00597DD2">
        <w:t xml:space="preserve"> model described by</w:t>
      </w:r>
      <w:r w:rsidR="00752337">
        <w:t xml:space="preserve"> </w:t>
      </w:r>
      <w:r w:rsidR="002E7A65">
        <w:rPr>
          <w:noProof/>
        </w:rPr>
        <w:t>Johnson et al. [33]</w:t>
      </w:r>
      <w:r w:rsidR="009E205F" w:rsidRPr="00597DD2">
        <w:t>.</w:t>
      </w:r>
      <w:r w:rsidRPr="00597DD2">
        <w:t xml:space="preserve"> </w:t>
      </w:r>
      <w:r w:rsidR="00103D04" w:rsidRPr="00597DD2">
        <w:t xml:space="preserve">The minimal PBPK model was expanded to a full PBPK model by incorporating tissue-to-plasma partition coefficients (Kp). </w:t>
      </w:r>
      <w:r w:rsidR="00882E44" w:rsidRPr="00597DD2">
        <w:t xml:space="preserve">Kp values were </w:t>
      </w:r>
      <w:r w:rsidR="00442023" w:rsidRPr="00597DD2">
        <w:t>estimated</w:t>
      </w:r>
      <w:r w:rsidR="00882E44" w:rsidRPr="00597DD2">
        <w:t xml:space="preserve"> </w:t>
      </w:r>
      <w:r w:rsidR="00442023" w:rsidRPr="00597DD2">
        <w:t>using</w:t>
      </w:r>
      <w:r w:rsidR="00882E44" w:rsidRPr="00597DD2">
        <w:t xml:space="preserve"> tissue distribution data</w:t>
      </w:r>
      <w:r w:rsidR="00E62776" w:rsidRPr="00597DD2">
        <w:t xml:space="preserve"> in rats</w:t>
      </w:r>
      <w:r w:rsidR="00882E44" w:rsidRPr="00597DD2">
        <w:t xml:space="preserve"> </w:t>
      </w:r>
      <w:r w:rsidR="00E62776" w:rsidRPr="00597DD2">
        <w:t xml:space="preserve">generally </w:t>
      </w:r>
      <w:r w:rsidR="00882E44" w:rsidRPr="00597DD2">
        <w:t xml:space="preserve">measured </w:t>
      </w:r>
      <w:r w:rsidR="00E62776" w:rsidRPr="00597DD2">
        <w:t>between 1 and 144 hours</w:t>
      </w:r>
      <w:r w:rsidR="00882E44" w:rsidRPr="00597DD2">
        <w:t xml:space="preserve"> following subcutaneous injection </w:t>
      </w:r>
      <w:r w:rsidR="004019CC" w:rsidRPr="00597DD2">
        <w:t>of</w:t>
      </w:r>
      <w:r w:rsidR="00882E44" w:rsidRPr="00597DD2">
        <w:t xml:space="preserve"> radiolabeled buprenorphine</w:t>
      </w:r>
      <w:r w:rsidR="009E205F" w:rsidRPr="00597DD2">
        <w:t xml:space="preserve"> </w:t>
      </w:r>
      <w:r w:rsidR="002E7A65">
        <w:rPr>
          <w:noProof/>
        </w:rPr>
        <w:t>[38, 40]</w:t>
      </w:r>
      <w:r w:rsidR="009E205F" w:rsidRPr="00597DD2">
        <w:t>.</w:t>
      </w:r>
      <w:r w:rsidR="00882E44" w:rsidRPr="00597DD2">
        <w:t xml:space="preserve"> </w:t>
      </w:r>
      <w:r w:rsidR="0097517A" w:rsidRPr="00597DD2">
        <w:t>Moment-dependent d</w:t>
      </w:r>
      <w:r w:rsidR="00E62776" w:rsidRPr="00597DD2">
        <w:t xml:space="preserve">istribution of buprenorphine and its metabolites was considered when determining </w:t>
      </w:r>
      <w:r w:rsidR="00AC22D7" w:rsidRPr="00597DD2">
        <w:t>optimal</w:t>
      </w:r>
      <w:r w:rsidR="002C0042" w:rsidRPr="00597DD2">
        <w:t xml:space="preserve"> time points to calculate</w:t>
      </w:r>
      <w:r w:rsidR="00AC22D7" w:rsidRPr="00597DD2">
        <w:t xml:space="preserve"> </w:t>
      </w:r>
      <w:r w:rsidR="00E62776" w:rsidRPr="00597DD2">
        <w:t>Kp value</w:t>
      </w:r>
      <w:r w:rsidR="00AC22D7" w:rsidRPr="00597DD2">
        <w:t>s</w:t>
      </w:r>
      <w:r w:rsidR="00E62776" w:rsidRPr="00597DD2">
        <w:t xml:space="preserve">, </w:t>
      </w:r>
      <w:r w:rsidR="00E62776" w:rsidRPr="00597DD2">
        <w:rPr>
          <w:i/>
          <w:iCs/>
        </w:rPr>
        <w:t>e.g.</w:t>
      </w:r>
      <w:r w:rsidR="00E62776" w:rsidRPr="00597DD2">
        <w:t xml:space="preserve">, Kp values for </w:t>
      </w:r>
      <w:r w:rsidR="00AC22D7" w:rsidRPr="00597DD2">
        <w:t>gut,</w:t>
      </w:r>
      <w:r w:rsidR="00E62776" w:rsidRPr="00597DD2">
        <w:t xml:space="preserve"> kidney</w:t>
      </w:r>
      <w:r w:rsidR="00AC22D7" w:rsidRPr="00597DD2">
        <w:t>, and liver</w:t>
      </w:r>
      <w:r w:rsidR="00E62776" w:rsidRPr="00597DD2">
        <w:t xml:space="preserve"> were </w:t>
      </w:r>
      <w:r w:rsidR="00AC22D7" w:rsidRPr="00597DD2">
        <w:t>obtained</w:t>
      </w:r>
      <w:r w:rsidR="00E62776" w:rsidRPr="00597DD2">
        <w:t xml:space="preserve"> using distribution data measured at 1 hour postdose to </w:t>
      </w:r>
      <w:r w:rsidR="00AC22D7" w:rsidRPr="00597DD2">
        <w:t>minimize</w:t>
      </w:r>
      <w:r w:rsidR="00E62776" w:rsidRPr="00597DD2">
        <w:t xml:space="preserve"> measuring </w:t>
      </w:r>
      <w:r w:rsidR="00AC22D7" w:rsidRPr="00597DD2">
        <w:t xml:space="preserve">the </w:t>
      </w:r>
      <w:r w:rsidR="00E62776" w:rsidRPr="00597DD2">
        <w:t>distribution of buprenorphine metabolites rather than buprenorphine.</w:t>
      </w:r>
    </w:p>
    <w:p w14:paraId="57037234" w14:textId="3D5AA1D9" w:rsidR="003049AE" w:rsidRPr="00597DD2" w:rsidRDefault="00AC22D7" w:rsidP="00AC22D7">
      <w:pPr>
        <w:spacing w:after="240" w:line="360" w:lineRule="auto"/>
        <w:ind w:firstLine="360"/>
        <w:jc w:val="both"/>
        <w:rPr>
          <w:color w:val="000000"/>
        </w:rPr>
      </w:pPr>
      <w:r w:rsidRPr="00597DD2">
        <w:t>Following expansion to a full PBPK model, f</w:t>
      </w:r>
      <w:r w:rsidR="00E62776" w:rsidRPr="00597DD2">
        <w:t xml:space="preserve">irst-order absorption models were optimized using </w:t>
      </w:r>
      <w:r w:rsidRPr="00597DD2">
        <w:t xml:space="preserve">buprenorphine </w:t>
      </w:r>
      <w:r w:rsidR="00E62776" w:rsidRPr="00597DD2">
        <w:t xml:space="preserve">concentration-time </w:t>
      </w:r>
      <w:r w:rsidR="002C0042" w:rsidRPr="00597DD2">
        <w:t>profiles</w:t>
      </w:r>
      <w:r w:rsidR="00E62776" w:rsidRPr="00597DD2">
        <w:t xml:space="preserve"> reported by</w:t>
      </w:r>
      <w:r w:rsidR="00752337">
        <w:t xml:space="preserve"> </w:t>
      </w:r>
      <w:r w:rsidR="002E7A65">
        <w:rPr>
          <w:noProof/>
        </w:rPr>
        <w:t>Dong et al. [28]</w:t>
      </w:r>
      <w:r w:rsidR="00E62776" w:rsidRPr="00597DD2">
        <w:t xml:space="preserve"> </w:t>
      </w:r>
      <w:r w:rsidR="002A6E4F" w:rsidRPr="00597DD2">
        <w:t xml:space="preserve">to describe sublingual absorption of buprenorphine. </w:t>
      </w:r>
      <w:r w:rsidR="00442023" w:rsidRPr="00597DD2">
        <w:t xml:space="preserve">As </w:t>
      </w:r>
      <w:r w:rsidR="00442023" w:rsidRPr="00597DD2">
        <w:rPr>
          <w:color w:val="000000"/>
        </w:rPr>
        <w:t>the sublingual route of administration is not available in Simcyp, sublingual absorption was mimicked by employing the first-order inhalation model in combination with</w:t>
      </w:r>
      <w:r w:rsidR="001C4FA8" w:rsidRPr="00597DD2">
        <w:rPr>
          <w:color w:val="000000"/>
        </w:rPr>
        <w:t xml:space="preserve"> the</w:t>
      </w:r>
      <w:r w:rsidR="00442023" w:rsidRPr="00597DD2">
        <w:rPr>
          <w:color w:val="000000"/>
        </w:rPr>
        <w:t xml:space="preserve"> inhaled route of administration</w:t>
      </w:r>
      <w:r w:rsidR="00D17859" w:rsidRPr="00597DD2">
        <w:rPr>
          <w:color w:val="000000"/>
        </w:rPr>
        <w:t xml:space="preserve"> as described previously</w:t>
      </w:r>
      <w:r w:rsidR="009E205F" w:rsidRPr="00597DD2">
        <w:rPr>
          <w:color w:val="000000"/>
        </w:rPr>
        <w:t xml:space="preserve"> </w:t>
      </w:r>
      <w:r w:rsidR="002E7A65">
        <w:rPr>
          <w:noProof/>
          <w:color w:val="000000"/>
        </w:rPr>
        <w:t>[15]</w:t>
      </w:r>
      <w:r w:rsidR="009E205F" w:rsidRPr="00597DD2">
        <w:rPr>
          <w:color w:val="000000"/>
        </w:rPr>
        <w:t>.</w:t>
      </w:r>
      <w:r w:rsidR="002A6E4F" w:rsidRPr="00597DD2">
        <w:rPr>
          <w:color w:val="000000"/>
        </w:rPr>
        <w:t xml:space="preserve"> In th</w:t>
      </w:r>
      <w:r w:rsidR="009E7D73" w:rsidRPr="00597DD2">
        <w:rPr>
          <w:color w:val="000000"/>
        </w:rPr>
        <w:t>is</w:t>
      </w:r>
      <w:r w:rsidR="002A6E4F" w:rsidRPr="00597DD2">
        <w:rPr>
          <w:color w:val="000000"/>
        </w:rPr>
        <w:t xml:space="preserve"> inhalation model, the proportion of the dose inhaled equals the proportion sublingually absorbed</w:t>
      </w:r>
      <w:r w:rsidR="00F6686C" w:rsidRPr="00597DD2">
        <w:rPr>
          <w:color w:val="000000"/>
        </w:rPr>
        <w:t>. T</w:t>
      </w:r>
      <w:r w:rsidR="00EA6891" w:rsidRPr="00597DD2">
        <w:rPr>
          <w:color w:val="000000"/>
        </w:rPr>
        <w:t>he remaining fraction is swallowed.</w:t>
      </w:r>
    </w:p>
    <w:p w14:paraId="3EFA41E2" w14:textId="1EDEBB76" w:rsidR="00000B2B" w:rsidRPr="00597DD2" w:rsidRDefault="00000B2B" w:rsidP="00000B2B">
      <w:pPr>
        <w:spacing w:after="120" w:line="360" w:lineRule="auto"/>
        <w:jc w:val="both"/>
        <w:rPr>
          <w:i/>
          <w:iCs/>
        </w:rPr>
      </w:pPr>
      <w:r w:rsidRPr="00597DD2">
        <w:rPr>
          <w:i/>
          <w:iCs/>
        </w:rPr>
        <w:t>2.</w:t>
      </w:r>
      <w:r w:rsidR="002046AA" w:rsidRPr="00597DD2">
        <w:rPr>
          <w:i/>
          <w:iCs/>
        </w:rPr>
        <w:t>2</w:t>
      </w:r>
      <w:r w:rsidRPr="00597DD2">
        <w:rPr>
          <w:i/>
          <w:iCs/>
        </w:rPr>
        <w:t xml:space="preserve"> Linear regression modeling of sublingual absorption</w:t>
      </w:r>
    </w:p>
    <w:p w14:paraId="0B148904" w14:textId="164CFA34" w:rsidR="00000B2B" w:rsidRPr="00597DD2" w:rsidRDefault="00D55314" w:rsidP="002D18D0">
      <w:pPr>
        <w:spacing w:after="240" w:line="360" w:lineRule="auto"/>
        <w:jc w:val="both"/>
      </w:pPr>
      <w:r w:rsidRPr="00597DD2">
        <w:t>C</w:t>
      </w:r>
      <w:r w:rsidR="002D18D0" w:rsidRPr="00597DD2">
        <w:t>oncentration-time data were extracted from dose-escalation</w:t>
      </w:r>
      <w:r w:rsidR="009E205F" w:rsidRPr="00597DD2">
        <w:t xml:space="preserve"> </w:t>
      </w:r>
      <w:r w:rsidR="002E7A65">
        <w:rPr>
          <w:noProof/>
        </w:rPr>
        <w:t>[23, 26]</w:t>
      </w:r>
      <w:r w:rsidR="002D18D0" w:rsidRPr="00597DD2">
        <w:t xml:space="preserve"> and dose-linearity</w:t>
      </w:r>
      <w:r w:rsidR="009E205F" w:rsidRPr="00597DD2">
        <w:t xml:space="preserve"> </w:t>
      </w:r>
      <w:r w:rsidR="002E7A65">
        <w:rPr>
          <w:noProof/>
        </w:rPr>
        <w:t>[28]</w:t>
      </w:r>
      <w:r w:rsidR="002D18D0" w:rsidRPr="00597DD2">
        <w:t xml:space="preserve"> studies </w:t>
      </w:r>
      <w:r w:rsidRPr="00597DD2">
        <w:t xml:space="preserve">(training data) </w:t>
      </w:r>
      <w:r w:rsidR="002D18D0" w:rsidRPr="00597DD2">
        <w:t>using WebPlotDigitizer</w:t>
      </w:r>
      <w:r w:rsidR="006F2A72" w:rsidRPr="00597DD2">
        <w:t xml:space="preserve"> (v4.5, Ankit Rohatgi, Pacifica, CA)</w:t>
      </w:r>
      <w:r w:rsidR="002D18D0" w:rsidRPr="00597DD2">
        <w:t xml:space="preserve">. </w:t>
      </w:r>
      <w:r w:rsidR="00FE3177" w:rsidRPr="00597DD2">
        <w:t>Area under the curve</w:t>
      </w:r>
      <w:r w:rsidR="002D18D0" w:rsidRPr="00597DD2">
        <w:t xml:space="preserve"> (</w:t>
      </w:r>
      <w:r w:rsidR="00FE3177" w:rsidRPr="00597DD2">
        <w:t xml:space="preserve">AUC; </w:t>
      </w:r>
      <w:r w:rsidR="002D18D0" w:rsidRPr="00597DD2">
        <w:rPr>
          <w:i/>
          <w:iCs/>
        </w:rPr>
        <w:t>i.e.</w:t>
      </w:r>
      <w:r w:rsidR="002D18D0" w:rsidRPr="00597DD2">
        <w:t>, AUC</w:t>
      </w:r>
      <w:r w:rsidR="002D18D0" w:rsidRPr="00597DD2">
        <w:rPr>
          <w:vertAlign w:val="subscript"/>
        </w:rPr>
        <w:t>0– </w:t>
      </w:r>
      <w:r w:rsidR="002D18D0" w:rsidRPr="00597DD2">
        <w:rPr>
          <w:rFonts w:hint="eastAsia"/>
          <w:vertAlign w:val="subscript"/>
        </w:rPr>
        <w:t>∞</w:t>
      </w:r>
      <w:r w:rsidR="002D18D0" w:rsidRPr="00597DD2">
        <w:rPr>
          <w:rFonts w:hint="eastAsia"/>
        </w:rPr>
        <w:t xml:space="preserve"> </w:t>
      </w:r>
      <w:r w:rsidR="002D18D0" w:rsidRPr="00597DD2">
        <w:t>and AUC</w:t>
      </w:r>
      <w:r w:rsidR="002D18D0" w:rsidRPr="00597DD2">
        <w:rPr>
          <w:vertAlign w:val="subscript"/>
        </w:rPr>
        <w:t>0–τ</w:t>
      </w:r>
      <w:r w:rsidR="002D18D0" w:rsidRPr="00597DD2">
        <w:t xml:space="preserve"> for single and multiple dose studies, respectively) and </w:t>
      </w:r>
      <w:r w:rsidR="00FE3177" w:rsidRPr="00597DD2">
        <w:t>peak concentration (</w:t>
      </w:r>
      <w:r w:rsidR="002D18D0" w:rsidRPr="00597DD2">
        <w:t>C</w:t>
      </w:r>
      <w:r w:rsidR="002D18D0" w:rsidRPr="00597DD2">
        <w:rPr>
          <w:vertAlign w:val="subscript"/>
        </w:rPr>
        <w:t>max</w:t>
      </w:r>
      <w:r w:rsidR="00FE3177" w:rsidRPr="00597DD2">
        <w:t xml:space="preserve">) </w:t>
      </w:r>
      <w:r w:rsidR="002D18D0" w:rsidRPr="00597DD2">
        <w:t xml:space="preserve">following sublingual tablet </w:t>
      </w:r>
      <w:r w:rsidR="00F241D5" w:rsidRPr="00597DD2">
        <w:t xml:space="preserve">or </w:t>
      </w:r>
      <w:r w:rsidR="002D18D0" w:rsidRPr="00597DD2">
        <w:t xml:space="preserve">solution administration were </w:t>
      </w:r>
      <w:r w:rsidR="006F2A72" w:rsidRPr="00597DD2">
        <w:t>determined</w:t>
      </w:r>
      <w:r w:rsidR="002D18D0" w:rsidRPr="00597DD2">
        <w:t xml:space="preserve"> </w:t>
      </w:r>
      <w:r w:rsidR="002D18D0" w:rsidRPr="00597DD2">
        <w:rPr>
          <w:color w:val="000000"/>
        </w:rPr>
        <w:t xml:space="preserve">through Bayesian estimation by fitting the </w:t>
      </w:r>
      <w:r w:rsidR="00F241D5" w:rsidRPr="00597DD2">
        <w:rPr>
          <w:color w:val="000000"/>
        </w:rPr>
        <w:t xml:space="preserve">buprenorphine </w:t>
      </w:r>
      <w:r w:rsidR="002D18D0" w:rsidRPr="00597DD2">
        <w:rPr>
          <w:color w:val="000000"/>
        </w:rPr>
        <w:t xml:space="preserve">population PK model </w:t>
      </w:r>
      <w:r w:rsidR="00F241D5" w:rsidRPr="00597DD2">
        <w:rPr>
          <w:color w:val="000000"/>
        </w:rPr>
        <w:t>reported</w:t>
      </w:r>
      <w:r w:rsidR="001961D0" w:rsidRPr="00597DD2">
        <w:rPr>
          <w:color w:val="000000"/>
        </w:rPr>
        <w:t xml:space="preserve"> by</w:t>
      </w:r>
      <w:r w:rsidR="009E205F" w:rsidRPr="00597DD2">
        <w:rPr>
          <w:color w:val="000000"/>
        </w:rPr>
        <w:t xml:space="preserve"> </w:t>
      </w:r>
      <w:r w:rsidR="002E7A65">
        <w:rPr>
          <w:noProof/>
          <w:color w:val="000000"/>
        </w:rPr>
        <w:t>Moore et al. [46]</w:t>
      </w:r>
      <w:r w:rsidR="002D18D0" w:rsidRPr="00597DD2">
        <w:rPr>
          <w:color w:val="000000"/>
        </w:rPr>
        <w:t xml:space="preserve"> to </w:t>
      </w:r>
      <w:r w:rsidR="00713655" w:rsidRPr="00597DD2">
        <w:rPr>
          <w:color w:val="000000"/>
        </w:rPr>
        <w:t xml:space="preserve">these </w:t>
      </w:r>
      <w:r w:rsidR="002D18D0" w:rsidRPr="00597DD2">
        <w:rPr>
          <w:color w:val="000000"/>
        </w:rPr>
        <w:t>extracted concentration-time profiles</w:t>
      </w:r>
      <w:r w:rsidR="000D2884" w:rsidRPr="00597DD2">
        <w:rPr>
          <w:color w:val="000000"/>
        </w:rPr>
        <w:t xml:space="preserve"> using MWPharm++ </w:t>
      </w:r>
      <w:r w:rsidR="000D2884" w:rsidRPr="00597DD2">
        <w:t>(v2.0.4; Mediware Incorporated, Prague, Czech Republic)</w:t>
      </w:r>
      <w:r w:rsidR="002D18D0" w:rsidRPr="00597DD2">
        <w:rPr>
          <w:color w:val="000000"/>
        </w:rPr>
        <w:t>.</w:t>
      </w:r>
      <w:r w:rsidR="000D3EC2" w:rsidRPr="00597DD2">
        <w:rPr>
          <w:color w:val="000000"/>
        </w:rPr>
        <w:t xml:space="preserve"> Subsequently, </w:t>
      </w:r>
      <w:r w:rsidR="000D3EC2" w:rsidRPr="00597DD2">
        <w:t xml:space="preserve">the proportion of the dose to be sublingually </w:t>
      </w:r>
      <w:r w:rsidR="000D3EC2" w:rsidRPr="00597DD2">
        <w:lastRenderedPageBreak/>
        <w:t xml:space="preserve">absorbed </w:t>
      </w:r>
      <w:r w:rsidR="006475A8" w:rsidRPr="00597DD2">
        <w:t xml:space="preserve">in the PBPK model </w:t>
      </w:r>
      <w:r w:rsidR="000D3EC2" w:rsidRPr="00597DD2">
        <w:t>to exactly recover the AUC and C</w:t>
      </w:r>
      <w:r w:rsidR="000D3EC2" w:rsidRPr="00597DD2">
        <w:rPr>
          <w:vertAlign w:val="subscript"/>
        </w:rPr>
        <w:t>max</w:t>
      </w:r>
      <w:r w:rsidR="000D3EC2" w:rsidRPr="00597DD2">
        <w:t xml:space="preserve"> observed in the clinical trial (</w:t>
      </w:r>
      <w:r w:rsidR="000D3EC2" w:rsidRPr="00597DD2">
        <w:rPr>
          <w:i/>
          <w:iCs/>
        </w:rPr>
        <w:t>i.e.</w:t>
      </w:r>
      <w:r w:rsidR="000D3EC2" w:rsidRPr="00597DD2">
        <w:t xml:space="preserve">, ideal proportion) was determined </w:t>
      </w:r>
      <w:r w:rsidR="00C64C6D" w:rsidRPr="00597DD2">
        <w:t xml:space="preserve">by </w:t>
      </w:r>
      <w:r w:rsidR="00426D79" w:rsidRPr="00597DD2">
        <w:t>reviewing PBPK model-based predicted geometric mean AUC and C</w:t>
      </w:r>
      <w:r w:rsidR="00426D79" w:rsidRPr="00597DD2">
        <w:rPr>
          <w:vertAlign w:val="subscript"/>
        </w:rPr>
        <w:t>max</w:t>
      </w:r>
      <w:r w:rsidR="00C64C6D" w:rsidRPr="00597DD2">
        <w:t xml:space="preserve"> under various degrees of sublingual absorption. </w:t>
      </w:r>
      <w:r w:rsidR="000E5BF0" w:rsidRPr="00597DD2">
        <w:t>The relationship between AUC- and C</w:t>
      </w:r>
      <w:r w:rsidR="000E5BF0" w:rsidRPr="00597DD2">
        <w:rPr>
          <w:vertAlign w:val="subscript"/>
        </w:rPr>
        <w:t>max</w:t>
      </w:r>
      <w:r w:rsidR="000E5BF0" w:rsidRPr="00597DD2">
        <w:t>-optimized ideal proportion and dose was explored for sublingual tablets and solution separately through linear regression modeling using the stats package (v4.1.2, R Core Team) for R (v4.1.2, R Foundation for Statistical Computing, Vienna, Austria). The following bivariate linear model was used (Equation 1):</w:t>
      </w:r>
    </w:p>
    <w:p w14:paraId="5464E85E" w14:textId="62452DEA" w:rsidR="000E5BF0" w:rsidRPr="00597DD2" w:rsidRDefault="000E5BF0" w:rsidP="000E5BF0">
      <w:pPr>
        <w:pStyle w:val="ListParagraph"/>
        <w:numPr>
          <w:ilvl w:val="0"/>
          <w:numId w:val="16"/>
        </w:numPr>
        <w:spacing w:after="240" w:line="360" w:lineRule="auto"/>
        <w:ind w:left="3510" w:right="810" w:hanging="3510"/>
        <w:rPr>
          <w:vertAlign w:val="subscript"/>
        </w:rPr>
      </w:pPr>
      <w:r w:rsidRPr="00597DD2">
        <w:t>Proportion</w:t>
      </w:r>
      <w:r w:rsidRPr="00597DD2">
        <w:rPr>
          <w:i/>
          <w:iCs/>
          <w:vertAlign w:val="subscript"/>
        </w:rPr>
        <w:t>i</w:t>
      </w:r>
      <w:r w:rsidRPr="00597DD2">
        <w:t xml:space="preserve"> = α + β × Dose</w:t>
      </w:r>
    </w:p>
    <w:p w14:paraId="49CF52D9" w14:textId="53FFE3F2" w:rsidR="002046AA" w:rsidRPr="00597DD2" w:rsidRDefault="000E5BF0" w:rsidP="00E36E4A">
      <w:pPr>
        <w:spacing w:after="240" w:line="360" w:lineRule="auto"/>
        <w:jc w:val="both"/>
      </w:pPr>
      <w:r w:rsidRPr="00597DD2">
        <w:t>where Proportion</w:t>
      </w:r>
      <w:r w:rsidRPr="00597DD2">
        <w:rPr>
          <w:i/>
          <w:iCs/>
          <w:vertAlign w:val="subscript"/>
        </w:rPr>
        <w:t>i</w:t>
      </w:r>
      <w:r w:rsidRPr="00597DD2">
        <w:t xml:space="preserve"> is the AUC- or C</w:t>
      </w:r>
      <w:r w:rsidRPr="00597DD2">
        <w:rPr>
          <w:vertAlign w:val="subscript"/>
        </w:rPr>
        <w:t>max</w:t>
      </w:r>
      <w:r w:rsidRPr="00597DD2">
        <w:t xml:space="preserve">-optimized ideal proportion (%) for clinical study </w:t>
      </w:r>
      <w:r w:rsidRPr="00597DD2">
        <w:rPr>
          <w:i/>
          <w:iCs/>
        </w:rPr>
        <w:t>i</w:t>
      </w:r>
      <w:r w:rsidRPr="00597DD2">
        <w:t xml:space="preserve">, α is the intercept, β is the slope, and Dose is the sublingual tablet or solution dose in milligrams. </w:t>
      </w:r>
      <w:r w:rsidR="00EF13EC" w:rsidRPr="00597DD2">
        <w:t>Visual</w:t>
      </w:r>
      <w:r w:rsidR="002A55D9" w:rsidRPr="00597DD2">
        <w:t xml:space="preserve"> inspection of the data indicated a linear or </w:t>
      </w:r>
      <w:r w:rsidR="00E33A5E" w:rsidRPr="00597DD2">
        <w:t xml:space="preserve">inverse exponential relationship between ideal proportion and dose. Therefore, four </w:t>
      </w:r>
      <w:r w:rsidRPr="00597DD2">
        <w:t xml:space="preserve">varieties of the linear model were explored, </w:t>
      </w:r>
      <w:r w:rsidR="00E56074" w:rsidRPr="00597DD2">
        <w:rPr>
          <w:i/>
          <w:iCs/>
        </w:rPr>
        <w:t>i.e.</w:t>
      </w:r>
      <w:r w:rsidR="00E56074" w:rsidRPr="00597DD2">
        <w:t xml:space="preserve">, </w:t>
      </w:r>
      <w:r w:rsidRPr="00597DD2">
        <w:t>either untransformed or with Dose, Proportion</w:t>
      </w:r>
      <w:r w:rsidRPr="00597DD2">
        <w:rPr>
          <w:i/>
          <w:iCs/>
          <w:vertAlign w:val="subscript"/>
        </w:rPr>
        <w:t>i</w:t>
      </w:r>
      <w:r w:rsidRPr="00597DD2">
        <w:t>, or both logarithmically transformed</w:t>
      </w:r>
      <w:r w:rsidR="00E56074" w:rsidRPr="00597DD2">
        <w:t xml:space="preserve"> using a decimal logarithm of base 10. </w:t>
      </w:r>
      <w:r w:rsidR="00FC412D" w:rsidRPr="00597DD2">
        <w:t>Thus, in total, 16 linear regression analyses were performed, namely</w:t>
      </w:r>
      <w:r w:rsidR="003E27D4" w:rsidRPr="00597DD2">
        <w:t>,</w:t>
      </w:r>
      <w:r w:rsidR="00FC412D" w:rsidRPr="00597DD2">
        <w:t xml:space="preserve"> four linear model varieties explaining four individual relationships (</w:t>
      </w:r>
      <w:r w:rsidR="00B4710F" w:rsidRPr="00597DD2">
        <w:rPr>
          <w:i/>
          <w:iCs/>
        </w:rPr>
        <w:t>i.e.</w:t>
      </w:r>
      <w:r w:rsidR="00B4710F" w:rsidRPr="00597DD2">
        <w:t xml:space="preserve">, </w:t>
      </w:r>
      <w:r w:rsidR="00FC412D" w:rsidRPr="00597DD2">
        <w:t>AUC- and C</w:t>
      </w:r>
      <w:r w:rsidR="00FC412D" w:rsidRPr="00597DD2">
        <w:rPr>
          <w:vertAlign w:val="subscript"/>
        </w:rPr>
        <w:t>max</w:t>
      </w:r>
      <w:r w:rsidR="00FC412D" w:rsidRPr="00597DD2">
        <w:t xml:space="preserve">-optimized ideal proportions </w:t>
      </w:r>
      <w:r w:rsidR="00FC412D" w:rsidRPr="00597DD2">
        <w:rPr>
          <w:i/>
          <w:iCs/>
        </w:rPr>
        <w:t>vs</w:t>
      </w:r>
      <w:r w:rsidR="00FC412D" w:rsidRPr="00597DD2">
        <w:t xml:space="preserve">. sublingual tablet and solution doses). </w:t>
      </w:r>
      <w:r w:rsidR="00E56074" w:rsidRPr="00597DD2">
        <w:t>The linear model achieving the highest mean coefficient of determination (</w:t>
      </w:r>
      <w:r w:rsidR="00E56074" w:rsidRPr="00597DD2">
        <w:rPr>
          <w:i/>
          <w:iCs/>
        </w:rPr>
        <w:t>R</w:t>
      </w:r>
      <w:r w:rsidR="00E56074" w:rsidRPr="00597DD2">
        <w:rPr>
          <w:vertAlign w:val="superscript"/>
        </w:rPr>
        <w:t>2</w:t>
      </w:r>
      <w:r w:rsidR="00E56074" w:rsidRPr="00597DD2">
        <w:t xml:space="preserve">) </w:t>
      </w:r>
      <w:r w:rsidR="00FC412D" w:rsidRPr="00597DD2">
        <w:t>across the four individual relationships was selected. AUC- and C</w:t>
      </w:r>
      <w:r w:rsidR="00FC412D" w:rsidRPr="00597DD2">
        <w:rPr>
          <w:vertAlign w:val="subscript"/>
        </w:rPr>
        <w:t>max</w:t>
      </w:r>
      <w:r w:rsidR="00FC412D" w:rsidRPr="00597DD2">
        <w:noBreakHyphen/>
        <w:t>optimized linear models were subsequently averaged, thereby obtaining</w:t>
      </w:r>
      <w:r w:rsidR="00CA52DB" w:rsidRPr="00597DD2">
        <w:t xml:space="preserve"> two final linear models (one for sublingual tablets and one for sublingual solution) describing the relationship between ideal proportion and dose.</w:t>
      </w:r>
    </w:p>
    <w:p w14:paraId="123F5B92" w14:textId="409C7B4C" w:rsidR="002046AA" w:rsidRPr="00597DD2" w:rsidRDefault="002046AA" w:rsidP="002046AA">
      <w:pPr>
        <w:spacing w:after="120" w:line="360" w:lineRule="auto"/>
        <w:jc w:val="both"/>
        <w:rPr>
          <w:i/>
          <w:iCs/>
        </w:rPr>
      </w:pPr>
      <w:r w:rsidRPr="00597DD2">
        <w:rPr>
          <w:i/>
          <w:iCs/>
        </w:rPr>
        <w:t>2.3 PBPK model validation</w:t>
      </w:r>
      <w:r w:rsidR="00E16575" w:rsidRPr="00597DD2">
        <w:rPr>
          <w:i/>
          <w:iCs/>
        </w:rPr>
        <w:t xml:space="preserve"> and evaluation</w:t>
      </w:r>
    </w:p>
    <w:p w14:paraId="4D6AE322" w14:textId="768BB29B" w:rsidR="00E067FA" w:rsidRPr="00597DD2" w:rsidRDefault="00B4710F" w:rsidP="00324EAC">
      <w:pPr>
        <w:spacing w:line="360" w:lineRule="auto"/>
        <w:jc w:val="both"/>
      </w:pPr>
      <w:r w:rsidRPr="00597DD2">
        <w:t xml:space="preserve">Following an extensive literature search for buprenorphine PK data in healthy volunteers, the PBPK model’s predictive performance was assessed </w:t>
      </w:r>
      <w:r w:rsidR="006F5624" w:rsidRPr="00597DD2">
        <w:t xml:space="preserve">for intravenous and sublingual administration successively </w:t>
      </w:r>
      <w:r w:rsidRPr="00597DD2">
        <w:t xml:space="preserve">by determining </w:t>
      </w:r>
      <w:r w:rsidR="00E06C34" w:rsidRPr="00597DD2">
        <w:t>the ratio</w:t>
      </w:r>
      <w:r w:rsidRPr="00597DD2">
        <w:t xml:space="preserve"> between predicted and observed (P/O ratio) </w:t>
      </w:r>
      <w:r w:rsidR="00E06C34" w:rsidRPr="00597DD2">
        <w:t>AUC</w:t>
      </w:r>
      <w:r w:rsidRPr="00597DD2">
        <w:t>, clearance (CL) or apparent clearance (CL/F), C</w:t>
      </w:r>
      <w:r w:rsidRPr="00597DD2">
        <w:rPr>
          <w:vertAlign w:val="subscript"/>
        </w:rPr>
        <w:t>max</w:t>
      </w:r>
      <w:r w:rsidRPr="00597DD2">
        <w:t xml:space="preserve">, and, in case of sublingual administration, time to reach </w:t>
      </w:r>
      <w:r w:rsidR="00E06C34" w:rsidRPr="00597DD2">
        <w:t>C</w:t>
      </w:r>
      <w:r w:rsidR="00E06C34" w:rsidRPr="00597DD2">
        <w:rPr>
          <w:vertAlign w:val="subscript"/>
        </w:rPr>
        <w:t>max</w:t>
      </w:r>
      <w:r w:rsidRPr="00597DD2">
        <w:t xml:space="preserve"> (T</w:t>
      </w:r>
      <w:r w:rsidRPr="00597DD2">
        <w:rPr>
          <w:vertAlign w:val="subscript"/>
        </w:rPr>
        <w:t>max</w:t>
      </w:r>
      <w:r w:rsidRPr="00597DD2">
        <w:t>).</w:t>
      </w:r>
      <w:r w:rsidR="001B39DE" w:rsidRPr="00597DD2">
        <w:t xml:space="preserve"> All data used for </w:t>
      </w:r>
      <w:r w:rsidR="00B11F0C" w:rsidRPr="00597DD2">
        <w:t xml:space="preserve">model </w:t>
      </w:r>
      <w:r w:rsidR="001B39DE" w:rsidRPr="00597DD2">
        <w:t>validation were independent</w:t>
      </w:r>
      <w:r w:rsidR="00C36E89" w:rsidRPr="00597DD2">
        <w:t xml:space="preserve"> (test data)</w:t>
      </w:r>
      <w:r w:rsidR="001B39DE" w:rsidRPr="00597DD2">
        <w:t xml:space="preserve">, </w:t>
      </w:r>
      <w:r w:rsidR="001B39DE" w:rsidRPr="00597DD2">
        <w:rPr>
          <w:i/>
          <w:iCs/>
        </w:rPr>
        <w:t>i.e.</w:t>
      </w:r>
      <w:r w:rsidR="001B39DE" w:rsidRPr="00597DD2">
        <w:t>, not used in the develop</w:t>
      </w:r>
      <w:r w:rsidR="00CD44AB" w:rsidRPr="00597DD2">
        <w:t>ment</w:t>
      </w:r>
      <w:r w:rsidR="001B39DE" w:rsidRPr="00597DD2">
        <w:t xml:space="preserve"> of the PBPK or sublingual absorption model</w:t>
      </w:r>
      <w:r w:rsidR="00B11F0C" w:rsidRPr="00597DD2">
        <w:t>.</w:t>
      </w:r>
    </w:p>
    <w:p w14:paraId="49BAC4CC" w14:textId="585D022A" w:rsidR="007D357C" w:rsidRPr="00597DD2" w:rsidRDefault="007D357C" w:rsidP="00AF28B3">
      <w:pPr>
        <w:spacing w:line="360" w:lineRule="auto"/>
        <w:ind w:firstLine="720"/>
        <w:jc w:val="both"/>
      </w:pPr>
      <w:r w:rsidRPr="00597DD2">
        <w:t xml:space="preserve">Predicted PK parameters were obtained by running </w:t>
      </w:r>
      <w:r w:rsidR="00F7272E" w:rsidRPr="00597DD2">
        <w:t xml:space="preserve">virtual trials in Simcyp and represented the geometric mean of the virtual trial’s population. </w:t>
      </w:r>
      <w:r w:rsidRPr="00597DD2">
        <w:t xml:space="preserve">The </w:t>
      </w:r>
      <w:r w:rsidR="00F7272E" w:rsidRPr="00597DD2">
        <w:t>population’s</w:t>
      </w:r>
      <w:r w:rsidRPr="00597DD2">
        <w:t xml:space="preserve"> age (preferably age range, </w:t>
      </w:r>
      <w:r w:rsidRPr="00597DD2">
        <w:lastRenderedPageBreak/>
        <w:t xml:space="preserve">but mean age if no range was reported), proportion of females (50% was assumed for studies that did not report the participants’ sex), and administered buprenorphine dose and formulation </w:t>
      </w:r>
      <w:r w:rsidR="00F7272E" w:rsidRPr="00597DD2">
        <w:t>were</w:t>
      </w:r>
      <w:r w:rsidRPr="00597DD2">
        <w:t xml:space="preserve"> matched to that in the clinical study. </w:t>
      </w:r>
      <w:r w:rsidR="004B4DDF" w:rsidRPr="00597DD2">
        <w:t>For virtual trials in which buprenorphine was sublingually administered, a coefficient of variation (CV) of 33.9% was applied to the administered dose to reflect variability in bioavailability, which is consistent with the average variation observed by</w:t>
      </w:r>
      <w:r w:rsidR="00752337">
        <w:t xml:space="preserve"> </w:t>
      </w:r>
      <w:r w:rsidR="002E7A65">
        <w:rPr>
          <w:noProof/>
        </w:rPr>
        <w:t>Bullingham et al. [47]</w:t>
      </w:r>
      <w:r w:rsidR="006175A7" w:rsidRPr="00597DD2">
        <w:t>.</w:t>
      </w:r>
      <w:r w:rsidR="004B4DDF" w:rsidRPr="00597DD2">
        <w:t xml:space="preserve"> </w:t>
      </w:r>
      <w:r w:rsidR="00F7272E" w:rsidRPr="00597DD2">
        <w:t>The virtual cohort consisted of 100 individuals (10 individuals × 10 trials)</w:t>
      </w:r>
      <w:r w:rsidR="00891D1B" w:rsidRPr="00597DD2">
        <w:t xml:space="preserve"> for each simulation</w:t>
      </w:r>
      <w:r w:rsidR="00F7272E" w:rsidRPr="00597DD2">
        <w:t xml:space="preserve">. </w:t>
      </w:r>
      <w:r w:rsidRPr="00597DD2">
        <w:t>The virtual trial duration was set to the time associated with the last reported observable concentration</w:t>
      </w:r>
      <w:r w:rsidR="00C51026" w:rsidRPr="00597DD2">
        <w:t xml:space="preserve"> in the clinical study</w:t>
      </w:r>
      <w:r w:rsidR="00630B81" w:rsidRPr="00597DD2">
        <w:t>.</w:t>
      </w:r>
    </w:p>
    <w:p w14:paraId="24F1CCCA" w14:textId="03AAD5A3" w:rsidR="00B517E2" w:rsidRPr="00597DD2" w:rsidRDefault="0014395E" w:rsidP="00E067FA">
      <w:pPr>
        <w:spacing w:line="360" w:lineRule="auto"/>
        <w:ind w:firstLine="720"/>
        <w:jc w:val="both"/>
      </w:pPr>
      <w:r w:rsidRPr="00597DD2">
        <w:t xml:space="preserve">For clinical studies in which buprenorphine was intravenously administered, observed PK parameters were defined as those reported in the trial; missing values were calculated through noncompartmental analysis </w:t>
      </w:r>
      <w:r w:rsidR="005B1145" w:rsidRPr="00597DD2">
        <w:t xml:space="preserve">using </w:t>
      </w:r>
      <w:r w:rsidRPr="00597DD2">
        <w:t>Edsim++ (v</w:t>
      </w:r>
      <w:r w:rsidR="00935CCA" w:rsidRPr="00597DD2">
        <w:t>2.0.4</w:t>
      </w:r>
      <w:r w:rsidRPr="00597DD2">
        <w:t xml:space="preserve">; Mediware Incorporated, Prague, Czech Republic). </w:t>
      </w:r>
      <w:r w:rsidR="002B095E" w:rsidRPr="00597DD2">
        <w:t xml:space="preserve">Clinical studies rarely </w:t>
      </w:r>
      <w:r w:rsidR="00D52604" w:rsidRPr="00597DD2">
        <w:t>determined</w:t>
      </w:r>
      <w:r w:rsidR="002B095E" w:rsidRPr="00597DD2">
        <w:t xml:space="preserve"> a true C</w:t>
      </w:r>
      <w:r w:rsidR="002B095E" w:rsidRPr="00597DD2">
        <w:rPr>
          <w:vertAlign w:val="subscript"/>
        </w:rPr>
        <w:t>max</w:t>
      </w:r>
      <w:r w:rsidR="002B095E" w:rsidRPr="00597DD2">
        <w:t xml:space="preserve"> following intravenous administration</w:t>
      </w:r>
      <w:r w:rsidR="008569BB" w:rsidRPr="00597DD2">
        <w:t>. I</w:t>
      </w:r>
      <w:r w:rsidR="00D52604" w:rsidRPr="00597DD2">
        <w:t>nstead, C</w:t>
      </w:r>
      <w:r w:rsidR="00D52604" w:rsidRPr="00597DD2">
        <w:rPr>
          <w:vertAlign w:val="subscript"/>
        </w:rPr>
        <w:t>max</w:t>
      </w:r>
      <w:r w:rsidR="00D52604" w:rsidRPr="00597DD2">
        <w:t xml:space="preserve"> generally represented the </w:t>
      </w:r>
      <w:r w:rsidR="002B095E" w:rsidRPr="00597DD2">
        <w:t>first concentration (C</w:t>
      </w:r>
      <w:r w:rsidR="002B095E" w:rsidRPr="00597DD2">
        <w:rPr>
          <w:vertAlign w:val="subscript"/>
        </w:rPr>
        <w:t>first</w:t>
      </w:r>
      <w:r w:rsidR="002B095E" w:rsidRPr="00597DD2">
        <w:t>)</w:t>
      </w:r>
      <w:r w:rsidR="00D52604" w:rsidRPr="00597DD2">
        <w:t xml:space="preserve"> </w:t>
      </w:r>
      <w:r w:rsidR="002B095E" w:rsidRPr="00597DD2">
        <w:t xml:space="preserve">measured few minutes after completion of </w:t>
      </w:r>
      <w:r w:rsidR="00D52604" w:rsidRPr="00597DD2">
        <w:t>a</w:t>
      </w:r>
      <w:r w:rsidR="002B095E" w:rsidRPr="00597DD2">
        <w:t xml:space="preserve"> bolus injection</w:t>
      </w:r>
      <w:r w:rsidR="00D52604" w:rsidRPr="00597DD2">
        <w:t xml:space="preserve"> (T</w:t>
      </w:r>
      <w:r w:rsidR="00D52604" w:rsidRPr="00597DD2">
        <w:rPr>
          <w:vertAlign w:val="subscript"/>
        </w:rPr>
        <w:t>first</w:t>
      </w:r>
      <w:r w:rsidR="00D52604" w:rsidRPr="00597DD2">
        <w:t>)</w:t>
      </w:r>
      <w:r w:rsidR="002B095E" w:rsidRPr="00597DD2">
        <w:t xml:space="preserve">. </w:t>
      </w:r>
      <w:r w:rsidR="00D52604" w:rsidRPr="00597DD2">
        <w:t>Therefore, to match predicted and observed C</w:t>
      </w:r>
      <w:r w:rsidR="00D52604" w:rsidRPr="00597DD2">
        <w:rPr>
          <w:vertAlign w:val="subscript"/>
        </w:rPr>
        <w:t>max</w:t>
      </w:r>
      <w:r w:rsidR="00D52604" w:rsidRPr="00597DD2">
        <w:t>, predicted C</w:t>
      </w:r>
      <w:r w:rsidR="00D52604" w:rsidRPr="00597DD2">
        <w:rPr>
          <w:vertAlign w:val="subscript"/>
        </w:rPr>
        <w:t>max</w:t>
      </w:r>
      <w:r w:rsidR="00D52604" w:rsidRPr="00597DD2">
        <w:t xml:space="preserve"> was defined as the modeled concentration at T</w:t>
      </w:r>
      <w:r w:rsidR="00D52604" w:rsidRPr="00597DD2">
        <w:rPr>
          <w:vertAlign w:val="subscript"/>
        </w:rPr>
        <w:t>first</w:t>
      </w:r>
      <w:r w:rsidR="00D52604" w:rsidRPr="00597DD2">
        <w:t>.</w:t>
      </w:r>
    </w:p>
    <w:p w14:paraId="3AC8F4EC" w14:textId="4C3F6FEC" w:rsidR="00B517E2" w:rsidRPr="00597DD2" w:rsidRDefault="00B517E2" w:rsidP="009B4EEA">
      <w:pPr>
        <w:spacing w:line="360" w:lineRule="auto"/>
        <w:ind w:firstLine="720"/>
        <w:jc w:val="both"/>
        <w:rPr>
          <w:color w:val="000000"/>
        </w:rPr>
      </w:pPr>
      <w:r w:rsidRPr="00597DD2">
        <w:t>For clinical studies in which buprenorphine was sublingually administered, observed PK parameters were, s</w:t>
      </w:r>
      <w:r w:rsidR="00596909" w:rsidRPr="00597DD2">
        <w:t>imilarly to described for linear regression modeling,</w:t>
      </w:r>
      <w:r w:rsidRPr="00597DD2">
        <w:t xml:space="preserve"> obtained </w:t>
      </w:r>
      <w:r w:rsidRPr="00597DD2">
        <w:rPr>
          <w:color w:val="000000"/>
        </w:rPr>
        <w:t xml:space="preserve">through Bayesian estimation by fitting the </w:t>
      </w:r>
      <w:r w:rsidR="00F241D5" w:rsidRPr="00597DD2">
        <w:rPr>
          <w:color w:val="000000"/>
        </w:rPr>
        <w:t xml:space="preserve">buprenorphine </w:t>
      </w:r>
      <w:r w:rsidRPr="00597DD2">
        <w:rPr>
          <w:color w:val="000000"/>
        </w:rPr>
        <w:t xml:space="preserve">population PK model </w:t>
      </w:r>
      <w:r w:rsidR="00F241D5" w:rsidRPr="00597DD2">
        <w:rPr>
          <w:color w:val="000000"/>
        </w:rPr>
        <w:t>reported</w:t>
      </w:r>
      <w:r w:rsidRPr="00597DD2">
        <w:rPr>
          <w:color w:val="000000"/>
        </w:rPr>
        <w:t xml:space="preserve"> by</w:t>
      </w:r>
      <w:r w:rsidR="006175A7" w:rsidRPr="00597DD2">
        <w:rPr>
          <w:color w:val="000000"/>
        </w:rPr>
        <w:t xml:space="preserve"> </w:t>
      </w:r>
      <w:r w:rsidR="002E7A65">
        <w:rPr>
          <w:noProof/>
          <w:color w:val="000000"/>
        </w:rPr>
        <w:t>Moore et al. [46]</w:t>
      </w:r>
      <w:r w:rsidRPr="00597DD2">
        <w:rPr>
          <w:color w:val="000000"/>
        </w:rPr>
        <w:t xml:space="preserve"> to concentration-time </w:t>
      </w:r>
      <w:r w:rsidR="005B1145" w:rsidRPr="00597DD2">
        <w:rPr>
          <w:color w:val="000000"/>
        </w:rPr>
        <w:t xml:space="preserve">data </w:t>
      </w:r>
      <w:r w:rsidRPr="00597DD2">
        <w:rPr>
          <w:color w:val="000000"/>
        </w:rPr>
        <w:t xml:space="preserve">extracted from publications using WebPlotDigitizer. Reported PK parameter values were not used, as some studies employed limited sampling strategies, which limited </w:t>
      </w:r>
      <w:r w:rsidR="005D3392" w:rsidRPr="00597DD2">
        <w:rPr>
          <w:color w:val="000000"/>
        </w:rPr>
        <w:t>the</w:t>
      </w:r>
      <w:r w:rsidRPr="00597DD2">
        <w:rPr>
          <w:color w:val="000000"/>
        </w:rPr>
        <w:t xml:space="preserve"> robustness of time-associated (</w:t>
      </w:r>
      <w:r w:rsidRPr="00597DD2">
        <w:rPr>
          <w:i/>
          <w:iCs/>
          <w:color w:val="000000"/>
        </w:rPr>
        <w:t>i.e.</w:t>
      </w:r>
      <w:r w:rsidRPr="00597DD2">
        <w:rPr>
          <w:color w:val="000000"/>
        </w:rPr>
        <w:t>, T</w:t>
      </w:r>
      <w:r w:rsidRPr="00597DD2">
        <w:rPr>
          <w:color w:val="000000"/>
          <w:vertAlign w:val="subscript"/>
        </w:rPr>
        <w:t>max</w:t>
      </w:r>
      <w:r w:rsidRPr="00597DD2">
        <w:rPr>
          <w:color w:val="000000"/>
        </w:rPr>
        <w:t xml:space="preserve"> and C</w:t>
      </w:r>
      <w:r w:rsidRPr="00597DD2">
        <w:rPr>
          <w:color w:val="000000"/>
          <w:vertAlign w:val="subscript"/>
        </w:rPr>
        <w:t>max</w:t>
      </w:r>
      <w:r w:rsidRPr="00597DD2">
        <w:rPr>
          <w:color w:val="000000"/>
        </w:rPr>
        <w:t>) and exposure-dictated (</w:t>
      </w:r>
      <w:r w:rsidRPr="00597DD2">
        <w:rPr>
          <w:i/>
          <w:iCs/>
          <w:color w:val="000000"/>
        </w:rPr>
        <w:t>i.e.</w:t>
      </w:r>
      <w:r w:rsidRPr="00597DD2">
        <w:rPr>
          <w:color w:val="000000"/>
        </w:rPr>
        <w:t xml:space="preserve">, AUC and CL/F) PK parameters. </w:t>
      </w:r>
      <w:r w:rsidR="00DC0644" w:rsidRPr="00597DD2">
        <w:rPr>
          <w:color w:val="000000"/>
        </w:rPr>
        <w:t>In the interest of</w:t>
      </w:r>
      <w:r w:rsidRPr="00597DD2">
        <w:rPr>
          <w:color w:val="000000"/>
        </w:rPr>
        <w:t xml:space="preserve"> consistency, </w:t>
      </w:r>
      <w:r w:rsidR="00F77B4B" w:rsidRPr="00597DD2">
        <w:rPr>
          <w:color w:val="000000"/>
        </w:rPr>
        <w:t xml:space="preserve">all </w:t>
      </w:r>
      <w:r w:rsidRPr="00597DD2">
        <w:rPr>
          <w:color w:val="000000"/>
        </w:rPr>
        <w:t xml:space="preserve">concentration-time profiles </w:t>
      </w:r>
      <w:r w:rsidR="0046165E" w:rsidRPr="00597DD2">
        <w:rPr>
          <w:color w:val="000000"/>
        </w:rPr>
        <w:t>of</w:t>
      </w:r>
      <w:r w:rsidRPr="00597DD2">
        <w:rPr>
          <w:color w:val="000000"/>
        </w:rPr>
        <w:t xml:space="preserve"> sublingually administered buprenorphine </w:t>
      </w:r>
      <w:r w:rsidR="00F77B4B" w:rsidRPr="00597DD2">
        <w:rPr>
          <w:color w:val="000000"/>
        </w:rPr>
        <w:t>for each clinical study</w:t>
      </w:r>
      <w:r w:rsidRPr="00597DD2">
        <w:rPr>
          <w:color w:val="000000"/>
        </w:rPr>
        <w:t xml:space="preserve"> were digitized and used </w:t>
      </w:r>
      <w:r w:rsidR="00760361" w:rsidRPr="00597DD2">
        <w:rPr>
          <w:color w:val="000000"/>
        </w:rPr>
        <w:t>to estimate PK parameters through</w:t>
      </w:r>
      <w:r w:rsidRPr="00597DD2">
        <w:rPr>
          <w:color w:val="000000"/>
        </w:rPr>
        <w:t xml:space="preserve"> Bayesian estimation.</w:t>
      </w:r>
    </w:p>
    <w:p w14:paraId="3BEBB776" w14:textId="0E7DD0E2" w:rsidR="009B4EEA" w:rsidRPr="00597DD2" w:rsidRDefault="002831B7" w:rsidP="009B4EEA">
      <w:pPr>
        <w:spacing w:after="240" w:line="360" w:lineRule="auto"/>
        <w:ind w:firstLine="720"/>
        <w:jc w:val="both"/>
      </w:pPr>
      <w:r w:rsidRPr="00597DD2">
        <w:t>Potential bias in the PBPK model’s prediction</w:t>
      </w:r>
      <w:r w:rsidR="00522ECA" w:rsidRPr="00597DD2">
        <w:t xml:space="preserve"> following sublingual administration</w:t>
      </w:r>
      <w:r w:rsidRPr="00597DD2">
        <w:t xml:space="preserve"> was </w:t>
      </w:r>
      <w:r w:rsidR="00D9132B" w:rsidRPr="00597DD2">
        <w:t>evaluated</w:t>
      </w:r>
      <w:r w:rsidR="008615C2" w:rsidRPr="00597DD2">
        <w:t xml:space="preserve"> using predicted </w:t>
      </w:r>
      <w:r w:rsidR="008615C2" w:rsidRPr="00597DD2">
        <w:rPr>
          <w:i/>
          <w:iCs/>
        </w:rPr>
        <w:t>vs</w:t>
      </w:r>
      <w:r w:rsidR="008615C2" w:rsidRPr="00597DD2">
        <w:t xml:space="preserve">. observed </w:t>
      </w:r>
      <w:r w:rsidR="00063F1B" w:rsidRPr="00597DD2">
        <w:t>AUC, CL/F, C</w:t>
      </w:r>
      <w:r w:rsidR="00063F1B" w:rsidRPr="00597DD2">
        <w:rPr>
          <w:vertAlign w:val="subscript"/>
        </w:rPr>
        <w:t>max</w:t>
      </w:r>
      <w:r w:rsidR="00063F1B" w:rsidRPr="00597DD2">
        <w:t>, and T</w:t>
      </w:r>
      <w:r w:rsidR="00063F1B" w:rsidRPr="00597DD2">
        <w:rPr>
          <w:vertAlign w:val="subscript"/>
        </w:rPr>
        <w:t>max</w:t>
      </w:r>
      <w:r w:rsidR="00063F1B" w:rsidRPr="00597DD2">
        <w:t xml:space="preserve"> </w:t>
      </w:r>
      <w:r w:rsidR="008615C2" w:rsidRPr="00597DD2">
        <w:t xml:space="preserve">and dose </w:t>
      </w:r>
      <w:r w:rsidR="008615C2" w:rsidRPr="00597DD2">
        <w:rPr>
          <w:i/>
          <w:iCs/>
        </w:rPr>
        <w:t>vs</w:t>
      </w:r>
      <w:r w:rsidR="008615C2" w:rsidRPr="00597DD2">
        <w:t xml:space="preserve">. </w:t>
      </w:r>
      <w:r w:rsidR="00063F1B" w:rsidRPr="00597DD2">
        <w:t xml:space="preserve">respective </w:t>
      </w:r>
      <w:r w:rsidR="008615C2" w:rsidRPr="00597DD2">
        <w:t xml:space="preserve">P/O ratio goodness-of-fit plots. </w:t>
      </w:r>
    </w:p>
    <w:p w14:paraId="7387D7FA" w14:textId="2B5B6D4E" w:rsidR="00ED556C" w:rsidRPr="00597DD2" w:rsidRDefault="00ED556C" w:rsidP="00ED556C">
      <w:pPr>
        <w:spacing w:after="120" w:line="360" w:lineRule="auto"/>
        <w:jc w:val="both"/>
        <w:rPr>
          <w:i/>
          <w:iCs/>
        </w:rPr>
      </w:pPr>
      <w:r w:rsidRPr="00597DD2">
        <w:rPr>
          <w:i/>
          <w:iCs/>
        </w:rPr>
        <w:t>2.4 Statistical analysis</w:t>
      </w:r>
    </w:p>
    <w:p w14:paraId="6B3578B4" w14:textId="4100AB33" w:rsidR="00E53FB0" w:rsidRPr="00597DD2" w:rsidRDefault="00DE0B28" w:rsidP="00111A1B">
      <w:pPr>
        <w:spacing w:after="240" w:line="360" w:lineRule="auto"/>
        <w:jc w:val="both"/>
      </w:pPr>
      <w:r w:rsidRPr="00597DD2">
        <w:t>Geometric mean</w:t>
      </w:r>
      <w:r w:rsidR="00044513" w:rsidRPr="00597DD2">
        <w:t>s</w:t>
      </w:r>
      <w:r w:rsidRPr="00597DD2">
        <w:t xml:space="preserve"> and 95% confidence intervals (CIs) of PK parameter</w:t>
      </w:r>
      <w:r w:rsidR="00044513" w:rsidRPr="00597DD2">
        <w:t xml:space="preserve"> P/O ratios</w:t>
      </w:r>
      <w:r w:rsidRPr="00597DD2">
        <w:t xml:space="preserve"> were calculated using the DescTools package (v0.99.</w:t>
      </w:r>
      <w:r w:rsidR="00063F1B" w:rsidRPr="00597DD2">
        <w:t>44</w:t>
      </w:r>
      <w:r w:rsidRPr="00597DD2">
        <w:t xml:space="preserve">, Signorell </w:t>
      </w:r>
      <w:r w:rsidRPr="00597DD2">
        <w:rPr>
          <w:i/>
          <w:iCs/>
        </w:rPr>
        <w:t>et mult. al.</w:t>
      </w:r>
      <w:r w:rsidRPr="00597DD2">
        <w:t>) for R.</w:t>
      </w:r>
      <w:r w:rsidR="00063F1B" w:rsidRPr="00597DD2">
        <w:t xml:space="preserve"> Normal distribution of P/O </w:t>
      </w:r>
      <w:r w:rsidR="00063F1B" w:rsidRPr="00597DD2">
        <w:lastRenderedPageBreak/>
        <w:t>ratios was examined through the Shapiro-Wilk test.</w:t>
      </w:r>
      <w:r w:rsidR="001B4A6D" w:rsidRPr="00597DD2">
        <w:t xml:space="preserve"> </w:t>
      </w:r>
      <w:r w:rsidR="00B95A14" w:rsidRPr="00597DD2">
        <w:t xml:space="preserve">The predictive performance of the PBPK model was deemed </w:t>
      </w:r>
      <w:r w:rsidR="00273C58" w:rsidRPr="00597DD2">
        <w:t xml:space="preserve">adequate </w:t>
      </w:r>
      <w:r w:rsidR="00B95A14" w:rsidRPr="00597DD2">
        <w:t>if the geometric mean</w:t>
      </w:r>
      <w:r w:rsidR="001B4A6D" w:rsidRPr="00597DD2">
        <w:t>s</w:t>
      </w:r>
      <w:r w:rsidR="00B95A14" w:rsidRPr="00597DD2">
        <w:t xml:space="preserve"> of PK parameter P/O ratios fell </w:t>
      </w:r>
      <w:r w:rsidR="00111A1B" w:rsidRPr="00597DD2">
        <w:t>between</w:t>
      </w:r>
      <w:r w:rsidR="00B95A14" w:rsidRPr="00597DD2">
        <w:t xml:space="preserve"> 0.</w:t>
      </w:r>
      <w:r w:rsidR="001B4A6D" w:rsidRPr="00597DD2">
        <w:t>8</w:t>
      </w:r>
      <w:r w:rsidR="00B95A14" w:rsidRPr="00597DD2">
        <w:t xml:space="preserve">-fold and </w:t>
      </w:r>
      <w:r w:rsidR="001B4A6D" w:rsidRPr="00597DD2">
        <w:t>1.25</w:t>
      </w:r>
      <w:r w:rsidR="00B95A14" w:rsidRPr="00597DD2">
        <w:t>-fold</w:t>
      </w:r>
      <w:r w:rsidR="001B4A6D" w:rsidRPr="00597DD2">
        <w:t xml:space="preserve"> (1.25-fold prediction error range). </w:t>
      </w:r>
      <w:r w:rsidR="00D84645" w:rsidRPr="00597DD2">
        <w:t>In addition to</w:t>
      </w:r>
      <w:r w:rsidR="00B10431" w:rsidRPr="00597DD2">
        <w:t xml:space="preserve"> assessing </w:t>
      </w:r>
      <w:r w:rsidR="00A454A7" w:rsidRPr="00597DD2">
        <w:t xml:space="preserve">whether </w:t>
      </w:r>
      <w:r w:rsidR="00D84645" w:rsidRPr="00597DD2">
        <w:t>geometric mean</w:t>
      </w:r>
      <w:r w:rsidR="00A454A7" w:rsidRPr="00597DD2">
        <w:t xml:space="preserve"> PK parameter P/O ratio fell within the relatively narrow 1.25-fold prediction error range</w:t>
      </w:r>
      <w:r w:rsidR="001B4A6D" w:rsidRPr="00597DD2">
        <w:t xml:space="preserve">, the proportion of </w:t>
      </w:r>
      <w:r w:rsidR="00D84645" w:rsidRPr="00597DD2">
        <w:t xml:space="preserve">all </w:t>
      </w:r>
      <w:r w:rsidR="001B4A6D" w:rsidRPr="00597DD2">
        <w:t>PK parameter P/O ratio</w:t>
      </w:r>
      <w:r w:rsidR="00111A1B" w:rsidRPr="00597DD2">
        <w:t>s</w:t>
      </w:r>
      <w:r w:rsidR="001B4A6D" w:rsidRPr="00597DD2">
        <w:t xml:space="preserve"> falling within the</w:t>
      </w:r>
      <w:r w:rsidR="00A454A7" w:rsidRPr="00597DD2">
        <w:t xml:space="preserve"> wider</w:t>
      </w:r>
      <w:r w:rsidR="001B4A6D" w:rsidRPr="00597DD2">
        <w:t xml:space="preserve"> 2-fold prediction error range was determined.</w:t>
      </w:r>
      <w:r w:rsidR="00E53FB0" w:rsidRPr="00597DD2">
        <w:br w:type="page"/>
      </w:r>
    </w:p>
    <w:p w14:paraId="22053A82" w14:textId="22F79B90" w:rsidR="00E53FB0" w:rsidRPr="00597DD2" w:rsidRDefault="00E53FB0" w:rsidP="00A30102">
      <w:pPr>
        <w:pStyle w:val="ListParagraph"/>
        <w:numPr>
          <w:ilvl w:val="0"/>
          <w:numId w:val="12"/>
        </w:numPr>
        <w:spacing w:after="120" w:line="360" w:lineRule="auto"/>
        <w:ind w:left="360"/>
        <w:jc w:val="both"/>
      </w:pPr>
      <w:r w:rsidRPr="00597DD2">
        <w:rPr>
          <w:b/>
          <w:bCs/>
        </w:rPr>
        <w:lastRenderedPageBreak/>
        <w:t>Results</w:t>
      </w:r>
    </w:p>
    <w:p w14:paraId="2218D3E0" w14:textId="7368ABA9" w:rsidR="00265478" w:rsidRPr="00597DD2" w:rsidRDefault="00265478" w:rsidP="00A30102">
      <w:pPr>
        <w:spacing w:after="120" w:line="360" w:lineRule="auto"/>
        <w:jc w:val="both"/>
        <w:rPr>
          <w:i/>
          <w:iCs/>
        </w:rPr>
      </w:pPr>
      <w:r w:rsidRPr="00597DD2">
        <w:rPr>
          <w:i/>
          <w:iCs/>
        </w:rPr>
        <w:t xml:space="preserve">3.1 </w:t>
      </w:r>
      <w:r w:rsidR="008E1D43" w:rsidRPr="00597DD2">
        <w:rPr>
          <w:i/>
          <w:iCs/>
        </w:rPr>
        <w:t>Validation of the PBPK model</w:t>
      </w:r>
      <w:r w:rsidR="00441AD5" w:rsidRPr="00597DD2">
        <w:rPr>
          <w:i/>
          <w:iCs/>
        </w:rPr>
        <w:t>’s predictive performance</w:t>
      </w:r>
      <w:r w:rsidR="008E1D43" w:rsidRPr="00597DD2">
        <w:rPr>
          <w:i/>
          <w:iCs/>
        </w:rPr>
        <w:t xml:space="preserve"> following intravenous administration</w:t>
      </w:r>
    </w:p>
    <w:p w14:paraId="0A3A4F41" w14:textId="4F81B9B4" w:rsidR="006A62A3" w:rsidRPr="00597DD2" w:rsidRDefault="00E660D2" w:rsidP="00441AD5">
      <w:pPr>
        <w:spacing w:after="240" w:line="360" w:lineRule="auto"/>
        <w:jc w:val="both"/>
      </w:pPr>
      <w:r w:rsidRPr="00597DD2">
        <w:t>The</w:t>
      </w:r>
      <w:r w:rsidR="006F107D" w:rsidRPr="00597DD2">
        <w:t xml:space="preserve"> structure of the</w:t>
      </w:r>
      <w:r w:rsidRPr="00597DD2">
        <w:t xml:space="preserve"> full PBPK model was first </w:t>
      </w:r>
      <w:r w:rsidR="009079B2" w:rsidRPr="00597DD2">
        <w:t xml:space="preserve">externally </w:t>
      </w:r>
      <w:r w:rsidRPr="00597DD2">
        <w:t>validated by determining P/O ratios of AUC</w:t>
      </w:r>
      <w:r w:rsidRPr="00597DD2">
        <w:rPr>
          <w:vertAlign w:val="subscript"/>
        </w:rPr>
        <w:t>0–∞</w:t>
      </w:r>
      <w:r w:rsidRPr="00597DD2">
        <w:t>, CL, and C</w:t>
      </w:r>
      <w:r w:rsidRPr="00597DD2">
        <w:rPr>
          <w:vertAlign w:val="subscript"/>
        </w:rPr>
        <w:t>max</w:t>
      </w:r>
      <w:r w:rsidRPr="00597DD2">
        <w:t xml:space="preserve"> following intravenous administration of buprenorphine in healthy volunteers</w:t>
      </w:r>
      <w:r w:rsidR="004B376F" w:rsidRPr="00597DD2">
        <w:t>.</w:t>
      </w:r>
      <w:r w:rsidRPr="00597DD2">
        <w:t xml:space="preserve"> </w:t>
      </w:r>
      <w:r w:rsidR="004B376F" w:rsidRPr="00597DD2">
        <w:t xml:space="preserve">Twelve PK studies, spanning a dose range of 0.3–16 mg and including a total of 69 subjects (aged 20 to 66.8 years) with 89 concentration-time profiles, were used for intravenous model validation </w:t>
      </w:r>
      <w:r w:rsidRPr="00597DD2">
        <w:t>(</w:t>
      </w:r>
      <w:r w:rsidRPr="00597DD2">
        <w:rPr>
          <w:b/>
          <w:bCs/>
        </w:rPr>
        <w:t>Table 2</w:t>
      </w:r>
      <w:r w:rsidRPr="00597DD2">
        <w:t>)</w:t>
      </w:r>
      <w:r w:rsidR="006175A7" w:rsidRPr="00597DD2">
        <w:t xml:space="preserve"> </w:t>
      </w:r>
      <w:r w:rsidR="002E7A65">
        <w:rPr>
          <w:noProof/>
          <w:color w:val="000000"/>
        </w:rPr>
        <w:t>[41, 47-51]</w:t>
      </w:r>
      <w:r w:rsidR="006175A7" w:rsidRPr="00597DD2">
        <w:rPr>
          <w:color w:val="000000"/>
        </w:rPr>
        <w:t>.</w:t>
      </w:r>
      <w:r w:rsidRPr="00597DD2">
        <w:t xml:space="preserve"> </w:t>
      </w:r>
      <w:r w:rsidR="008E1D43" w:rsidRPr="00597DD2">
        <w:t>For all 12 PK studies, the P/O ratios of AUC</w:t>
      </w:r>
      <w:r w:rsidR="008E1D43" w:rsidRPr="00597DD2">
        <w:rPr>
          <w:vertAlign w:val="subscript"/>
        </w:rPr>
        <w:t>0–∞</w:t>
      </w:r>
      <w:r w:rsidR="008E1D43" w:rsidRPr="00597DD2">
        <w:t>, CL, and C</w:t>
      </w:r>
      <w:r w:rsidR="008E1D43" w:rsidRPr="00597DD2">
        <w:rPr>
          <w:vertAlign w:val="subscript"/>
        </w:rPr>
        <w:t xml:space="preserve">max, </w:t>
      </w:r>
      <w:r w:rsidR="008E1D43" w:rsidRPr="00597DD2">
        <w:t>fell within the 2-fold prediction error range. Geometric mean (95% CI) AUC</w:t>
      </w:r>
      <w:r w:rsidR="008E1D43" w:rsidRPr="00597DD2">
        <w:rPr>
          <w:vertAlign w:val="subscript"/>
        </w:rPr>
        <w:t>0–∞</w:t>
      </w:r>
      <w:r w:rsidR="008E1D43" w:rsidRPr="00597DD2">
        <w:t>, CL, and C</w:t>
      </w:r>
      <w:r w:rsidR="008E1D43" w:rsidRPr="00597DD2">
        <w:rPr>
          <w:vertAlign w:val="subscript"/>
        </w:rPr>
        <w:t>max</w:t>
      </w:r>
      <w:r w:rsidR="008E1D43" w:rsidRPr="00597DD2">
        <w:t xml:space="preserve"> P/O ratios were 1.01 (0.90–1.13), 0.95 (0.84–1.08), and 0.91 (0.78–1.05), respectively, indicating </w:t>
      </w:r>
      <w:r w:rsidR="00273C58" w:rsidRPr="00597DD2">
        <w:t xml:space="preserve">adequate </w:t>
      </w:r>
      <w:r w:rsidR="008E1D43" w:rsidRPr="00597DD2">
        <w:t xml:space="preserve">predictive performance of these PK parameters following intravenous administration </w:t>
      </w:r>
      <w:r w:rsidR="00047EA8" w:rsidRPr="00597DD2">
        <w:t xml:space="preserve">across a wide dose range </w:t>
      </w:r>
      <w:r w:rsidR="008E1D43" w:rsidRPr="00597DD2">
        <w:t>in healthy volunteers.</w:t>
      </w:r>
      <w:r w:rsidR="009D1BC2" w:rsidRPr="00597DD2">
        <w:t xml:space="preserve"> All predicted </w:t>
      </w:r>
      <w:r w:rsidR="009D1BC2" w:rsidRPr="00597DD2">
        <w:rPr>
          <w:i/>
          <w:iCs/>
        </w:rPr>
        <w:t>vs</w:t>
      </w:r>
      <w:r w:rsidR="009D1BC2" w:rsidRPr="00597DD2">
        <w:t>. observed</w:t>
      </w:r>
      <w:r w:rsidR="00385DE3" w:rsidRPr="00597DD2">
        <w:t xml:space="preserve"> buprenorphine</w:t>
      </w:r>
      <w:r w:rsidR="009D1BC2" w:rsidRPr="00597DD2">
        <w:t xml:space="preserve"> concentration-time profiles following intravenous administration are shown in </w:t>
      </w:r>
      <w:r w:rsidR="009D1BC2" w:rsidRPr="00597DD2">
        <w:rPr>
          <w:b/>
          <w:bCs/>
        </w:rPr>
        <w:t xml:space="preserve">Figure </w:t>
      </w:r>
      <w:r w:rsidR="00DB194C">
        <w:rPr>
          <w:b/>
          <w:bCs/>
        </w:rPr>
        <w:t>2</w:t>
      </w:r>
      <w:r w:rsidR="009D1BC2" w:rsidRPr="00597DD2">
        <w:t xml:space="preserve">. </w:t>
      </w:r>
    </w:p>
    <w:p w14:paraId="5906D296" w14:textId="40A05287" w:rsidR="00441AD5" w:rsidRPr="00597DD2" w:rsidRDefault="00441AD5" w:rsidP="00441AD5">
      <w:pPr>
        <w:spacing w:after="120" w:line="360" w:lineRule="auto"/>
        <w:jc w:val="both"/>
        <w:rPr>
          <w:i/>
          <w:iCs/>
        </w:rPr>
      </w:pPr>
      <w:r w:rsidRPr="00597DD2">
        <w:rPr>
          <w:i/>
          <w:iCs/>
        </w:rPr>
        <w:t>3.2 Integrating nonlinear sublingual absorption into the PBPK model</w:t>
      </w:r>
    </w:p>
    <w:p w14:paraId="1871BABC" w14:textId="7FDCFA6F" w:rsidR="006F2A72" w:rsidRPr="00597DD2" w:rsidRDefault="002046AA" w:rsidP="006F2A72">
      <w:pPr>
        <w:spacing w:after="240" w:line="360" w:lineRule="auto"/>
        <w:jc w:val="both"/>
      </w:pPr>
      <w:r w:rsidRPr="00597DD2">
        <w:t>Linear regression models with logarithmically transformed dose best described the relationships between AUC- and C</w:t>
      </w:r>
      <w:r w:rsidRPr="00597DD2">
        <w:rPr>
          <w:vertAlign w:val="subscript"/>
        </w:rPr>
        <w:t>max</w:t>
      </w:r>
      <w:r w:rsidRPr="00597DD2">
        <w:t>-optimized ideal proportions and sublingual tablet and solution doses (</w:t>
      </w:r>
      <w:r w:rsidR="00B10431" w:rsidRPr="00597DD2">
        <w:t xml:space="preserve">mean </w:t>
      </w:r>
      <w:r w:rsidR="00B10431" w:rsidRPr="00597DD2">
        <w:rPr>
          <w:i/>
          <w:iCs/>
        </w:rPr>
        <w:t>R</w:t>
      </w:r>
      <w:r w:rsidR="00B10431" w:rsidRPr="00597DD2">
        <w:rPr>
          <w:vertAlign w:val="superscript"/>
        </w:rPr>
        <w:t>2</w:t>
      </w:r>
      <w:r w:rsidR="00B10431" w:rsidRPr="00597DD2">
        <w:t xml:space="preserve"> = 0.756, </w:t>
      </w:r>
      <w:r w:rsidRPr="00597DD2">
        <w:rPr>
          <w:b/>
          <w:bCs/>
        </w:rPr>
        <w:t xml:space="preserve">Figure </w:t>
      </w:r>
      <w:r w:rsidR="00DB194C">
        <w:rPr>
          <w:b/>
          <w:bCs/>
        </w:rPr>
        <w:t>3</w:t>
      </w:r>
      <w:r w:rsidRPr="00597DD2">
        <w:t>)</w:t>
      </w:r>
      <w:r w:rsidR="006F2A72" w:rsidRPr="00597DD2">
        <w:t xml:space="preserve">, </w:t>
      </w:r>
      <w:r w:rsidR="00306B70" w:rsidRPr="00597DD2">
        <w:t>which indicated</w:t>
      </w:r>
      <w:r w:rsidR="006F2A72" w:rsidRPr="00597DD2">
        <w:t xml:space="preserve"> that sublingual</w:t>
      </w:r>
      <w:r w:rsidR="00387B79" w:rsidRPr="00597DD2">
        <w:t xml:space="preserve"> buprenorphine</w:t>
      </w:r>
      <w:r w:rsidR="006F2A72" w:rsidRPr="00597DD2">
        <w:t xml:space="preserve"> absorption is nonlinear across dose.</w:t>
      </w:r>
      <w:r w:rsidRPr="00597DD2">
        <w:t xml:space="preserve"> </w:t>
      </w:r>
      <w:r w:rsidR="006F2A72" w:rsidRPr="00597DD2">
        <w:t>By averaging the AUC- and C</w:t>
      </w:r>
      <w:r w:rsidR="006F2A72" w:rsidRPr="00597DD2">
        <w:rPr>
          <w:vertAlign w:val="subscript"/>
        </w:rPr>
        <w:t>max</w:t>
      </w:r>
      <w:r w:rsidR="006F2A72" w:rsidRPr="00597DD2">
        <w:t xml:space="preserve">-optimized linear regression models, two final absorption equations were obtained, namely, proportion of the dose sublingually absorbed equals 38.1 – 19.7 × </w:t>
      </w:r>
      <w:r w:rsidR="006F2A72" w:rsidRPr="00597DD2">
        <w:rPr>
          <w:i/>
          <w:iCs/>
        </w:rPr>
        <w:t>log</w:t>
      </w:r>
      <w:r w:rsidR="006F2A72" w:rsidRPr="00597DD2">
        <w:t xml:space="preserve">(Dose) and 53.3 – 25.6 × </w:t>
      </w:r>
      <w:r w:rsidR="006F2A72" w:rsidRPr="00597DD2">
        <w:rPr>
          <w:i/>
          <w:iCs/>
        </w:rPr>
        <w:t>log</w:t>
      </w:r>
      <w:r w:rsidR="006F2A72" w:rsidRPr="00597DD2">
        <w:t xml:space="preserve">(Dose) for sublingual tablets and solution, respectively. These equations </w:t>
      </w:r>
      <w:r w:rsidR="00387B79" w:rsidRPr="00597DD2">
        <w:t>were integrated in</w:t>
      </w:r>
      <w:r w:rsidR="00306B70" w:rsidRPr="00597DD2">
        <w:t>to</w:t>
      </w:r>
      <w:r w:rsidR="00387B79" w:rsidRPr="00597DD2">
        <w:t xml:space="preserve"> the PBPK model </w:t>
      </w:r>
      <w:r w:rsidR="00306B70" w:rsidRPr="00597DD2">
        <w:t xml:space="preserve">as shown in </w:t>
      </w:r>
      <w:r w:rsidR="00306B70" w:rsidRPr="00597DD2">
        <w:rPr>
          <w:b/>
          <w:bCs/>
        </w:rPr>
        <w:t>Figure 1</w:t>
      </w:r>
      <w:r w:rsidR="00306B70" w:rsidRPr="00597DD2">
        <w:t xml:space="preserve">. </w:t>
      </w:r>
    </w:p>
    <w:p w14:paraId="5C569C99" w14:textId="4D532E6E" w:rsidR="00D263C3" w:rsidRPr="00597DD2" w:rsidRDefault="00D263C3" w:rsidP="00D263C3">
      <w:pPr>
        <w:spacing w:after="120" w:line="360" w:lineRule="auto"/>
        <w:jc w:val="both"/>
        <w:rPr>
          <w:i/>
          <w:iCs/>
        </w:rPr>
      </w:pPr>
      <w:r w:rsidRPr="00597DD2">
        <w:rPr>
          <w:i/>
          <w:iCs/>
        </w:rPr>
        <w:t>3.</w:t>
      </w:r>
      <w:r w:rsidR="007B13C9" w:rsidRPr="00597DD2">
        <w:rPr>
          <w:i/>
          <w:iCs/>
        </w:rPr>
        <w:t>3</w:t>
      </w:r>
      <w:r w:rsidRPr="00597DD2">
        <w:rPr>
          <w:i/>
          <w:iCs/>
        </w:rPr>
        <w:t xml:space="preserve"> Validation</w:t>
      </w:r>
      <w:r w:rsidR="00D24EAF" w:rsidRPr="00597DD2">
        <w:rPr>
          <w:i/>
          <w:iCs/>
        </w:rPr>
        <w:t xml:space="preserve"> and evaluation</w:t>
      </w:r>
      <w:r w:rsidRPr="00597DD2">
        <w:rPr>
          <w:i/>
          <w:iCs/>
        </w:rPr>
        <w:t xml:space="preserve"> of the PBPK model’s predictive performance following sublingual administration</w:t>
      </w:r>
    </w:p>
    <w:p w14:paraId="250D5FAF" w14:textId="2C72E72E" w:rsidR="00FE35DC" w:rsidRPr="00597DD2" w:rsidRDefault="007B13C9" w:rsidP="00123E6B">
      <w:pPr>
        <w:spacing w:line="360" w:lineRule="auto"/>
        <w:jc w:val="both"/>
      </w:pPr>
      <w:r w:rsidRPr="00597DD2">
        <w:t xml:space="preserve">The PBPK model with </w:t>
      </w:r>
      <w:r w:rsidR="001E1340" w:rsidRPr="00597DD2">
        <w:t>the developed</w:t>
      </w:r>
      <w:r w:rsidRPr="00597DD2">
        <w:t xml:space="preserve"> description of nonlinear sublingual</w:t>
      </w:r>
      <w:r w:rsidR="00E16575" w:rsidRPr="00597DD2">
        <w:t xml:space="preserve"> buprenorphine</w:t>
      </w:r>
      <w:r w:rsidRPr="00597DD2">
        <w:t xml:space="preserve"> absorption was </w:t>
      </w:r>
      <w:r w:rsidR="009079B2" w:rsidRPr="00597DD2">
        <w:t xml:space="preserve">subsequently </w:t>
      </w:r>
      <w:r w:rsidRPr="00597DD2">
        <w:t xml:space="preserve">externally validated </w:t>
      </w:r>
      <w:r w:rsidR="009079B2" w:rsidRPr="00597DD2">
        <w:t xml:space="preserve">by determining P/O ratios of AUC, </w:t>
      </w:r>
      <w:r w:rsidR="0086637E" w:rsidRPr="00597DD2">
        <w:t>CL</w:t>
      </w:r>
      <w:r w:rsidR="0032543D" w:rsidRPr="00597DD2">
        <w:t>/F</w:t>
      </w:r>
      <w:r w:rsidR="0086637E" w:rsidRPr="00597DD2">
        <w:t>, C</w:t>
      </w:r>
      <w:r w:rsidR="0086637E" w:rsidRPr="00597DD2">
        <w:rPr>
          <w:vertAlign w:val="subscript"/>
        </w:rPr>
        <w:t>max</w:t>
      </w:r>
      <w:r w:rsidR="004350B1" w:rsidRPr="00597DD2">
        <w:t xml:space="preserve">, </w:t>
      </w:r>
      <w:r w:rsidR="0032543D" w:rsidRPr="00597DD2">
        <w:t>and T</w:t>
      </w:r>
      <w:r w:rsidR="0032543D" w:rsidRPr="00597DD2">
        <w:rPr>
          <w:vertAlign w:val="subscript"/>
        </w:rPr>
        <w:t>max</w:t>
      </w:r>
      <w:r w:rsidR="0032543D" w:rsidRPr="00597DD2">
        <w:t xml:space="preserve"> </w:t>
      </w:r>
      <w:r w:rsidR="0086637E" w:rsidRPr="00597DD2">
        <w:t xml:space="preserve">following </w:t>
      </w:r>
      <w:r w:rsidR="0032543D" w:rsidRPr="00597DD2">
        <w:t>sublingual</w:t>
      </w:r>
      <w:r w:rsidR="0086637E" w:rsidRPr="00597DD2">
        <w:t xml:space="preserve"> administration of buprenorphine </w:t>
      </w:r>
      <w:r w:rsidR="0032543D" w:rsidRPr="00597DD2">
        <w:t xml:space="preserve">tablets and solution separately. </w:t>
      </w:r>
      <w:r w:rsidR="004A4681" w:rsidRPr="00597DD2">
        <w:t>For validation of the PBPK model</w:t>
      </w:r>
      <w:r w:rsidR="004B376F" w:rsidRPr="00597DD2">
        <w:t>’s predictive performance</w:t>
      </w:r>
      <w:r w:rsidR="004A4681" w:rsidRPr="00597DD2">
        <w:t xml:space="preserve"> following sublingual</w:t>
      </w:r>
      <w:r w:rsidR="00C12411" w:rsidRPr="00597DD2">
        <w:t>ly administered</w:t>
      </w:r>
      <w:r w:rsidR="004A4681" w:rsidRPr="00597DD2">
        <w:t xml:space="preserve"> tablet</w:t>
      </w:r>
      <w:r w:rsidR="00C12411" w:rsidRPr="00597DD2">
        <w:t>s</w:t>
      </w:r>
      <w:r w:rsidR="004A4681" w:rsidRPr="00597DD2">
        <w:t>, 16 PK studies, spanning a dose range of 2–32 mg and including a total of 296 subjects (aged 19 to 54) with 419 concentration-time profiles</w:t>
      </w:r>
      <w:r w:rsidR="005C7C8C" w:rsidRPr="00597DD2">
        <w:t>, were used</w:t>
      </w:r>
      <w:r w:rsidR="004B376F" w:rsidRPr="00597DD2">
        <w:t xml:space="preserve"> (</w:t>
      </w:r>
      <w:r w:rsidR="006A62A3" w:rsidRPr="00597DD2">
        <w:rPr>
          <w:b/>
          <w:bCs/>
        </w:rPr>
        <w:t>Table 3</w:t>
      </w:r>
      <w:r w:rsidR="004B376F" w:rsidRPr="00597DD2">
        <w:t>)</w:t>
      </w:r>
      <w:r w:rsidR="006175A7" w:rsidRPr="00597DD2">
        <w:t xml:space="preserve"> </w:t>
      </w:r>
      <w:r w:rsidR="002E7A65">
        <w:rPr>
          <w:noProof/>
          <w:color w:val="000000"/>
        </w:rPr>
        <w:t>[25, 27, 29, 52-54]</w:t>
      </w:r>
      <w:r w:rsidR="006175A7" w:rsidRPr="00597DD2">
        <w:rPr>
          <w:color w:val="000000"/>
        </w:rPr>
        <w:t>.</w:t>
      </w:r>
      <w:r w:rsidR="004B376F" w:rsidRPr="00597DD2">
        <w:rPr>
          <w:color w:val="000000"/>
        </w:rPr>
        <w:t xml:space="preserve"> </w:t>
      </w:r>
      <w:r w:rsidR="005C7C8C" w:rsidRPr="00597DD2">
        <w:t xml:space="preserve">For </w:t>
      </w:r>
      <w:r w:rsidR="005C7C8C" w:rsidRPr="00597DD2">
        <w:lastRenderedPageBreak/>
        <w:t>all 16 PK studies, the P/O ratios of AU</w:t>
      </w:r>
      <w:r w:rsidR="003319F1" w:rsidRPr="00597DD2">
        <w:t>C</w:t>
      </w:r>
      <w:r w:rsidR="005C7C8C" w:rsidRPr="00597DD2">
        <w:t>, CL</w:t>
      </w:r>
      <w:r w:rsidR="003319F1" w:rsidRPr="00597DD2">
        <w:t>/F</w:t>
      </w:r>
      <w:r w:rsidR="005C7C8C" w:rsidRPr="00597DD2">
        <w:t>, C</w:t>
      </w:r>
      <w:r w:rsidR="005C7C8C" w:rsidRPr="00597DD2">
        <w:rPr>
          <w:vertAlign w:val="subscript"/>
        </w:rPr>
        <w:t>max</w:t>
      </w:r>
      <w:r w:rsidR="003319F1" w:rsidRPr="00597DD2">
        <w:t>, and T</w:t>
      </w:r>
      <w:r w:rsidR="003319F1" w:rsidRPr="00597DD2">
        <w:rPr>
          <w:vertAlign w:val="subscript"/>
        </w:rPr>
        <w:t>max</w:t>
      </w:r>
      <w:r w:rsidR="003319F1" w:rsidRPr="00597DD2">
        <w:t xml:space="preserve"> </w:t>
      </w:r>
      <w:r w:rsidR="001E1340" w:rsidRPr="00597DD2">
        <w:t>fell within the 2-fold prediction error range</w:t>
      </w:r>
      <w:r w:rsidR="005C7C8C" w:rsidRPr="00597DD2">
        <w:t xml:space="preserve">. Geometric mean (95% CI) AUC, </w:t>
      </w:r>
      <w:r w:rsidR="003319F1" w:rsidRPr="00597DD2">
        <w:t>CL/F, C</w:t>
      </w:r>
      <w:r w:rsidR="003319F1" w:rsidRPr="00597DD2">
        <w:rPr>
          <w:vertAlign w:val="subscript"/>
        </w:rPr>
        <w:t>max</w:t>
      </w:r>
      <w:r w:rsidR="003319F1" w:rsidRPr="00597DD2">
        <w:t>, and T</w:t>
      </w:r>
      <w:r w:rsidR="003319F1" w:rsidRPr="00597DD2">
        <w:rPr>
          <w:vertAlign w:val="subscript"/>
        </w:rPr>
        <w:t>max</w:t>
      </w:r>
      <w:r w:rsidR="003319F1" w:rsidRPr="00597DD2">
        <w:t xml:space="preserve"> </w:t>
      </w:r>
      <w:r w:rsidR="005C7C8C" w:rsidRPr="00597DD2">
        <w:t xml:space="preserve">P/O ratios were </w:t>
      </w:r>
      <w:r w:rsidR="003D49FC" w:rsidRPr="00597DD2">
        <w:t>0.96</w:t>
      </w:r>
      <w:r w:rsidR="005C7C8C" w:rsidRPr="00597DD2">
        <w:t xml:space="preserve"> (0.</w:t>
      </w:r>
      <w:r w:rsidR="003D49FC" w:rsidRPr="00597DD2">
        <w:t>82</w:t>
      </w:r>
      <w:r w:rsidR="005C7C8C" w:rsidRPr="00597DD2">
        <w:t>–1.1</w:t>
      </w:r>
      <w:r w:rsidR="003D49FC" w:rsidRPr="00597DD2">
        <w:t>2</w:t>
      </w:r>
      <w:r w:rsidR="005C7C8C" w:rsidRPr="00597DD2">
        <w:t xml:space="preserve">), </w:t>
      </w:r>
      <w:r w:rsidR="003D49FC" w:rsidRPr="00597DD2">
        <w:t>1.07</w:t>
      </w:r>
      <w:r w:rsidR="005C7C8C" w:rsidRPr="00597DD2">
        <w:t xml:space="preserve"> (0.</w:t>
      </w:r>
      <w:r w:rsidR="003D49FC" w:rsidRPr="00597DD2">
        <w:t>92</w:t>
      </w:r>
      <w:r w:rsidR="005C7C8C" w:rsidRPr="00597DD2">
        <w:t>–1.</w:t>
      </w:r>
      <w:r w:rsidR="003D49FC" w:rsidRPr="00597DD2">
        <w:t>24</w:t>
      </w:r>
      <w:r w:rsidR="005C7C8C" w:rsidRPr="00597DD2">
        <w:t xml:space="preserve">), </w:t>
      </w:r>
      <w:r w:rsidR="003D49FC" w:rsidRPr="00597DD2">
        <w:t>1.20</w:t>
      </w:r>
      <w:r w:rsidR="005C7C8C" w:rsidRPr="00597DD2">
        <w:t xml:space="preserve"> (</w:t>
      </w:r>
      <w:r w:rsidR="003D49FC" w:rsidRPr="00597DD2">
        <w:t>1.05</w:t>
      </w:r>
      <w:r w:rsidR="005C7C8C" w:rsidRPr="00597DD2">
        <w:t>–1.</w:t>
      </w:r>
      <w:r w:rsidR="003D49FC" w:rsidRPr="00597DD2">
        <w:t>37</w:t>
      </w:r>
      <w:r w:rsidR="005C7C8C" w:rsidRPr="00597DD2">
        <w:t xml:space="preserve">), </w:t>
      </w:r>
      <w:r w:rsidR="003D49FC" w:rsidRPr="00597DD2">
        <w:t xml:space="preserve">and 1.07 (0.94–1.23), </w:t>
      </w:r>
      <w:r w:rsidR="005C7C8C" w:rsidRPr="00597DD2">
        <w:t>respectively</w:t>
      </w:r>
      <w:r w:rsidR="00401F7B" w:rsidRPr="00597DD2">
        <w:t>.</w:t>
      </w:r>
    </w:p>
    <w:p w14:paraId="4A227DAA" w14:textId="55B51971" w:rsidR="00025135" w:rsidRPr="00597DD2" w:rsidRDefault="00123E6B" w:rsidP="00CF129C">
      <w:pPr>
        <w:spacing w:line="360" w:lineRule="auto"/>
        <w:ind w:firstLine="360"/>
        <w:jc w:val="both"/>
      </w:pPr>
      <w:r w:rsidRPr="00597DD2">
        <w:t>For validation of the predictive performance following</w:t>
      </w:r>
      <w:r w:rsidR="002E31F4" w:rsidRPr="00597DD2">
        <w:t xml:space="preserve"> administration of</w:t>
      </w:r>
      <w:r w:rsidRPr="00597DD2">
        <w:t xml:space="preserve"> sublingual solution, seven PK studies, spanning a dose range of 2–16 mg and including a total of 75 subjects (aged 21 to 42) with 81 concentration-time profiles, were used</w:t>
      </w:r>
      <w:r w:rsidR="00FE35DC" w:rsidRPr="00597DD2">
        <w:rPr>
          <w:color w:val="000000"/>
        </w:rPr>
        <w:t xml:space="preserve"> </w:t>
      </w:r>
      <w:r w:rsidRPr="00597DD2">
        <w:rPr>
          <w:color w:val="000000"/>
        </w:rPr>
        <w:t>(</w:t>
      </w:r>
      <w:r w:rsidR="00FE35DC" w:rsidRPr="00597DD2">
        <w:rPr>
          <w:b/>
          <w:bCs/>
        </w:rPr>
        <w:t>Table 4</w:t>
      </w:r>
      <w:r w:rsidRPr="00597DD2">
        <w:t>)</w:t>
      </w:r>
      <w:r w:rsidR="006175A7" w:rsidRPr="00597DD2">
        <w:t xml:space="preserve"> </w:t>
      </w:r>
      <w:r w:rsidR="002E7A65">
        <w:rPr>
          <w:noProof/>
          <w:color w:val="000000"/>
        </w:rPr>
        <w:t>[25, 27, 41, 50]</w:t>
      </w:r>
      <w:r w:rsidR="006175A7" w:rsidRPr="00597DD2">
        <w:rPr>
          <w:color w:val="000000"/>
        </w:rPr>
        <w:t>.</w:t>
      </w:r>
      <w:r w:rsidR="007B6A72" w:rsidRPr="00597DD2">
        <w:rPr>
          <w:color w:val="000000"/>
        </w:rPr>
        <w:t xml:space="preserve"> </w:t>
      </w:r>
      <w:r w:rsidR="007B6A72" w:rsidRPr="00597DD2">
        <w:t>For all seven PK studies, the P/O ratios of AUC, CL/F, and T</w:t>
      </w:r>
      <w:r w:rsidR="007B6A72" w:rsidRPr="00597DD2">
        <w:rPr>
          <w:vertAlign w:val="subscript"/>
        </w:rPr>
        <w:t>max</w:t>
      </w:r>
      <w:r w:rsidR="007B6A72" w:rsidRPr="00597DD2">
        <w:t xml:space="preserve"> fell within the 2-fold prediction error range. The P/O ratio for C</w:t>
      </w:r>
      <w:r w:rsidR="007B6A72" w:rsidRPr="00597DD2">
        <w:rPr>
          <w:vertAlign w:val="subscript"/>
        </w:rPr>
        <w:t>max</w:t>
      </w:r>
      <w:r w:rsidR="007B6A72" w:rsidRPr="00597DD2">
        <w:t xml:space="preserve"> fell within the 2-fold prediction error range in six out of seven (85.7%) PK studies.</w:t>
      </w:r>
      <w:r w:rsidR="007E5A0C" w:rsidRPr="00597DD2">
        <w:t xml:space="preserve"> Geometric mean (95% CI) AUC, CL/F, C</w:t>
      </w:r>
      <w:r w:rsidR="007E5A0C" w:rsidRPr="00597DD2">
        <w:rPr>
          <w:vertAlign w:val="subscript"/>
        </w:rPr>
        <w:t>max</w:t>
      </w:r>
      <w:r w:rsidR="007E5A0C" w:rsidRPr="00597DD2">
        <w:t>, and T</w:t>
      </w:r>
      <w:r w:rsidR="007E5A0C" w:rsidRPr="00597DD2">
        <w:rPr>
          <w:vertAlign w:val="subscript"/>
        </w:rPr>
        <w:t>max</w:t>
      </w:r>
      <w:r w:rsidR="007E5A0C" w:rsidRPr="00597DD2">
        <w:t xml:space="preserve"> P/O ratios were 1.05 (0.75–1.46), </w:t>
      </w:r>
      <w:r w:rsidR="00401F7B" w:rsidRPr="00597DD2">
        <w:t>0.98</w:t>
      </w:r>
      <w:r w:rsidR="007E5A0C" w:rsidRPr="00597DD2">
        <w:t xml:space="preserve"> (0.</w:t>
      </w:r>
      <w:r w:rsidR="00401F7B" w:rsidRPr="00597DD2">
        <w:t>7</w:t>
      </w:r>
      <w:r w:rsidR="007E5A0C" w:rsidRPr="00597DD2">
        <w:t>2–1.</w:t>
      </w:r>
      <w:r w:rsidR="00401F7B" w:rsidRPr="00597DD2">
        <w:t>33</w:t>
      </w:r>
      <w:r w:rsidR="007E5A0C" w:rsidRPr="00597DD2">
        <w:t>), 1.</w:t>
      </w:r>
      <w:r w:rsidR="00401F7B" w:rsidRPr="00597DD2">
        <w:t>34</w:t>
      </w:r>
      <w:r w:rsidR="007E5A0C" w:rsidRPr="00597DD2">
        <w:t xml:space="preserve"> (</w:t>
      </w:r>
      <w:r w:rsidR="00401F7B" w:rsidRPr="00597DD2">
        <w:t>0.95</w:t>
      </w:r>
      <w:r w:rsidR="007E5A0C" w:rsidRPr="00597DD2">
        <w:t>–1.</w:t>
      </w:r>
      <w:r w:rsidR="00401F7B" w:rsidRPr="00597DD2">
        <w:t>90</w:t>
      </w:r>
      <w:r w:rsidR="007E5A0C" w:rsidRPr="00597DD2">
        <w:t>), and 1.0</w:t>
      </w:r>
      <w:r w:rsidR="00401F7B" w:rsidRPr="00597DD2">
        <w:t>6</w:t>
      </w:r>
      <w:r w:rsidR="007E5A0C" w:rsidRPr="00597DD2">
        <w:t xml:space="preserve"> (0.</w:t>
      </w:r>
      <w:r w:rsidR="00401F7B" w:rsidRPr="00597DD2">
        <w:t>79</w:t>
      </w:r>
      <w:r w:rsidR="007E5A0C" w:rsidRPr="00597DD2">
        <w:t>–1.</w:t>
      </w:r>
      <w:r w:rsidR="00401F7B" w:rsidRPr="00597DD2">
        <w:t>41</w:t>
      </w:r>
      <w:r w:rsidR="007E5A0C" w:rsidRPr="00597DD2">
        <w:t>), respectively</w:t>
      </w:r>
      <w:r w:rsidR="00401F7B" w:rsidRPr="00597DD2">
        <w:t>.</w:t>
      </w:r>
    </w:p>
    <w:p w14:paraId="3EF5DF91" w14:textId="68F1E848" w:rsidR="00E53FB0" w:rsidRPr="00597DD2" w:rsidRDefault="00025135" w:rsidP="00371B84">
      <w:pPr>
        <w:spacing w:line="360" w:lineRule="auto"/>
        <w:ind w:firstLine="360"/>
        <w:jc w:val="both"/>
      </w:pPr>
      <w:r w:rsidRPr="00597DD2">
        <w:t xml:space="preserve">On average </w:t>
      </w:r>
      <w:r w:rsidR="00822328" w:rsidRPr="00597DD2">
        <w:t>for</w:t>
      </w:r>
      <w:r w:rsidRPr="00597DD2">
        <w:t xml:space="preserve"> tablet and solution formulations</w:t>
      </w:r>
      <w:r w:rsidR="007E5A0C" w:rsidRPr="00597DD2">
        <w:t xml:space="preserve">, </w:t>
      </w:r>
      <w:r w:rsidRPr="00597DD2">
        <w:t>the geometric mean (95% CI) AUC, CL/F, C</w:t>
      </w:r>
      <w:r w:rsidRPr="00597DD2">
        <w:rPr>
          <w:vertAlign w:val="subscript"/>
        </w:rPr>
        <w:t>max</w:t>
      </w:r>
      <w:r w:rsidRPr="00597DD2">
        <w:t>, and T</w:t>
      </w:r>
      <w:r w:rsidRPr="00597DD2">
        <w:rPr>
          <w:vertAlign w:val="subscript"/>
        </w:rPr>
        <w:t>max</w:t>
      </w:r>
      <w:r w:rsidRPr="00597DD2">
        <w:t xml:space="preserve"> P/O ratios were 0.99 (0.86–1.12), 1.04 (0.92–1.18), 1.24 (1.09–1.40), and 1.07 (0.95–1.20), respectively</w:t>
      </w:r>
      <w:r w:rsidR="007E5A0C" w:rsidRPr="00597DD2">
        <w:t>.</w:t>
      </w:r>
      <w:r w:rsidR="000E1AB2" w:rsidRPr="00597DD2">
        <w:t xml:space="preserve"> </w:t>
      </w:r>
      <w:r w:rsidR="00C1459B" w:rsidRPr="00597DD2">
        <w:t xml:space="preserve">All predicted </w:t>
      </w:r>
      <w:r w:rsidR="00C1459B" w:rsidRPr="00597DD2">
        <w:rPr>
          <w:i/>
          <w:iCs/>
        </w:rPr>
        <w:t>vs</w:t>
      </w:r>
      <w:r w:rsidR="00C1459B" w:rsidRPr="00597DD2">
        <w:t xml:space="preserve">. observed buprenorphine concentration-time profiles following sublingual administration are shown in </w:t>
      </w:r>
      <w:r w:rsidR="00C1459B" w:rsidRPr="00597DD2">
        <w:rPr>
          <w:b/>
          <w:bCs/>
        </w:rPr>
        <w:t xml:space="preserve">Figure </w:t>
      </w:r>
      <w:r w:rsidR="00DB194C">
        <w:rPr>
          <w:b/>
          <w:bCs/>
        </w:rPr>
        <w:t>4</w:t>
      </w:r>
      <w:r w:rsidR="00C1459B" w:rsidRPr="00597DD2">
        <w:t xml:space="preserve">. </w:t>
      </w:r>
      <w:r w:rsidR="000E1AB2" w:rsidRPr="00597DD2">
        <w:t xml:space="preserve">Predicted </w:t>
      </w:r>
      <w:r w:rsidR="000E1AB2" w:rsidRPr="00597DD2">
        <w:rPr>
          <w:i/>
          <w:iCs/>
        </w:rPr>
        <w:t>vs</w:t>
      </w:r>
      <w:r w:rsidR="000E1AB2" w:rsidRPr="00597DD2">
        <w:t>. observed goodness-of-fit plots for AUC, CL/F, and T</w:t>
      </w:r>
      <w:r w:rsidR="000E1AB2" w:rsidRPr="00597DD2">
        <w:rPr>
          <w:vertAlign w:val="subscript"/>
        </w:rPr>
        <w:t>max</w:t>
      </w:r>
      <w:r w:rsidR="000E1AB2" w:rsidRPr="00597DD2">
        <w:t xml:space="preserve"> did not reveal a bias, as data points were symmetrically distributed across the line of equality (</w:t>
      </w:r>
      <w:r w:rsidR="000E1AB2" w:rsidRPr="00597DD2">
        <w:rPr>
          <w:b/>
          <w:bCs/>
        </w:rPr>
        <w:t xml:space="preserve">Figure </w:t>
      </w:r>
      <w:r w:rsidR="00DB194C">
        <w:rPr>
          <w:b/>
          <w:bCs/>
        </w:rPr>
        <w:t>5</w:t>
      </w:r>
      <w:r w:rsidR="000E1AB2" w:rsidRPr="00597DD2">
        <w:t xml:space="preserve">). Similarly, dose </w:t>
      </w:r>
      <w:r w:rsidR="000E1AB2" w:rsidRPr="00597DD2">
        <w:rPr>
          <w:i/>
          <w:iCs/>
        </w:rPr>
        <w:t>vs</w:t>
      </w:r>
      <w:r w:rsidR="000E1AB2" w:rsidRPr="00597DD2">
        <w:t xml:space="preserve">. P/O ratio goodness-of-fit plots </w:t>
      </w:r>
      <w:r w:rsidR="00E525F5" w:rsidRPr="00597DD2">
        <w:t>suggested</w:t>
      </w:r>
      <w:r w:rsidR="000E1AB2" w:rsidRPr="00597DD2">
        <w:t xml:space="preserve"> an unbiased prediction of AUC, CL/F, and T</w:t>
      </w:r>
      <w:r w:rsidR="000E1AB2" w:rsidRPr="00597DD2">
        <w:rPr>
          <w:vertAlign w:val="subscript"/>
        </w:rPr>
        <w:t>max</w:t>
      </w:r>
      <w:r w:rsidR="000E1AB2" w:rsidRPr="00597DD2">
        <w:t xml:space="preserve"> across dose (</w:t>
      </w:r>
      <w:r w:rsidR="000E1AB2" w:rsidRPr="00597DD2">
        <w:rPr>
          <w:b/>
          <w:bCs/>
        </w:rPr>
        <w:t xml:space="preserve">Figure </w:t>
      </w:r>
      <w:r w:rsidR="00DB194C">
        <w:rPr>
          <w:b/>
          <w:bCs/>
        </w:rPr>
        <w:t>6</w:t>
      </w:r>
      <w:r w:rsidR="000E1AB2" w:rsidRPr="00597DD2">
        <w:t>)</w:t>
      </w:r>
      <w:r w:rsidR="002E31F4" w:rsidRPr="00597DD2">
        <w:t xml:space="preserve">, although </w:t>
      </w:r>
      <w:r w:rsidR="001549DC" w:rsidRPr="00597DD2">
        <w:t>clinical studies in which participants received sublingual solution were relatively few and the dose range was smaller</w:t>
      </w:r>
      <w:r w:rsidR="000E1AB2" w:rsidRPr="00597DD2">
        <w:t xml:space="preserve">. </w:t>
      </w:r>
      <w:r w:rsidR="0087548A" w:rsidRPr="00597DD2">
        <w:t xml:space="preserve">Although goodness-of-fit plots indicated a </w:t>
      </w:r>
      <w:r w:rsidR="00720275" w:rsidRPr="00597DD2">
        <w:t>modest</w:t>
      </w:r>
      <w:r w:rsidR="0087548A" w:rsidRPr="00597DD2">
        <w:t xml:space="preserve"> trend towards overpredicting C</w:t>
      </w:r>
      <w:r w:rsidR="0087548A" w:rsidRPr="00597DD2">
        <w:rPr>
          <w:vertAlign w:val="subscript"/>
        </w:rPr>
        <w:t>max</w:t>
      </w:r>
      <w:r w:rsidR="00934284" w:rsidRPr="00597DD2">
        <w:t xml:space="preserve">, </w:t>
      </w:r>
      <w:r w:rsidR="002B5BC3" w:rsidRPr="00597DD2">
        <w:t xml:space="preserve">especially for high doses, </w:t>
      </w:r>
      <w:r w:rsidR="00E525F5" w:rsidRPr="00597DD2">
        <w:t>the PBPK model’s predictive performance of buprenorphine PK following sublingual administration seemed to</w:t>
      </w:r>
      <w:r w:rsidR="00745A64" w:rsidRPr="00597DD2">
        <w:t xml:space="preserve"> overall</w:t>
      </w:r>
      <w:r w:rsidR="00E525F5" w:rsidRPr="00597DD2">
        <w:t xml:space="preserve"> be </w:t>
      </w:r>
      <w:r w:rsidR="00273C58" w:rsidRPr="00597DD2">
        <w:t xml:space="preserve">adequate </w:t>
      </w:r>
      <w:r w:rsidR="00E525F5" w:rsidRPr="00597DD2">
        <w:t xml:space="preserve">for both formulations across a wide dose range </w:t>
      </w:r>
      <w:r w:rsidR="000E1AB2" w:rsidRPr="00597DD2">
        <w:t>in healthy volunteers</w:t>
      </w:r>
      <w:r w:rsidR="0098016F" w:rsidRPr="00597DD2">
        <w:t>.</w:t>
      </w:r>
      <w:r w:rsidR="00E53FB0" w:rsidRPr="00597DD2">
        <w:rPr>
          <w:b/>
          <w:bCs/>
        </w:rPr>
        <w:br w:type="page"/>
      </w:r>
    </w:p>
    <w:p w14:paraId="0978BF2B" w14:textId="36799E12" w:rsidR="00E53FB0" w:rsidRPr="00597DD2" w:rsidRDefault="00E53FB0" w:rsidP="00A30102">
      <w:pPr>
        <w:pStyle w:val="ListParagraph"/>
        <w:numPr>
          <w:ilvl w:val="0"/>
          <w:numId w:val="12"/>
        </w:numPr>
        <w:spacing w:after="120" w:line="360" w:lineRule="auto"/>
        <w:ind w:left="360"/>
        <w:jc w:val="both"/>
      </w:pPr>
      <w:r w:rsidRPr="00597DD2">
        <w:rPr>
          <w:b/>
          <w:bCs/>
        </w:rPr>
        <w:lastRenderedPageBreak/>
        <w:t>Discussion</w:t>
      </w:r>
    </w:p>
    <w:p w14:paraId="035C5816" w14:textId="045EE44E" w:rsidR="00AC1B9A" w:rsidRPr="00597DD2" w:rsidRDefault="00B11797" w:rsidP="00B11797">
      <w:pPr>
        <w:spacing w:line="360" w:lineRule="auto"/>
        <w:jc w:val="both"/>
      </w:pPr>
      <w:r w:rsidRPr="00597DD2">
        <w:t>This is the first study to describe dose- and formulation-dependent sublingual buprenorphine absorption</w:t>
      </w:r>
      <w:r w:rsidR="000671E8" w:rsidRPr="00597DD2">
        <w:t xml:space="preserve"> across a wide dose range</w:t>
      </w:r>
      <w:r w:rsidRPr="00597DD2">
        <w:t xml:space="preserve"> through PBPK modeling</w:t>
      </w:r>
      <w:r w:rsidR="00E53FB0" w:rsidRPr="00597DD2">
        <w:t>.</w:t>
      </w:r>
      <w:r w:rsidRPr="00597DD2">
        <w:t xml:space="preserve"> The</w:t>
      </w:r>
      <w:r w:rsidR="00C42296" w:rsidRPr="00597DD2">
        <w:t xml:space="preserve"> developed</w:t>
      </w:r>
      <w:r w:rsidRPr="00597DD2">
        <w:t xml:space="preserve"> model </w:t>
      </w:r>
      <w:r w:rsidR="009D637C" w:rsidRPr="00597DD2">
        <w:t xml:space="preserve">will serve as a foundation to build a fetomaternal PBPK model for buprenorphine on, which can be used to explore the relationship between fetal buprenorphine exposure and the severity of NOWS postnatally. By </w:t>
      </w:r>
      <w:r w:rsidRPr="00597DD2">
        <w:t>integrat</w:t>
      </w:r>
      <w:r w:rsidR="009D637C" w:rsidRPr="00597DD2">
        <w:t>ing</w:t>
      </w:r>
      <w:r w:rsidRPr="00597DD2">
        <w:t xml:space="preserve"> a novel description of nonlinear sublingual buprenorphine absorption, </w:t>
      </w:r>
      <w:r w:rsidR="009D637C" w:rsidRPr="00597DD2">
        <w:t>the model</w:t>
      </w:r>
      <w:r w:rsidRPr="00597DD2">
        <w:t xml:space="preserve"> </w:t>
      </w:r>
      <w:r w:rsidR="00273C58" w:rsidRPr="00597DD2">
        <w:t xml:space="preserve">adequately </w:t>
      </w:r>
      <w:r w:rsidR="009D637C" w:rsidRPr="00597DD2">
        <w:t>predicted</w:t>
      </w:r>
      <w:r w:rsidRPr="00597DD2">
        <w:t xml:space="preserve"> </w:t>
      </w:r>
      <w:r w:rsidR="0014343A" w:rsidRPr="00597DD2">
        <w:t xml:space="preserve">PK </w:t>
      </w:r>
      <w:r w:rsidRPr="00597DD2">
        <w:t>following administration of sublingual tablets and solution.</w:t>
      </w:r>
      <w:r w:rsidR="00C42296" w:rsidRPr="00597DD2">
        <w:t xml:space="preserve"> First, the </w:t>
      </w:r>
      <w:r w:rsidR="002B5BC3" w:rsidRPr="00597DD2">
        <w:t>full</w:t>
      </w:r>
      <w:r w:rsidR="00C42296" w:rsidRPr="00597DD2">
        <w:t xml:space="preserve"> PBPK model</w:t>
      </w:r>
      <w:r w:rsidR="002B5BC3" w:rsidRPr="00597DD2">
        <w:t xml:space="preserve"> structure</w:t>
      </w:r>
      <w:r w:rsidR="00C42296" w:rsidRPr="00597DD2">
        <w:t xml:space="preserve"> was successfully externally validated using published </w:t>
      </w:r>
      <w:r w:rsidR="00333F51" w:rsidRPr="00597DD2">
        <w:t>intravenous</w:t>
      </w:r>
      <w:r w:rsidR="00C42296" w:rsidRPr="00597DD2">
        <w:t xml:space="preserve"> PK data. Subsequently,</w:t>
      </w:r>
      <w:r w:rsidR="00313113" w:rsidRPr="00597DD2">
        <w:t xml:space="preserve"> a total of</w:t>
      </w:r>
      <w:r w:rsidR="00C42296" w:rsidRPr="00597DD2">
        <w:t xml:space="preserve"> 23</w:t>
      </w:r>
      <w:r w:rsidR="00313113" w:rsidRPr="00597DD2">
        <w:t xml:space="preserve"> </w:t>
      </w:r>
      <w:r w:rsidR="009D76FB" w:rsidRPr="00597DD2">
        <w:t xml:space="preserve">published </w:t>
      </w:r>
      <w:r w:rsidR="00C42296" w:rsidRPr="00597DD2">
        <w:t>PK studies</w:t>
      </w:r>
      <w:r w:rsidR="009D76FB" w:rsidRPr="00597DD2">
        <w:t xml:space="preserve"> not used for model development</w:t>
      </w:r>
      <w:r w:rsidR="00313113" w:rsidRPr="00597DD2">
        <w:t>,</w:t>
      </w:r>
      <w:r w:rsidR="00C42296" w:rsidRPr="00597DD2">
        <w:t xml:space="preserve"> </w:t>
      </w:r>
      <w:r w:rsidR="00313113" w:rsidRPr="00597DD2">
        <w:t>in which 371 healthy volunteers received buprenorphine as either sublingual tablet or solution across a dose range of 2–32 mg, were used to validate the final PBPK model.</w:t>
      </w:r>
      <w:r w:rsidR="009D76FB" w:rsidRPr="00597DD2">
        <w:t xml:space="preserve"> Geometric mean P/O ratios of AUC, CL/F, C</w:t>
      </w:r>
      <w:r w:rsidR="009D76FB" w:rsidRPr="00597DD2">
        <w:rPr>
          <w:vertAlign w:val="subscript"/>
        </w:rPr>
        <w:t>max</w:t>
      </w:r>
      <w:r w:rsidR="009D76FB" w:rsidRPr="00597DD2">
        <w:t>, and T</w:t>
      </w:r>
      <w:r w:rsidR="009D76FB" w:rsidRPr="00597DD2">
        <w:rPr>
          <w:vertAlign w:val="subscript"/>
        </w:rPr>
        <w:t>max</w:t>
      </w:r>
      <w:r w:rsidR="009D76FB" w:rsidRPr="00597DD2">
        <w:t xml:space="preserve"> </w:t>
      </w:r>
      <w:r w:rsidR="007854E0" w:rsidRPr="00597DD2">
        <w:t xml:space="preserve">were close to unity and </w:t>
      </w:r>
      <w:r w:rsidR="009D76FB" w:rsidRPr="00597DD2">
        <w:t>fell within the 1.25-fold prediction error range</w:t>
      </w:r>
      <w:r w:rsidR="007854E0" w:rsidRPr="00597DD2">
        <w:t>. Goodness-of-fits plots indicated unbiased prediction of all PK parameters, except for C</w:t>
      </w:r>
      <w:r w:rsidR="007854E0" w:rsidRPr="00597DD2">
        <w:rPr>
          <w:vertAlign w:val="subscript"/>
        </w:rPr>
        <w:t>max</w:t>
      </w:r>
      <w:r w:rsidR="007854E0" w:rsidRPr="00597DD2">
        <w:t xml:space="preserve">, which suggested a </w:t>
      </w:r>
      <w:r w:rsidR="00826CE1" w:rsidRPr="00597DD2">
        <w:t>moderate</w:t>
      </w:r>
      <w:r w:rsidR="007854E0" w:rsidRPr="00597DD2">
        <w:t xml:space="preserve"> trend towards overprediction</w:t>
      </w:r>
      <w:r w:rsidR="003E3BDC" w:rsidRPr="00597DD2">
        <w:t>, especially for high doses</w:t>
      </w:r>
      <w:r w:rsidR="007854E0" w:rsidRPr="00597DD2">
        <w:t>.</w:t>
      </w:r>
    </w:p>
    <w:p w14:paraId="0B143109" w14:textId="160FA7EB" w:rsidR="00B11797" w:rsidRPr="00597DD2" w:rsidRDefault="00AC1B9A" w:rsidP="00722ADB">
      <w:pPr>
        <w:spacing w:line="360" w:lineRule="auto"/>
        <w:jc w:val="both"/>
      </w:pPr>
      <w:r w:rsidRPr="00597DD2">
        <w:tab/>
      </w:r>
      <w:r w:rsidR="00283026" w:rsidRPr="00597DD2">
        <w:t xml:space="preserve">Previous studies have demonstrated nonlinear PK of sublingually administered buprenorphine </w:t>
      </w:r>
      <w:r w:rsidR="006614C5" w:rsidRPr="00597DD2">
        <w:t xml:space="preserve">(either as tablet or solution) </w:t>
      </w:r>
      <w:r w:rsidR="00283026" w:rsidRPr="00597DD2">
        <w:t xml:space="preserve">across </w:t>
      </w:r>
      <w:r w:rsidR="00DB6D16" w:rsidRPr="00597DD2">
        <w:t>the entire dose range used for the management of OUD</w:t>
      </w:r>
      <w:r w:rsidR="006175A7" w:rsidRPr="00597DD2">
        <w:t xml:space="preserve"> </w:t>
      </w:r>
      <w:r w:rsidR="002E7A65">
        <w:rPr>
          <w:noProof/>
        </w:rPr>
        <w:t>[26, 28, 29]</w:t>
      </w:r>
      <w:r w:rsidR="006175A7" w:rsidRPr="00597DD2">
        <w:t>.</w:t>
      </w:r>
      <w:r w:rsidR="007854E0" w:rsidRPr="00597DD2">
        <w:t xml:space="preserve"> </w:t>
      </w:r>
      <w:r w:rsidR="00283026" w:rsidRPr="00597DD2">
        <w:t>PK following intravenous administration, in contrast, is linear</w:t>
      </w:r>
      <w:r w:rsidR="006175A7" w:rsidRPr="00597DD2">
        <w:t xml:space="preserve"> </w:t>
      </w:r>
      <w:r w:rsidR="002E7A65">
        <w:rPr>
          <w:noProof/>
        </w:rPr>
        <w:t>[51]</w:t>
      </w:r>
      <w:r w:rsidR="006175A7" w:rsidRPr="00597DD2">
        <w:t>,</w:t>
      </w:r>
      <w:r w:rsidR="00283026" w:rsidRPr="00597DD2">
        <w:t xml:space="preserve"> which strongly suggests that nonlinearity observed under sublingual dosing is driven by </w:t>
      </w:r>
      <w:r w:rsidR="00523579" w:rsidRPr="00597DD2">
        <w:t>varying</w:t>
      </w:r>
      <w:r w:rsidR="00283026" w:rsidRPr="00597DD2">
        <w:t xml:space="preserve"> bioavailability</w:t>
      </w:r>
      <w:r w:rsidR="00333F51" w:rsidRPr="00597DD2">
        <w:t xml:space="preserve">, </w:t>
      </w:r>
      <w:r w:rsidR="00283026" w:rsidRPr="00597DD2">
        <w:t>rather than</w:t>
      </w:r>
      <w:r w:rsidR="00333F51" w:rsidRPr="00597DD2">
        <w:t xml:space="preserve"> </w:t>
      </w:r>
      <w:r w:rsidR="00061CD4" w:rsidRPr="00597DD2">
        <w:t xml:space="preserve">by changes in </w:t>
      </w:r>
      <w:r w:rsidR="00333F51" w:rsidRPr="00597DD2">
        <w:t>clearance</w:t>
      </w:r>
      <w:r w:rsidR="00283026" w:rsidRPr="00597DD2">
        <w:t>.</w:t>
      </w:r>
      <w:r w:rsidR="006F1D18" w:rsidRPr="00597DD2">
        <w:t xml:space="preserve"> </w:t>
      </w:r>
      <w:r w:rsidR="00722ADB" w:rsidRPr="00597DD2">
        <w:t xml:space="preserve">Various mechanisms have been proposed to explain nonlinear bioavailability, including </w:t>
      </w:r>
      <w:r w:rsidR="00703182" w:rsidRPr="00597DD2">
        <w:t>varying</w:t>
      </w:r>
      <w:r w:rsidR="00702995" w:rsidRPr="00597DD2">
        <w:t xml:space="preserve"> dissolution </w:t>
      </w:r>
      <w:r w:rsidR="003C66A6" w:rsidRPr="00597DD2">
        <w:t xml:space="preserve">degrees and </w:t>
      </w:r>
      <w:r w:rsidR="00702995" w:rsidRPr="00597DD2">
        <w:t>times between tablet strengths</w:t>
      </w:r>
      <w:r w:rsidR="006175A7" w:rsidRPr="00597DD2">
        <w:t xml:space="preserve"> </w:t>
      </w:r>
      <w:r w:rsidR="002E7A65">
        <w:rPr>
          <w:noProof/>
        </w:rPr>
        <w:t>[26]</w:t>
      </w:r>
      <w:r w:rsidR="006175A7" w:rsidRPr="00597DD2">
        <w:t>,</w:t>
      </w:r>
      <w:r w:rsidR="00702995" w:rsidRPr="00597DD2">
        <w:t xml:space="preserve"> </w:t>
      </w:r>
      <w:r w:rsidR="00D45EF8" w:rsidRPr="00597DD2">
        <w:t xml:space="preserve">where high-dosed formulations may need to be kept </w:t>
      </w:r>
      <w:r w:rsidR="00D45EF8" w:rsidRPr="00597DD2">
        <w:rPr>
          <w:i/>
          <w:iCs/>
        </w:rPr>
        <w:t xml:space="preserve">in situ </w:t>
      </w:r>
      <w:r w:rsidR="00D45EF8" w:rsidRPr="00597DD2">
        <w:t>longer</w:t>
      </w:r>
      <w:r w:rsidR="00424553" w:rsidRPr="00597DD2">
        <w:t xml:space="preserve"> to allow maximal absorption</w:t>
      </w:r>
      <w:r w:rsidR="00D45EF8" w:rsidRPr="00597DD2">
        <w:t xml:space="preserve">, </w:t>
      </w:r>
      <w:r w:rsidR="003740F9" w:rsidRPr="00597DD2">
        <w:t>thereby increasing</w:t>
      </w:r>
      <w:r w:rsidR="00D45EF8" w:rsidRPr="00597DD2">
        <w:t xml:space="preserve"> the risk of swallowing relatively more of the dose.</w:t>
      </w:r>
      <w:r w:rsidR="00D45EF8" w:rsidRPr="00597DD2">
        <w:rPr>
          <w:i/>
          <w:iCs/>
        </w:rPr>
        <w:t xml:space="preserve"> </w:t>
      </w:r>
      <w:r w:rsidR="00D45EF8" w:rsidRPr="00597DD2">
        <w:t>In addition, bu</w:t>
      </w:r>
      <w:r w:rsidR="003740F9" w:rsidRPr="00597DD2">
        <w:t>prenorphine</w:t>
      </w:r>
      <w:r w:rsidR="00D45EF8" w:rsidRPr="00597DD2">
        <w:t xml:space="preserve"> </w:t>
      </w:r>
      <w:r w:rsidR="00722ADB" w:rsidRPr="00597DD2">
        <w:t>sequester</w:t>
      </w:r>
      <w:r w:rsidR="003740F9" w:rsidRPr="00597DD2">
        <w:t>s</w:t>
      </w:r>
      <w:r w:rsidR="00357796" w:rsidRPr="00597DD2">
        <w:t xml:space="preserve"> in </w:t>
      </w:r>
      <w:r w:rsidR="001609C4" w:rsidRPr="00597DD2">
        <w:t>oral tissues</w:t>
      </w:r>
      <w:r w:rsidR="006175A7" w:rsidRPr="00597DD2">
        <w:t xml:space="preserve"> </w:t>
      </w:r>
      <w:r w:rsidR="002E7A65">
        <w:rPr>
          <w:noProof/>
        </w:rPr>
        <w:t>[55]</w:t>
      </w:r>
      <w:r w:rsidR="006175A7" w:rsidRPr="00597DD2">
        <w:t>,</w:t>
      </w:r>
      <w:r w:rsidR="001609C4" w:rsidRPr="00597DD2">
        <w:t xml:space="preserve"> which </w:t>
      </w:r>
      <w:r w:rsidR="00BB2A11" w:rsidRPr="00597DD2">
        <w:t>decreases</w:t>
      </w:r>
      <w:r w:rsidR="001609C4" w:rsidRPr="00597DD2">
        <w:t xml:space="preserve"> the concentration gradient that drives sublingual absorption of buprenorphine. </w:t>
      </w:r>
      <w:r w:rsidR="00357796" w:rsidRPr="00597DD2">
        <w:t>The absorption model proposed in this study captures nonlinear bioavailability</w:t>
      </w:r>
      <w:r w:rsidR="00B85A2C" w:rsidRPr="00597DD2">
        <w:t xml:space="preserve"> observed clinically</w:t>
      </w:r>
      <w:r w:rsidR="00357796" w:rsidRPr="00597DD2">
        <w:t>. It is, however, important to note</w:t>
      </w:r>
      <w:r w:rsidR="00272CF8" w:rsidRPr="00597DD2">
        <w:t xml:space="preserve"> </w:t>
      </w:r>
      <w:r w:rsidR="00357796" w:rsidRPr="00597DD2">
        <w:t xml:space="preserve">that the model was developed using PK data </w:t>
      </w:r>
      <w:r w:rsidR="00904C29" w:rsidRPr="00597DD2">
        <w:t>across a dose range</w:t>
      </w:r>
      <w:r w:rsidR="00357796" w:rsidRPr="00597DD2">
        <w:t xml:space="preserve"> </w:t>
      </w:r>
      <w:r w:rsidR="004B5F34" w:rsidRPr="00597DD2">
        <w:t>of</w:t>
      </w:r>
      <w:r w:rsidR="00357796" w:rsidRPr="00597DD2">
        <w:t xml:space="preserve"> 2</w:t>
      </w:r>
      <w:r w:rsidR="003F0E14" w:rsidRPr="00597DD2">
        <w:t>–</w:t>
      </w:r>
      <w:r w:rsidR="00357796" w:rsidRPr="00597DD2">
        <w:t>32 mg</w:t>
      </w:r>
      <w:r w:rsidR="006175A7" w:rsidRPr="00597DD2">
        <w:t xml:space="preserve"> </w:t>
      </w:r>
      <w:r w:rsidR="002E7A65">
        <w:rPr>
          <w:noProof/>
        </w:rPr>
        <w:t>[23, 26, 28]</w:t>
      </w:r>
      <w:r w:rsidR="006175A7" w:rsidRPr="00597DD2">
        <w:t>.</w:t>
      </w:r>
      <w:r w:rsidR="00357796" w:rsidRPr="00597DD2">
        <w:t xml:space="preserve"> We caution </w:t>
      </w:r>
      <w:r w:rsidR="00D12C88" w:rsidRPr="00597DD2">
        <w:t xml:space="preserve">against </w:t>
      </w:r>
      <w:r w:rsidR="00591121" w:rsidRPr="00597DD2">
        <w:t>applying</w:t>
      </w:r>
      <w:r w:rsidR="00357796" w:rsidRPr="00597DD2">
        <w:t xml:space="preserve"> the absorption model outside this dos</w:t>
      </w:r>
      <w:r w:rsidR="006A157D" w:rsidRPr="00597DD2">
        <w:t>e</w:t>
      </w:r>
      <w:r w:rsidR="00357796" w:rsidRPr="00597DD2">
        <w:t xml:space="preserve"> </w:t>
      </w:r>
      <w:r w:rsidR="00904C29" w:rsidRPr="00597DD2">
        <w:t>interval</w:t>
      </w:r>
      <w:r w:rsidR="00357796" w:rsidRPr="00597DD2">
        <w:t>.</w:t>
      </w:r>
    </w:p>
    <w:p w14:paraId="3D0B8F06" w14:textId="58B058A0" w:rsidR="005E31E3" w:rsidRPr="00597DD2" w:rsidRDefault="00215A75" w:rsidP="00BE01A5">
      <w:pPr>
        <w:spacing w:line="360" w:lineRule="auto"/>
        <w:jc w:val="both"/>
      </w:pPr>
      <w:r w:rsidRPr="00597DD2">
        <w:tab/>
        <w:t xml:space="preserve">The developed model has a few limitations. </w:t>
      </w:r>
      <w:r w:rsidR="00E56C27" w:rsidRPr="00597DD2">
        <w:t>Kp values used to describe distribution of buprenorphine across various organs were obtained from rat data</w:t>
      </w:r>
      <w:r w:rsidR="006175A7" w:rsidRPr="00597DD2">
        <w:t xml:space="preserve"> </w:t>
      </w:r>
      <w:r w:rsidR="002E7A65">
        <w:rPr>
          <w:noProof/>
        </w:rPr>
        <w:t>[38, 40]</w:t>
      </w:r>
      <w:r w:rsidR="00E56C27" w:rsidRPr="00597DD2">
        <w:t xml:space="preserve"> and may therefore not capture human physiology</w:t>
      </w:r>
      <w:r w:rsidR="00BE01A5" w:rsidRPr="00597DD2">
        <w:t xml:space="preserve"> in all respects</w:t>
      </w:r>
      <w:r w:rsidR="00E56C27" w:rsidRPr="00597DD2">
        <w:t xml:space="preserve">. </w:t>
      </w:r>
      <w:r w:rsidR="002B1484" w:rsidRPr="00597DD2">
        <w:t xml:space="preserve">More importantly, </w:t>
      </w:r>
      <w:r w:rsidR="00BE01A5" w:rsidRPr="00597DD2">
        <w:t xml:space="preserve">distribution </w:t>
      </w:r>
      <w:r w:rsidR="000F753E" w:rsidRPr="00597DD2">
        <w:t>in rats</w:t>
      </w:r>
      <w:r w:rsidR="00BE01A5" w:rsidRPr="00597DD2">
        <w:t xml:space="preserve"> was not measured </w:t>
      </w:r>
      <w:r w:rsidR="00BE01A5" w:rsidRPr="00597DD2">
        <w:lastRenderedPageBreak/>
        <w:t xml:space="preserve">under </w:t>
      </w:r>
      <w:r w:rsidR="000F753E" w:rsidRPr="00597DD2">
        <w:t xml:space="preserve">strict </w:t>
      </w:r>
      <w:r w:rsidR="00BE01A5" w:rsidRPr="00597DD2">
        <w:t>steady-state conditions</w:t>
      </w:r>
      <w:r w:rsidR="006175A7" w:rsidRPr="00597DD2">
        <w:t xml:space="preserve"> </w:t>
      </w:r>
      <w:r w:rsidR="002E7A65">
        <w:rPr>
          <w:noProof/>
        </w:rPr>
        <w:t>[38, 40]</w:t>
      </w:r>
      <w:r w:rsidR="006175A7" w:rsidRPr="00597DD2">
        <w:t>,</w:t>
      </w:r>
      <w:r w:rsidR="00BE01A5" w:rsidRPr="00597DD2">
        <w:t xml:space="preserve"> which limits the robustness of the Kp values estimated in this study. Nevertheless, using these Kp values, </w:t>
      </w:r>
      <w:r w:rsidR="00921776" w:rsidRPr="00597DD2">
        <w:t xml:space="preserve">observed concentrations were well-captured by the PBPK model and </w:t>
      </w:r>
      <w:r w:rsidR="00BE01A5" w:rsidRPr="00597DD2">
        <w:t xml:space="preserve">the </w:t>
      </w:r>
      <w:r w:rsidR="004558B6" w:rsidRPr="00597DD2">
        <w:t>volume of distribution at steady-state (V</w:t>
      </w:r>
      <w:r w:rsidR="004558B6" w:rsidRPr="00597DD2">
        <w:rPr>
          <w:vertAlign w:val="subscript"/>
        </w:rPr>
        <w:t>ss</w:t>
      </w:r>
      <w:r w:rsidR="004558B6" w:rsidRPr="00597DD2">
        <w:t xml:space="preserve">) </w:t>
      </w:r>
      <w:r w:rsidR="00A67EAA" w:rsidRPr="00597DD2">
        <w:t xml:space="preserve">was furthermore calculated </w:t>
      </w:r>
      <w:r w:rsidR="004558B6" w:rsidRPr="00597DD2">
        <w:t>a</w:t>
      </w:r>
      <w:r w:rsidR="0097408A" w:rsidRPr="00597DD2">
        <w:t>t</w:t>
      </w:r>
      <w:r w:rsidR="004558B6" w:rsidRPr="00597DD2">
        <w:t xml:space="preserve"> 6.23 L/kg</w:t>
      </w:r>
      <w:r w:rsidR="00A67EAA" w:rsidRPr="00597DD2">
        <w:t xml:space="preserve"> in Simcyp</w:t>
      </w:r>
      <w:r w:rsidR="004558B6" w:rsidRPr="00597DD2">
        <w:t>, which approximates 4.95 L/kg observed clinically</w:t>
      </w:r>
      <w:r w:rsidR="006175A7" w:rsidRPr="00597DD2">
        <w:t xml:space="preserve"> </w:t>
      </w:r>
      <w:r w:rsidR="002E7A65">
        <w:rPr>
          <w:noProof/>
        </w:rPr>
        <w:t>[41]</w:t>
      </w:r>
      <w:r w:rsidR="006175A7" w:rsidRPr="00597DD2">
        <w:t>.</w:t>
      </w:r>
      <w:r w:rsidR="004558B6" w:rsidRPr="00597DD2">
        <w:t xml:space="preserve"> </w:t>
      </w:r>
      <w:r w:rsidR="00D87B73" w:rsidRPr="00597DD2">
        <w:t>We explored using</w:t>
      </w:r>
      <w:r w:rsidR="00915E5E" w:rsidRPr="00597DD2">
        <w:t xml:space="preserve"> the </w:t>
      </w:r>
      <w:r w:rsidR="00C433A6">
        <w:rPr>
          <w:noProof/>
        </w:rPr>
        <w:t>Rodgers and Rowland [56]</w:t>
      </w:r>
      <w:r w:rsidR="00915E5E" w:rsidRPr="00597DD2">
        <w:t xml:space="preserve"> method</w:t>
      </w:r>
      <w:r w:rsidR="00D87B73" w:rsidRPr="00597DD2">
        <w:t xml:space="preserve"> </w:t>
      </w:r>
      <w:r w:rsidR="00B16092" w:rsidRPr="00597DD2">
        <w:t xml:space="preserve">as an alternative </w:t>
      </w:r>
      <w:r w:rsidR="00D87B73" w:rsidRPr="00597DD2">
        <w:t>to predict tissue distribution</w:t>
      </w:r>
      <w:r w:rsidR="00587832" w:rsidRPr="00597DD2">
        <w:t xml:space="preserve"> </w:t>
      </w:r>
      <w:r w:rsidR="00915E5E" w:rsidRPr="00597DD2">
        <w:t>(method 2 in Simcyp),</w:t>
      </w:r>
      <w:r w:rsidR="00D87B73" w:rsidRPr="00597DD2">
        <w:t xml:space="preserve"> but this resulted in an estimated V</w:t>
      </w:r>
      <w:r w:rsidR="00D87B73" w:rsidRPr="00597DD2">
        <w:rPr>
          <w:vertAlign w:val="subscript"/>
        </w:rPr>
        <w:t>ss</w:t>
      </w:r>
      <w:r w:rsidR="00D87B73" w:rsidRPr="00597DD2">
        <w:t xml:space="preserve"> of 23.0 L/h, which would necessitate </w:t>
      </w:r>
      <w:r w:rsidR="00B16092" w:rsidRPr="00597DD2">
        <w:t>the application of</w:t>
      </w:r>
      <w:r w:rsidR="00D87B73" w:rsidRPr="00597DD2">
        <w:t xml:space="preserve"> a</w:t>
      </w:r>
      <w:r w:rsidR="00C25850" w:rsidRPr="00597DD2">
        <w:t xml:space="preserve">n empirically identified </w:t>
      </w:r>
      <w:r w:rsidR="00D87B73" w:rsidRPr="00597DD2">
        <w:t>Kp scalar to recover the observed V</w:t>
      </w:r>
      <w:r w:rsidR="00D87B73" w:rsidRPr="00597DD2">
        <w:rPr>
          <w:vertAlign w:val="subscript"/>
        </w:rPr>
        <w:t>ss</w:t>
      </w:r>
      <w:r w:rsidR="00D87B73" w:rsidRPr="00597DD2">
        <w:t xml:space="preserve">. </w:t>
      </w:r>
      <w:r w:rsidR="000F753E" w:rsidRPr="00597DD2">
        <w:t>Instead, w</w:t>
      </w:r>
      <w:r w:rsidR="00C25850" w:rsidRPr="00597DD2">
        <w:t xml:space="preserve">e </w:t>
      </w:r>
      <w:r w:rsidR="000F753E" w:rsidRPr="00597DD2">
        <w:t>deemed</w:t>
      </w:r>
      <w:r w:rsidR="00B64149" w:rsidRPr="00597DD2">
        <w:t xml:space="preserve"> distribution </w:t>
      </w:r>
      <w:r w:rsidR="008C6207" w:rsidRPr="00597DD2">
        <w:t xml:space="preserve">estimated </w:t>
      </w:r>
      <w:r w:rsidR="00B64149" w:rsidRPr="00597DD2">
        <w:t xml:space="preserve">from rat data, albeit not measured under </w:t>
      </w:r>
      <w:r w:rsidR="008C6207" w:rsidRPr="00597DD2">
        <w:t>ideal</w:t>
      </w:r>
      <w:r w:rsidR="00B64149" w:rsidRPr="00597DD2">
        <w:t xml:space="preserve"> </w:t>
      </w:r>
      <w:r w:rsidR="00B16092" w:rsidRPr="00597DD2">
        <w:t xml:space="preserve">steady-state </w:t>
      </w:r>
      <w:r w:rsidR="00B64149" w:rsidRPr="00597DD2">
        <w:t>conditions</w:t>
      </w:r>
      <w:r w:rsidR="008C6207" w:rsidRPr="00597DD2">
        <w:t xml:space="preserve">, </w:t>
      </w:r>
      <w:r w:rsidR="0062247E" w:rsidRPr="00597DD2">
        <w:t>to be</w:t>
      </w:r>
      <w:r w:rsidR="008C6207" w:rsidRPr="00597DD2">
        <w:t xml:space="preserve"> more in line with the physiological rationale of PBPK modeling.</w:t>
      </w:r>
    </w:p>
    <w:p w14:paraId="3C550536" w14:textId="1C42DFA2" w:rsidR="00F474C5" w:rsidRPr="00597DD2" w:rsidRDefault="004A075B" w:rsidP="00F474C5">
      <w:pPr>
        <w:spacing w:after="240" w:line="360" w:lineRule="auto"/>
        <w:jc w:val="both"/>
      </w:pPr>
      <w:r w:rsidRPr="00597DD2">
        <w:tab/>
        <w:t>Another limitation is that the present model overestimates C</w:t>
      </w:r>
      <w:r w:rsidRPr="00597DD2">
        <w:rPr>
          <w:vertAlign w:val="subscript"/>
        </w:rPr>
        <w:t>max</w:t>
      </w:r>
      <w:r w:rsidRPr="00597DD2">
        <w:t xml:space="preserve"> </w:t>
      </w:r>
      <w:r w:rsidR="000F753E" w:rsidRPr="00597DD2">
        <w:t xml:space="preserve">modestly </w:t>
      </w:r>
      <w:r w:rsidRPr="00597DD2">
        <w:t>following sublingual administration of buprenorphine tablets and solution (geometric mean P/O ratios of 1.20 and 1.34, respectively).</w:t>
      </w:r>
      <w:r w:rsidR="00721BFF" w:rsidRPr="00597DD2">
        <w:t xml:space="preserve"> </w:t>
      </w:r>
      <w:r w:rsidR="00D4557D" w:rsidRPr="00597DD2">
        <w:t xml:space="preserve">Manual parameter estimation of </w:t>
      </w:r>
      <w:r w:rsidR="00196C12" w:rsidRPr="00597DD2">
        <w:t>ideal proportion</w:t>
      </w:r>
      <w:r w:rsidR="00D4557D" w:rsidRPr="00597DD2">
        <w:t xml:space="preserve"> would preferably have yielded </w:t>
      </w:r>
      <w:r w:rsidR="00BB120C" w:rsidRPr="00597DD2">
        <w:t>one and the same value</w:t>
      </w:r>
      <w:r w:rsidR="00D4557D" w:rsidRPr="00597DD2">
        <w:t xml:space="preserve"> </w:t>
      </w:r>
      <w:r w:rsidR="00BB120C" w:rsidRPr="00597DD2">
        <w:t xml:space="preserve">to recover both observed </w:t>
      </w:r>
      <w:r w:rsidR="00D4557D" w:rsidRPr="00597DD2">
        <w:t>AUC and C</w:t>
      </w:r>
      <w:r w:rsidR="00D4557D" w:rsidRPr="00597DD2">
        <w:rPr>
          <w:vertAlign w:val="subscript"/>
        </w:rPr>
        <w:t>max</w:t>
      </w:r>
      <w:r w:rsidR="00D4557D" w:rsidRPr="00597DD2">
        <w:t xml:space="preserve"> </w:t>
      </w:r>
      <w:r w:rsidR="00BB120C" w:rsidRPr="00597DD2">
        <w:t>simultaneously for each dose</w:t>
      </w:r>
      <w:r w:rsidR="00D4557D" w:rsidRPr="00597DD2">
        <w:t xml:space="preserve">, but </w:t>
      </w:r>
      <w:r w:rsidR="00294A88" w:rsidRPr="00597DD2">
        <w:t>ideal proportion values for AUC and C</w:t>
      </w:r>
      <w:r w:rsidR="00294A88" w:rsidRPr="00597DD2">
        <w:rPr>
          <w:vertAlign w:val="subscript"/>
        </w:rPr>
        <w:t>max</w:t>
      </w:r>
      <w:r w:rsidR="00D4557D" w:rsidRPr="00597DD2">
        <w:t xml:space="preserve"> </w:t>
      </w:r>
      <w:r w:rsidR="00294A88" w:rsidRPr="00597DD2">
        <w:t>diverged,</w:t>
      </w:r>
      <w:r w:rsidR="00196C12" w:rsidRPr="00597DD2">
        <w:t xml:space="preserve"> </w:t>
      </w:r>
      <w:r w:rsidR="00294A88" w:rsidRPr="00597DD2">
        <w:t>especially at the lower and upper limits of the dose spectrum (</w:t>
      </w:r>
      <w:r w:rsidR="00294A88" w:rsidRPr="00597DD2">
        <w:rPr>
          <w:b/>
          <w:bCs/>
        </w:rPr>
        <w:t xml:space="preserve">Figure </w:t>
      </w:r>
      <w:r w:rsidR="00DB194C">
        <w:rPr>
          <w:b/>
          <w:bCs/>
        </w:rPr>
        <w:t>3</w:t>
      </w:r>
      <w:r w:rsidR="00294A88" w:rsidRPr="00597DD2">
        <w:t>). This indicates an oversimplification of sublingual absorption in the current PBPK model</w:t>
      </w:r>
      <w:r w:rsidR="008635E6" w:rsidRPr="00597DD2">
        <w:t>. The model account</w:t>
      </w:r>
      <w:r w:rsidR="001B0386" w:rsidRPr="00597DD2">
        <w:t>s</w:t>
      </w:r>
      <w:r w:rsidR="008635E6" w:rsidRPr="00597DD2">
        <w:t xml:space="preserve"> for differences in the total transfer of buprenorphine across oral mucosa, but the rate of this process is likely variable across dose and formulation.</w:t>
      </w:r>
      <w:r w:rsidR="000F4B00" w:rsidRPr="00597DD2">
        <w:t xml:space="preserve"> Absorption rate differences were not integrated </w:t>
      </w:r>
      <w:r w:rsidR="00902ABB" w:rsidRPr="00597DD2">
        <w:t>into the PBPK model, and AUC- and C</w:t>
      </w:r>
      <w:r w:rsidR="00902ABB" w:rsidRPr="00597DD2">
        <w:rPr>
          <w:vertAlign w:val="subscript"/>
        </w:rPr>
        <w:t>max</w:t>
      </w:r>
      <w:r w:rsidR="00902ABB" w:rsidRPr="00597DD2">
        <w:t>-optimized nonlinear absorption models were instead averaged, leading to a modest overestimation of C</w:t>
      </w:r>
      <w:r w:rsidR="00902ABB" w:rsidRPr="00597DD2">
        <w:rPr>
          <w:vertAlign w:val="subscript"/>
        </w:rPr>
        <w:t>max</w:t>
      </w:r>
      <w:r w:rsidR="00902ABB" w:rsidRPr="00597DD2">
        <w:t xml:space="preserve"> </w:t>
      </w:r>
      <w:r w:rsidR="00F22AD1" w:rsidRPr="00597DD2">
        <w:t>overall</w:t>
      </w:r>
      <w:r w:rsidR="00902ABB" w:rsidRPr="00597DD2">
        <w:t xml:space="preserve">. </w:t>
      </w:r>
      <w:r w:rsidR="001D693D" w:rsidRPr="00597DD2">
        <w:t xml:space="preserve">To understand the </w:t>
      </w:r>
      <w:r w:rsidR="0062247E" w:rsidRPr="00597DD2">
        <w:t>implication of this overestimation</w:t>
      </w:r>
      <w:r w:rsidR="001D693D" w:rsidRPr="00597DD2">
        <w:t xml:space="preserve">, </w:t>
      </w:r>
      <w:r w:rsidR="008804B0" w:rsidRPr="00597DD2">
        <w:t xml:space="preserve">it is </w:t>
      </w:r>
      <w:r w:rsidR="007872A4" w:rsidRPr="00597DD2">
        <w:t>worthwhile</w:t>
      </w:r>
      <w:r w:rsidR="008804B0" w:rsidRPr="00597DD2">
        <w:t xml:space="preserve"> to </w:t>
      </w:r>
      <w:r w:rsidR="007872A4" w:rsidRPr="00597DD2">
        <w:t xml:space="preserve">briefly </w:t>
      </w:r>
      <w:r w:rsidR="008804B0" w:rsidRPr="00597DD2">
        <w:t>review the PK</w:t>
      </w:r>
      <w:r w:rsidR="00FC29A0" w:rsidRPr="00597DD2">
        <w:t>/</w:t>
      </w:r>
      <w:r w:rsidR="008804B0" w:rsidRPr="00597DD2">
        <w:t>PD relationship of buprenorphine, and</w:t>
      </w:r>
      <w:r w:rsidR="00DE2C81" w:rsidRPr="00597DD2">
        <w:t xml:space="preserve">, </w:t>
      </w:r>
      <w:r w:rsidR="008804B0" w:rsidRPr="00597DD2">
        <w:t xml:space="preserve">specifically, the </w:t>
      </w:r>
      <w:r w:rsidR="00FC29A0" w:rsidRPr="00597DD2">
        <w:t>degree by which its PD effect is explained by C</w:t>
      </w:r>
      <w:r w:rsidR="00FC29A0" w:rsidRPr="00597DD2">
        <w:rPr>
          <w:vertAlign w:val="subscript"/>
        </w:rPr>
        <w:t>max</w:t>
      </w:r>
      <w:r w:rsidR="00FC29A0" w:rsidRPr="00597DD2">
        <w:t xml:space="preserve"> compared to AUC. </w:t>
      </w:r>
      <w:r w:rsidR="002E7A65">
        <w:rPr>
          <w:noProof/>
        </w:rPr>
        <w:t>Yassen et al. [57]</w:t>
      </w:r>
      <w:r w:rsidR="00FC29A0" w:rsidRPr="00597DD2">
        <w:t xml:space="preserve"> characterized the PK/PD relationship of buprenorphine </w:t>
      </w:r>
      <w:r w:rsidR="007872A4" w:rsidRPr="00597DD2">
        <w:t xml:space="preserve">in healthy volunteers </w:t>
      </w:r>
      <w:r w:rsidR="00FC29A0" w:rsidRPr="00597DD2">
        <w:t>with respect to its respiratory depressant effect,</w:t>
      </w:r>
      <w:r w:rsidR="007872A4" w:rsidRPr="00597DD2">
        <w:t xml:space="preserve"> which is an unambiguous marker for buprenorphine’s penetration into the central nervous system</w:t>
      </w:r>
      <w:r w:rsidR="009D3FD4" w:rsidRPr="00597DD2">
        <w:t xml:space="preserve"> (CNS)</w:t>
      </w:r>
      <w:r w:rsidR="007872A4" w:rsidRPr="00597DD2">
        <w:t xml:space="preserve"> and its receptor association/dissociation kinetics at the μ-opioid receptor</w:t>
      </w:r>
      <w:r w:rsidR="004C30DC" w:rsidRPr="00597DD2">
        <w:t xml:space="preserve"> </w:t>
      </w:r>
      <w:r w:rsidR="002E7A65">
        <w:rPr>
          <w:noProof/>
        </w:rPr>
        <w:t>[58]</w:t>
      </w:r>
      <w:r w:rsidR="004C30DC" w:rsidRPr="00597DD2">
        <w:t>.</w:t>
      </w:r>
      <w:r w:rsidR="007872A4" w:rsidRPr="00597DD2">
        <w:t xml:space="preserve"> They estimated the time required for concentration at the effect site to reach 50% of the plasma concentration (t</w:t>
      </w:r>
      <w:r w:rsidR="007872A4" w:rsidRPr="00597DD2">
        <w:rPr>
          <w:vertAlign w:val="subscript"/>
        </w:rPr>
        <w:t>1/2,ke0</w:t>
      </w:r>
      <w:r w:rsidR="007872A4" w:rsidRPr="00597DD2">
        <w:t>) for buprenorphine at 75.3 minutes</w:t>
      </w:r>
      <w:r w:rsidR="004C30DC" w:rsidRPr="00597DD2">
        <w:t xml:space="preserve"> </w:t>
      </w:r>
      <w:r w:rsidR="002E7A65">
        <w:rPr>
          <w:noProof/>
        </w:rPr>
        <w:t>[57]</w:t>
      </w:r>
      <w:r w:rsidR="004C30DC" w:rsidRPr="00597DD2">
        <w:t>,</w:t>
      </w:r>
      <w:r w:rsidR="009D3FD4" w:rsidRPr="00597DD2">
        <w:t xml:space="preserve"> which</w:t>
      </w:r>
      <w:r w:rsidR="00A91FD0" w:rsidRPr="00597DD2">
        <w:t>, relative to other opioids,</w:t>
      </w:r>
      <w:r w:rsidR="009D3FD4" w:rsidRPr="00597DD2">
        <w:t xml:space="preserve"> indicates </w:t>
      </w:r>
      <w:r w:rsidR="00A91FD0" w:rsidRPr="00597DD2">
        <w:t>a slow onset</w:t>
      </w:r>
      <w:r w:rsidR="00F451B9" w:rsidRPr="00597DD2">
        <w:t xml:space="preserve"> of action</w:t>
      </w:r>
      <w:r w:rsidR="00A91FD0" w:rsidRPr="00597DD2">
        <w:t>, but a longer duration, where its effect is only marginally driven by C</w:t>
      </w:r>
      <w:r w:rsidR="00A91FD0" w:rsidRPr="00597DD2">
        <w:rPr>
          <w:vertAlign w:val="subscript"/>
        </w:rPr>
        <w:t>max</w:t>
      </w:r>
      <w:r w:rsidR="00E41DE3" w:rsidRPr="00597DD2">
        <w:t xml:space="preserve"> </w:t>
      </w:r>
      <w:r w:rsidR="002E7A65">
        <w:rPr>
          <w:noProof/>
        </w:rPr>
        <w:t>[59]</w:t>
      </w:r>
      <w:r w:rsidR="00E41DE3" w:rsidRPr="00597DD2">
        <w:t>.</w:t>
      </w:r>
      <w:r w:rsidR="00A91FD0" w:rsidRPr="00597DD2">
        <w:t xml:space="preserve"> </w:t>
      </w:r>
      <w:r w:rsidR="00793662" w:rsidRPr="00597DD2">
        <w:t>Since</w:t>
      </w:r>
      <w:r w:rsidR="00A91FD0" w:rsidRPr="00597DD2">
        <w:t xml:space="preserve"> the developed PBPK model </w:t>
      </w:r>
      <w:r w:rsidR="00273C58" w:rsidRPr="00597DD2">
        <w:t xml:space="preserve">adequately </w:t>
      </w:r>
      <w:r w:rsidR="00A91FD0" w:rsidRPr="00597DD2">
        <w:t xml:space="preserve">predicts </w:t>
      </w:r>
      <w:r w:rsidR="00096BD9" w:rsidRPr="00597DD2">
        <w:t xml:space="preserve">AUC </w:t>
      </w:r>
      <w:r w:rsidR="00A91FD0" w:rsidRPr="00597DD2">
        <w:t>following sublingual administration of buprenorphine</w:t>
      </w:r>
      <w:r w:rsidR="00793662" w:rsidRPr="00597DD2">
        <w:t>, we believe the implications of modestly overestimating C</w:t>
      </w:r>
      <w:r w:rsidR="00793662" w:rsidRPr="00597DD2">
        <w:rPr>
          <w:vertAlign w:val="subscript"/>
        </w:rPr>
        <w:t>max</w:t>
      </w:r>
      <w:r w:rsidR="00793662" w:rsidRPr="00597DD2">
        <w:t xml:space="preserve"> are</w:t>
      </w:r>
      <w:r w:rsidR="00694F0D" w:rsidRPr="00597DD2">
        <w:t xml:space="preserve"> therefore</w:t>
      </w:r>
      <w:r w:rsidR="00793662" w:rsidRPr="00597DD2">
        <w:t xml:space="preserve"> limited.</w:t>
      </w:r>
    </w:p>
    <w:p w14:paraId="70417FDA" w14:textId="6D385EDE" w:rsidR="00F474C5" w:rsidRPr="00597DD2" w:rsidRDefault="00F474C5" w:rsidP="00F474C5">
      <w:pPr>
        <w:pStyle w:val="ListParagraph"/>
        <w:numPr>
          <w:ilvl w:val="0"/>
          <w:numId w:val="12"/>
        </w:numPr>
        <w:spacing w:after="120" w:line="360" w:lineRule="auto"/>
        <w:ind w:left="360"/>
        <w:jc w:val="both"/>
      </w:pPr>
      <w:r>
        <w:rPr>
          <w:b/>
          <w:bCs/>
        </w:rPr>
        <w:lastRenderedPageBreak/>
        <w:t>Conclusion</w:t>
      </w:r>
    </w:p>
    <w:p w14:paraId="5EFC9AD4" w14:textId="4F9B40E7" w:rsidR="00E53FB0" w:rsidRDefault="00247E9C" w:rsidP="00384EAE">
      <w:pPr>
        <w:spacing w:line="360" w:lineRule="auto"/>
        <w:jc w:val="both"/>
      </w:pPr>
      <w:r w:rsidRPr="00597DD2">
        <w:t xml:space="preserve">The full PBPK model developed in this study is the first to adequately capture buprenorphine PK following sublingual administration (either as tablet or solution) across a wide dose range. </w:t>
      </w:r>
      <w:r w:rsidR="00C27D1C" w:rsidRPr="00597DD2">
        <w:t xml:space="preserve">The model provides valuable insights into the mechanisms that underly complex sublingual buprenorphine PK. Potential applications of the model </w:t>
      </w:r>
      <w:r w:rsidR="007F02A4" w:rsidRPr="00597DD2">
        <w:t xml:space="preserve">include </w:t>
      </w:r>
      <w:r w:rsidR="001208D0" w:rsidRPr="00597DD2">
        <w:t>using it to optimize</w:t>
      </w:r>
      <w:r w:rsidR="007F02A4" w:rsidRPr="00597DD2">
        <w:t xml:space="preserve"> the treatment of OUD with buprenorphine, but for our group specifically, the model forms the basis for planned fetomaternal PBPK modeling endeavors.</w:t>
      </w:r>
      <w:r w:rsidR="00C27D1C" w:rsidRPr="00597DD2">
        <w:t xml:space="preserve"> </w:t>
      </w:r>
      <w:r w:rsidR="00F835D7" w:rsidRPr="00597DD2">
        <w:t xml:space="preserve">Improving the treatment of NOWS requires tailoring of pharmacotherapy based on the expected severity of withdrawal </w:t>
      </w:r>
      <w:r w:rsidR="00FB0B47" w:rsidRPr="00597DD2">
        <w:t>symptoms</w:t>
      </w:r>
      <w:r w:rsidR="00387B88" w:rsidRPr="00597DD2">
        <w:t>.</w:t>
      </w:r>
      <w:r w:rsidR="00FB0B47" w:rsidRPr="00597DD2">
        <w:t xml:space="preserve"> Fetomaternal PBPK modeling of buprenorphine </w:t>
      </w:r>
      <w:r w:rsidR="00C82C63" w:rsidRPr="00597DD2">
        <w:t>facilitates</w:t>
      </w:r>
      <w:r w:rsidR="00FB0B47" w:rsidRPr="00597DD2">
        <w:t xml:space="preserve"> estimation of prenatal buprenorphine exposure </w:t>
      </w:r>
      <w:r w:rsidR="00692AFC" w:rsidRPr="00597DD2">
        <w:t xml:space="preserve">throughout gestation </w:t>
      </w:r>
      <w:r w:rsidR="00FB0B47" w:rsidRPr="00597DD2">
        <w:t xml:space="preserve">based on the maternal intake, which opens the way for examining the </w:t>
      </w:r>
      <w:r w:rsidR="004B445A" w:rsidRPr="00597DD2">
        <w:t>likely</w:t>
      </w:r>
      <w:r w:rsidR="00FB0B47" w:rsidRPr="00597DD2">
        <w:t xml:space="preserve"> link </w:t>
      </w:r>
      <w:r w:rsidR="004B445A" w:rsidRPr="00597DD2">
        <w:t>it has with postnatal withdrawal severity. This, in turn, could</w:t>
      </w:r>
      <w:r w:rsidR="00FB0B47" w:rsidRPr="00597DD2">
        <w:t xml:space="preserve"> </w:t>
      </w:r>
      <w:r w:rsidR="00692AFC" w:rsidRPr="00597DD2">
        <w:t>enable fetomaternal PBPK model-informed precision dosing</w:t>
      </w:r>
      <w:r w:rsidR="003D4960" w:rsidRPr="00597DD2">
        <w:t xml:space="preserve"> of buprenorphine</w:t>
      </w:r>
      <w:r w:rsidR="0081740E" w:rsidRPr="00597DD2">
        <w:t>, which is expected to improve the clinical outcomes of neonates affected by NOWS.</w:t>
      </w:r>
      <w:r w:rsidR="00FB0B47" w:rsidRPr="00597DD2">
        <w:t xml:space="preserve"> </w:t>
      </w:r>
      <w:r w:rsidR="00783BB3" w:rsidRPr="00597DD2">
        <w:t xml:space="preserve">The </w:t>
      </w:r>
      <w:r w:rsidR="00FB0B47" w:rsidRPr="00597DD2">
        <w:t xml:space="preserve">thoroughly validated PBPK model for buprenorphine developed </w:t>
      </w:r>
      <w:r w:rsidR="00783BB3" w:rsidRPr="00597DD2">
        <w:t xml:space="preserve">in this study forms the fundament </w:t>
      </w:r>
      <w:r w:rsidR="001C17CE" w:rsidRPr="00597DD2">
        <w:t>for this task</w:t>
      </w:r>
      <w:r w:rsidR="00783BB3" w:rsidRPr="00597DD2">
        <w:t>.</w:t>
      </w:r>
      <w:r w:rsidR="00E53FB0">
        <w:br w:type="page"/>
      </w:r>
    </w:p>
    <w:p w14:paraId="5BD9CF1A" w14:textId="227F6208" w:rsidR="00E53FB0" w:rsidRDefault="00E53FB0" w:rsidP="00A30102">
      <w:pPr>
        <w:spacing w:after="120" w:line="360" w:lineRule="auto"/>
        <w:jc w:val="both"/>
      </w:pPr>
      <w:r>
        <w:rPr>
          <w:b/>
          <w:bCs/>
        </w:rPr>
        <w:lastRenderedPageBreak/>
        <w:t>References</w:t>
      </w:r>
    </w:p>
    <w:p w14:paraId="6508CE2C" w14:textId="3C9D1287" w:rsidR="00BA420D" w:rsidRPr="00BA420D" w:rsidRDefault="00BA420D" w:rsidP="00BA420D">
      <w:pPr>
        <w:pStyle w:val="EndNoteBibliography"/>
        <w:ind w:left="540" w:hanging="540"/>
        <w:rPr>
          <w:noProof/>
        </w:rPr>
      </w:pPr>
      <w:r w:rsidRPr="00BA420D">
        <w:rPr>
          <w:noProof/>
        </w:rPr>
        <w:t>1.</w:t>
      </w:r>
      <w:r w:rsidRPr="00BA420D">
        <w:rPr>
          <w:noProof/>
        </w:rPr>
        <w:tab/>
        <w:t xml:space="preserve">Mattson CL, Tanz LJ, Quinn K, Kariisa M, Patel P, Davis NL. Trends and geographic patterns in drug and synthetic opioid overdose deaths - United States, 2013-2019. MMWR Morb Mortal Wkly Rep. 2021;70:202-7. </w:t>
      </w:r>
      <w:r w:rsidRPr="008E10DF">
        <w:rPr>
          <w:noProof/>
        </w:rPr>
        <w:t>https://doi.org/10.15585/mmwr.mm7006a4</w:t>
      </w:r>
      <w:r w:rsidRPr="00BA420D">
        <w:rPr>
          <w:noProof/>
        </w:rPr>
        <w:t>.</w:t>
      </w:r>
    </w:p>
    <w:p w14:paraId="2DF6FB4F" w14:textId="77777777" w:rsidR="00BA420D" w:rsidRPr="00BA420D" w:rsidRDefault="00BA420D" w:rsidP="00BA420D">
      <w:pPr>
        <w:pStyle w:val="EndNoteBibliography"/>
        <w:ind w:left="540" w:hanging="540"/>
        <w:rPr>
          <w:noProof/>
        </w:rPr>
      </w:pPr>
      <w:r w:rsidRPr="00BA420D">
        <w:rPr>
          <w:noProof/>
        </w:rPr>
        <w:t>2.</w:t>
      </w:r>
      <w:r w:rsidRPr="00BA420D">
        <w:rPr>
          <w:noProof/>
        </w:rPr>
        <w:tab/>
        <w:t xml:space="preserve">Martin WR, Eades CG, Thompson JA, Huppler RE, Gilbert PE. The effects of morphine- and nalorphine- like drugs in the nondependent and morphine-dependent chronic spinal dog. J Pharmacol Exp Ther. 1976;197:517-32. </w:t>
      </w:r>
    </w:p>
    <w:p w14:paraId="1A135652" w14:textId="56D696FF" w:rsidR="00BA420D" w:rsidRPr="00BA420D" w:rsidRDefault="00BA420D" w:rsidP="00BA420D">
      <w:pPr>
        <w:pStyle w:val="EndNoteBibliography"/>
        <w:ind w:left="540" w:hanging="540"/>
        <w:rPr>
          <w:noProof/>
        </w:rPr>
      </w:pPr>
      <w:r w:rsidRPr="00BA420D">
        <w:rPr>
          <w:noProof/>
        </w:rPr>
        <w:t>3.</w:t>
      </w:r>
      <w:r w:rsidRPr="00BA420D">
        <w:rPr>
          <w:noProof/>
        </w:rPr>
        <w:tab/>
        <w:t xml:space="preserve">Negus SS, Bidlack JM, Mello NK, Furness MS, Rice KC, Brandt MR. Delta opioid antagonist effects of buprenorphine in rhesus monkeys. Behav Pharmacol. 2002;13:557-70. </w:t>
      </w:r>
      <w:r w:rsidRPr="008E10DF">
        <w:rPr>
          <w:noProof/>
        </w:rPr>
        <w:t>https://doi.org/10.1097/00008877-200211000-00005</w:t>
      </w:r>
      <w:r w:rsidRPr="00BA420D">
        <w:rPr>
          <w:noProof/>
        </w:rPr>
        <w:t>.</w:t>
      </w:r>
    </w:p>
    <w:p w14:paraId="3F27E8C3" w14:textId="2D8D4D2B" w:rsidR="00BA420D" w:rsidRPr="00BA420D" w:rsidRDefault="00BA420D" w:rsidP="00BA420D">
      <w:pPr>
        <w:pStyle w:val="EndNoteBibliography"/>
        <w:ind w:left="540" w:hanging="540"/>
        <w:rPr>
          <w:noProof/>
        </w:rPr>
      </w:pPr>
      <w:r w:rsidRPr="00BA420D">
        <w:rPr>
          <w:noProof/>
        </w:rPr>
        <w:t>4.</w:t>
      </w:r>
      <w:r w:rsidRPr="00BA420D">
        <w:rPr>
          <w:noProof/>
        </w:rPr>
        <w:tab/>
        <w:t xml:space="preserve">Leander JD. Buprenorphine is a potent kappa-opioid receptor antagonist in pigeons and mice. Eur J Pharmacol. 1988;151:457-61. </w:t>
      </w:r>
      <w:r w:rsidRPr="008E10DF">
        <w:rPr>
          <w:noProof/>
        </w:rPr>
        <w:t>https://doi.org/10.1016/0014-2999(88)90543-2</w:t>
      </w:r>
      <w:r w:rsidRPr="00BA420D">
        <w:rPr>
          <w:noProof/>
        </w:rPr>
        <w:t>.</w:t>
      </w:r>
    </w:p>
    <w:p w14:paraId="7B92AD73" w14:textId="6DEF3D53" w:rsidR="00BA420D" w:rsidRPr="00BA420D" w:rsidRDefault="00BA420D" w:rsidP="00BA420D">
      <w:pPr>
        <w:pStyle w:val="EndNoteBibliography"/>
        <w:ind w:left="540" w:hanging="540"/>
        <w:rPr>
          <w:noProof/>
        </w:rPr>
      </w:pPr>
      <w:r w:rsidRPr="00BA420D">
        <w:rPr>
          <w:noProof/>
        </w:rPr>
        <w:t>5.</w:t>
      </w:r>
      <w:r w:rsidRPr="00BA420D">
        <w:rPr>
          <w:noProof/>
        </w:rPr>
        <w:tab/>
        <w:t xml:space="preserve">Wnendt S, Krüger T, Janocha E, Hildebrandt D, Englberger W. Agonistic effect of buprenorphine in a nociceptin/OFQ receptor-triggered reporter gene assay. Mol Pharmacol. 1999;56:334-8. </w:t>
      </w:r>
      <w:r w:rsidRPr="008E10DF">
        <w:rPr>
          <w:noProof/>
        </w:rPr>
        <w:t>https://doi.org/10.1124/mol.56.2.334</w:t>
      </w:r>
      <w:r w:rsidRPr="00BA420D">
        <w:rPr>
          <w:noProof/>
        </w:rPr>
        <w:t>.</w:t>
      </w:r>
    </w:p>
    <w:p w14:paraId="01478EEC" w14:textId="48D711F2" w:rsidR="00BA420D" w:rsidRPr="00BA420D" w:rsidRDefault="00BA420D" w:rsidP="00BA420D">
      <w:pPr>
        <w:pStyle w:val="EndNoteBibliography"/>
        <w:ind w:left="540" w:hanging="540"/>
        <w:rPr>
          <w:noProof/>
        </w:rPr>
      </w:pPr>
      <w:r w:rsidRPr="00BA420D">
        <w:rPr>
          <w:noProof/>
        </w:rPr>
        <w:t>6.</w:t>
      </w:r>
      <w:r w:rsidRPr="00BA420D">
        <w:rPr>
          <w:noProof/>
        </w:rPr>
        <w:tab/>
        <w:t xml:space="preserve">Pergolizzi J, Aloisi AM, Dahan A, Filitz J, Langford R, Likar R, et al. Current knowledge of buprenorphine and its unique pharmacological profile. Pain Pract. 2010;10:428-50. </w:t>
      </w:r>
      <w:r w:rsidRPr="008E10DF">
        <w:rPr>
          <w:noProof/>
        </w:rPr>
        <w:t>https://doi.org/10.1111/j.1533-2500.2010.00378.x</w:t>
      </w:r>
      <w:r w:rsidRPr="00BA420D">
        <w:rPr>
          <w:noProof/>
        </w:rPr>
        <w:t>.</w:t>
      </w:r>
    </w:p>
    <w:p w14:paraId="063E15ED" w14:textId="445BA3DF" w:rsidR="00BA420D" w:rsidRPr="00BA420D" w:rsidRDefault="00BA420D" w:rsidP="00BA420D">
      <w:pPr>
        <w:pStyle w:val="EndNoteBibliography"/>
        <w:ind w:left="540" w:hanging="540"/>
        <w:rPr>
          <w:noProof/>
        </w:rPr>
      </w:pPr>
      <w:r w:rsidRPr="00BA420D">
        <w:rPr>
          <w:noProof/>
        </w:rPr>
        <w:t>7.</w:t>
      </w:r>
      <w:r w:rsidRPr="00BA420D">
        <w:rPr>
          <w:noProof/>
        </w:rPr>
        <w:tab/>
        <w:t xml:space="preserve">Donohue JM, Jarlenski MP, Kim JY, Tang L, Ahrens K, Allen L, et al. Use of medications for treatment of opioid use disorder among US Medicaid enrollees in 11 states, 2014-2018. JAMA. 2021;326:154-64. </w:t>
      </w:r>
      <w:r w:rsidRPr="008E10DF">
        <w:rPr>
          <w:noProof/>
        </w:rPr>
        <w:t>https://doi.org/10.1001/jama.2021.7374</w:t>
      </w:r>
      <w:r w:rsidRPr="00BA420D">
        <w:rPr>
          <w:noProof/>
        </w:rPr>
        <w:t>.</w:t>
      </w:r>
    </w:p>
    <w:p w14:paraId="46A65399" w14:textId="1FF2A069" w:rsidR="00BA420D" w:rsidRPr="00BA420D" w:rsidRDefault="00BA420D" w:rsidP="00BA420D">
      <w:pPr>
        <w:pStyle w:val="EndNoteBibliography"/>
        <w:ind w:left="540" w:hanging="540"/>
        <w:rPr>
          <w:noProof/>
        </w:rPr>
      </w:pPr>
      <w:r w:rsidRPr="00BA420D">
        <w:rPr>
          <w:noProof/>
        </w:rPr>
        <w:t>8.</w:t>
      </w:r>
      <w:r w:rsidRPr="00BA420D">
        <w:rPr>
          <w:noProof/>
        </w:rPr>
        <w:tab/>
        <w:t xml:space="preserve">Ko JY, D'Angelo DV, Haight SC, Morrow B, Cox S, Salvesen von Essen B, et al. Vital signs: prescription opioid pain reliever use during pregnancy — 34 U.S. jurisdictions, 2019. MMWR Morb Mortal Wkly Rep. 2020;69:897–903. </w:t>
      </w:r>
      <w:r w:rsidRPr="008E10DF">
        <w:rPr>
          <w:noProof/>
        </w:rPr>
        <w:t>https://doi.org/10.15585/mmwr.mm6928a1</w:t>
      </w:r>
      <w:r w:rsidRPr="00BA420D">
        <w:rPr>
          <w:noProof/>
        </w:rPr>
        <w:t>.</w:t>
      </w:r>
    </w:p>
    <w:p w14:paraId="7778F76C" w14:textId="60241E4E" w:rsidR="00BA420D" w:rsidRPr="00BA420D" w:rsidRDefault="00BA420D" w:rsidP="00BA420D">
      <w:pPr>
        <w:pStyle w:val="EndNoteBibliography"/>
        <w:ind w:left="540" w:hanging="540"/>
        <w:rPr>
          <w:noProof/>
        </w:rPr>
      </w:pPr>
      <w:r w:rsidRPr="00BA420D">
        <w:rPr>
          <w:noProof/>
        </w:rPr>
        <w:t>9.</w:t>
      </w:r>
      <w:r w:rsidRPr="00BA420D">
        <w:rPr>
          <w:noProof/>
        </w:rPr>
        <w:tab/>
        <w:t xml:space="preserve">Hudak ML, Tan RC. Neonatal drug withdrawal. Pediatrics. 2012;129:e540-60. </w:t>
      </w:r>
      <w:r w:rsidRPr="008E10DF">
        <w:rPr>
          <w:noProof/>
        </w:rPr>
        <w:t>https://doi.org/10.1542/peds.2011-3212</w:t>
      </w:r>
      <w:r w:rsidRPr="00BA420D">
        <w:rPr>
          <w:noProof/>
        </w:rPr>
        <w:t>.</w:t>
      </w:r>
    </w:p>
    <w:p w14:paraId="2A41BF1F" w14:textId="50A9349B" w:rsidR="00BA420D" w:rsidRPr="00BA420D" w:rsidRDefault="00BA420D" w:rsidP="00BA420D">
      <w:pPr>
        <w:pStyle w:val="EndNoteBibliography"/>
        <w:ind w:left="540" w:hanging="540"/>
        <w:rPr>
          <w:noProof/>
        </w:rPr>
      </w:pPr>
      <w:r w:rsidRPr="00BA420D">
        <w:rPr>
          <w:noProof/>
        </w:rPr>
        <w:t>10.</w:t>
      </w:r>
      <w:r w:rsidRPr="00BA420D">
        <w:rPr>
          <w:noProof/>
        </w:rPr>
        <w:tab/>
        <w:t xml:space="preserve">Wachman EM, Schiff DM, Silverstein M. Neonatal abstinence syndrome: advances in diagnosis and treatment. JAMA. 2018;319:1362-74. </w:t>
      </w:r>
      <w:r w:rsidRPr="008E10DF">
        <w:rPr>
          <w:noProof/>
        </w:rPr>
        <w:t>https://doi.org/10.1001/jama.2018.2640</w:t>
      </w:r>
      <w:r w:rsidRPr="00BA420D">
        <w:rPr>
          <w:noProof/>
        </w:rPr>
        <w:t>.</w:t>
      </w:r>
    </w:p>
    <w:p w14:paraId="2E8709F5" w14:textId="20128607" w:rsidR="00BA420D" w:rsidRPr="00BA420D" w:rsidRDefault="00BA420D" w:rsidP="00BA420D">
      <w:pPr>
        <w:pStyle w:val="EndNoteBibliography"/>
        <w:ind w:left="540" w:hanging="540"/>
        <w:rPr>
          <w:noProof/>
        </w:rPr>
      </w:pPr>
      <w:r w:rsidRPr="00BA420D">
        <w:rPr>
          <w:noProof/>
        </w:rPr>
        <w:lastRenderedPageBreak/>
        <w:t>11.</w:t>
      </w:r>
      <w:r w:rsidRPr="00BA420D">
        <w:rPr>
          <w:noProof/>
        </w:rPr>
        <w:tab/>
        <w:t xml:space="preserve">Simon AE, Freund MP, Archer SW, Bremer AA. Toward the use of buprenorphine in infants for neonatal opioid withdrawal syndrome: summary of an NIH workshop. J Perinatol. 2021:1-3. </w:t>
      </w:r>
      <w:r w:rsidRPr="008E10DF">
        <w:rPr>
          <w:noProof/>
        </w:rPr>
        <w:t>https://doi.org/10.1038/s41372-020-00886-7</w:t>
      </w:r>
      <w:r w:rsidRPr="00BA420D">
        <w:rPr>
          <w:noProof/>
        </w:rPr>
        <w:t>.</w:t>
      </w:r>
    </w:p>
    <w:p w14:paraId="49CF6DC8" w14:textId="3DE31EFB" w:rsidR="00BA420D" w:rsidRPr="00BA420D" w:rsidRDefault="00BA420D" w:rsidP="00BA420D">
      <w:pPr>
        <w:pStyle w:val="EndNoteBibliography"/>
        <w:ind w:left="540" w:hanging="540"/>
        <w:rPr>
          <w:noProof/>
        </w:rPr>
      </w:pPr>
      <w:r w:rsidRPr="00BA420D">
        <w:rPr>
          <w:noProof/>
        </w:rPr>
        <w:t>12.</w:t>
      </w:r>
      <w:r w:rsidRPr="00BA420D">
        <w:rPr>
          <w:noProof/>
        </w:rPr>
        <w:tab/>
        <w:t xml:space="preserve">Ng CM, Dombrowsky E, Lin H, Erlich ME, Moody DE, Barrett JS, et al. Population pharmacokinetic model of sublingual buprenorphine in neonatal abstinence syndrome. Pharmacotherapy. 2015;35:670-80. </w:t>
      </w:r>
      <w:r w:rsidRPr="008E10DF">
        <w:rPr>
          <w:noProof/>
        </w:rPr>
        <w:t>https://doi.org/10.1002/phar.1610</w:t>
      </w:r>
      <w:r w:rsidRPr="00BA420D">
        <w:rPr>
          <w:noProof/>
        </w:rPr>
        <w:t>.</w:t>
      </w:r>
    </w:p>
    <w:p w14:paraId="5FB3251B" w14:textId="354363F4" w:rsidR="00BA420D" w:rsidRPr="00BA420D" w:rsidRDefault="00BA420D" w:rsidP="00BA420D">
      <w:pPr>
        <w:pStyle w:val="EndNoteBibliography"/>
        <w:ind w:left="540" w:hanging="540"/>
        <w:rPr>
          <w:noProof/>
        </w:rPr>
      </w:pPr>
      <w:r w:rsidRPr="00BA420D">
        <w:rPr>
          <w:noProof/>
        </w:rPr>
        <w:t>13.</w:t>
      </w:r>
      <w:r w:rsidRPr="00BA420D">
        <w:rPr>
          <w:noProof/>
        </w:rPr>
        <w:tab/>
        <w:t xml:space="preserve">Mizuno T, McPhail BT, Kamatkar S, Wexelblatt S, Ward L, Christians U, et al. Physiologic indirect response modeling to describe buprenorphine pharmacodynamics in newborns treated for neonatal opioid withdrawal syndrome. Clin Pharmacokinet. 2021;60:249-59. </w:t>
      </w:r>
      <w:r w:rsidRPr="008E10DF">
        <w:rPr>
          <w:noProof/>
        </w:rPr>
        <w:t>https://doi.org/10.1007/s40262-020-00939-2</w:t>
      </w:r>
      <w:r w:rsidRPr="00BA420D">
        <w:rPr>
          <w:noProof/>
        </w:rPr>
        <w:t>.</w:t>
      </w:r>
    </w:p>
    <w:p w14:paraId="58AB2EC1" w14:textId="2CDD12F5" w:rsidR="00BA420D" w:rsidRPr="00BA420D" w:rsidRDefault="00BA420D" w:rsidP="00BA420D">
      <w:pPr>
        <w:pStyle w:val="EndNoteBibliography"/>
        <w:ind w:left="540" w:hanging="540"/>
        <w:rPr>
          <w:noProof/>
        </w:rPr>
      </w:pPr>
      <w:r w:rsidRPr="00BA420D">
        <w:rPr>
          <w:noProof/>
        </w:rPr>
        <w:t>14.</w:t>
      </w:r>
      <w:r w:rsidRPr="00BA420D">
        <w:rPr>
          <w:noProof/>
        </w:rPr>
        <w:tab/>
        <w:t xml:space="preserve">van Hoogdalem MW, McPhail BT, Hahn D, Wexelblatt SL, Akinbi HT, Vinks AA, et al. Pharmacotherapy of neonatal opioid withdrawal syndrome: a review of pharmacokinetics and pharmacodynamics. Expert Opin Drug Metab Toxicol. 2021;17:87-103. </w:t>
      </w:r>
      <w:r w:rsidRPr="008E10DF">
        <w:rPr>
          <w:noProof/>
        </w:rPr>
        <w:t>https://doi.org/10.1080/17425255.2021.1837112</w:t>
      </w:r>
      <w:r w:rsidRPr="00BA420D">
        <w:rPr>
          <w:noProof/>
        </w:rPr>
        <w:t>.</w:t>
      </w:r>
    </w:p>
    <w:p w14:paraId="431C31F5" w14:textId="5E99A60C" w:rsidR="00BA420D" w:rsidRPr="00BA420D" w:rsidRDefault="00BA420D" w:rsidP="00BA420D">
      <w:pPr>
        <w:pStyle w:val="EndNoteBibliography"/>
        <w:ind w:left="540" w:hanging="540"/>
        <w:rPr>
          <w:noProof/>
        </w:rPr>
      </w:pPr>
      <w:r w:rsidRPr="00BA420D">
        <w:rPr>
          <w:noProof/>
        </w:rPr>
        <w:t>15.</w:t>
      </w:r>
      <w:r w:rsidRPr="00BA420D">
        <w:rPr>
          <w:noProof/>
        </w:rPr>
        <w:tab/>
        <w:t xml:space="preserve">van Hoogdalem MW, Johnson TN, McPhail BT, Kamatkar S, Wexelblatt SL, Ward LP, et al. Physiologically-based pharmacokinetic modeling to investigate the effect of maturation on buprenorphine pharmacokinetics in newborns with neonatal opioid withdrawal syndrome. Clin Pharmacol Ther. 2022;111:496-508. </w:t>
      </w:r>
      <w:r w:rsidRPr="008E10DF">
        <w:rPr>
          <w:noProof/>
        </w:rPr>
        <w:t>https://doi.org/10.1002/cpt.2458</w:t>
      </w:r>
      <w:r w:rsidRPr="00BA420D">
        <w:rPr>
          <w:noProof/>
        </w:rPr>
        <w:t>.</w:t>
      </w:r>
    </w:p>
    <w:p w14:paraId="028720D2" w14:textId="34E30E40" w:rsidR="00BA420D" w:rsidRPr="00BA420D" w:rsidRDefault="00BA420D" w:rsidP="00BA420D">
      <w:pPr>
        <w:pStyle w:val="EndNoteBibliography"/>
        <w:ind w:left="540" w:hanging="540"/>
        <w:rPr>
          <w:noProof/>
        </w:rPr>
      </w:pPr>
      <w:r w:rsidRPr="00BA420D">
        <w:rPr>
          <w:noProof/>
        </w:rPr>
        <w:t>16.</w:t>
      </w:r>
      <w:r w:rsidRPr="00BA420D">
        <w:rPr>
          <w:noProof/>
        </w:rPr>
        <w:tab/>
        <w:t xml:space="preserve">Liu AJ, Jones MP, Murray H, Cook CM, Nanan R. Perinatal risk factors for the neonatal abstinence syndrome in infants born to women on methadone maintenance therapy. Aust N Z J Obstet Gynaecol. 2010;50:253-8. </w:t>
      </w:r>
      <w:r w:rsidRPr="008E10DF">
        <w:rPr>
          <w:noProof/>
        </w:rPr>
        <w:t>https://doi.org/10.1111/j.1479-828X.2010.01168.x</w:t>
      </w:r>
      <w:r w:rsidRPr="00BA420D">
        <w:rPr>
          <w:noProof/>
        </w:rPr>
        <w:t>.</w:t>
      </w:r>
    </w:p>
    <w:p w14:paraId="0B859271" w14:textId="5FEDF0C0" w:rsidR="00BA420D" w:rsidRPr="00BA420D" w:rsidRDefault="00BA420D" w:rsidP="00BA420D">
      <w:pPr>
        <w:pStyle w:val="EndNoteBibliography"/>
        <w:ind w:left="540" w:hanging="540"/>
        <w:rPr>
          <w:noProof/>
        </w:rPr>
      </w:pPr>
      <w:r w:rsidRPr="00BA420D">
        <w:rPr>
          <w:noProof/>
        </w:rPr>
        <w:t>17.</w:t>
      </w:r>
      <w:r w:rsidRPr="00BA420D">
        <w:rPr>
          <w:noProof/>
        </w:rPr>
        <w:tab/>
        <w:t xml:space="preserve">Bakstad B, Sarfi M, Welle-Strand GK, Ravndal E. Opioid maintenance treatment during pregnancy: occurrence and severity of neonatal abstinence syndrome. A national prospective study. Eur Addict Res. 2009;15:128-34. </w:t>
      </w:r>
      <w:r w:rsidRPr="008E10DF">
        <w:rPr>
          <w:noProof/>
        </w:rPr>
        <w:t>https://doi.org/10.1159/000210042</w:t>
      </w:r>
      <w:r w:rsidRPr="00BA420D">
        <w:rPr>
          <w:noProof/>
        </w:rPr>
        <w:t>.</w:t>
      </w:r>
    </w:p>
    <w:p w14:paraId="6F85806C" w14:textId="7E616344" w:rsidR="00BA420D" w:rsidRPr="00BA420D" w:rsidRDefault="00BA420D" w:rsidP="00BA420D">
      <w:pPr>
        <w:pStyle w:val="EndNoteBibliography"/>
        <w:ind w:left="540" w:hanging="540"/>
        <w:rPr>
          <w:noProof/>
        </w:rPr>
      </w:pPr>
      <w:r w:rsidRPr="00BA420D">
        <w:rPr>
          <w:noProof/>
        </w:rPr>
        <w:t>18.</w:t>
      </w:r>
      <w:r w:rsidRPr="00BA420D">
        <w:rPr>
          <w:noProof/>
        </w:rPr>
        <w:tab/>
        <w:t xml:space="preserve">Choo RE, Huestis MA, Schroeder JR, Shin AS, Jones HE. Neonatal abstinence syndrome in methadone-exposed infants is altered by level of prenatal tobacco exposure. Drug Alcohol Depend. 2004;75:253-60. </w:t>
      </w:r>
      <w:r w:rsidRPr="008E10DF">
        <w:rPr>
          <w:noProof/>
        </w:rPr>
        <w:t>https://doi.org/10.1016/j.drugalcdep.2004.03.012</w:t>
      </w:r>
      <w:r w:rsidRPr="00BA420D">
        <w:rPr>
          <w:noProof/>
        </w:rPr>
        <w:t>.</w:t>
      </w:r>
    </w:p>
    <w:p w14:paraId="2F8D41F6" w14:textId="06B13B72" w:rsidR="00BA420D" w:rsidRPr="00BA420D" w:rsidRDefault="00BA420D" w:rsidP="00BA420D">
      <w:pPr>
        <w:pStyle w:val="EndNoteBibliography"/>
        <w:ind w:left="540" w:hanging="540"/>
        <w:rPr>
          <w:noProof/>
        </w:rPr>
      </w:pPr>
      <w:r w:rsidRPr="00BA420D">
        <w:rPr>
          <w:noProof/>
        </w:rPr>
        <w:t>19.</w:t>
      </w:r>
      <w:r w:rsidRPr="00BA420D">
        <w:rPr>
          <w:noProof/>
        </w:rPr>
        <w:tab/>
        <w:t xml:space="preserve">van Hoogdalem MW, Wexelblatt SL, Akinbi HT, Vinks AA, Mizuno T. A review of pregnancy-induced changes in opioid pharmacokinetics, placental transfer, and fetal exposure: towards fetomaternal physiologically-based pharmacokinetic modeling to improve </w:t>
      </w:r>
      <w:r w:rsidRPr="00BA420D">
        <w:rPr>
          <w:noProof/>
        </w:rPr>
        <w:lastRenderedPageBreak/>
        <w:t xml:space="preserve">the treatment of neonatal opioid withdrawal syndrome. Pharmacol Ther. 2021. </w:t>
      </w:r>
      <w:r w:rsidRPr="008E10DF">
        <w:rPr>
          <w:noProof/>
        </w:rPr>
        <w:t>https://doi.org/10.1016/j.pharmthera.2021.108045</w:t>
      </w:r>
      <w:r w:rsidRPr="00BA420D">
        <w:rPr>
          <w:noProof/>
        </w:rPr>
        <w:t>.</w:t>
      </w:r>
    </w:p>
    <w:p w14:paraId="7B9823FA" w14:textId="13D98C19" w:rsidR="00BA420D" w:rsidRPr="00BA420D" w:rsidRDefault="00BA420D" w:rsidP="00BA420D">
      <w:pPr>
        <w:pStyle w:val="EndNoteBibliography"/>
        <w:ind w:left="540" w:hanging="540"/>
        <w:rPr>
          <w:noProof/>
        </w:rPr>
      </w:pPr>
      <w:r w:rsidRPr="00BA420D">
        <w:rPr>
          <w:noProof/>
        </w:rPr>
        <w:t>20.</w:t>
      </w:r>
      <w:r w:rsidRPr="00BA420D">
        <w:rPr>
          <w:noProof/>
        </w:rPr>
        <w:tab/>
        <w:t xml:space="preserve">Jones HE, Dengler E, Garrison A, O'Grady KE, Seashore C, Horton E, et al. Neonatal outcomes and their relationship to maternal buprenorphine dose during pregnancy. Drug Alcohol Depend. 2014;134:414-7. </w:t>
      </w:r>
      <w:r w:rsidRPr="008E10DF">
        <w:rPr>
          <w:noProof/>
        </w:rPr>
        <w:t>https://doi.org/10.1016/j.drugalcdep.2013.11.006</w:t>
      </w:r>
      <w:r w:rsidRPr="00BA420D">
        <w:rPr>
          <w:noProof/>
        </w:rPr>
        <w:t>.</w:t>
      </w:r>
    </w:p>
    <w:p w14:paraId="4B5D94CA" w14:textId="5A1B0A45" w:rsidR="00BA420D" w:rsidRPr="00BA420D" w:rsidRDefault="00BA420D" w:rsidP="00BA420D">
      <w:pPr>
        <w:pStyle w:val="EndNoteBibliography"/>
        <w:ind w:left="540" w:hanging="540"/>
        <w:rPr>
          <w:noProof/>
        </w:rPr>
      </w:pPr>
      <w:r w:rsidRPr="00BA420D">
        <w:rPr>
          <w:noProof/>
        </w:rPr>
        <w:t>21.</w:t>
      </w:r>
      <w:r w:rsidRPr="00BA420D">
        <w:rPr>
          <w:noProof/>
        </w:rPr>
        <w:tab/>
        <w:t xml:space="preserve">Dashe JS, Sheffield JS, Olscher DA, Todd SJ, Jackson GL, Wendel GD. Relationship between maternal methadone dosage and neonatal withdrawal. Obstet Gynecol. 2002;100:1244-9. </w:t>
      </w:r>
      <w:r w:rsidRPr="008E10DF">
        <w:rPr>
          <w:noProof/>
        </w:rPr>
        <w:t>https://doi.org/10.1016/s0029-7844(02)02387-6</w:t>
      </w:r>
      <w:r w:rsidRPr="00BA420D">
        <w:rPr>
          <w:noProof/>
        </w:rPr>
        <w:t>.</w:t>
      </w:r>
    </w:p>
    <w:p w14:paraId="369F7952" w14:textId="38639D88" w:rsidR="00BA420D" w:rsidRPr="00BA420D" w:rsidRDefault="00BA420D" w:rsidP="00BA420D">
      <w:pPr>
        <w:pStyle w:val="EndNoteBibliography"/>
        <w:ind w:left="540" w:hanging="540"/>
        <w:rPr>
          <w:noProof/>
        </w:rPr>
      </w:pPr>
      <w:r w:rsidRPr="00BA420D">
        <w:rPr>
          <w:noProof/>
        </w:rPr>
        <w:t>22.</w:t>
      </w:r>
      <w:r w:rsidRPr="00BA420D">
        <w:rPr>
          <w:noProof/>
        </w:rPr>
        <w:tab/>
        <w:t xml:space="preserve">Dryden C, Young D, Hepburn M, Mactier H. Maternal methadone use in pregnancy: factors associated with the development of neonatal abstinence syndrome and implications for healthcare resources. BJOG. 2009;116:665-71. </w:t>
      </w:r>
      <w:r w:rsidRPr="008E10DF">
        <w:rPr>
          <w:noProof/>
        </w:rPr>
        <w:t>https://doi.org/10.1111/j.1471-0528.2008.02073.x</w:t>
      </w:r>
      <w:r w:rsidRPr="00BA420D">
        <w:rPr>
          <w:noProof/>
        </w:rPr>
        <w:t>.</w:t>
      </w:r>
    </w:p>
    <w:p w14:paraId="11CAAF48" w14:textId="7017F3EF" w:rsidR="00BA420D" w:rsidRPr="00BA420D" w:rsidRDefault="00BA420D" w:rsidP="00BA420D">
      <w:pPr>
        <w:pStyle w:val="EndNoteBibliography"/>
        <w:ind w:left="540" w:hanging="540"/>
        <w:rPr>
          <w:noProof/>
        </w:rPr>
      </w:pPr>
      <w:r w:rsidRPr="00BA420D">
        <w:rPr>
          <w:noProof/>
        </w:rPr>
        <w:t>23.</w:t>
      </w:r>
      <w:r w:rsidRPr="00BA420D">
        <w:rPr>
          <w:noProof/>
        </w:rPr>
        <w:tab/>
        <w:t xml:space="preserve">Schuh KJ, Johanson CE. Pharmacokinetic comparison of the buprenorphine sublingual liquid and tablet. Drug Alcohol Depend. 1999;56:55-60. </w:t>
      </w:r>
      <w:r w:rsidRPr="008E10DF">
        <w:rPr>
          <w:noProof/>
        </w:rPr>
        <w:t>https://doi.org/10.1016/s0376-8716(99)00012-5</w:t>
      </w:r>
      <w:r w:rsidRPr="00BA420D">
        <w:rPr>
          <w:noProof/>
        </w:rPr>
        <w:t>.</w:t>
      </w:r>
    </w:p>
    <w:p w14:paraId="37FDBE3D" w14:textId="62FE2B49" w:rsidR="00BA420D" w:rsidRPr="00BA420D" w:rsidRDefault="00BA420D" w:rsidP="00BA420D">
      <w:pPr>
        <w:pStyle w:val="EndNoteBibliography"/>
        <w:ind w:left="540" w:hanging="540"/>
        <w:rPr>
          <w:noProof/>
        </w:rPr>
      </w:pPr>
      <w:r w:rsidRPr="00BA420D">
        <w:rPr>
          <w:noProof/>
        </w:rPr>
        <w:t>24.</w:t>
      </w:r>
      <w:r w:rsidRPr="00BA420D">
        <w:rPr>
          <w:noProof/>
        </w:rPr>
        <w:tab/>
        <w:t xml:space="preserve">Strain EC, Moody DE, Stoller KB, Walsh SL, Bigelow GE. Relative bioavailability of different buprenorphine formulations under chronic dosing conditions. Drug Alcohol Depend. 2004;74:37-43. </w:t>
      </w:r>
      <w:r w:rsidRPr="008E10DF">
        <w:rPr>
          <w:noProof/>
        </w:rPr>
        <w:t>https://doi.org/10.1016/j.drugalcdep.2003.11.008</w:t>
      </w:r>
      <w:r w:rsidRPr="00BA420D">
        <w:rPr>
          <w:noProof/>
        </w:rPr>
        <w:t>.</w:t>
      </w:r>
    </w:p>
    <w:p w14:paraId="414F04AF" w14:textId="053343A3" w:rsidR="00BA420D" w:rsidRPr="00BA420D" w:rsidRDefault="00BA420D" w:rsidP="00BA420D">
      <w:pPr>
        <w:pStyle w:val="EndNoteBibliography"/>
        <w:ind w:left="540" w:hanging="540"/>
        <w:rPr>
          <w:noProof/>
        </w:rPr>
      </w:pPr>
      <w:r w:rsidRPr="00BA420D">
        <w:rPr>
          <w:noProof/>
        </w:rPr>
        <w:t>25.</w:t>
      </w:r>
      <w:r w:rsidRPr="00BA420D">
        <w:rPr>
          <w:noProof/>
        </w:rPr>
        <w:tab/>
        <w:t xml:space="preserve">Chawarski MC, Moody DE, Pakes J, O'Connor PG, Schottenfeld RS. Buprenorphine tablet versus liquid: a clinical trial comparing plasma levels, efficacy, and symptoms. J Subst Abuse Treat. 2005;29:307-12. </w:t>
      </w:r>
      <w:r w:rsidRPr="008E10DF">
        <w:rPr>
          <w:noProof/>
        </w:rPr>
        <w:t>https://doi.org/10.1016/j.jsat.2005.08.011</w:t>
      </w:r>
      <w:r w:rsidRPr="00BA420D">
        <w:rPr>
          <w:noProof/>
        </w:rPr>
        <w:t>.</w:t>
      </w:r>
    </w:p>
    <w:p w14:paraId="08436F1D" w14:textId="3C56E288" w:rsidR="00BA420D" w:rsidRPr="00BA420D" w:rsidRDefault="00BA420D" w:rsidP="00BA420D">
      <w:pPr>
        <w:pStyle w:val="EndNoteBibliography"/>
        <w:ind w:left="540" w:hanging="540"/>
        <w:rPr>
          <w:noProof/>
        </w:rPr>
      </w:pPr>
      <w:r w:rsidRPr="00BA420D">
        <w:rPr>
          <w:noProof/>
        </w:rPr>
        <w:t>26.</w:t>
      </w:r>
      <w:r w:rsidRPr="00BA420D">
        <w:rPr>
          <w:noProof/>
        </w:rPr>
        <w:tab/>
        <w:t xml:space="preserve">Harris DS, Mendelson JE, Lin ET, Upton RA, Jones RT. Pharmacokinetics and subjective effects of sublingual buprenorphine, alone or in combination with naloxone: lack of dose proportionality. Clin Pharmacokinet. 2004;43:329-40. </w:t>
      </w:r>
      <w:r w:rsidRPr="008E10DF">
        <w:rPr>
          <w:noProof/>
        </w:rPr>
        <w:t>https://doi.org/10.2165/00003088-200443050-00005</w:t>
      </w:r>
      <w:r w:rsidRPr="00BA420D">
        <w:rPr>
          <w:noProof/>
        </w:rPr>
        <w:t>.</w:t>
      </w:r>
    </w:p>
    <w:p w14:paraId="35B45642" w14:textId="58AFDD87" w:rsidR="00BA420D" w:rsidRPr="00BA420D" w:rsidRDefault="00BA420D" w:rsidP="00BA420D">
      <w:pPr>
        <w:pStyle w:val="EndNoteBibliography"/>
        <w:ind w:left="540" w:hanging="540"/>
        <w:rPr>
          <w:noProof/>
        </w:rPr>
      </w:pPr>
      <w:r w:rsidRPr="00BA420D">
        <w:rPr>
          <w:noProof/>
        </w:rPr>
        <w:t>27.</w:t>
      </w:r>
      <w:r w:rsidRPr="00BA420D">
        <w:rPr>
          <w:noProof/>
        </w:rPr>
        <w:tab/>
        <w:t xml:space="preserve">Nath RP, Upton RA, Everhart ET, Cheung P, Shwonek P, Jones RT, et al. Buprenorphine pharmacokinetics: relative bioavailability of sublingual tablet and liquid formulations. J Clin Pharmacol. 1999;39:619-23. </w:t>
      </w:r>
      <w:r w:rsidRPr="008E10DF">
        <w:rPr>
          <w:noProof/>
        </w:rPr>
        <w:t>https://doi.org/10.1177/00912709922008236</w:t>
      </w:r>
      <w:r w:rsidRPr="00BA420D">
        <w:rPr>
          <w:noProof/>
        </w:rPr>
        <w:t>.</w:t>
      </w:r>
    </w:p>
    <w:p w14:paraId="1F661917" w14:textId="18BF3781" w:rsidR="00BA420D" w:rsidRPr="00BA420D" w:rsidRDefault="00BA420D" w:rsidP="00BA420D">
      <w:pPr>
        <w:pStyle w:val="EndNoteBibliography"/>
        <w:ind w:left="540" w:hanging="540"/>
        <w:rPr>
          <w:noProof/>
        </w:rPr>
      </w:pPr>
      <w:r w:rsidRPr="00BA420D">
        <w:rPr>
          <w:noProof/>
        </w:rPr>
        <w:t>28.</w:t>
      </w:r>
      <w:r w:rsidRPr="00BA420D">
        <w:rPr>
          <w:noProof/>
        </w:rPr>
        <w:tab/>
        <w:t xml:space="preserve">Dong R, Wang H, Li D, Lang L, Gray F, Liu Y, et al. Pharmacokinetics of sublingual buprenorphine tablets following single and multiple doses in Chinese participants with and </w:t>
      </w:r>
      <w:r w:rsidRPr="00BA420D">
        <w:rPr>
          <w:noProof/>
        </w:rPr>
        <w:lastRenderedPageBreak/>
        <w:t xml:space="preserve">without opioid use disorder. Drugs R D. 2019;19:255-65. </w:t>
      </w:r>
      <w:r w:rsidRPr="008E10DF">
        <w:rPr>
          <w:noProof/>
        </w:rPr>
        <w:t>https://doi.org/10.1007/s40268-019-0277-9</w:t>
      </w:r>
      <w:r w:rsidRPr="00BA420D">
        <w:rPr>
          <w:noProof/>
        </w:rPr>
        <w:t>.</w:t>
      </w:r>
    </w:p>
    <w:p w14:paraId="127AC346" w14:textId="24E7B908" w:rsidR="00BA420D" w:rsidRPr="00BA420D" w:rsidRDefault="00BA420D" w:rsidP="00BA420D">
      <w:pPr>
        <w:pStyle w:val="EndNoteBibliography"/>
        <w:ind w:left="540" w:hanging="540"/>
        <w:rPr>
          <w:noProof/>
        </w:rPr>
      </w:pPr>
      <w:r w:rsidRPr="00BA420D">
        <w:rPr>
          <w:noProof/>
        </w:rPr>
        <w:t>29.</w:t>
      </w:r>
      <w:r w:rsidRPr="00BA420D">
        <w:rPr>
          <w:noProof/>
        </w:rPr>
        <w:tab/>
        <w:t xml:space="preserve">Ciraulo DA, Hitzemann RJ, Somoza E, Knapp CM, Rotrosen J, Sarid-Segal O, et al. Pharmacokinetics and pharmacodynamics of multiple sublingual buprenorphine tablets in dose-escalation trials. J Clin Pharmacol. 2006;46:179-92. </w:t>
      </w:r>
      <w:r w:rsidRPr="008E10DF">
        <w:rPr>
          <w:noProof/>
        </w:rPr>
        <w:t>https://doi.org/10.1177/0091270005284192</w:t>
      </w:r>
      <w:r w:rsidRPr="00BA420D">
        <w:rPr>
          <w:noProof/>
        </w:rPr>
        <w:t>.</w:t>
      </w:r>
    </w:p>
    <w:p w14:paraId="054BD21C" w14:textId="70B80EC6" w:rsidR="00BA420D" w:rsidRPr="00BA420D" w:rsidRDefault="00BA420D" w:rsidP="00BA420D">
      <w:pPr>
        <w:pStyle w:val="EndNoteBibliography"/>
        <w:ind w:left="540" w:hanging="540"/>
        <w:rPr>
          <w:noProof/>
        </w:rPr>
      </w:pPr>
      <w:r w:rsidRPr="00BA420D">
        <w:rPr>
          <w:noProof/>
        </w:rPr>
        <w:t>30.</w:t>
      </w:r>
      <w:r w:rsidRPr="00BA420D">
        <w:rPr>
          <w:noProof/>
        </w:rPr>
        <w:tab/>
        <w:t xml:space="preserve">Kalluri HV, Zhang H, Caritis SN, Venkataramanan R. A physiologically based pharmacokinetic modelling approach to predict buprenorphine pharmacokinetics following intravenous and sublingual administration. Br J Clin Pharmacol. 2017;83:2458-73. </w:t>
      </w:r>
      <w:r w:rsidRPr="008E10DF">
        <w:rPr>
          <w:noProof/>
        </w:rPr>
        <w:t>https://doi.org/10.1111/bcp.13368</w:t>
      </w:r>
      <w:r w:rsidRPr="00BA420D">
        <w:rPr>
          <w:noProof/>
        </w:rPr>
        <w:t>.</w:t>
      </w:r>
    </w:p>
    <w:p w14:paraId="0F7FF778" w14:textId="6DEA0818" w:rsidR="00BA420D" w:rsidRPr="00BA420D" w:rsidRDefault="00BA420D" w:rsidP="00BA420D">
      <w:pPr>
        <w:pStyle w:val="EndNoteBibliography"/>
        <w:ind w:left="540" w:hanging="540"/>
        <w:rPr>
          <w:noProof/>
        </w:rPr>
      </w:pPr>
      <w:r w:rsidRPr="00BA420D">
        <w:rPr>
          <w:noProof/>
        </w:rPr>
        <w:t>31.</w:t>
      </w:r>
      <w:r w:rsidRPr="00BA420D">
        <w:rPr>
          <w:noProof/>
        </w:rPr>
        <w:tab/>
        <w:t xml:space="preserve">Zhang H, Kalluri HV, Bastian JR, Chen H, Alshabi A, Caritis SN, et al. Gestational changes in buprenorphine exposure: A physiologically-based pharmacokinetic analysis. Br J Clin Pharmacol. 2018;84:2075-87. </w:t>
      </w:r>
      <w:r w:rsidRPr="008E10DF">
        <w:rPr>
          <w:noProof/>
        </w:rPr>
        <w:t>https://doi.org/10.1111/bcp.13642</w:t>
      </w:r>
      <w:r w:rsidRPr="00BA420D">
        <w:rPr>
          <w:noProof/>
        </w:rPr>
        <w:t>.</w:t>
      </w:r>
    </w:p>
    <w:p w14:paraId="763B9A4B" w14:textId="38B4B6C2" w:rsidR="00BA420D" w:rsidRPr="00BA420D" w:rsidRDefault="00BA420D" w:rsidP="00BA420D">
      <w:pPr>
        <w:pStyle w:val="EndNoteBibliography"/>
        <w:ind w:left="540" w:hanging="540"/>
        <w:rPr>
          <w:noProof/>
        </w:rPr>
      </w:pPr>
      <w:r w:rsidRPr="00BA420D">
        <w:rPr>
          <w:noProof/>
        </w:rPr>
        <w:t>32.</w:t>
      </w:r>
      <w:r w:rsidRPr="00BA420D">
        <w:rPr>
          <w:noProof/>
        </w:rPr>
        <w:tab/>
        <w:t xml:space="preserve">Silva LL, Silvola RM, Haas DM, Quinney SK. Physiologically based pharmacokinetic modelling in pregnancy: model reproducibility and external validation. Br J Clin Pharmacol. 2021:doi: 10.1111/bcp.15018. </w:t>
      </w:r>
      <w:r w:rsidRPr="008E10DF">
        <w:rPr>
          <w:noProof/>
        </w:rPr>
        <w:t>https://doi.org/10.1111/bcp.15018</w:t>
      </w:r>
      <w:r w:rsidRPr="00BA420D">
        <w:rPr>
          <w:noProof/>
        </w:rPr>
        <w:t>.</w:t>
      </w:r>
    </w:p>
    <w:p w14:paraId="3950BA49" w14:textId="22E6E3FC" w:rsidR="00BA420D" w:rsidRPr="00BA420D" w:rsidRDefault="00BA420D" w:rsidP="00BA420D">
      <w:pPr>
        <w:pStyle w:val="EndNoteBibliography"/>
        <w:ind w:left="540" w:hanging="540"/>
        <w:rPr>
          <w:noProof/>
        </w:rPr>
      </w:pPr>
      <w:r w:rsidRPr="00BA420D">
        <w:rPr>
          <w:noProof/>
        </w:rPr>
        <w:t>33.</w:t>
      </w:r>
      <w:r w:rsidRPr="00BA420D">
        <w:rPr>
          <w:noProof/>
        </w:rPr>
        <w:tab/>
        <w:t xml:space="preserve">Johnson TN, Jamei M, Rowland-Yeo K. How does in vivo biliary elimination of drugs change with age? Evidence from in vitro and clinical data using a systems pharmacology approach. Drug Metab Dispos. 2016;44:1090-8. </w:t>
      </w:r>
      <w:r w:rsidRPr="008E10DF">
        <w:rPr>
          <w:noProof/>
        </w:rPr>
        <w:t>https://doi.org/10.1124/dmd.115.068643</w:t>
      </w:r>
      <w:r w:rsidRPr="00BA420D">
        <w:rPr>
          <w:noProof/>
        </w:rPr>
        <w:t>.</w:t>
      </w:r>
    </w:p>
    <w:p w14:paraId="5B213F13" w14:textId="05A61D1B" w:rsidR="00BA420D" w:rsidRPr="00BA420D" w:rsidRDefault="00BA420D" w:rsidP="00BA420D">
      <w:pPr>
        <w:pStyle w:val="EndNoteBibliography"/>
        <w:ind w:left="540" w:hanging="540"/>
        <w:rPr>
          <w:noProof/>
        </w:rPr>
      </w:pPr>
      <w:r w:rsidRPr="00BA420D">
        <w:rPr>
          <w:noProof/>
        </w:rPr>
        <w:t>34.</w:t>
      </w:r>
      <w:r w:rsidRPr="00BA420D">
        <w:rPr>
          <w:noProof/>
        </w:rPr>
        <w:tab/>
        <w:t>NCBI. National Center for Biotechnology Information: PubChem Compound Summary for CID 644073, Buprenorphine. 2022. &lt;</w:t>
      </w:r>
      <w:r w:rsidRPr="008E10DF">
        <w:rPr>
          <w:noProof/>
        </w:rPr>
        <w:t>https://pubchem.ncbi.nlm.nih.gov/compound/644073</w:t>
      </w:r>
      <w:r w:rsidRPr="00BA420D">
        <w:rPr>
          <w:noProof/>
        </w:rPr>
        <w:t xml:space="preserve">&gt; Accessed 20 April 2022. </w:t>
      </w:r>
    </w:p>
    <w:p w14:paraId="49F3E2AF" w14:textId="5DD7D02B" w:rsidR="00BA420D" w:rsidRPr="00BA420D" w:rsidRDefault="00BA420D" w:rsidP="00BA420D">
      <w:pPr>
        <w:pStyle w:val="EndNoteBibliography"/>
        <w:ind w:left="540" w:hanging="540"/>
        <w:rPr>
          <w:noProof/>
        </w:rPr>
      </w:pPr>
      <w:r w:rsidRPr="00BA420D">
        <w:rPr>
          <w:noProof/>
        </w:rPr>
        <w:t>35.</w:t>
      </w:r>
      <w:r w:rsidRPr="00BA420D">
        <w:rPr>
          <w:noProof/>
        </w:rPr>
        <w:tab/>
        <w:t xml:space="preserve">Avdeef A, Barrett DA, Shaw PN, Knaggs RD, Davis SS. Octanol-, chloroform-, and propylene glycol dipelargonat-water partitioning of morphine-6-glucuronide and other related opiates. J Med Chem. 1996;39:4377-81. </w:t>
      </w:r>
      <w:r w:rsidRPr="008E10DF">
        <w:rPr>
          <w:noProof/>
        </w:rPr>
        <w:t>https://doi.org/10.1021/jm960073m</w:t>
      </w:r>
      <w:r w:rsidRPr="00BA420D">
        <w:rPr>
          <w:noProof/>
        </w:rPr>
        <w:t>.</w:t>
      </w:r>
    </w:p>
    <w:p w14:paraId="54D7062F" w14:textId="5A221B29" w:rsidR="00BA420D" w:rsidRPr="00BA420D" w:rsidRDefault="00BA420D" w:rsidP="00BA420D">
      <w:pPr>
        <w:pStyle w:val="EndNoteBibliography"/>
        <w:ind w:left="540" w:hanging="540"/>
        <w:rPr>
          <w:noProof/>
        </w:rPr>
      </w:pPr>
      <w:r w:rsidRPr="00BA420D">
        <w:rPr>
          <w:noProof/>
        </w:rPr>
        <w:t>36.</w:t>
      </w:r>
      <w:r w:rsidRPr="00BA420D">
        <w:rPr>
          <w:noProof/>
        </w:rPr>
        <w:tab/>
        <w:t xml:space="preserve">Bullingham RE, McQuay HJ, Moore A, Bennett MR. Buprenorphine kinetics. Clin Pharmacol Ther. 1980;28:667-72. </w:t>
      </w:r>
      <w:r w:rsidRPr="008E10DF">
        <w:rPr>
          <w:noProof/>
        </w:rPr>
        <w:t>https://doi.org/10.1038/clpt.1980.219</w:t>
      </w:r>
      <w:r w:rsidRPr="00BA420D">
        <w:rPr>
          <w:noProof/>
        </w:rPr>
        <w:t>.</w:t>
      </w:r>
    </w:p>
    <w:p w14:paraId="06630EF5" w14:textId="132DF9A7" w:rsidR="00BA420D" w:rsidRPr="00BA420D" w:rsidRDefault="00BA420D" w:rsidP="00BA420D">
      <w:pPr>
        <w:pStyle w:val="EndNoteBibliography"/>
        <w:ind w:left="540" w:hanging="540"/>
        <w:rPr>
          <w:noProof/>
        </w:rPr>
      </w:pPr>
      <w:r w:rsidRPr="00BA420D">
        <w:rPr>
          <w:noProof/>
        </w:rPr>
        <w:t>37.</w:t>
      </w:r>
      <w:r w:rsidRPr="00BA420D">
        <w:rPr>
          <w:noProof/>
        </w:rPr>
        <w:tab/>
        <w:t xml:space="preserve">Elkader A, Sproule B. Buprenorphine: clinical pharmacokinetics in the treatment of opioid dependence. Clin Pharmacokinet. 2005;44:661-80. </w:t>
      </w:r>
      <w:r w:rsidRPr="008E10DF">
        <w:rPr>
          <w:noProof/>
        </w:rPr>
        <w:t>https://doi.org/10.2165/00003088-200544070-00001</w:t>
      </w:r>
      <w:r w:rsidRPr="00BA420D">
        <w:rPr>
          <w:noProof/>
        </w:rPr>
        <w:t>.</w:t>
      </w:r>
    </w:p>
    <w:p w14:paraId="26E60F1D" w14:textId="18ED1CFF" w:rsidR="00BA420D" w:rsidRPr="00BA420D" w:rsidRDefault="00BA420D" w:rsidP="00BA420D">
      <w:pPr>
        <w:pStyle w:val="EndNoteBibliography"/>
        <w:ind w:left="540" w:hanging="540"/>
        <w:rPr>
          <w:noProof/>
        </w:rPr>
      </w:pPr>
      <w:r w:rsidRPr="00BA420D">
        <w:rPr>
          <w:noProof/>
        </w:rPr>
        <w:lastRenderedPageBreak/>
        <w:t>38.</w:t>
      </w:r>
      <w:r w:rsidRPr="00BA420D">
        <w:rPr>
          <w:noProof/>
        </w:rPr>
        <w:tab/>
        <w:t xml:space="preserve">Takahashi Y, Ishii S, Arizono H, Nishimura S, Tsuruda K, Saito N, et al. [Pharmacokinetics of buprenorphine hydrochloride (BN•HCl) (1): absorption, distribution, metabolism and excretion after percutaneous (TSN-09: BN•HCl containing tape application) or subcutaneous administration of BN•HCl in rats]. Xenobiot Metab Dispos. 2001;16:569-83. </w:t>
      </w:r>
      <w:r w:rsidRPr="008E10DF">
        <w:rPr>
          <w:noProof/>
        </w:rPr>
        <w:t>https://doi.org/10.2133/dmpk.16.569</w:t>
      </w:r>
      <w:r w:rsidRPr="00BA420D">
        <w:rPr>
          <w:noProof/>
        </w:rPr>
        <w:t>.</w:t>
      </w:r>
    </w:p>
    <w:p w14:paraId="5C74D58F" w14:textId="60C95B09" w:rsidR="00BA420D" w:rsidRPr="00BA420D" w:rsidRDefault="00BA420D" w:rsidP="00BA420D">
      <w:pPr>
        <w:pStyle w:val="EndNoteBibliography"/>
        <w:ind w:left="540" w:hanging="540"/>
        <w:rPr>
          <w:noProof/>
        </w:rPr>
      </w:pPr>
      <w:r w:rsidRPr="00BA420D">
        <w:rPr>
          <w:noProof/>
        </w:rPr>
        <w:t>39.</w:t>
      </w:r>
      <w:r w:rsidRPr="00BA420D">
        <w:rPr>
          <w:noProof/>
        </w:rPr>
        <w:tab/>
        <w:t xml:space="preserve">Hassan HE, Myers AL, Coop A, Eddington ND. Differential involvement of P-glycoprotein (ABCB1) in permeability, tissue distribution, and antinociceptive activity of methadone, buprenorphine, and diprenorphine: in vitro and in vivo evaluation. J Pharm Sci. 2009;98:4928-40. </w:t>
      </w:r>
      <w:r w:rsidRPr="008E10DF">
        <w:rPr>
          <w:noProof/>
        </w:rPr>
        <w:t>https://doi.org/10.1002/jps.21770</w:t>
      </w:r>
      <w:r w:rsidRPr="00BA420D">
        <w:rPr>
          <w:noProof/>
        </w:rPr>
        <w:t>.</w:t>
      </w:r>
    </w:p>
    <w:p w14:paraId="2FD1B1FE" w14:textId="77777777" w:rsidR="00BA420D" w:rsidRPr="00BA420D" w:rsidRDefault="00BA420D" w:rsidP="00BA420D">
      <w:pPr>
        <w:pStyle w:val="EndNoteBibliography"/>
        <w:ind w:left="540" w:hanging="540"/>
        <w:rPr>
          <w:noProof/>
        </w:rPr>
      </w:pPr>
      <w:r w:rsidRPr="00BA420D">
        <w:rPr>
          <w:noProof/>
        </w:rPr>
        <w:t>40.</w:t>
      </w:r>
      <w:r w:rsidRPr="00BA420D">
        <w:rPr>
          <w:noProof/>
        </w:rPr>
        <w:tab/>
        <w:t xml:space="preserve">Holland MJ, Carr KD, Simon EJ. Pharmacokinetics of [3H]-buprenorphine in the rat. Res Commun Chem Pathol Pharmacol. 1989;64:3-16. </w:t>
      </w:r>
    </w:p>
    <w:p w14:paraId="5A658D2A" w14:textId="21FA3F48" w:rsidR="00BA420D" w:rsidRPr="00BA420D" w:rsidRDefault="00BA420D" w:rsidP="00BA420D">
      <w:pPr>
        <w:pStyle w:val="EndNoteBibliography"/>
        <w:ind w:left="540" w:hanging="540"/>
        <w:rPr>
          <w:noProof/>
        </w:rPr>
      </w:pPr>
      <w:r w:rsidRPr="00BA420D">
        <w:rPr>
          <w:noProof/>
        </w:rPr>
        <w:t>41.</w:t>
      </w:r>
      <w:r w:rsidRPr="00BA420D">
        <w:rPr>
          <w:noProof/>
        </w:rPr>
        <w:tab/>
        <w:t xml:space="preserve">Kuhlman JJ, Jr., Lalani S, Magluilo J, Jr., Levine B, Darwin WD. Human pharmacokinetics of intravenous, sublingual, and buccal buprenorphine. J Anal Toxicol. 1996;20:369-78. </w:t>
      </w:r>
      <w:r w:rsidRPr="008E10DF">
        <w:rPr>
          <w:noProof/>
        </w:rPr>
        <w:t>https://doi.org/10.1093/jat/20.6.369</w:t>
      </w:r>
      <w:r w:rsidRPr="00BA420D">
        <w:rPr>
          <w:noProof/>
        </w:rPr>
        <w:t>.</w:t>
      </w:r>
    </w:p>
    <w:p w14:paraId="7ED82000" w14:textId="6AAEEA93" w:rsidR="00BA420D" w:rsidRPr="00BA420D" w:rsidRDefault="00BA420D" w:rsidP="00BA420D">
      <w:pPr>
        <w:pStyle w:val="EndNoteBibliography"/>
        <w:ind w:left="540" w:hanging="540"/>
        <w:rPr>
          <w:noProof/>
        </w:rPr>
      </w:pPr>
      <w:r w:rsidRPr="00BA420D">
        <w:rPr>
          <w:noProof/>
        </w:rPr>
        <w:t>42.</w:t>
      </w:r>
      <w:r w:rsidRPr="00BA420D">
        <w:rPr>
          <w:noProof/>
        </w:rPr>
        <w:tab/>
        <w:t xml:space="preserve">Picard N, Cresteil T, Djebli N, Marquet P. In vitro metabolism study of buprenorphine: evidence for new metabolic pathways. Drug Metab Dispos. 2005;33:689-95. </w:t>
      </w:r>
      <w:r w:rsidRPr="008E10DF">
        <w:rPr>
          <w:noProof/>
        </w:rPr>
        <w:t>https://doi.org/10.1124/dmd.105.003681</w:t>
      </w:r>
      <w:r w:rsidRPr="00BA420D">
        <w:rPr>
          <w:noProof/>
        </w:rPr>
        <w:t>.</w:t>
      </w:r>
    </w:p>
    <w:p w14:paraId="642FFBDC" w14:textId="42EF0D52" w:rsidR="00BA420D" w:rsidRPr="00BA420D" w:rsidRDefault="00BA420D" w:rsidP="00BA420D">
      <w:pPr>
        <w:pStyle w:val="EndNoteBibliography"/>
        <w:ind w:left="540" w:hanging="540"/>
        <w:rPr>
          <w:noProof/>
        </w:rPr>
      </w:pPr>
      <w:r w:rsidRPr="00BA420D">
        <w:rPr>
          <w:noProof/>
        </w:rPr>
        <w:t>43.</w:t>
      </w:r>
      <w:r w:rsidRPr="00BA420D">
        <w:rPr>
          <w:noProof/>
        </w:rPr>
        <w:tab/>
        <w:t xml:space="preserve">Chang Y, Moody DE. Glucuronidation of buprenorphine and norbuprenorphine by human liver microsomes and UDP-glucuronosyltransferases. Drug Metab Lett. 2009;3:101-7. </w:t>
      </w:r>
      <w:r w:rsidRPr="008E10DF">
        <w:rPr>
          <w:noProof/>
        </w:rPr>
        <w:t>https://doi.org/10.2174/187231209788654117</w:t>
      </w:r>
      <w:r w:rsidRPr="00BA420D">
        <w:rPr>
          <w:noProof/>
        </w:rPr>
        <w:t>.</w:t>
      </w:r>
    </w:p>
    <w:p w14:paraId="022D6192" w14:textId="48756822" w:rsidR="00BA420D" w:rsidRPr="00BA420D" w:rsidRDefault="00BA420D" w:rsidP="00BA420D">
      <w:pPr>
        <w:pStyle w:val="EndNoteBibliography"/>
        <w:ind w:left="540" w:hanging="540"/>
        <w:rPr>
          <w:noProof/>
        </w:rPr>
      </w:pPr>
      <w:r w:rsidRPr="00BA420D">
        <w:rPr>
          <w:noProof/>
        </w:rPr>
        <w:t>44.</w:t>
      </w:r>
      <w:r w:rsidRPr="00BA420D">
        <w:rPr>
          <w:noProof/>
        </w:rPr>
        <w:tab/>
        <w:t xml:space="preserve">Cubitt HE, Houston JB, Galetin A. Relative importance of intestinal and hepatic glucuronidation-impact on the prediction of drug clearance. Pharm Res. 2009;26:1073-83. </w:t>
      </w:r>
      <w:r w:rsidRPr="008E10DF">
        <w:rPr>
          <w:noProof/>
        </w:rPr>
        <w:t>https://doi.org/10.1007/s11095-008-9823-9</w:t>
      </w:r>
      <w:r w:rsidRPr="00BA420D">
        <w:rPr>
          <w:noProof/>
        </w:rPr>
        <w:t>.</w:t>
      </w:r>
    </w:p>
    <w:p w14:paraId="0170425F" w14:textId="77777777" w:rsidR="00BA420D" w:rsidRPr="00BA420D" w:rsidRDefault="00BA420D" w:rsidP="00BA420D">
      <w:pPr>
        <w:pStyle w:val="EndNoteBibliography"/>
        <w:ind w:left="540" w:hanging="540"/>
        <w:rPr>
          <w:noProof/>
        </w:rPr>
      </w:pPr>
      <w:r w:rsidRPr="00BA420D">
        <w:rPr>
          <w:noProof/>
        </w:rPr>
        <w:t>45.</w:t>
      </w:r>
      <w:r w:rsidRPr="00BA420D">
        <w:rPr>
          <w:noProof/>
        </w:rPr>
        <w:tab/>
        <w:t xml:space="preserve">Reckitt &amp; Colman Pharmaceuticals. NDA: 20-733 Suboxone® sublingual tablets – Clinical pharmacology/biopharmaceutics review. Richmond, VA: Reckitt &amp; Colman. 2000. </w:t>
      </w:r>
    </w:p>
    <w:p w14:paraId="383A7864" w14:textId="2978DF0C" w:rsidR="00BA420D" w:rsidRPr="00BA420D" w:rsidRDefault="00BA420D" w:rsidP="00BA420D">
      <w:pPr>
        <w:pStyle w:val="EndNoteBibliography"/>
        <w:ind w:left="540" w:hanging="540"/>
        <w:rPr>
          <w:noProof/>
        </w:rPr>
      </w:pPr>
      <w:r w:rsidRPr="00BA420D">
        <w:rPr>
          <w:noProof/>
        </w:rPr>
        <w:t>46.</w:t>
      </w:r>
      <w:r w:rsidRPr="00BA420D">
        <w:rPr>
          <w:noProof/>
        </w:rPr>
        <w:tab/>
        <w:t xml:space="preserve">Moore JN, Gastonguay MR, Ng CM, Adeniyi-Jones SC, Moody DE, Fang WB, et al. The pharmacokinetics and pharmacodynamics of buprenorphine in neonatal abstinence syndrome. Clin Pharmacol Ther. 2018;103:1029-37. </w:t>
      </w:r>
      <w:r w:rsidRPr="008E10DF">
        <w:rPr>
          <w:noProof/>
        </w:rPr>
        <w:t>https://doi.org/10.1002/cpt.1064</w:t>
      </w:r>
      <w:r w:rsidRPr="00BA420D">
        <w:rPr>
          <w:noProof/>
        </w:rPr>
        <w:t>.</w:t>
      </w:r>
    </w:p>
    <w:p w14:paraId="15794953" w14:textId="4E46CB33" w:rsidR="00BA420D" w:rsidRPr="00BA420D" w:rsidRDefault="00BA420D" w:rsidP="00BA420D">
      <w:pPr>
        <w:pStyle w:val="EndNoteBibliography"/>
        <w:ind w:left="540" w:hanging="540"/>
        <w:rPr>
          <w:noProof/>
        </w:rPr>
      </w:pPr>
      <w:r w:rsidRPr="00BA420D">
        <w:rPr>
          <w:noProof/>
        </w:rPr>
        <w:t>47.</w:t>
      </w:r>
      <w:r w:rsidRPr="00BA420D">
        <w:rPr>
          <w:noProof/>
        </w:rPr>
        <w:tab/>
        <w:t xml:space="preserve">Bullingham RE, McQuay HJ, Porter EJ, Allen MC, Moore RA. Sublingual buprenorphine used postoperatively: ten hour plasma drug concentration analysis. Br J Clin Pharmacol. 1982;13:665-73. </w:t>
      </w:r>
      <w:r w:rsidRPr="008E10DF">
        <w:rPr>
          <w:noProof/>
        </w:rPr>
        <w:t>https://doi.org/10.1111/j.1365-2125.1982.tb01434.x</w:t>
      </w:r>
      <w:r w:rsidRPr="00BA420D">
        <w:rPr>
          <w:noProof/>
        </w:rPr>
        <w:t>.</w:t>
      </w:r>
    </w:p>
    <w:p w14:paraId="74595991" w14:textId="6261D703" w:rsidR="00BA420D" w:rsidRPr="00BA420D" w:rsidRDefault="00BA420D" w:rsidP="00BA420D">
      <w:pPr>
        <w:pStyle w:val="EndNoteBibliography"/>
        <w:ind w:left="540" w:hanging="540"/>
        <w:rPr>
          <w:noProof/>
        </w:rPr>
      </w:pPr>
      <w:r w:rsidRPr="00BA420D">
        <w:rPr>
          <w:noProof/>
        </w:rPr>
        <w:lastRenderedPageBreak/>
        <w:t>48.</w:t>
      </w:r>
      <w:r w:rsidRPr="00BA420D">
        <w:rPr>
          <w:noProof/>
        </w:rPr>
        <w:tab/>
        <w:t xml:space="preserve">Bai SA, Xiang Q, Finn A. Evaluation of the pharmacokinetics of single- and multiple-dose buprenorphine buccal film in healthy volunteers. Clin Ther. 2016;38:358-69. </w:t>
      </w:r>
      <w:r w:rsidRPr="008E10DF">
        <w:rPr>
          <w:noProof/>
        </w:rPr>
        <w:t>https://doi.org/10.1016/j.clinthera.2015.12.016</w:t>
      </w:r>
      <w:r w:rsidRPr="00BA420D">
        <w:rPr>
          <w:noProof/>
        </w:rPr>
        <w:t>.</w:t>
      </w:r>
    </w:p>
    <w:p w14:paraId="54473373" w14:textId="43F450E4" w:rsidR="00BA420D" w:rsidRPr="00BA420D" w:rsidRDefault="00BA420D" w:rsidP="00BA420D">
      <w:pPr>
        <w:pStyle w:val="EndNoteBibliography"/>
        <w:ind w:left="540" w:hanging="540"/>
        <w:rPr>
          <w:noProof/>
        </w:rPr>
      </w:pPr>
      <w:r w:rsidRPr="00BA420D">
        <w:rPr>
          <w:noProof/>
        </w:rPr>
        <w:t>49.</w:t>
      </w:r>
      <w:r w:rsidRPr="00BA420D">
        <w:rPr>
          <w:noProof/>
        </w:rPr>
        <w:tab/>
        <w:t xml:space="preserve">Lim SCB, Schug S, Krishnarajah J. The pharmacokinetics and local tolerability of a novel sublingual formulation of buprenorphine. Pain Med. 2019;20:143-52. </w:t>
      </w:r>
      <w:r w:rsidRPr="008E10DF">
        <w:rPr>
          <w:noProof/>
        </w:rPr>
        <w:t>https://doi.org/10.1093/pm/pnx321</w:t>
      </w:r>
      <w:r w:rsidRPr="00BA420D">
        <w:rPr>
          <w:noProof/>
        </w:rPr>
        <w:t>.</w:t>
      </w:r>
    </w:p>
    <w:p w14:paraId="68F6847B" w14:textId="004967BA" w:rsidR="00BA420D" w:rsidRPr="00BA420D" w:rsidRDefault="00BA420D" w:rsidP="00BA420D">
      <w:pPr>
        <w:pStyle w:val="EndNoteBibliography"/>
        <w:ind w:left="540" w:hanging="540"/>
        <w:rPr>
          <w:noProof/>
        </w:rPr>
      </w:pPr>
      <w:r w:rsidRPr="00BA420D">
        <w:rPr>
          <w:noProof/>
        </w:rPr>
        <w:t>50.</w:t>
      </w:r>
      <w:r w:rsidRPr="00BA420D">
        <w:rPr>
          <w:noProof/>
        </w:rPr>
        <w:tab/>
        <w:t xml:space="preserve">Mendelson J, Upton RA, Everhart ET, Jacob P, 3rd, Jones RT. Bioavailability of sublingual buprenorphine. J Clin Pharmacol. 1997;37:31-7. </w:t>
      </w:r>
      <w:r w:rsidRPr="008E10DF">
        <w:rPr>
          <w:noProof/>
        </w:rPr>
        <w:t>https://doi.org/10.1177/009127009703700106</w:t>
      </w:r>
      <w:r w:rsidRPr="00BA420D">
        <w:rPr>
          <w:noProof/>
        </w:rPr>
        <w:t>.</w:t>
      </w:r>
    </w:p>
    <w:p w14:paraId="5590DAC8" w14:textId="11D9EB83" w:rsidR="00BA420D" w:rsidRPr="00BA420D" w:rsidRDefault="00BA420D" w:rsidP="00BA420D">
      <w:pPr>
        <w:pStyle w:val="EndNoteBibliography"/>
        <w:ind w:left="540" w:hanging="540"/>
        <w:rPr>
          <w:noProof/>
        </w:rPr>
      </w:pPr>
      <w:r w:rsidRPr="00BA420D">
        <w:rPr>
          <w:noProof/>
        </w:rPr>
        <w:t>51.</w:t>
      </w:r>
      <w:r w:rsidRPr="00BA420D">
        <w:rPr>
          <w:noProof/>
        </w:rPr>
        <w:tab/>
        <w:t xml:space="preserve">Huestis MA, Cone EJ, Pirnay SO, Umbricht A, Preston KL. Intravenous buprenorphine and norbuprenorphine pharmacokinetics in humans. Drug Alcohol Depend. 2013;131:258-62. </w:t>
      </w:r>
      <w:r w:rsidRPr="008E10DF">
        <w:rPr>
          <w:noProof/>
        </w:rPr>
        <w:t>https://doi.org/10.1016/j.drugalcdep.2012.11.014</w:t>
      </w:r>
      <w:r w:rsidRPr="00BA420D">
        <w:rPr>
          <w:noProof/>
        </w:rPr>
        <w:t>.</w:t>
      </w:r>
    </w:p>
    <w:p w14:paraId="317BE849" w14:textId="5F0F5874" w:rsidR="00BA420D" w:rsidRPr="00BA420D" w:rsidRDefault="00BA420D" w:rsidP="00BA420D">
      <w:pPr>
        <w:pStyle w:val="EndNoteBibliography"/>
        <w:ind w:left="540" w:hanging="540"/>
        <w:rPr>
          <w:noProof/>
        </w:rPr>
      </w:pPr>
      <w:r w:rsidRPr="00BA420D">
        <w:rPr>
          <w:noProof/>
        </w:rPr>
        <w:t>52.</w:t>
      </w:r>
      <w:r w:rsidRPr="00BA420D">
        <w:rPr>
          <w:noProof/>
        </w:rPr>
        <w:tab/>
        <w:t xml:space="preserve">McAleer SD, Mills RJ, Polack T, Hussain T, Rolan PE, Gibbs AD, et al. Pharmacokinetics of high-dose buprenorphine following single administration of sublingual tablet formulations in opioid naïve healthy male volunteers under a naltrexone block. Drug Alcohol Depend. 2003;72:75-83. </w:t>
      </w:r>
      <w:r w:rsidRPr="008E10DF">
        <w:rPr>
          <w:noProof/>
        </w:rPr>
        <w:t>https://doi.org/10.1016/s0376-8716(03)00188-1</w:t>
      </w:r>
      <w:r w:rsidRPr="00BA420D">
        <w:rPr>
          <w:noProof/>
        </w:rPr>
        <w:t>.</w:t>
      </w:r>
    </w:p>
    <w:p w14:paraId="20DD9DAA" w14:textId="2CE1847E" w:rsidR="00BA420D" w:rsidRPr="00BA420D" w:rsidRDefault="00BA420D" w:rsidP="00BA420D">
      <w:pPr>
        <w:pStyle w:val="EndNoteBibliography"/>
        <w:ind w:left="540" w:hanging="540"/>
        <w:rPr>
          <w:noProof/>
        </w:rPr>
      </w:pPr>
      <w:r w:rsidRPr="00BA420D">
        <w:rPr>
          <w:noProof/>
        </w:rPr>
        <w:t>53.</w:t>
      </w:r>
      <w:r w:rsidRPr="00BA420D">
        <w:rPr>
          <w:noProof/>
        </w:rPr>
        <w:tab/>
        <w:t xml:space="preserve">Jönsson M, Mundin G, Sumner M. Pharmacokinetic and pharmaceutical properties of a novel buprenorphine/naloxone sublingual tablet for opioid substitution therapy versus conventional buprenorphine/naloxone sublingual tablet in healthy volunteers. Eur J Pharm Sci. 2018;122:125-33. </w:t>
      </w:r>
      <w:r w:rsidRPr="008E10DF">
        <w:rPr>
          <w:noProof/>
        </w:rPr>
        <w:t>https://doi.org/10.1016/j.ejps.2018.06.024</w:t>
      </w:r>
      <w:r w:rsidRPr="00BA420D">
        <w:rPr>
          <w:noProof/>
        </w:rPr>
        <w:t>.</w:t>
      </w:r>
    </w:p>
    <w:p w14:paraId="356AF558" w14:textId="5F2C2676" w:rsidR="00BA420D" w:rsidRPr="00BA420D" w:rsidRDefault="00BA420D" w:rsidP="00BA420D">
      <w:pPr>
        <w:pStyle w:val="EndNoteBibliography"/>
        <w:ind w:left="540" w:hanging="540"/>
        <w:rPr>
          <w:noProof/>
        </w:rPr>
      </w:pPr>
      <w:r w:rsidRPr="00BA420D">
        <w:rPr>
          <w:noProof/>
        </w:rPr>
        <w:t>54.</w:t>
      </w:r>
      <w:r w:rsidRPr="00BA420D">
        <w:rPr>
          <w:noProof/>
        </w:rPr>
        <w:tab/>
        <w:t xml:space="preserve">Moody DE, Fang WB, Morrison J, McCance-Katz E. Gender differences in pharmacokinetics of maintenance dosed buprenorphine. Drug Alcohol Depend. 2011;118:479-83. </w:t>
      </w:r>
      <w:r w:rsidRPr="008E10DF">
        <w:rPr>
          <w:noProof/>
        </w:rPr>
        <w:t>https://doi.org/10.1016/j.drugalcdep.2011.03.024</w:t>
      </w:r>
      <w:r w:rsidRPr="00BA420D">
        <w:rPr>
          <w:noProof/>
        </w:rPr>
        <w:t>.</w:t>
      </w:r>
    </w:p>
    <w:p w14:paraId="2B55D7D4" w14:textId="77777777" w:rsidR="00BA420D" w:rsidRPr="00BA420D" w:rsidRDefault="00BA420D" w:rsidP="00BA420D">
      <w:pPr>
        <w:pStyle w:val="EndNoteBibliography"/>
        <w:ind w:left="540" w:hanging="540"/>
        <w:rPr>
          <w:noProof/>
        </w:rPr>
      </w:pPr>
      <w:r w:rsidRPr="00BA420D">
        <w:rPr>
          <w:noProof/>
        </w:rPr>
        <w:t>55.</w:t>
      </w:r>
      <w:r w:rsidRPr="00BA420D">
        <w:rPr>
          <w:noProof/>
        </w:rPr>
        <w:tab/>
        <w:t xml:space="preserve">Cone EJ, Dickerson SL, Darwin WD, Fudala P, Johnson RE. Elevated drug saliva levels suggest a "depot-like" effect in subjects treated with sublingual buprenorphine. NIDA Res Monogr. 1990;105:569. </w:t>
      </w:r>
    </w:p>
    <w:p w14:paraId="159A3420" w14:textId="449BFBD3" w:rsidR="00BA420D" w:rsidRPr="00BA420D" w:rsidRDefault="00BA420D" w:rsidP="00BA420D">
      <w:pPr>
        <w:pStyle w:val="EndNoteBibliography"/>
        <w:ind w:left="540" w:hanging="540"/>
        <w:rPr>
          <w:noProof/>
        </w:rPr>
      </w:pPr>
      <w:r w:rsidRPr="00BA420D">
        <w:rPr>
          <w:noProof/>
        </w:rPr>
        <w:t>56.</w:t>
      </w:r>
      <w:r w:rsidRPr="00BA420D">
        <w:rPr>
          <w:noProof/>
        </w:rPr>
        <w:tab/>
        <w:t xml:space="preserve">Rodgers T, Rowland M. Physiologically based pharmacokinetic modelling 2: predicting the tissue distribution of acids, very weak bases, neutrals and zwitterions. J Pharm Sci. 2006;95:1238-57. </w:t>
      </w:r>
      <w:r w:rsidRPr="008E10DF">
        <w:rPr>
          <w:noProof/>
        </w:rPr>
        <w:t>https://doi.org/10.1002/jps.20502</w:t>
      </w:r>
      <w:r w:rsidRPr="00BA420D">
        <w:rPr>
          <w:noProof/>
        </w:rPr>
        <w:t>.</w:t>
      </w:r>
    </w:p>
    <w:p w14:paraId="6C68E8F5" w14:textId="3C63D8CF" w:rsidR="00BA420D" w:rsidRPr="00BA420D" w:rsidRDefault="00BA420D" w:rsidP="00BA420D">
      <w:pPr>
        <w:pStyle w:val="EndNoteBibliography"/>
        <w:ind w:left="540" w:hanging="540"/>
        <w:rPr>
          <w:noProof/>
        </w:rPr>
      </w:pPr>
      <w:r w:rsidRPr="00BA420D">
        <w:rPr>
          <w:noProof/>
        </w:rPr>
        <w:t>57.</w:t>
      </w:r>
      <w:r w:rsidRPr="00BA420D">
        <w:rPr>
          <w:noProof/>
        </w:rPr>
        <w:tab/>
        <w:t xml:space="preserve">Yassen A, Olofsen E, Romberg R, Sarton E, Teppema L, Danhof M, et al. Mechanism-based PK/PD modeling of the respiratory depressant effect of buprenorphine and fentanyl in </w:t>
      </w:r>
      <w:r w:rsidRPr="00BA420D">
        <w:rPr>
          <w:noProof/>
        </w:rPr>
        <w:lastRenderedPageBreak/>
        <w:t xml:space="preserve">healthy volunteers. Clin Pharmacol Ther. 2007;81:50-8. </w:t>
      </w:r>
      <w:r w:rsidRPr="008E10DF">
        <w:rPr>
          <w:noProof/>
        </w:rPr>
        <w:t>https://doi.org/10.1038/sj.clpt.6100025</w:t>
      </w:r>
      <w:r w:rsidRPr="00BA420D">
        <w:rPr>
          <w:noProof/>
        </w:rPr>
        <w:t>.</w:t>
      </w:r>
    </w:p>
    <w:p w14:paraId="14E55674" w14:textId="689D8F21" w:rsidR="00BA420D" w:rsidRPr="00BA420D" w:rsidRDefault="00BA420D" w:rsidP="00BA420D">
      <w:pPr>
        <w:pStyle w:val="EndNoteBibliography"/>
        <w:ind w:left="540" w:hanging="540"/>
        <w:rPr>
          <w:noProof/>
        </w:rPr>
      </w:pPr>
      <w:r w:rsidRPr="00BA420D">
        <w:rPr>
          <w:noProof/>
        </w:rPr>
        <w:t>58.</w:t>
      </w:r>
      <w:r w:rsidRPr="00BA420D">
        <w:rPr>
          <w:noProof/>
        </w:rPr>
        <w:tab/>
        <w:t xml:space="preserve">Boom M, Niesters M, Sarton E, Aarts L, Smith TW, Dahan A. Non-analgesic effects of opioids: opioid-induced respiratory depression. Curr Pharm Des. 2012;18:5994-6004. </w:t>
      </w:r>
      <w:r w:rsidRPr="008E10DF">
        <w:rPr>
          <w:noProof/>
        </w:rPr>
        <w:t>https://doi.org/10.2174/138161212803582469</w:t>
      </w:r>
      <w:r w:rsidRPr="00BA420D">
        <w:rPr>
          <w:noProof/>
        </w:rPr>
        <w:t>.</w:t>
      </w:r>
    </w:p>
    <w:p w14:paraId="2E77FC4D" w14:textId="009DB107" w:rsidR="00E53FB0" w:rsidRDefault="00BA420D" w:rsidP="00BA420D">
      <w:pPr>
        <w:pStyle w:val="EndNoteBibliography"/>
        <w:ind w:left="540" w:hanging="540"/>
      </w:pPr>
      <w:r w:rsidRPr="00BA420D">
        <w:rPr>
          <w:noProof/>
        </w:rPr>
        <w:t>59.</w:t>
      </w:r>
      <w:r w:rsidRPr="00BA420D">
        <w:rPr>
          <w:noProof/>
        </w:rPr>
        <w:tab/>
        <w:t xml:space="preserve">Upton RN, Semple TJ, Macintyre PE. Pharmacokinetic optimisation of opioid treatment in acute pain therapy. Clin Pharmacokinet. 1997;33:225-44. </w:t>
      </w:r>
      <w:r w:rsidRPr="008E10DF">
        <w:rPr>
          <w:noProof/>
        </w:rPr>
        <w:t>https://doi.org/10.2165/00003088-199733030-00005</w:t>
      </w:r>
      <w:r w:rsidRPr="00BA420D">
        <w:rPr>
          <w:noProof/>
        </w:rPr>
        <w:t>.</w:t>
      </w:r>
      <w:r w:rsidR="00E53FB0">
        <w:br w:type="page"/>
      </w:r>
    </w:p>
    <w:p w14:paraId="32D3796E" w14:textId="33F5A9D9" w:rsidR="00231A6C" w:rsidRDefault="00231A6C" w:rsidP="00231A6C">
      <w:pPr>
        <w:spacing w:after="240" w:line="360" w:lineRule="auto"/>
        <w:jc w:val="both"/>
      </w:pPr>
      <w:r w:rsidRPr="0018630F">
        <w:rPr>
          <w:b/>
          <w:bCs/>
        </w:rPr>
        <w:lastRenderedPageBreak/>
        <w:t>Acknowledgments</w:t>
      </w:r>
      <w:r>
        <w:rPr>
          <w:b/>
          <w:bCs/>
        </w:rPr>
        <w:t xml:space="preserve">: </w:t>
      </w:r>
      <w:r>
        <w:t>The graphical abstract of this manuscript was partly created with BioRender.com.</w:t>
      </w:r>
    </w:p>
    <w:p w14:paraId="1C07D697" w14:textId="40749841" w:rsidR="00231A6C" w:rsidRPr="00E53FB0" w:rsidRDefault="00231A6C" w:rsidP="00231A6C">
      <w:pPr>
        <w:spacing w:after="240" w:line="360" w:lineRule="auto"/>
        <w:jc w:val="both"/>
      </w:pPr>
      <w:r w:rsidRPr="00E53FB0">
        <w:rPr>
          <w:b/>
          <w:bCs/>
        </w:rPr>
        <w:t>Funding</w:t>
      </w:r>
      <w:r>
        <w:rPr>
          <w:b/>
          <w:bCs/>
        </w:rPr>
        <w:t xml:space="preserve">: </w:t>
      </w:r>
      <w:r w:rsidRPr="00F17D12">
        <w:t>The</w:t>
      </w:r>
      <w:r>
        <w:t xml:space="preserve"> project </w:t>
      </w:r>
      <w:r w:rsidRPr="00F17D12">
        <w:t>described</w:t>
      </w:r>
      <w:r>
        <w:t xml:space="preserve"> </w:t>
      </w:r>
      <w:r w:rsidRPr="00F17D12">
        <w:t>was</w:t>
      </w:r>
      <w:r>
        <w:t xml:space="preserve"> </w:t>
      </w:r>
      <w:r w:rsidRPr="00F17D12">
        <w:t>supported</w:t>
      </w:r>
      <w:r>
        <w:t xml:space="preserve"> </w:t>
      </w:r>
      <w:r w:rsidRPr="00F17D12">
        <w:t>in</w:t>
      </w:r>
      <w:r>
        <w:t xml:space="preserve"> </w:t>
      </w:r>
      <w:r w:rsidRPr="00F17D12">
        <w:t>part</w:t>
      </w:r>
      <w:r>
        <w:t xml:space="preserve"> </w:t>
      </w:r>
      <w:r w:rsidRPr="00F17D12">
        <w:t>by</w:t>
      </w:r>
      <w:r>
        <w:t xml:space="preserve"> the National Center for Advancing Translational Sciences of the National Institutes of Health (NIH), under Award Number 2UL1TR001425-05A1, and </w:t>
      </w:r>
      <w:r w:rsidRPr="00F17D12">
        <w:t>the</w:t>
      </w:r>
      <w:r>
        <w:t xml:space="preserve"> </w:t>
      </w:r>
      <w:r w:rsidRPr="00F17D12">
        <w:t xml:space="preserve">Maternal and Pediatric Precision in Therapeutics (MPRINT) Knowledge &amp; Research Coordination Center (KRCC) of the Eunice Kennedy Shriver National Institute of Child Health and Human Development (NICHD), under Award Number 1P30HD106451. The content is solely the responsibility of the authors and does not necessarily represent the official views of the </w:t>
      </w:r>
      <w:r>
        <w:t>NIH and the NICHD</w:t>
      </w:r>
      <w:r w:rsidRPr="00F17D12">
        <w:t>.</w:t>
      </w:r>
      <w:r>
        <w:t xml:space="preserve"> M.W.v.H. was supported by the </w:t>
      </w:r>
      <w:r w:rsidRPr="008F57F8">
        <w:t>Rieveschl/Parke-Davis Doctoral Candidacy Scholarship</w:t>
      </w:r>
      <w:r>
        <w:t xml:space="preserve"> of the University of Cincinnati.</w:t>
      </w:r>
    </w:p>
    <w:p w14:paraId="50341652" w14:textId="3A523585" w:rsidR="008C17AF" w:rsidRPr="00E53FB0" w:rsidRDefault="008C17AF" w:rsidP="008C17AF">
      <w:pPr>
        <w:spacing w:after="240" w:line="360" w:lineRule="auto"/>
        <w:jc w:val="both"/>
      </w:pPr>
      <w:r w:rsidRPr="00E53FB0">
        <w:rPr>
          <w:b/>
          <w:bCs/>
        </w:rPr>
        <w:t>Conflict of interest</w:t>
      </w:r>
      <w:r>
        <w:rPr>
          <w:b/>
          <w:bCs/>
        </w:rPr>
        <w:t xml:space="preserve">: </w:t>
      </w:r>
      <w:r w:rsidRPr="00C84DFC">
        <w:t>T.N.J. is an employee of Certara UK Limited, Simcyp Division.</w:t>
      </w:r>
      <w:r>
        <w:t xml:space="preserve"> </w:t>
      </w:r>
      <w:r w:rsidRPr="00C84DFC">
        <w:t>All other authors declared no competing interests for this work.</w:t>
      </w:r>
    </w:p>
    <w:p w14:paraId="4DD6116E" w14:textId="7D2C03D6" w:rsidR="00F915DB" w:rsidRDefault="008C17AF" w:rsidP="00F915DB">
      <w:pPr>
        <w:spacing w:after="240" w:line="360" w:lineRule="auto"/>
        <w:jc w:val="both"/>
      </w:pPr>
      <w:r>
        <w:rPr>
          <w:b/>
          <w:bCs/>
        </w:rPr>
        <w:t xml:space="preserve">Author contribution: </w:t>
      </w:r>
      <w:r>
        <w:t>M.W.v.H</w:t>
      </w:r>
      <w:r w:rsidRPr="008C17AF">
        <w:t xml:space="preserve">, wrote the manuscript. </w:t>
      </w:r>
      <w:r>
        <w:t>M.W.v.H, A.A.V.,</w:t>
      </w:r>
      <w:r w:rsidRPr="008C17AF">
        <w:t xml:space="preserve"> and </w:t>
      </w:r>
      <w:r>
        <w:t>T</w:t>
      </w:r>
      <w:r w:rsidRPr="008C17AF">
        <w:t xml:space="preserve">.M. designed the research, </w:t>
      </w:r>
      <w:r>
        <w:t>M.W.v.H, T.N.J,</w:t>
      </w:r>
      <w:r w:rsidRPr="008C17AF">
        <w:t xml:space="preserve"> and </w:t>
      </w:r>
      <w:r>
        <w:t>T</w:t>
      </w:r>
      <w:r w:rsidRPr="008C17AF">
        <w:t xml:space="preserve">.M. performed the research, and </w:t>
      </w:r>
      <w:r>
        <w:t>M.W.v.H, T.N.J., A.A.V.,</w:t>
      </w:r>
      <w:r w:rsidRPr="008C17AF">
        <w:t xml:space="preserve"> and </w:t>
      </w:r>
      <w:r>
        <w:t>T</w:t>
      </w:r>
      <w:r w:rsidRPr="008C17AF">
        <w:t>.M. analyzed the data.</w:t>
      </w:r>
      <w:r w:rsidR="00F915DB">
        <w:br w:type="page"/>
      </w:r>
    </w:p>
    <w:p w14:paraId="5B690306" w14:textId="77777777" w:rsidR="00F915DB" w:rsidRDefault="00F915DB" w:rsidP="00F915DB">
      <w:pPr>
        <w:spacing w:after="240" w:line="360" w:lineRule="auto"/>
        <w:jc w:val="both"/>
      </w:pPr>
      <w:r>
        <w:rPr>
          <w:b/>
          <w:bCs/>
        </w:rPr>
        <w:t>Figure legends</w:t>
      </w:r>
    </w:p>
    <w:p w14:paraId="66A5EEFE" w14:textId="77777777" w:rsidR="00F915DB" w:rsidRDefault="00F915DB" w:rsidP="00F915DB">
      <w:pPr>
        <w:spacing w:after="240" w:line="360" w:lineRule="auto"/>
        <w:jc w:val="both"/>
      </w:pPr>
      <w:r w:rsidRPr="005E767C">
        <w:rPr>
          <w:b/>
          <w:bCs/>
        </w:rPr>
        <w:t>Figure 1.</w:t>
      </w:r>
      <w:r>
        <w:t xml:space="preserve"> Full</w:t>
      </w:r>
      <w:r w:rsidRPr="00DC2165">
        <w:t xml:space="preserve"> </w:t>
      </w:r>
      <w:r>
        <w:t>physiologically-based pharmacokinetic (PBPK)</w:t>
      </w:r>
      <w:r w:rsidRPr="00DC2165">
        <w:t xml:space="preserve"> model</w:t>
      </w:r>
      <w:r>
        <w:t xml:space="preserve"> structure. The s</w:t>
      </w:r>
      <w:r w:rsidRPr="00456880">
        <w:t xml:space="preserve">ublingual route of administration is not available in Simcyp; </w:t>
      </w:r>
      <w:r>
        <w:t xml:space="preserve">sublingual </w:t>
      </w:r>
      <w:r w:rsidRPr="00456880">
        <w:t xml:space="preserve">absorption is therefore mimicked by employing the </w:t>
      </w:r>
      <w:r>
        <w:t>first-order inhalation model in combination with the inhaled route of administration. The proportion of the dose inhaled equals the proportion sublingually absorbed. The remaining fraction of the dose is swallowed.</w:t>
      </w:r>
    </w:p>
    <w:p w14:paraId="06CE831C" w14:textId="77777777" w:rsidR="00F915DB" w:rsidRPr="008B6850" w:rsidRDefault="00F915DB" w:rsidP="00F915DB">
      <w:pPr>
        <w:spacing w:after="240" w:line="360" w:lineRule="auto"/>
        <w:jc w:val="both"/>
      </w:pPr>
      <w:r w:rsidRPr="005E767C">
        <w:rPr>
          <w:b/>
          <w:bCs/>
        </w:rPr>
        <w:t>Figure 2.</w:t>
      </w:r>
      <w:r>
        <w:t xml:space="preserve"> </w:t>
      </w:r>
      <w:r w:rsidRPr="00514B81">
        <w:t xml:space="preserve">Physiologically-based pharmacokinetic (PBPK) model-predicted and observed concentration-time profiles of buprenorphine following intravenous </w:t>
      </w:r>
      <w:r>
        <w:t xml:space="preserve">(i.v.) </w:t>
      </w:r>
      <w:r w:rsidRPr="00514B81">
        <w:t xml:space="preserve">administration. Blue solid line and shaded area represent the mean and 5th to 95th percentile range of the virtual population (n = 100), respectively. Open circles represent individual observations. Closed circles </w:t>
      </w:r>
      <w:r>
        <w:t>and</w:t>
      </w:r>
      <w:r w:rsidRPr="00514B81">
        <w:t xml:space="preserve"> whiskers represent mean and standard deviation of the observations, respectively.</w:t>
      </w:r>
      <w:r>
        <w:t xml:space="preserve"> References for reported observations are provided in </w:t>
      </w:r>
      <w:r>
        <w:rPr>
          <w:b/>
          <w:bCs/>
        </w:rPr>
        <w:t>Table 2</w:t>
      </w:r>
      <w:r>
        <w:t>.</w:t>
      </w:r>
    </w:p>
    <w:p w14:paraId="3B886DD0" w14:textId="5AA39775" w:rsidR="00F915DB" w:rsidRDefault="00F915DB" w:rsidP="00F915DB">
      <w:pPr>
        <w:spacing w:after="240" w:line="360" w:lineRule="auto"/>
        <w:jc w:val="both"/>
      </w:pPr>
      <w:r w:rsidRPr="005E767C">
        <w:rPr>
          <w:b/>
          <w:bCs/>
        </w:rPr>
        <w:t xml:space="preserve">Figure </w:t>
      </w:r>
      <w:r>
        <w:rPr>
          <w:b/>
          <w:bCs/>
        </w:rPr>
        <w:t>3</w:t>
      </w:r>
      <w:r w:rsidRPr="005E767C">
        <w:rPr>
          <w:b/>
          <w:bCs/>
        </w:rPr>
        <w:t>.</w:t>
      </w:r>
      <w:r>
        <w:t xml:space="preserve"> Proportion of the dose required by the physiologically-based pharmacokinetic (PBPK)</w:t>
      </w:r>
      <w:r w:rsidRPr="00DC2165">
        <w:t xml:space="preserve"> model</w:t>
      </w:r>
      <w:r>
        <w:t xml:space="preserve"> to be sublingually absorbed to exactly recover the (</w:t>
      </w:r>
      <w:r w:rsidRPr="00077AB4">
        <w:rPr>
          <w:b/>
          <w:bCs/>
        </w:rPr>
        <w:t>a</w:t>
      </w:r>
      <w:r>
        <w:t>) area under the curve (AUC;</w:t>
      </w:r>
      <w:r w:rsidRPr="007F76D7">
        <w:rPr>
          <w:i/>
          <w:iCs/>
        </w:rPr>
        <w:t xml:space="preserve"> i.e.</w:t>
      </w:r>
      <w:r>
        <w:t>, AUC</w:t>
      </w:r>
      <w:r w:rsidRPr="007F76D7">
        <w:rPr>
          <w:vertAlign w:val="subscript"/>
        </w:rPr>
        <w:t>0–</w:t>
      </w:r>
      <w:r w:rsidRPr="00E43E85">
        <w:rPr>
          <w:sz w:val="2"/>
          <w:szCs w:val="2"/>
          <w:vertAlign w:val="subscript"/>
        </w:rPr>
        <w:t> </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and (</w:t>
      </w:r>
      <w:r w:rsidRPr="00077AB4">
        <w:rPr>
          <w:b/>
          <w:bCs/>
        </w:rPr>
        <w:t>b</w:t>
      </w:r>
      <w:r>
        <w:t>) peak concentration (C</w:t>
      </w:r>
      <w:r w:rsidRPr="001A585B">
        <w:rPr>
          <w:vertAlign w:val="subscript"/>
        </w:rPr>
        <w:t>max</w:t>
      </w:r>
      <w:r>
        <w:t>) observed in the clinical trial (</w:t>
      </w:r>
      <w:r w:rsidRPr="005955C3">
        <w:rPr>
          <w:i/>
          <w:iCs/>
        </w:rPr>
        <w:t>i.e.</w:t>
      </w:r>
      <w:r>
        <w:t>, ideal proportion) across dose. Blue and orange circles (●), triangles (</w:t>
      </w:r>
      <w:r w:rsidRPr="007B347A">
        <w:rPr>
          <w:sz w:val="20"/>
          <w:szCs w:val="20"/>
        </w:rPr>
        <w:t>▲</w:t>
      </w:r>
      <w:r>
        <w:t>), and diamonds (</w:t>
      </w:r>
      <w:r w:rsidRPr="007B347A">
        <w:rPr>
          <w:rFonts w:eastAsia="Segoe UI Symbol" w:hint="eastAsia"/>
          <w:sz w:val="18"/>
          <w:szCs w:val="18"/>
        </w:rPr>
        <w:t>◆</w:t>
      </w:r>
      <w:r>
        <w:rPr>
          <w:rFonts w:eastAsia="Segoe UI Symbol" w:hint="eastAsia"/>
        </w:rPr>
        <w:t>)</w:t>
      </w:r>
      <w:r>
        <w:rPr>
          <w:rFonts w:eastAsia="Segoe UI Symbol"/>
        </w:rPr>
        <w:t xml:space="preserve"> </w:t>
      </w:r>
      <w:r>
        <w:t xml:space="preserve">represent sublingual tablet and solution data obtained from </w:t>
      </w:r>
      <w:r w:rsidR="002E7A65">
        <w:rPr>
          <w:noProof/>
        </w:rPr>
        <w:t>Harris et al. [26]</w:t>
      </w:r>
      <w:r>
        <w:t>,</w:t>
      </w:r>
      <w:r w:rsidR="00752337">
        <w:t xml:space="preserve"> </w:t>
      </w:r>
      <w:r w:rsidR="00C433A6">
        <w:rPr>
          <w:noProof/>
        </w:rPr>
        <w:t>Schuh and Johanson [23]</w:t>
      </w:r>
      <w:r>
        <w:t xml:space="preserve">, and </w:t>
      </w:r>
      <w:r w:rsidR="002E7A65">
        <w:rPr>
          <w:noProof/>
        </w:rPr>
        <w:t>Dong et al. [28]</w:t>
      </w:r>
      <w:r>
        <w:t xml:space="preserve"> respectively. Blue and orange dotted lines represent linear regression models with logarithmically transformed dose for buprenorphine tablets and solution, respectively. Respective shaded areas represent the 95% confidence interval (CI) of the regression models. Associated linear-log equations are shown in the upper right corners (where dose is in milligrams and </w:t>
      </w:r>
      <w:r w:rsidRPr="003D2FB6">
        <w:t>logarithm</w:t>
      </w:r>
      <w:r>
        <w:t xml:space="preserve"> base is 10), with </w:t>
      </w:r>
      <w:r w:rsidRPr="00077AB4">
        <w:t>coefficient</w:t>
      </w:r>
      <w:r>
        <w:t>s</w:t>
      </w:r>
      <w:r w:rsidRPr="00077AB4">
        <w:t xml:space="preserve"> of determination</w:t>
      </w:r>
      <w:r>
        <w:t xml:space="preserve"> (</w:t>
      </w:r>
      <w:r w:rsidRPr="00051EB6">
        <w:rPr>
          <w:i/>
          <w:iCs/>
        </w:rPr>
        <w:t>R</w:t>
      </w:r>
      <w:r w:rsidRPr="00077AB4">
        <w:rPr>
          <w:vertAlign w:val="superscript"/>
        </w:rPr>
        <w:t>2</w:t>
      </w:r>
      <w:r>
        <w:t>) shown in the lower-left corners. The final buprenorphine PBPK model uses the average of the AUC- and C</w:t>
      </w:r>
      <w:r w:rsidRPr="00D742E4">
        <w:rPr>
          <w:vertAlign w:val="subscript"/>
        </w:rPr>
        <w:t>max</w:t>
      </w:r>
      <w:r>
        <w:noBreakHyphen/>
        <w:t xml:space="preserve">optimized equations, </w:t>
      </w:r>
      <w:r w:rsidRPr="00D742E4">
        <w:rPr>
          <w:i/>
          <w:iCs/>
        </w:rPr>
        <w:t>i.e.</w:t>
      </w:r>
      <w:r>
        <w:t xml:space="preserve">, proportion sublingually absorbed equals </w:t>
      </w:r>
      <w:r w:rsidRPr="00D742E4">
        <w:t xml:space="preserve">38.1 – 19.7 × </w:t>
      </w:r>
      <w:r w:rsidRPr="00AB08D4">
        <w:rPr>
          <w:i/>
          <w:iCs/>
        </w:rPr>
        <w:t>log</w:t>
      </w:r>
      <w:r w:rsidRPr="00D742E4">
        <w:t>(Dose)</w:t>
      </w:r>
      <w:r>
        <w:t xml:space="preserve"> and </w:t>
      </w:r>
      <w:r w:rsidRPr="00D742E4">
        <w:t xml:space="preserve">53.3 – 25.6 × </w:t>
      </w:r>
      <w:r w:rsidRPr="00AB08D4">
        <w:rPr>
          <w:i/>
          <w:iCs/>
        </w:rPr>
        <w:t>log</w:t>
      </w:r>
      <w:r w:rsidRPr="00D742E4">
        <w:t xml:space="preserve">(Dose) </w:t>
      </w:r>
      <w:r>
        <w:t>for sublingual tablets and solution, respectively.</w:t>
      </w:r>
    </w:p>
    <w:p w14:paraId="7BE99794" w14:textId="77777777" w:rsidR="00F915DB" w:rsidRDefault="00F915DB" w:rsidP="00F915DB">
      <w:pPr>
        <w:spacing w:after="240" w:line="360" w:lineRule="auto"/>
        <w:jc w:val="both"/>
      </w:pPr>
      <w:r w:rsidRPr="0052624A">
        <w:rPr>
          <w:b/>
          <w:bCs/>
        </w:rPr>
        <w:t xml:space="preserve">Figure </w:t>
      </w:r>
      <w:r>
        <w:rPr>
          <w:b/>
          <w:bCs/>
        </w:rPr>
        <w:t>4</w:t>
      </w:r>
      <w:r w:rsidRPr="00AE0D78">
        <w:t>.</w:t>
      </w:r>
      <w:r>
        <w:t xml:space="preserve"> </w:t>
      </w:r>
      <w:r w:rsidRPr="00514B81">
        <w:t xml:space="preserve">Physiologically-based pharmacokinetic (PBPK) model-predicted and observed concentration-time profiles of buprenorphine following </w:t>
      </w:r>
      <w:r>
        <w:t>sublingual</w:t>
      </w:r>
      <w:r w:rsidRPr="00514B81">
        <w:t xml:space="preserve"> </w:t>
      </w:r>
      <w:r>
        <w:t xml:space="preserve">(s.l.) </w:t>
      </w:r>
      <w:r w:rsidRPr="00514B81">
        <w:t xml:space="preserve">administration. Blue solid line and shaded area represent the mean and 5th to 95th percentile range of the virtual population (n = 100), respectively. Open circles represent individual observations. Closed circles </w:t>
      </w:r>
      <w:r>
        <w:t>and</w:t>
      </w:r>
      <w:r w:rsidRPr="00514B81">
        <w:t xml:space="preserve"> whiskers represent mean and standard deviation of the observations, respectively.</w:t>
      </w:r>
      <w:r>
        <w:t xml:space="preserve"> References for reported observations are provided in </w:t>
      </w:r>
      <w:r>
        <w:rPr>
          <w:b/>
          <w:bCs/>
        </w:rPr>
        <w:t>Table 3 and 4</w:t>
      </w:r>
      <w:r>
        <w:t>.</w:t>
      </w:r>
    </w:p>
    <w:p w14:paraId="4B6912DC" w14:textId="77777777" w:rsidR="00F915DB" w:rsidRPr="00272706" w:rsidRDefault="00F915DB" w:rsidP="00F915DB">
      <w:pPr>
        <w:spacing w:after="240" w:line="360" w:lineRule="auto"/>
        <w:jc w:val="both"/>
      </w:pPr>
      <w:r w:rsidRPr="0052624A">
        <w:rPr>
          <w:b/>
          <w:bCs/>
        </w:rPr>
        <w:t xml:space="preserve">Figure </w:t>
      </w:r>
      <w:r>
        <w:rPr>
          <w:b/>
          <w:bCs/>
        </w:rPr>
        <w:t>5</w:t>
      </w:r>
      <w:r w:rsidRPr="00AE0D78">
        <w:t>.</w:t>
      </w:r>
      <w:r>
        <w:t xml:space="preserve"> Goodness-of-fit plots for the final sublingual buprenorphine physiologically-based pharmacokinetic (PBPK)</w:t>
      </w:r>
      <w:r w:rsidRPr="00DC2165">
        <w:t xml:space="preserve"> </w:t>
      </w:r>
      <w:r>
        <w:t>model, showing PBPK model-based predicted versus observed (</w:t>
      </w:r>
      <w:r w:rsidRPr="0052624A">
        <w:rPr>
          <w:b/>
          <w:bCs/>
        </w:rPr>
        <w:t>a</w:t>
      </w:r>
      <w:r>
        <w:t>) area under curve (AUC;</w:t>
      </w:r>
      <w:r w:rsidRPr="007F76D7">
        <w:rPr>
          <w:i/>
          <w:iCs/>
        </w:rPr>
        <w:t xml:space="preserve"> i.e.</w:t>
      </w:r>
      <w:r>
        <w:t>, AUC</w:t>
      </w:r>
      <w:r w:rsidRPr="007F76D7">
        <w:rPr>
          <w:vertAlign w:val="subscript"/>
        </w:rPr>
        <w:t>0–</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w:t>
      </w:r>
      <w:r w:rsidRPr="00E836E4">
        <w:rPr>
          <w:b/>
          <w:bCs/>
        </w:rPr>
        <w:t>b</w:t>
      </w:r>
      <w:r>
        <w:t>) apparent clearance (CL/F), (</w:t>
      </w:r>
      <w:r w:rsidRPr="00E836E4">
        <w:rPr>
          <w:b/>
          <w:bCs/>
        </w:rPr>
        <w:t>c</w:t>
      </w:r>
      <w:r>
        <w:t>) peak concentration (C</w:t>
      </w:r>
      <w:r w:rsidRPr="00E836E4">
        <w:rPr>
          <w:vertAlign w:val="subscript"/>
        </w:rPr>
        <w:t>max</w:t>
      </w:r>
      <w:r>
        <w:t>), and (</w:t>
      </w:r>
      <w:r w:rsidRPr="00E836E4">
        <w:rPr>
          <w:b/>
          <w:bCs/>
        </w:rPr>
        <w:t>d</w:t>
      </w:r>
      <w:r>
        <w:t>) time to reach C</w:t>
      </w:r>
      <w:r w:rsidRPr="00E836E4">
        <w:rPr>
          <w:vertAlign w:val="subscript"/>
        </w:rPr>
        <w:t>max</w:t>
      </w:r>
      <w:r>
        <w:t xml:space="preserve"> (T</w:t>
      </w:r>
      <w:r w:rsidRPr="00E836E4">
        <w:rPr>
          <w:vertAlign w:val="subscript"/>
        </w:rPr>
        <w:t>max</w:t>
      </w:r>
      <w:r>
        <w:t xml:space="preserve">). In each panel, the solid black line represents the line of equality, where grayscale dashed, dot-and-dash, and dotted lines represent 1.25-, 1.5-, and 2-fold prediction error ranges, respectively. Curved blue solid lines represent </w:t>
      </w:r>
      <w:r w:rsidRPr="003E4598">
        <w:t>locally estimated scatterplot smoothing</w:t>
      </w:r>
      <w:r>
        <w:t xml:space="preserve"> (LOESS) curves. </w:t>
      </w:r>
    </w:p>
    <w:p w14:paraId="2218796E" w14:textId="453A0EFB" w:rsidR="00231A6C" w:rsidRPr="008C17AF" w:rsidRDefault="00F915DB" w:rsidP="008C17AF">
      <w:pPr>
        <w:spacing w:after="240" w:line="360" w:lineRule="auto"/>
        <w:jc w:val="both"/>
      </w:pPr>
      <w:r w:rsidRPr="005E767C">
        <w:rPr>
          <w:b/>
          <w:bCs/>
        </w:rPr>
        <w:t xml:space="preserve">Figure </w:t>
      </w:r>
      <w:r>
        <w:rPr>
          <w:b/>
          <w:bCs/>
        </w:rPr>
        <w:t>6</w:t>
      </w:r>
      <w:r w:rsidRPr="005E767C">
        <w:rPr>
          <w:b/>
          <w:bCs/>
        </w:rPr>
        <w:t>.</w:t>
      </w:r>
      <w:r>
        <w:t xml:space="preserve"> Goodness-of-fit plots for the final sublingual buprenorphine physiologically-based pharmacokinetic (PBPK)</w:t>
      </w:r>
      <w:r w:rsidRPr="00DC2165">
        <w:t xml:space="preserve"> </w:t>
      </w:r>
      <w:r>
        <w:t xml:space="preserve">model, showing dose versus the </w:t>
      </w:r>
      <w:r w:rsidRPr="00C05F77">
        <w:t xml:space="preserve">ratio between predicted and observed </w:t>
      </w:r>
      <w:r>
        <w:t>(P/O ratio) (</w:t>
      </w:r>
      <w:r w:rsidRPr="0052624A">
        <w:rPr>
          <w:b/>
          <w:bCs/>
        </w:rPr>
        <w:t>a</w:t>
      </w:r>
      <w:r>
        <w:t>) area under curve (AUC;</w:t>
      </w:r>
      <w:r w:rsidRPr="007F76D7">
        <w:rPr>
          <w:i/>
          <w:iCs/>
        </w:rPr>
        <w:t xml:space="preserve"> i.e.</w:t>
      </w:r>
      <w:r>
        <w:t>, AUC</w:t>
      </w:r>
      <w:r w:rsidRPr="007F76D7">
        <w:rPr>
          <w:vertAlign w:val="subscript"/>
        </w:rPr>
        <w:t>0–</w:t>
      </w:r>
      <w:r w:rsidRPr="007F76D7">
        <w:rPr>
          <w:rFonts w:hint="eastAsia"/>
          <w:vertAlign w:val="subscript"/>
        </w:rPr>
        <w:t>∞</w:t>
      </w:r>
      <w:r>
        <w:rPr>
          <w:rFonts w:hint="eastAsia"/>
        </w:rPr>
        <w:t xml:space="preserve"> </w:t>
      </w:r>
      <w:r>
        <w:t>and AUC</w:t>
      </w:r>
      <w:r w:rsidRPr="007F76D7">
        <w:rPr>
          <w:vertAlign w:val="subscript"/>
        </w:rPr>
        <w:t>0–τ</w:t>
      </w:r>
      <w:r w:rsidRPr="007F76D7">
        <w:t xml:space="preserve"> for</w:t>
      </w:r>
      <w:r>
        <w:t xml:space="preserve"> single and multiple dose studies, respectively), (</w:t>
      </w:r>
      <w:r w:rsidRPr="00E836E4">
        <w:rPr>
          <w:b/>
          <w:bCs/>
        </w:rPr>
        <w:t>b</w:t>
      </w:r>
      <w:r>
        <w:t>) apparent clearance (CL/F), (</w:t>
      </w:r>
      <w:r w:rsidRPr="00E836E4">
        <w:rPr>
          <w:b/>
          <w:bCs/>
        </w:rPr>
        <w:t>c</w:t>
      </w:r>
      <w:r>
        <w:t>) peak concentration (C</w:t>
      </w:r>
      <w:r w:rsidRPr="00E836E4">
        <w:rPr>
          <w:vertAlign w:val="subscript"/>
        </w:rPr>
        <w:t>max</w:t>
      </w:r>
      <w:r>
        <w:t>), and (</w:t>
      </w:r>
      <w:r w:rsidRPr="00E836E4">
        <w:rPr>
          <w:b/>
          <w:bCs/>
        </w:rPr>
        <w:t>d</w:t>
      </w:r>
      <w:r>
        <w:t>) time to reach C</w:t>
      </w:r>
      <w:r w:rsidRPr="00E836E4">
        <w:rPr>
          <w:vertAlign w:val="subscript"/>
        </w:rPr>
        <w:t>max</w:t>
      </w:r>
      <w:r>
        <w:t xml:space="preserve"> (T</w:t>
      </w:r>
      <w:r w:rsidRPr="00E836E4">
        <w:rPr>
          <w:vertAlign w:val="subscript"/>
        </w:rPr>
        <w:t>max</w:t>
      </w:r>
      <w:r>
        <w:t xml:space="preserve">), as listed in </w:t>
      </w:r>
      <w:r>
        <w:rPr>
          <w:b/>
          <w:bCs/>
        </w:rPr>
        <w:t>Table 3</w:t>
      </w:r>
      <w:r>
        <w:t xml:space="preserve"> </w:t>
      </w:r>
      <w:r w:rsidRPr="00441AD5">
        <w:rPr>
          <w:b/>
          <w:bCs/>
        </w:rPr>
        <w:t>and</w:t>
      </w:r>
      <w:r>
        <w:t xml:space="preserve"> </w:t>
      </w:r>
      <w:r>
        <w:rPr>
          <w:b/>
          <w:bCs/>
        </w:rPr>
        <w:t>4</w:t>
      </w:r>
      <w:r>
        <w:t>. Sublingual tablet and solution doses are represented by diamonds (</w:t>
      </w:r>
      <w:r w:rsidRPr="007B347A">
        <w:rPr>
          <w:rFonts w:eastAsia="Segoe UI Symbol" w:hint="eastAsia"/>
          <w:sz w:val="18"/>
          <w:szCs w:val="18"/>
        </w:rPr>
        <w:t>◆</w:t>
      </w:r>
      <w:r>
        <w:rPr>
          <w:rFonts w:eastAsia="Segoe UI Symbol" w:hint="eastAsia"/>
        </w:rPr>
        <w:t>)</w:t>
      </w:r>
      <w:r>
        <w:rPr>
          <w:rFonts w:eastAsia="Segoe UI Symbol"/>
        </w:rPr>
        <w:t xml:space="preserve"> and </w:t>
      </w:r>
      <w:r>
        <w:t xml:space="preserve">circles (●), respectively. In each panel, the solid black line represents the line of equality, where descending shades of blue filled areas represent 1.25-, 1.5-, and 2-fold prediction error ranges, respectively. Curved black dashed lines represent </w:t>
      </w:r>
      <w:r w:rsidRPr="003E4598">
        <w:t>locally estimated scatterplot smoothing</w:t>
      </w:r>
      <w:r>
        <w:t xml:space="preserve"> (LOESS) curves.</w:t>
      </w:r>
    </w:p>
    <w:sectPr w:rsidR="00231A6C" w:rsidRPr="008C17AF" w:rsidSect="00E8360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D320" w14:textId="77777777" w:rsidR="00AA2ADC" w:rsidRDefault="00AA2ADC" w:rsidP="00AA2ADC">
      <w:r>
        <w:separator/>
      </w:r>
    </w:p>
  </w:endnote>
  <w:endnote w:type="continuationSeparator" w:id="0">
    <w:p w14:paraId="5576DA5E" w14:textId="77777777" w:rsidR="00AA2ADC" w:rsidRDefault="00AA2ADC" w:rsidP="00AA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32875" w14:textId="77777777" w:rsidR="00AA2ADC" w:rsidRDefault="00AA2ADC" w:rsidP="00AA2ADC">
      <w:r>
        <w:separator/>
      </w:r>
    </w:p>
  </w:footnote>
  <w:footnote w:type="continuationSeparator" w:id="0">
    <w:p w14:paraId="52B9C240" w14:textId="77777777" w:rsidR="00AA2ADC" w:rsidRDefault="00AA2ADC" w:rsidP="00AA2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4B4DC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8C9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36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060B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6E434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84DC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F1853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B838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AFF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904E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A2043"/>
    <w:multiLevelType w:val="hybridMultilevel"/>
    <w:tmpl w:val="B352CE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084F6EC1"/>
    <w:multiLevelType w:val="hybridMultilevel"/>
    <w:tmpl w:val="6CD474C6"/>
    <w:lvl w:ilvl="0" w:tplc="EECEF7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1D4B00"/>
    <w:multiLevelType w:val="hybridMultilevel"/>
    <w:tmpl w:val="E70682CC"/>
    <w:lvl w:ilvl="0" w:tplc="BE54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BD2DBF"/>
    <w:multiLevelType w:val="hybridMultilevel"/>
    <w:tmpl w:val="4928E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6307A"/>
    <w:multiLevelType w:val="hybridMultilevel"/>
    <w:tmpl w:val="438CBF68"/>
    <w:lvl w:ilvl="0" w:tplc="BE54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F95AC7"/>
    <w:multiLevelType w:val="hybridMultilevel"/>
    <w:tmpl w:val="87E03EFA"/>
    <w:lvl w:ilvl="0" w:tplc="A46A2A54">
      <w:start w:val="1"/>
      <w:numFmt w:val="decimal"/>
      <w:lvlText w:val="%1."/>
      <w:lvlJc w:val="left"/>
      <w:pPr>
        <w:ind w:left="3600" w:hanging="360"/>
      </w:pPr>
      <w:rPr>
        <w:rFonts w:ascii="Times New Roman" w:hAnsi="Times New Roman" w:hint="default"/>
        <w:b w:val="0"/>
        <w:i w:val="0"/>
        <w:caps w:val="0"/>
        <w:strike w:val="0"/>
        <w:dstrike w:val="0"/>
        <w:vanish w:val="0"/>
        <w:sz w:val="24"/>
        <w:vertAlign w:val="baseline"/>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15:restartNumberingAfterBreak="0">
    <w:nsid w:val="3DFE0A5B"/>
    <w:multiLevelType w:val="hybridMultilevel"/>
    <w:tmpl w:val="1A6CFEA0"/>
    <w:lvl w:ilvl="0" w:tplc="04130011">
      <w:start w:val="1"/>
      <w:numFmt w:val="decimal"/>
      <w:lvlText w:val="%1)"/>
      <w:lvlJc w:val="left"/>
      <w:pPr>
        <w:ind w:left="720" w:hanging="360"/>
      </w:pPr>
      <w:rPr>
        <w:rFonts w:hint="default"/>
        <w:b w:val="0"/>
        <w:i w:val="0"/>
        <w:caps w:val="0"/>
        <w:strike w:val="0"/>
        <w:dstrike w:val="0"/>
        <w:vanish w:val="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63715"/>
    <w:multiLevelType w:val="hybridMultilevel"/>
    <w:tmpl w:val="C6041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B40A91"/>
    <w:multiLevelType w:val="hybridMultilevel"/>
    <w:tmpl w:val="325661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5A331DDE"/>
    <w:multiLevelType w:val="hybridMultilevel"/>
    <w:tmpl w:val="FDCE733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7BDF7E0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59723218">
    <w:abstractNumId w:val="0"/>
  </w:num>
  <w:num w:numId="2" w16cid:durableId="167183369">
    <w:abstractNumId w:val="1"/>
  </w:num>
  <w:num w:numId="3" w16cid:durableId="1400134368">
    <w:abstractNumId w:val="2"/>
  </w:num>
  <w:num w:numId="4" w16cid:durableId="1861503822">
    <w:abstractNumId w:val="3"/>
  </w:num>
  <w:num w:numId="5" w16cid:durableId="433864793">
    <w:abstractNumId w:val="8"/>
  </w:num>
  <w:num w:numId="6" w16cid:durableId="2116749078">
    <w:abstractNumId w:val="4"/>
  </w:num>
  <w:num w:numId="7" w16cid:durableId="1845195636">
    <w:abstractNumId w:val="5"/>
  </w:num>
  <w:num w:numId="8" w16cid:durableId="1854418871">
    <w:abstractNumId w:val="6"/>
  </w:num>
  <w:num w:numId="9" w16cid:durableId="905141006">
    <w:abstractNumId w:val="7"/>
  </w:num>
  <w:num w:numId="10" w16cid:durableId="1657225943">
    <w:abstractNumId w:val="9"/>
  </w:num>
  <w:num w:numId="11" w16cid:durableId="673648505">
    <w:abstractNumId w:val="17"/>
  </w:num>
  <w:num w:numId="12" w16cid:durableId="189951309">
    <w:abstractNumId w:val="11"/>
  </w:num>
  <w:num w:numId="13" w16cid:durableId="291138506">
    <w:abstractNumId w:val="10"/>
  </w:num>
  <w:num w:numId="14" w16cid:durableId="850727852">
    <w:abstractNumId w:val="14"/>
  </w:num>
  <w:num w:numId="15" w16cid:durableId="1331105429">
    <w:abstractNumId w:val="12"/>
  </w:num>
  <w:num w:numId="16" w16cid:durableId="1190417303">
    <w:abstractNumId w:val="16"/>
  </w:num>
  <w:num w:numId="17" w16cid:durableId="531308176">
    <w:abstractNumId w:val="15"/>
  </w:num>
  <w:num w:numId="18" w16cid:durableId="2005932945">
    <w:abstractNumId w:val="18"/>
  </w:num>
  <w:num w:numId="19" w16cid:durableId="272441813">
    <w:abstractNumId w:val="13"/>
  </w:num>
  <w:num w:numId="20" w16cid:durableId="877007194">
    <w:abstractNumId w:val="19"/>
  </w:num>
  <w:num w:numId="21" w16cid:durableId="15237810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Springer Vancouver&lt;/Style&gt;&lt;LeftDelim&gt;{&lt;/LeftDelim&gt;&lt;RightDelim&gt;}&lt;/RightDelim&gt;&lt;FontName&gt;Times New Roman&lt;/FontName&gt;&lt;FontSize&gt;12&lt;/FontSize&gt;&lt;ReflistTitle&gt;&lt;/ReflistTitle&gt;&lt;StartingRefnum&gt;1&lt;/StartingRefnum&gt;&lt;FirstLineIndent&gt;0&lt;/FirstLineIndent&gt;&lt;HangingIndent&gt;144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psdvsxfd3ww9wgef25a5vff4ffefffpdwewt&quot;&gt;EndNote Fetomaternal&lt;record-ids&gt;&lt;item&gt;6&lt;/item&gt;&lt;item&gt;8&lt;/item&gt;&lt;item&gt;10&lt;/item&gt;&lt;item&gt;11&lt;/item&gt;&lt;item&gt;12&lt;/item&gt;&lt;item&gt;13&lt;/item&gt;&lt;item&gt;15&lt;/item&gt;&lt;item&gt;21&lt;/item&gt;&lt;item&gt;23&lt;/item&gt;&lt;item&gt;28&lt;/item&gt;&lt;item&gt;31&lt;/item&gt;&lt;item&gt;38&lt;/item&gt;&lt;item&gt;47&lt;/item&gt;&lt;item&gt;50&lt;/item&gt;&lt;item&gt;60&lt;/item&gt;&lt;item&gt;64&lt;/item&gt;&lt;item&gt;65&lt;/item&gt;&lt;item&gt;73&lt;/item&gt;&lt;item&gt;75&lt;/item&gt;&lt;item&gt;76&lt;/item&gt;&lt;item&gt;77&lt;/item&gt;&lt;item&gt;78&lt;/item&gt;&lt;item&gt;80&lt;/item&gt;&lt;item&gt;85&lt;/item&gt;&lt;item&gt;86&lt;/item&gt;&lt;item&gt;122&lt;/item&gt;&lt;item&gt;124&lt;/item&gt;&lt;item&gt;125&lt;/item&gt;&lt;item&gt;127&lt;/item&gt;&lt;item&gt;128&lt;/item&gt;&lt;item&gt;132&lt;/item&gt;&lt;item&gt;133&lt;/item&gt;&lt;item&gt;163&lt;/item&gt;&lt;item&gt;166&lt;/item&gt;&lt;item&gt;171&lt;/item&gt;&lt;item&gt;172&lt;/item&gt;&lt;item&gt;173&lt;/item&gt;&lt;item&gt;174&lt;/item&gt;&lt;item&gt;175&lt;/item&gt;&lt;item&gt;176&lt;/item&gt;&lt;item&gt;177&lt;/item&gt;&lt;item&gt;178&lt;/item&gt;&lt;item&gt;179&lt;/item&gt;&lt;item&gt;180&lt;/item&gt;&lt;item&gt;181&lt;/item&gt;&lt;item&gt;182&lt;/item&gt;&lt;item&gt;183&lt;/item&gt;&lt;item&gt;184&lt;/item&gt;&lt;item&gt;185&lt;/item&gt;&lt;item&gt;187&lt;/item&gt;&lt;item&gt;188&lt;/item&gt;&lt;item&gt;190&lt;/item&gt;&lt;item&gt;191&lt;/item&gt;&lt;item&gt;192&lt;/item&gt;&lt;item&gt;193&lt;/item&gt;&lt;item&gt;195&lt;/item&gt;&lt;item&gt;196&lt;/item&gt;&lt;/record-ids&gt;&lt;/item&gt;&lt;/Libraries&gt;"/>
  </w:docVars>
  <w:rsids>
    <w:rsidRoot w:val="00F235B3"/>
    <w:rsid w:val="00000B2B"/>
    <w:rsid w:val="00001947"/>
    <w:rsid w:val="00012AF5"/>
    <w:rsid w:val="00022743"/>
    <w:rsid w:val="00025135"/>
    <w:rsid w:val="00027CF4"/>
    <w:rsid w:val="0003451D"/>
    <w:rsid w:val="00036DC7"/>
    <w:rsid w:val="00037AFB"/>
    <w:rsid w:val="00044513"/>
    <w:rsid w:val="000469B8"/>
    <w:rsid w:val="0004773B"/>
    <w:rsid w:val="00047EA8"/>
    <w:rsid w:val="00051EB6"/>
    <w:rsid w:val="00060468"/>
    <w:rsid w:val="000611D8"/>
    <w:rsid w:val="00061CD4"/>
    <w:rsid w:val="00063F1B"/>
    <w:rsid w:val="00065E19"/>
    <w:rsid w:val="000671E8"/>
    <w:rsid w:val="00070326"/>
    <w:rsid w:val="00072E34"/>
    <w:rsid w:val="00074909"/>
    <w:rsid w:val="00077AB4"/>
    <w:rsid w:val="00083346"/>
    <w:rsid w:val="00083844"/>
    <w:rsid w:val="00084B7B"/>
    <w:rsid w:val="00087B7D"/>
    <w:rsid w:val="00096BD9"/>
    <w:rsid w:val="00096D5B"/>
    <w:rsid w:val="000A5FCF"/>
    <w:rsid w:val="000B1F42"/>
    <w:rsid w:val="000B3A06"/>
    <w:rsid w:val="000C6232"/>
    <w:rsid w:val="000C7974"/>
    <w:rsid w:val="000D0238"/>
    <w:rsid w:val="000D1D6D"/>
    <w:rsid w:val="000D2112"/>
    <w:rsid w:val="000D2884"/>
    <w:rsid w:val="000D2C3F"/>
    <w:rsid w:val="000D3EC2"/>
    <w:rsid w:val="000D4880"/>
    <w:rsid w:val="000E1AB2"/>
    <w:rsid w:val="000E3F62"/>
    <w:rsid w:val="000E5BF0"/>
    <w:rsid w:val="000F0E29"/>
    <w:rsid w:val="000F4B00"/>
    <w:rsid w:val="000F753E"/>
    <w:rsid w:val="00100C16"/>
    <w:rsid w:val="0010319F"/>
    <w:rsid w:val="00103500"/>
    <w:rsid w:val="00103D04"/>
    <w:rsid w:val="00111A1B"/>
    <w:rsid w:val="001201C8"/>
    <w:rsid w:val="001208D0"/>
    <w:rsid w:val="00120A4E"/>
    <w:rsid w:val="00123E6B"/>
    <w:rsid w:val="001240A2"/>
    <w:rsid w:val="00127E7D"/>
    <w:rsid w:val="00130779"/>
    <w:rsid w:val="00130B2D"/>
    <w:rsid w:val="001348B8"/>
    <w:rsid w:val="001426DD"/>
    <w:rsid w:val="0014343A"/>
    <w:rsid w:val="0014395E"/>
    <w:rsid w:val="0015089C"/>
    <w:rsid w:val="00152355"/>
    <w:rsid w:val="001549DC"/>
    <w:rsid w:val="0015618F"/>
    <w:rsid w:val="00157D03"/>
    <w:rsid w:val="001609C4"/>
    <w:rsid w:val="00163B36"/>
    <w:rsid w:val="00164E2B"/>
    <w:rsid w:val="001666D5"/>
    <w:rsid w:val="00166F3F"/>
    <w:rsid w:val="00167DB1"/>
    <w:rsid w:val="0018008F"/>
    <w:rsid w:val="00182EBB"/>
    <w:rsid w:val="0018630F"/>
    <w:rsid w:val="00193ACE"/>
    <w:rsid w:val="00194542"/>
    <w:rsid w:val="001950B9"/>
    <w:rsid w:val="0019580D"/>
    <w:rsid w:val="001961D0"/>
    <w:rsid w:val="00196C12"/>
    <w:rsid w:val="001A1C81"/>
    <w:rsid w:val="001A4FAD"/>
    <w:rsid w:val="001A585B"/>
    <w:rsid w:val="001A726D"/>
    <w:rsid w:val="001B0386"/>
    <w:rsid w:val="001B1FAB"/>
    <w:rsid w:val="001B3377"/>
    <w:rsid w:val="001B39DE"/>
    <w:rsid w:val="001B3F2E"/>
    <w:rsid w:val="001B4A6D"/>
    <w:rsid w:val="001B5F9A"/>
    <w:rsid w:val="001C0E60"/>
    <w:rsid w:val="001C0E80"/>
    <w:rsid w:val="001C17CE"/>
    <w:rsid w:val="001C467B"/>
    <w:rsid w:val="001C4FA8"/>
    <w:rsid w:val="001C6401"/>
    <w:rsid w:val="001C6F75"/>
    <w:rsid w:val="001D693D"/>
    <w:rsid w:val="001D6F91"/>
    <w:rsid w:val="001E1340"/>
    <w:rsid w:val="001E14AB"/>
    <w:rsid w:val="001E1AD5"/>
    <w:rsid w:val="001E3BE3"/>
    <w:rsid w:val="001F2CAB"/>
    <w:rsid w:val="001F3BE1"/>
    <w:rsid w:val="001F5A1C"/>
    <w:rsid w:val="001F63C1"/>
    <w:rsid w:val="002046AA"/>
    <w:rsid w:val="00206382"/>
    <w:rsid w:val="00211FA3"/>
    <w:rsid w:val="002148F0"/>
    <w:rsid w:val="00215250"/>
    <w:rsid w:val="00215A75"/>
    <w:rsid w:val="00215D10"/>
    <w:rsid w:val="00217AD3"/>
    <w:rsid w:val="00220913"/>
    <w:rsid w:val="00224F4A"/>
    <w:rsid w:val="00231A6C"/>
    <w:rsid w:val="00242564"/>
    <w:rsid w:val="0024293E"/>
    <w:rsid w:val="00247E9C"/>
    <w:rsid w:val="00257C63"/>
    <w:rsid w:val="00261C48"/>
    <w:rsid w:val="0026434C"/>
    <w:rsid w:val="00265478"/>
    <w:rsid w:val="0026619E"/>
    <w:rsid w:val="002705FF"/>
    <w:rsid w:val="00272706"/>
    <w:rsid w:val="00272CF8"/>
    <w:rsid w:val="00273C58"/>
    <w:rsid w:val="00276099"/>
    <w:rsid w:val="00283026"/>
    <w:rsid w:val="002831B7"/>
    <w:rsid w:val="0028470D"/>
    <w:rsid w:val="002871CA"/>
    <w:rsid w:val="002925C7"/>
    <w:rsid w:val="00294A88"/>
    <w:rsid w:val="00297BB4"/>
    <w:rsid w:val="002A55D9"/>
    <w:rsid w:val="002A6C1C"/>
    <w:rsid w:val="002A6E4F"/>
    <w:rsid w:val="002B095E"/>
    <w:rsid w:val="002B1484"/>
    <w:rsid w:val="002B1E77"/>
    <w:rsid w:val="002B1FDF"/>
    <w:rsid w:val="002B4301"/>
    <w:rsid w:val="002B5BC3"/>
    <w:rsid w:val="002B76B2"/>
    <w:rsid w:val="002C0042"/>
    <w:rsid w:val="002C09D3"/>
    <w:rsid w:val="002C2843"/>
    <w:rsid w:val="002C3710"/>
    <w:rsid w:val="002C55F6"/>
    <w:rsid w:val="002C6589"/>
    <w:rsid w:val="002C6958"/>
    <w:rsid w:val="002D18D0"/>
    <w:rsid w:val="002D7248"/>
    <w:rsid w:val="002E11D8"/>
    <w:rsid w:val="002E31F4"/>
    <w:rsid w:val="002E4D06"/>
    <w:rsid w:val="002E5754"/>
    <w:rsid w:val="002E7A65"/>
    <w:rsid w:val="0030423A"/>
    <w:rsid w:val="003049AE"/>
    <w:rsid w:val="00306B70"/>
    <w:rsid w:val="00307A84"/>
    <w:rsid w:val="003100E0"/>
    <w:rsid w:val="00310447"/>
    <w:rsid w:val="003110CF"/>
    <w:rsid w:val="00313113"/>
    <w:rsid w:val="0031330C"/>
    <w:rsid w:val="00314121"/>
    <w:rsid w:val="00317A5A"/>
    <w:rsid w:val="00320894"/>
    <w:rsid w:val="00324EAC"/>
    <w:rsid w:val="0032543D"/>
    <w:rsid w:val="003319F1"/>
    <w:rsid w:val="00332D60"/>
    <w:rsid w:val="00333F51"/>
    <w:rsid w:val="0034125E"/>
    <w:rsid w:val="003439BA"/>
    <w:rsid w:val="0034472F"/>
    <w:rsid w:val="00356136"/>
    <w:rsid w:val="0035643C"/>
    <w:rsid w:val="00357796"/>
    <w:rsid w:val="00365E83"/>
    <w:rsid w:val="00371B84"/>
    <w:rsid w:val="003740F9"/>
    <w:rsid w:val="0037651B"/>
    <w:rsid w:val="00381AB3"/>
    <w:rsid w:val="00382733"/>
    <w:rsid w:val="0038487C"/>
    <w:rsid w:val="00384EAE"/>
    <w:rsid w:val="00385DE3"/>
    <w:rsid w:val="00387B79"/>
    <w:rsid w:val="00387B88"/>
    <w:rsid w:val="0039441C"/>
    <w:rsid w:val="00395DD2"/>
    <w:rsid w:val="003A1525"/>
    <w:rsid w:val="003A2A14"/>
    <w:rsid w:val="003A5995"/>
    <w:rsid w:val="003A6F0D"/>
    <w:rsid w:val="003B1173"/>
    <w:rsid w:val="003C66A6"/>
    <w:rsid w:val="003C69D1"/>
    <w:rsid w:val="003D2B9F"/>
    <w:rsid w:val="003D2CA3"/>
    <w:rsid w:val="003D2FB6"/>
    <w:rsid w:val="003D3588"/>
    <w:rsid w:val="003D4960"/>
    <w:rsid w:val="003D49FC"/>
    <w:rsid w:val="003D6DF9"/>
    <w:rsid w:val="003E0F0A"/>
    <w:rsid w:val="003E27D4"/>
    <w:rsid w:val="003E3BDC"/>
    <w:rsid w:val="003E3E80"/>
    <w:rsid w:val="003E4598"/>
    <w:rsid w:val="003E716F"/>
    <w:rsid w:val="003F0016"/>
    <w:rsid w:val="003F0E14"/>
    <w:rsid w:val="003F5262"/>
    <w:rsid w:val="004019CC"/>
    <w:rsid w:val="00401F7B"/>
    <w:rsid w:val="00402F7F"/>
    <w:rsid w:val="00403DFC"/>
    <w:rsid w:val="00405CF7"/>
    <w:rsid w:val="00406CC1"/>
    <w:rsid w:val="004104A7"/>
    <w:rsid w:val="00410529"/>
    <w:rsid w:val="0041055D"/>
    <w:rsid w:val="00424553"/>
    <w:rsid w:val="004248B9"/>
    <w:rsid w:val="00425B2E"/>
    <w:rsid w:val="00425F80"/>
    <w:rsid w:val="00426D79"/>
    <w:rsid w:val="00427E81"/>
    <w:rsid w:val="004350B1"/>
    <w:rsid w:val="00441AD5"/>
    <w:rsid w:val="00442023"/>
    <w:rsid w:val="00446F15"/>
    <w:rsid w:val="004558B6"/>
    <w:rsid w:val="00456880"/>
    <w:rsid w:val="00457202"/>
    <w:rsid w:val="0046165E"/>
    <w:rsid w:val="0046407B"/>
    <w:rsid w:val="0046436F"/>
    <w:rsid w:val="0047216C"/>
    <w:rsid w:val="00473F9C"/>
    <w:rsid w:val="004915E8"/>
    <w:rsid w:val="00492C01"/>
    <w:rsid w:val="004954DB"/>
    <w:rsid w:val="00496308"/>
    <w:rsid w:val="0049785E"/>
    <w:rsid w:val="004A0378"/>
    <w:rsid w:val="004A075B"/>
    <w:rsid w:val="004A1F0A"/>
    <w:rsid w:val="004A4681"/>
    <w:rsid w:val="004B376F"/>
    <w:rsid w:val="004B445A"/>
    <w:rsid w:val="004B4DDF"/>
    <w:rsid w:val="004B53E9"/>
    <w:rsid w:val="004B5F34"/>
    <w:rsid w:val="004C30DC"/>
    <w:rsid w:val="004C362B"/>
    <w:rsid w:val="004C3B7A"/>
    <w:rsid w:val="004C3FC7"/>
    <w:rsid w:val="004C61C6"/>
    <w:rsid w:val="004C780D"/>
    <w:rsid w:val="004E2F3C"/>
    <w:rsid w:val="004F0AA7"/>
    <w:rsid w:val="004F2B1C"/>
    <w:rsid w:val="004F4F4A"/>
    <w:rsid w:val="004F5E41"/>
    <w:rsid w:val="00510F6A"/>
    <w:rsid w:val="00514099"/>
    <w:rsid w:val="0051427E"/>
    <w:rsid w:val="00514B81"/>
    <w:rsid w:val="00522ECA"/>
    <w:rsid w:val="00523579"/>
    <w:rsid w:val="0052624A"/>
    <w:rsid w:val="00536907"/>
    <w:rsid w:val="005374F0"/>
    <w:rsid w:val="005404A7"/>
    <w:rsid w:val="005476A4"/>
    <w:rsid w:val="00551D02"/>
    <w:rsid w:val="00554F57"/>
    <w:rsid w:val="0055701E"/>
    <w:rsid w:val="0056314F"/>
    <w:rsid w:val="005633D0"/>
    <w:rsid w:val="00564E96"/>
    <w:rsid w:val="00570F98"/>
    <w:rsid w:val="00572483"/>
    <w:rsid w:val="00574374"/>
    <w:rsid w:val="00587323"/>
    <w:rsid w:val="00587832"/>
    <w:rsid w:val="00587B10"/>
    <w:rsid w:val="00587D39"/>
    <w:rsid w:val="00591121"/>
    <w:rsid w:val="005955C3"/>
    <w:rsid w:val="00595C8B"/>
    <w:rsid w:val="00596909"/>
    <w:rsid w:val="005978E4"/>
    <w:rsid w:val="00597DD2"/>
    <w:rsid w:val="005A09A0"/>
    <w:rsid w:val="005A0DDF"/>
    <w:rsid w:val="005A3255"/>
    <w:rsid w:val="005B1145"/>
    <w:rsid w:val="005B5511"/>
    <w:rsid w:val="005C1486"/>
    <w:rsid w:val="005C3D75"/>
    <w:rsid w:val="005C7C8C"/>
    <w:rsid w:val="005C7EE7"/>
    <w:rsid w:val="005D3392"/>
    <w:rsid w:val="005D364F"/>
    <w:rsid w:val="005E00CE"/>
    <w:rsid w:val="005E31E3"/>
    <w:rsid w:val="005E5484"/>
    <w:rsid w:val="005E5F39"/>
    <w:rsid w:val="005E767C"/>
    <w:rsid w:val="005F4384"/>
    <w:rsid w:val="005F6D93"/>
    <w:rsid w:val="006006EB"/>
    <w:rsid w:val="00600B43"/>
    <w:rsid w:val="00601E8D"/>
    <w:rsid w:val="00605FF7"/>
    <w:rsid w:val="00610DC3"/>
    <w:rsid w:val="006166CC"/>
    <w:rsid w:val="006175A7"/>
    <w:rsid w:val="0062247E"/>
    <w:rsid w:val="0062467B"/>
    <w:rsid w:val="00625BDA"/>
    <w:rsid w:val="0063015A"/>
    <w:rsid w:val="00630B81"/>
    <w:rsid w:val="006316D6"/>
    <w:rsid w:val="00633D9D"/>
    <w:rsid w:val="006475A8"/>
    <w:rsid w:val="00650843"/>
    <w:rsid w:val="00650A1B"/>
    <w:rsid w:val="006614C5"/>
    <w:rsid w:val="00676A81"/>
    <w:rsid w:val="00683481"/>
    <w:rsid w:val="006864CB"/>
    <w:rsid w:val="006866D4"/>
    <w:rsid w:val="00692AFC"/>
    <w:rsid w:val="00694F0D"/>
    <w:rsid w:val="006A157D"/>
    <w:rsid w:val="006A316E"/>
    <w:rsid w:val="006A62A3"/>
    <w:rsid w:val="006A6A36"/>
    <w:rsid w:val="006B196E"/>
    <w:rsid w:val="006B1E35"/>
    <w:rsid w:val="006B7AE3"/>
    <w:rsid w:val="006C0FA4"/>
    <w:rsid w:val="006D3520"/>
    <w:rsid w:val="006D3B6C"/>
    <w:rsid w:val="006D3FB3"/>
    <w:rsid w:val="006F107D"/>
    <w:rsid w:val="006F1D18"/>
    <w:rsid w:val="006F2985"/>
    <w:rsid w:val="006F2A72"/>
    <w:rsid w:val="006F5624"/>
    <w:rsid w:val="006F5A48"/>
    <w:rsid w:val="006F5FBB"/>
    <w:rsid w:val="006F78FC"/>
    <w:rsid w:val="00700465"/>
    <w:rsid w:val="00700681"/>
    <w:rsid w:val="00702995"/>
    <w:rsid w:val="00703182"/>
    <w:rsid w:val="0070699B"/>
    <w:rsid w:val="00713655"/>
    <w:rsid w:val="00720275"/>
    <w:rsid w:val="00720FB2"/>
    <w:rsid w:val="00721289"/>
    <w:rsid w:val="0072191B"/>
    <w:rsid w:val="00721BFF"/>
    <w:rsid w:val="00722ADB"/>
    <w:rsid w:val="00730603"/>
    <w:rsid w:val="007404E3"/>
    <w:rsid w:val="00741C1C"/>
    <w:rsid w:val="00743099"/>
    <w:rsid w:val="00743F84"/>
    <w:rsid w:val="0074561E"/>
    <w:rsid w:val="00745A64"/>
    <w:rsid w:val="0075197C"/>
    <w:rsid w:val="00752337"/>
    <w:rsid w:val="00755235"/>
    <w:rsid w:val="0075729B"/>
    <w:rsid w:val="00760361"/>
    <w:rsid w:val="00763EAA"/>
    <w:rsid w:val="00766938"/>
    <w:rsid w:val="00767253"/>
    <w:rsid w:val="00767DBD"/>
    <w:rsid w:val="0077186C"/>
    <w:rsid w:val="00774AA3"/>
    <w:rsid w:val="00782AA0"/>
    <w:rsid w:val="00783BB3"/>
    <w:rsid w:val="007854E0"/>
    <w:rsid w:val="0078607F"/>
    <w:rsid w:val="00786231"/>
    <w:rsid w:val="007872A4"/>
    <w:rsid w:val="007930D3"/>
    <w:rsid w:val="00793662"/>
    <w:rsid w:val="007946D8"/>
    <w:rsid w:val="00797586"/>
    <w:rsid w:val="007A2757"/>
    <w:rsid w:val="007A3B07"/>
    <w:rsid w:val="007A5DB0"/>
    <w:rsid w:val="007A7249"/>
    <w:rsid w:val="007B13C9"/>
    <w:rsid w:val="007B325A"/>
    <w:rsid w:val="007B347A"/>
    <w:rsid w:val="007B6A72"/>
    <w:rsid w:val="007B7625"/>
    <w:rsid w:val="007C03BF"/>
    <w:rsid w:val="007C28C1"/>
    <w:rsid w:val="007C7E54"/>
    <w:rsid w:val="007D1156"/>
    <w:rsid w:val="007D357C"/>
    <w:rsid w:val="007D7632"/>
    <w:rsid w:val="007E1F59"/>
    <w:rsid w:val="007E5A0C"/>
    <w:rsid w:val="007E69AD"/>
    <w:rsid w:val="007F01E0"/>
    <w:rsid w:val="007F02A4"/>
    <w:rsid w:val="007F76D7"/>
    <w:rsid w:val="007F784C"/>
    <w:rsid w:val="00800386"/>
    <w:rsid w:val="0081375E"/>
    <w:rsid w:val="008138AF"/>
    <w:rsid w:val="00814F5A"/>
    <w:rsid w:val="0081740E"/>
    <w:rsid w:val="00822328"/>
    <w:rsid w:val="008233E1"/>
    <w:rsid w:val="00825B14"/>
    <w:rsid w:val="00826CE1"/>
    <w:rsid w:val="008302D3"/>
    <w:rsid w:val="008363B7"/>
    <w:rsid w:val="008503A1"/>
    <w:rsid w:val="008569BB"/>
    <w:rsid w:val="00860D30"/>
    <w:rsid w:val="008615C2"/>
    <w:rsid w:val="00861CC5"/>
    <w:rsid w:val="008635E6"/>
    <w:rsid w:val="00863DA6"/>
    <w:rsid w:val="00865AC0"/>
    <w:rsid w:val="0086637E"/>
    <w:rsid w:val="00874F9C"/>
    <w:rsid w:val="0087548A"/>
    <w:rsid w:val="008804B0"/>
    <w:rsid w:val="00882E44"/>
    <w:rsid w:val="008841BA"/>
    <w:rsid w:val="00886AB5"/>
    <w:rsid w:val="008876BE"/>
    <w:rsid w:val="00890C30"/>
    <w:rsid w:val="00891472"/>
    <w:rsid w:val="00891D1B"/>
    <w:rsid w:val="00893C0A"/>
    <w:rsid w:val="00897BFC"/>
    <w:rsid w:val="008A06A7"/>
    <w:rsid w:val="008A0FC9"/>
    <w:rsid w:val="008B6850"/>
    <w:rsid w:val="008B7608"/>
    <w:rsid w:val="008C17AF"/>
    <w:rsid w:val="008C3126"/>
    <w:rsid w:val="008C3495"/>
    <w:rsid w:val="008C6207"/>
    <w:rsid w:val="008D0836"/>
    <w:rsid w:val="008D5DF0"/>
    <w:rsid w:val="008E0F5C"/>
    <w:rsid w:val="008E10DF"/>
    <w:rsid w:val="008E1D43"/>
    <w:rsid w:val="008E271E"/>
    <w:rsid w:val="008E2AE8"/>
    <w:rsid w:val="008E43C5"/>
    <w:rsid w:val="008E69FE"/>
    <w:rsid w:val="008F19EA"/>
    <w:rsid w:val="008F57F8"/>
    <w:rsid w:val="008F6447"/>
    <w:rsid w:val="00901BD5"/>
    <w:rsid w:val="00902ABB"/>
    <w:rsid w:val="00903C85"/>
    <w:rsid w:val="00904C29"/>
    <w:rsid w:val="009079B2"/>
    <w:rsid w:val="0091339C"/>
    <w:rsid w:val="00915E5E"/>
    <w:rsid w:val="00916E75"/>
    <w:rsid w:val="00921706"/>
    <w:rsid w:val="00921776"/>
    <w:rsid w:val="00927AEB"/>
    <w:rsid w:val="009326EC"/>
    <w:rsid w:val="00934284"/>
    <w:rsid w:val="009348CC"/>
    <w:rsid w:val="00935CCA"/>
    <w:rsid w:val="009404F0"/>
    <w:rsid w:val="0094284B"/>
    <w:rsid w:val="0095507D"/>
    <w:rsid w:val="00962B76"/>
    <w:rsid w:val="00965F8B"/>
    <w:rsid w:val="00970160"/>
    <w:rsid w:val="00972635"/>
    <w:rsid w:val="0097408A"/>
    <w:rsid w:val="0097517A"/>
    <w:rsid w:val="0098016F"/>
    <w:rsid w:val="009969EA"/>
    <w:rsid w:val="009A1CDF"/>
    <w:rsid w:val="009A1DAA"/>
    <w:rsid w:val="009A23EC"/>
    <w:rsid w:val="009A34A6"/>
    <w:rsid w:val="009B3300"/>
    <w:rsid w:val="009B4EEA"/>
    <w:rsid w:val="009B704C"/>
    <w:rsid w:val="009C1020"/>
    <w:rsid w:val="009C6D44"/>
    <w:rsid w:val="009C6FCC"/>
    <w:rsid w:val="009D1BC2"/>
    <w:rsid w:val="009D33CA"/>
    <w:rsid w:val="009D3FD4"/>
    <w:rsid w:val="009D55E2"/>
    <w:rsid w:val="009D637C"/>
    <w:rsid w:val="009D68D6"/>
    <w:rsid w:val="009D76FB"/>
    <w:rsid w:val="009D7782"/>
    <w:rsid w:val="009E205F"/>
    <w:rsid w:val="009E6481"/>
    <w:rsid w:val="009E673C"/>
    <w:rsid w:val="009E7D73"/>
    <w:rsid w:val="009F35D3"/>
    <w:rsid w:val="009F47FF"/>
    <w:rsid w:val="009F4F0C"/>
    <w:rsid w:val="00A02951"/>
    <w:rsid w:val="00A042BD"/>
    <w:rsid w:val="00A07313"/>
    <w:rsid w:val="00A07CEF"/>
    <w:rsid w:val="00A10DB9"/>
    <w:rsid w:val="00A140E7"/>
    <w:rsid w:val="00A30102"/>
    <w:rsid w:val="00A32E64"/>
    <w:rsid w:val="00A35220"/>
    <w:rsid w:val="00A3596F"/>
    <w:rsid w:val="00A437C3"/>
    <w:rsid w:val="00A4456E"/>
    <w:rsid w:val="00A454A7"/>
    <w:rsid w:val="00A479B2"/>
    <w:rsid w:val="00A47AEF"/>
    <w:rsid w:val="00A539ED"/>
    <w:rsid w:val="00A572A7"/>
    <w:rsid w:val="00A65CA8"/>
    <w:rsid w:val="00A663D9"/>
    <w:rsid w:val="00A673A7"/>
    <w:rsid w:val="00A67EAA"/>
    <w:rsid w:val="00A7627D"/>
    <w:rsid w:val="00A81333"/>
    <w:rsid w:val="00A819F2"/>
    <w:rsid w:val="00A83A51"/>
    <w:rsid w:val="00A84759"/>
    <w:rsid w:val="00A85AE0"/>
    <w:rsid w:val="00A90F9E"/>
    <w:rsid w:val="00A91A3E"/>
    <w:rsid w:val="00A91FD0"/>
    <w:rsid w:val="00AA119A"/>
    <w:rsid w:val="00AA13B1"/>
    <w:rsid w:val="00AA1F85"/>
    <w:rsid w:val="00AA2ADC"/>
    <w:rsid w:val="00AA4A60"/>
    <w:rsid w:val="00AA585F"/>
    <w:rsid w:val="00AA63DC"/>
    <w:rsid w:val="00AB08D4"/>
    <w:rsid w:val="00AB0DC4"/>
    <w:rsid w:val="00AB1545"/>
    <w:rsid w:val="00AB1A7A"/>
    <w:rsid w:val="00AB383A"/>
    <w:rsid w:val="00AC1B9A"/>
    <w:rsid w:val="00AC22D7"/>
    <w:rsid w:val="00AC536B"/>
    <w:rsid w:val="00AC540B"/>
    <w:rsid w:val="00AD77A6"/>
    <w:rsid w:val="00AE0D78"/>
    <w:rsid w:val="00AF24BC"/>
    <w:rsid w:val="00AF28B3"/>
    <w:rsid w:val="00B054AF"/>
    <w:rsid w:val="00B10431"/>
    <w:rsid w:val="00B105AB"/>
    <w:rsid w:val="00B11797"/>
    <w:rsid w:val="00B11F0C"/>
    <w:rsid w:val="00B13663"/>
    <w:rsid w:val="00B16092"/>
    <w:rsid w:val="00B2049C"/>
    <w:rsid w:val="00B23922"/>
    <w:rsid w:val="00B32CF3"/>
    <w:rsid w:val="00B34539"/>
    <w:rsid w:val="00B406FB"/>
    <w:rsid w:val="00B43068"/>
    <w:rsid w:val="00B442BB"/>
    <w:rsid w:val="00B4710F"/>
    <w:rsid w:val="00B517E2"/>
    <w:rsid w:val="00B51DB2"/>
    <w:rsid w:val="00B51FED"/>
    <w:rsid w:val="00B56B58"/>
    <w:rsid w:val="00B64149"/>
    <w:rsid w:val="00B67F1C"/>
    <w:rsid w:val="00B74D68"/>
    <w:rsid w:val="00B7781E"/>
    <w:rsid w:val="00B82FA9"/>
    <w:rsid w:val="00B8377D"/>
    <w:rsid w:val="00B85135"/>
    <w:rsid w:val="00B85A2C"/>
    <w:rsid w:val="00B9014C"/>
    <w:rsid w:val="00B91361"/>
    <w:rsid w:val="00B95A14"/>
    <w:rsid w:val="00B97EAC"/>
    <w:rsid w:val="00BA2633"/>
    <w:rsid w:val="00BA26BC"/>
    <w:rsid w:val="00BA3B68"/>
    <w:rsid w:val="00BA420D"/>
    <w:rsid w:val="00BA5109"/>
    <w:rsid w:val="00BA53D4"/>
    <w:rsid w:val="00BB120C"/>
    <w:rsid w:val="00BB2576"/>
    <w:rsid w:val="00BB2A11"/>
    <w:rsid w:val="00BB38BA"/>
    <w:rsid w:val="00BC12E3"/>
    <w:rsid w:val="00BC5437"/>
    <w:rsid w:val="00BD6920"/>
    <w:rsid w:val="00BE01A5"/>
    <w:rsid w:val="00BE34FB"/>
    <w:rsid w:val="00BE5BC7"/>
    <w:rsid w:val="00BF1C21"/>
    <w:rsid w:val="00BF482C"/>
    <w:rsid w:val="00BF52EC"/>
    <w:rsid w:val="00C014A7"/>
    <w:rsid w:val="00C05F77"/>
    <w:rsid w:val="00C06C43"/>
    <w:rsid w:val="00C07214"/>
    <w:rsid w:val="00C07772"/>
    <w:rsid w:val="00C11AC9"/>
    <w:rsid w:val="00C12411"/>
    <w:rsid w:val="00C13FD5"/>
    <w:rsid w:val="00C1459B"/>
    <w:rsid w:val="00C14B29"/>
    <w:rsid w:val="00C17AA8"/>
    <w:rsid w:val="00C222AE"/>
    <w:rsid w:val="00C2352E"/>
    <w:rsid w:val="00C25850"/>
    <w:rsid w:val="00C27269"/>
    <w:rsid w:val="00C27D1C"/>
    <w:rsid w:val="00C30034"/>
    <w:rsid w:val="00C30F13"/>
    <w:rsid w:val="00C31BDE"/>
    <w:rsid w:val="00C33709"/>
    <w:rsid w:val="00C34BE7"/>
    <w:rsid w:val="00C363E1"/>
    <w:rsid w:val="00C36A13"/>
    <w:rsid w:val="00C36E89"/>
    <w:rsid w:val="00C42296"/>
    <w:rsid w:val="00C433A6"/>
    <w:rsid w:val="00C51026"/>
    <w:rsid w:val="00C568C5"/>
    <w:rsid w:val="00C57078"/>
    <w:rsid w:val="00C57A73"/>
    <w:rsid w:val="00C60EB8"/>
    <w:rsid w:val="00C64C6D"/>
    <w:rsid w:val="00C71196"/>
    <w:rsid w:val="00C8069A"/>
    <w:rsid w:val="00C81C00"/>
    <w:rsid w:val="00C82C63"/>
    <w:rsid w:val="00C84DFC"/>
    <w:rsid w:val="00C8578F"/>
    <w:rsid w:val="00C874DB"/>
    <w:rsid w:val="00C87C4A"/>
    <w:rsid w:val="00C93B6C"/>
    <w:rsid w:val="00C93B9E"/>
    <w:rsid w:val="00C94A9F"/>
    <w:rsid w:val="00C952E2"/>
    <w:rsid w:val="00C96145"/>
    <w:rsid w:val="00CA3A04"/>
    <w:rsid w:val="00CA52DB"/>
    <w:rsid w:val="00CA6326"/>
    <w:rsid w:val="00CA7AB7"/>
    <w:rsid w:val="00CB315D"/>
    <w:rsid w:val="00CB3C49"/>
    <w:rsid w:val="00CD44AB"/>
    <w:rsid w:val="00CE1158"/>
    <w:rsid w:val="00CE4E33"/>
    <w:rsid w:val="00CE62A2"/>
    <w:rsid w:val="00CE7A20"/>
    <w:rsid w:val="00CE7A91"/>
    <w:rsid w:val="00CF129C"/>
    <w:rsid w:val="00CF4FC4"/>
    <w:rsid w:val="00D04343"/>
    <w:rsid w:val="00D05C95"/>
    <w:rsid w:val="00D0660C"/>
    <w:rsid w:val="00D12C88"/>
    <w:rsid w:val="00D145DE"/>
    <w:rsid w:val="00D17368"/>
    <w:rsid w:val="00D17859"/>
    <w:rsid w:val="00D215DC"/>
    <w:rsid w:val="00D23C98"/>
    <w:rsid w:val="00D24EAF"/>
    <w:rsid w:val="00D263C3"/>
    <w:rsid w:val="00D27A8C"/>
    <w:rsid w:val="00D32C74"/>
    <w:rsid w:val="00D4557D"/>
    <w:rsid w:val="00D45EF8"/>
    <w:rsid w:val="00D50878"/>
    <w:rsid w:val="00D52604"/>
    <w:rsid w:val="00D55314"/>
    <w:rsid w:val="00D63809"/>
    <w:rsid w:val="00D643D8"/>
    <w:rsid w:val="00D677D6"/>
    <w:rsid w:val="00D742E4"/>
    <w:rsid w:val="00D74ADF"/>
    <w:rsid w:val="00D835C0"/>
    <w:rsid w:val="00D84645"/>
    <w:rsid w:val="00D87B73"/>
    <w:rsid w:val="00D9132B"/>
    <w:rsid w:val="00D95A83"/>
    <w:rsid w:val="00D96878"/>
    <w:rsid w:val="00D97412"/>
    <w:rsid w:val="00DA02D9"/>
    <w:rsid w:val="00DA44E3"/>
    <w:rsid w:val="00DA69E9"/>
    <w:rsid w:val="00DA732D"/>
    <w:rsid w:val="00DB194C"/>
    <w:rsid w:val="00DB1C77"/>
    <w:rsid w:val="00DB2EFF"/>
    <w:rsid w:val="00DB5AE4"/>
    <w:rsid w:val="00DB6D16"/>
    <w:rsid w:val="00DC0644"/>
    <w:rsid w:val="00DC2165"/>
    <w:rsid w:val="00DD4169"/>
    <w:rsid w:val="00DE0B28"/>
    <w:rsid w:val="00DE2C81"/>
    <w:rsid w:val="00DF106B"/>
    <w:rsid w:val="00DF3A25"/>
    <w:rsid w:val="00E067FA"/>
    <w:rsid w:val="00E06C34"/>
    <w:rsid w:val="00E07713"/>
    <w:rsid w:val="00E16101"/>
    <w:rsid w:val="00E16575"/>
    <w:rsid w:val="00E22191"/>
    <w:rsid w:val="00E276D4"/>
    <w:rsid w:val="00E277A7"/>
    <w:rsid w:val="00E33A5E"/>
    <w:rsid w:val="00E359CD"/>
    <w:rsid w:val="00E36E4A"/>
    <w:rsid w:val="00E37EF3"/>
    <w:rsid w:val="00E41081"/>
    <w:rsid w:val="00E41DE3"/>
    <w:rsid w:val="00E431EC"/>
    <w:rsid w:val="00E43E85"/>
    <w:rsid w:val="00E459D9"/>
    <w:rsid w:val="00E46FC6"/>
    <w:rsid w:val="00E525F5"/>
    <w:rsid w:val="00E53FB0"/>
    <w:rsid w:val="00E54641"/>
    <w:rsid w:val="00E56074"/>
    <w:rsid w:val="00E56C27"/>
    <w:rsid w:val="00E62776"/>
    <w:rsid w:val="00E660D2"/>
    <w:rsid w:val="00E72B7D"/>
    <w:rsid w:val="00E74D4D"/>
    <w:rsid w:val="00E75A88"/>
    <w:rsid w:val="00E77605"/>
    <w:rsid w:val="00E8018C"/>
    <w:rsid w:val="00E80E15"/>
    <w:rsid w:val="00E82CA0"/>
    <w:rsid w:val="00E83604"/>
    <w:rsid w:val="00E836E4"/>
    <w:rsid w:val="00E85562"/>
    <w:rsid w:val="00E85A5D"/>
    <w:rsid w:val="00E87036"/>
    <w:rsid w:val="00E93CA9"/>
    <w:rsid w:val="00E95AAA"/>
    <w:rsid w:val="00EA002E"/>
    <w:rsid w:val="00EA3CFA"/>
    <w:rsid w:val="00EA6891"/>
    <w:rsid w:val="00EB174B"/>
    <w:rsid w:val="00EB570D"/>
    <w:rsid w:val="00EB5E26"/>
    <w:rsid w:val="00EC0BB4"/>
    <w:rsid w:val="00EC1F8E"/>
    <w:rsid w:val="00ED556C"/>
    <w:rsid w:val="00ED796B"/>
    <w:rsid w:val="00EF13EC"/>
    <w:rsid w:val="00EF7340"/>
    <w:rsid w:val="00F01A58"/>
    <w:rsid w:val="00F044B8"/>
    <w:rsid w:val="00F10686"/>
    <w:rsid w:val="00F136B5"/>
    <w:rsid w:val="00F15F0E"/>
    <w:rsid w:val="00F17D12"/>
    <w:rsid w:val="00F22AD1"/>
    <w:rsid w:val="00F235B3"/>
    <w:rsid w:val="00F241D5"/>
    <w:rsid w:val="00F34FA9"/>
    <w:rsid w:val="00F35A70"/>
    <w:rsid w:val="00F42647"/>
    <w:rsid w:val="00F451B9"/>
    <w:rsid w:val="00F473A5"/>
    <w:rsid w:val="00F474C5"/>
    <w:rsid w:val="00F47756"/>
    <w:rsid w:val="00F47F2F"/>
    <w:rsid w:val="00F50033"/>
    <w:rsid w:val="00F541A5"/>
    <w:rsid w:val="00F560DC"/>
    <w:rsid w:val="00F62969"/>
    <w:rsid w:val="00F643A9"/>
    <w:rsid w:val="00F64AAA"/>
    <w:rsid w:val="00F65415"/>
    <w:rsid w:val="00F6686C"/>
    <w:rsid w:val="00F71ACC"/>
    <w:rsid w:val="00F7272E"/>
    <w:rsid w:val="00F733B4"/>
    <w:rsid w:val="00F75ECD"/>
    <w:rsid w:val="00F77523"/>
    <w:rsid w:val="00F77B4B"/>
    <w:rsid w:val="00F8148A"/>
    <w:rsid w:val="00F835D7"/>
    <w:rsid w:val="00F915DB"/>
    <w:rsid w:val="00F91BBE"/>
    <w:rsid w:val="00F9762A"/>
    <w:rsid w:val="00FA149D"/>
    <w:rsid w:val="00FA2531"/>
    <w:rsid w:val="00FA2AB6"/>
    <w:rsid w:val="00FA3F25"/>
    <w:rsid w:val="00FA4BE2"/>
    <w:rsid w:val="00FA5076"/>
    <w:rsid w:val="00FA6914"/>
    <w:rsid w:val="00FA7FD4"/>
    <w:rsid w:val="00FB0B47"/>
    <w:rsid w:val="00FB1E51"/>
    <w:rsid w:val="00FB5DCF"/>
    <w:rsid w:val="00FB5EB7"/>
    <w:rsid w:val="00FB68AF"/>
    <w:rsid w:val="00FC29A0"/>
    <w:rsid w:val="00FC412D"/>
    <w:rsid w:val="00FC7995"/>
    <w:rsid w:val="00FD0509"/>
    <w:rsid w:val="00FD3837"/>
    <w:rsid w:val="00FD3B11"/>
    <w:rsid w:val="00FD3DD7"/>
    <w:rsid w:val="00FE1E84"/>
    <w:rsid w:val="00FE3177"/>
    <w:rsid w:val="00FE35DC"/>
    <w:rsid w:val="00FF3A88"/>
    <w:rsid w:val="00FF4B98"/>
    <w:rsid w:val="00FF5F2B"/>
    <w:rsid w:val="00FF7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FBD5F0C"/>
  <w15:chartTrackingRefBased/>
  <w15:docId w15:val="{F0EBDAE2-71C8-FE49-BE42-6DED0F4D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80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unhideWhenUsed/>
    <w:rsid w:val="00E83604"/>
    <w:rPr>
      <w:rFonts w:ascii="Times New Roman" w:hAnsi="Times New Roman"/>
      <w:sz w:val="24"/>
    </w:rPr>
  </w:style>
  <w:style w:type="paragraph" w:styleId="ListParagraph">
    <w:name w:val="List Paragraph"/>
    <w:basedOn w:val="Normal"/>
    <w:uiPriority w:val="34"/>
    <w:qFormat/>
    <w:rsid w:val="00E83604"/>
    <w:pPr>
      <w:ind w:left="720"/>
      <w:contextualSpacing/>
    </w:pPr>
  </w:style>
  <w:style w:type="paragraph" w:customStyle="1" w:styleId="EndNoteBibliographyTitle">
    <w:name w:val="EndNote Bibliography Title"/>
    <w:basedOn w:val="Normal"/>
    <w:link w:val="EndNoteBibliographyTitleChar"/>
    <w:rsid w:val="0046436F"/>
    <w:pPr>
      <w:jc w:val="center"/>
    </w:pPr>
    <w:rPr>
      <w:rFonts w:eastAsia="MS Mincho"/>
    </w:rPr>
  </w:style>
  <w:style w:type="character" w:customStyle="1" w:styleId="EndNoteBibliographyTitleChar">
    <w:name w:val="EndNote Bibliography Title Char"/>
    <w:basedOn w:val="DefaultParagraphFont"/>
    <w:link w:val="EndNoteBibliographyTitle"/>
    <w:rsid w:val="0046436F"/>
    <w:rPr>
      <w:rFonts w:ascii="Times New Roman" w:hAnsi="Times New Roman" w:cs="Times New Roman"/>
    </w:rPr>
  </w:style>
  <w:style w:type="paragraph" w:customStyle="1" w:styleId="EndNoteBibliography">
    <w:name w:val="EndNote Bibliography"/>
    <w:basedOn w:val="Normal"/>
    <w:link w:val="EndNoteBibliographyChar"/>
    <w:rsid w:val="0046436F"/>
    <w:pPr>
      <w:spacing w:line="360" w:lineRule="auto"/>
      <w:jc w:val="both"/>
    </w:pPr>
    <w:rPr>
      <w:rFonts w:eastAsia="MS Mincho"/>
    </w:rPr>
  </w:style>
  <w:style w:type="character" w:customStyle="1" w:styleId="EndNoteBibliographyChar">
    <w:name w:val="EndNote Bibliography Char"/>
    <w:basedOn w:val="DefaultParagraphFont"/>
    <w:link w:val="EndNoteBibliography"/>
    <w:rsid w:val="0046436F"/>
    <w:rPr>
      <w:rFonts w:ascii="Times New Roman" w:hAnsi="Times New Roman" w:cs="Times New Roman"/>
    </w:rPr>
  </w:style>
  <w:style w:type="paragraph" w:styleId="Footer">
    <w:name w:val="footer"/>
    <w:basedOn w:val="Normal"/>
    <w:link w:val="FooterChar"/>
    <w:uiPriority w:val="99"/>
    <w:unhideWhenUsed/>
    <w:rsid w:val="00AA2ADC"/>
    <w:pPr>
      <w:tabs>
        <w:tab w:val="center" w:pos="4680"/>
        <w:tab w:val="right" w:pos="9360"/>
      </w:tabs>
    </w:pPr>
  </w:style>
  <w:style w:type="character" w:customStyle="1" w:styleId="FooterChar">
    <w:name w:val="Footer Char"/>
    <w:basedOn w:val="DefaultParagraphFont"/>
    <w:link w:val="Footer"/>
    <w:uiPriority w:val="99"/>
    <w:rsid w:val="00AA2ADC"/>
  </w:style>
  <w:style w:type="character" w:styleId="PageNumber">
    <w:name w:val="page number"/>
    <w:basedOn w:val="DefaultParagraphFont"/>
    <w:uiPriority w:val="99"/>
    <w:semiHidden/>
    <w:unhideWhenUsed/>
    <w:rsid w:val="00AA2ADC"/>
  </w:style>
  <w:style w:type="paragraph" w:styleId="Header">
    <w:name w:val="header"/>
    <w:basedOn w:val="Normal"/>
    <w:link w:val="HeaderChar"/>
    <w:uiPriority w:val="99"/>
    <w:unhideWhenUsed/>
    <w:rsid w:val="00AA2ADC"/>
    <w:pPr>
      <w:tabs>
        <w:tab w:val="center" w:pos="4680"/>
        <w:tab w:val="right" w:pos="9360"/>
      </w:tabs>
    </w:pPr>
  </w:style>
  <w:style w:type="character" w:customStyle="1" w:styleId="HeaderChar">
    <w:name w:val="Header Char"/>
    <w:basedOn w:val="DefaultParagraphFont"/>
    <w:link w:val="Header"/>
    <w:uiPriority w:val="99"/>
    <w:rsid w:val="00AA2ADC"/>
  </w:style>
  <w:style w:type="paragraph" w:styleId="NormalWeb">
    <w:name w:val="Normal (Web)"/>
    <w:basedOn w:val="Normal"/>
    <w:uiPriority w:val="99"/>
    <w:semiHidden/>
    <w:unhideWhenUsed/>
    <w:rsid w:val="00CE7A20"/>
    <w:pPr>
      <w:spacing w:before="100" w:beforeAutospacing="1" w:after="100" w:afterAutospacing="1"/>
    </w:pPr>
  </w:style>
  <w:style w:type="character" w:styleId="Hyperlink">
    <w:name w:val="Hyperlink"/>
    <w:basedOn w:val="DefaultParagraphFont"/>
    <w:uiPriority w:val="99"/>
    <w:unhideWhenUsed/>
    <w:rsid w:val="009E6481"/>
    <w:rPr>
      <w:color w:val="0563C1" w:themeColor="hyperlink"/>
      <w:u w:val="single"/>
    </w:rPr>
  </w:style>
  <w:style w:type="character" w:styleId="UnresolvedMention">
    <w:name w:val="Unresolved Mention"/>
    <w:basedOn w:val="DefaultParagraphFont"/>
    <w:uiPriority w:val="99"/>
    <w:semiHidden/>
    <w:unhideWhenUsed/>
    <w:rsid w:val="009E6481"/>
    <w:rPr>
      <w:color w:val="605E5C"/>
      <w:shd w:val="clear" w:color="auto" w:fill="E1DFDD"/>
    </w:rPr>
  </w:style>
  <w:style w:type="character" w:styleId="CommentReference">
    <w:name w:val="annotation reference"/>
    <w:basedOn w:val="DefaultParagraphFont"/>
    <w:uiPriority w:val="99"/>
    <w:semiHidden/>
    <w:unhideWhenUsed/>
    <w:rsid w:val="00E16101"/>
    <w:rPr>
      <w:sz w:val="16"/>
      <w:szCs w:val="16"/>
    </w:rPr>
  </w:style>
  <w:style w:type="paragraph" w:styleId="CommentText">
    <w:name w:val="annotation text"/>
    <w:basedOn w:val="Normal"/>
    <w:link w:val="CommentTextChar"/>
    <w:uiPriority w:val="99"/>
    <w:semiHidden/>
    <w:unhideWhenUsed/>
    <w:rsid w:val="00E16101"/>
    <w:rPr>
      <w:sz w:val="20"/>
      <w:szCs w:val="20"/>
    </w:rPr>
  </w:style>
  <w:style w:type="character" w:customStyle="1" w:styleId="CommentTextChar">
    <w:name w:val="Comment Text Char"/>
    <w:basedOn w:val="DefaultParagraphFont"/>
    <w:link w:val="CommentText"/>
    <w:uiPriority w:val="99"/>
    <w:semiHidden/>
    <w:rsid w:val="00E161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6101"/>
    <w:rPr>
      <w:b/>
      <w:bCs/>
    </w:rPr>
  </w:style>
  <w:style w:type="character" w:customStyle="1" w:styleId="CommentSubjectChar">
    <w:name w:val="Comment Subject Char"/>
    <w:basedOn w:val="CommentTextChar"/>
    <w:link w:val="CommentSubject"/>
    <w:uiPriority w:val="99"/>
    <w:semiHidden/>
    <w:rsid w:val="00E16101"/>
    <w:rPr>
      <w:rFonts w:ascii="Times New Roman" w:eastAsia="Times New Roman" w:hAnsi="Times New Roman" w:cs="Times New Roman"/>
      <w:b/>
      <w:bCs/>
      <w:sz w:val="20"/>
      <w:szCs w:val="20"/>
    </w:rPr>
  </w:style>
  <w:style w:type="paragraph" w:styleId="Revision">
    <w:name w:val="Revision"/>
    <w:hidden/>
    <w:uiPriority w:val="99"/>
    <w:semiHidden/>
    <w:rsid w:val="008F644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6277">
      <w:bodyDiv w:val="1"/>
      <w:marLeft w:val="0"/>
      <w:marRight w:val="0"/>
      <w:marTop w:val="0"/>
      <w:marBottom w:val="0"/>
      <w:divBdr>
        <w:top w:val="none" w:sz="0" w:space="0" w:color="auto"/>
        <w:left w:val="none" w:sz="0" w:space="0" w:color="auto"/>
        <w:bottom w:val="none" w:sz="0" w:space="0" w:color="auto"/>
        <w:right w:val="none" w:sz="0" w:space="0" w:color="auto"/>
      </w:divBdr>
      <w:divsChild>
        <w:div w:id="490415143">
          <w:marLeft w:val="0"/>
          <w:marRight w:val="0"/>
          <w:marTop w:val="0"/>
          <w:marBottom w:val="0"/>
          <w:divBdr>
            <w:top w:val="none" w:sz="0" w:space="0" w:color="auto"/>
            <w:left w:val="none" w:sz="0" w:space="0" w:color="auto"/>
            <w:bottom w:val="none" w:sz="0" w:space="0" w:color="auto"/>
            <w:right w:val="none" w:sz="0" w:space="0" w:color="auto"/>
          </w:divBdr>
          <w:divsChild>
            <w:div w:id="414673228">
              <w:marLeft w:val="0"/>
              <w:marRight w:val="0"/>
              <w:marTop w:val="0"/>
              <w:marBottom w:val="0"/>
              <w:divBdr>
                <w:top w:val="none" w:sz="0" w:space="0" w:color="auto"/>
                <w:left w:val="none" w:sz="0" w:space="0" w:color="auto"/>
                <w:bottom w:val="none" w:sz="0" w:space="0" w:color="auto"/>
                <w:right w:val="none" w:sz="0" w:space="0" w:color="auto"/>
              </w:divBdr>
              <w:divsChild>
                <w:div w:id="168836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0150">
      <w:bodyDiv w:val="1"/>
      <w:marLeft w:val="0"/>
      <w:marRight w:val="0"/>
      <w:marTop w:val="0"/>
      <w:marBottom w:val="0"/>
      <w:divBdr>
        <w:top w:val="none" w:sz="0" w:space="0" w:color="auto"/>
        <w:left w:val="none" w:sz="0" w:space="0" w:color="auto"/>
        <w:bottom w:val="none" w:sz="0" w:space="0" w:color="auto"/>
        <w:right w:val="none" w:sz="0" w:space="0" w:color="auto"/>
      </w:divBdr>
      <w:divsChild>
        <w:div w:id="1233849555">
          <w:marLeft w:val="0"/>
          <w:marRight w:val="0"/>
          <w:marTop w:val="0"/>
          <w:marBottom w:val="0"/>
          <w:divBdr>
            <w:top w:val="none" w:sz="0" w:space="0" w:color="auto"/>
            <w:left w:val="none" w:sz="0" w:space="0" w:color="auto"/>
            <w:bottom w:val="none" w:sz="0" w:space="0" w:color="auto"/>
            <w:right w:val="none" w:sz="0" w:space="0" w:color="auto"/>
          </w:divBdr>
          <w:divsChild>
            <w:div w:id="1629779918">
              <w:marLeft w:val="0"/>
              <w:marRight w:val="0"/>
              <w:marTop w:val="0"/>
              <w:marBottom w:val="0"/>
              <w:divBdr>
                <w:top w:val="none" w:sz="0" w:space="0" w:color="auto"/>
                <w:left w:val="none" w:sz="0" w:space="0" w:color="auto"/>
                <w:bottom w:val="none" w:sz="0" w:space="0" w:color="auto"/>
                <w:right w:val="none" w:sz="0" w:space="0" w:color="auto"/>
              </w:divBdr>
              <w:divsChild>
                <w:div w:id="5024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88810">
      <w:bodyDiv w:val="1"/>
      <w:marLeft w:val="0"/>
      <w:marRight w:val="0"/>
      <w:marTop w:val="0"/>
      <w:marBottom w:val="0"/>
      <w:divBdr>
        <w:top w:val="none" w:sz="0" w:space="0" w:color="auto"/>
        <w:left w:val="none" w:sz="0" w:space="0" w:color="auto"/>
        <w:bottom w:val="none" w:sz="0" w:space="0" w:color="auto"/>
        <w:right w:val="none" w:sz="0" w:space="0" w:color="auto"/>
      </w:divBdr>
    </w:div>
    <w:div w:id="251741399">
      <w:bodyDiv w:val="1"/>
      <w:marLeft w:val="0"/>
      <w:marRight w:val="0"/>
      <w:marTop w:val="0"/>
      <w:marBottom w:val="0"/>
      <w:divBdr>
        <w:top w:val="none" w:sz="0" w:space="0" w:color="auto"/>
        <w:left w:val="none" w:sz="0" w:space="0" w:color="auto"/>
        <w:bottom w:val="none" w:sz="0" w:space="0" w:color="auto"/>
        <w:right w:val="none" w:sz="0" w:space="0" w:color="auto"/>
      </w:divBdr>
      <w:divsChild>
        <w:div w:id="186794659">
          <w:marLeft w:val="0"/>
          <w:marRight w:val="0"/>
          <w:marTop w:val="0"/>
          <w:marBottom w:val="0"/>
          <w:divBdr>
            <w:top w:val="none" w:sz="0" w:space="0" w:color="auto"/>
            <w:left w:val="none" w:sz="0" w:space="0" w:color="auto"/>
            <w:bottom w:val="none" w:sz="0" w:space="0" w:color="auto"/>
            <w:right w:val="none" w:sz="0" w:space="0" w:color="auto"/>
          </w:divBdr>
          <w:divsChild>
            <w:div w:id="1846433181">
              <w:marLeft w:val="0"/>
              <w:marRight w:val="0"/>
              <w:marTop w:val="0"/>
              <w:marBottom w:val="0"/>
              <w:divBdr>
                <w:top w:val="none" w:sz="0" w:space="0" w:color="auto"/>
                <w:left w:val="none" w:sz="0" w:space="0" w:color="auto"/>
                <w:bottom w:val="none" w:sz="0" w:space="0" w:color="auto"/>
                <w:right w:val="none" w:sz="0" w:space="0" w:color="auto"/>
              </w:divBdr>
              <w:divsChild>
                <w:div w:id="4630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75427">
      <w:bodyDiv w:val="1"/>
      <w:marLeft w:val="0"/>
      <w:marRight w:val="0"/>
      <w:marTop w:val="0"/>
      <w:marBottom w:val="0"/>
      <w:divBdr>
        <w:top w:val="none" w:sz="0" w:space="0" w:color="auto"/>
        <w:left w:val="none" w:sz="0" w:space="0" w:color="auto"/>
        <w:bottom w:val="none" w:sz="0" w:space="0" w:color="auto"/>
        <w:right w:val="none" w:sz="0" w:space="0" w:color="auto"/>
      </w:divBdr>
      <w:divsChild>
        <w:div w:id="953057032">
          <w:marLeft w:val="0"/>
          <w:marRight w:val="0"/>
          <w:marTop w:val="0"/>
          <w:marBottom w:val="0"/>
          <w:divBdr>
            <w:top w:val="none" w:sz="0" w:space="0" w:color="auto"/>
            <w:left w:val="none" w:sz="0" w:space="0" w:color="auto"/>
            <w:bottom w:val="none" w:sz="0" w:space="0" w:color="auto"/>
            <w:right w:val="none" w:sz="0" w:space="0" w:color="auto"/>
          </w:divBdr>
          <w:divsChild>
            <w:div w:id="1620137788">
              <w:marLeft w:val="0"/>
              <w:marRight w:val="0"/>
              <w:marTop w:val="0"/>
              <w:marBottom w:val="0"/>
              <w:divBdr>
                <w:top w:val="none" w:sz="0" w:space="0" w:color="auto"/>
                <w:left w:val="none" w:sz="0" w:space="0" w:color="auto"/>
                <w:bottom w:val="none" w:sz="0" w:space="0" w:color="auto"/>
                <w:right w:val="none" w:sz="0" w:space="0" w:color="auto"/>
              </w:divBdr>
              <w:divsChild>
                <w:div w:id="133780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46670">
      <w:bodyDiv w:val="1"/>
      <w:marLeft w:val="0"/>
      <w:marRight w:val="0"/>
      <w:marTop w:val="0"/>
      <w:marBottom w:val="0"/>
      <w:divBdr>
        <w:top w:val="none" w:sz="0" w:space="0" w:color="auto"/>
        <w:left w:val="none" w:sz="0" w:space="0" w:color="auto"/>
        <w:bottom w:val="none" w:sz="0" w:space="0" w:color="auto"/>
        <w:right w:val="none" w:sz="0" w:space="0" w:color="auto"/>
      </w:divBdr>
    </w:div>
    <w:div w:id="383604657">
      <w:bodyDiv w:val="1"/>
      <w:marLeft w:val="0"/>
      <w:marRight w:val="0"/>
      <w:marTop w:val="0"/>
      <w:marBottom w:val="0"/>
      <w:divBdr>
        <w:top w:val="none" w:sz="0" w:space="0" w:color="auto"/>
        <w:left w:val="none" w:sz="0" w:space="0" w:color="auto"/>
        <w:bottom w:val="none" w:sz="0" w:space="0" w:color="auto"/>
        <w:right w:val="none" w:sz="0" w:space="0" w:color="auto"/>
      </w:divBdr>
      <w:divsChild>
        <w:div w:id="1060862808">
          <w:marLeft w:val="0"/>
          <w:marRight w:val="0"/>
          <w:marTop w:val="0"/>
          <w:marBottom w:val="0"/>
          <w:divBdr>
            <w:top w:val="none" w:sz="0" w:space="0" w:color="auto"/>
            <w:left w:val="none" w:sz="0" w:space="0" w:color="auto"/>
            <w:bottom w:val="none" w:sz="0" w:space="0" w:color="auto"/>
            <w:right w:val="none" w:sz="0" w:space="0" w:color="auto"/>
          </w:divBdr>
          <w:divsChild>
            <w:div w:id="1213812349">
              <w:marLeft w:val="0"/>
              <w:marRight w:val="0"/>
              <w:marTop w:val="0"/>
              <w:marBottom w:val="0"/>
              <w:divBdr>
                <w:top w:val="none" w:sz="0" w:space="0" w:color="auto"/>
                <w:left w:val="none" w:sz="0" w:space="0" w:color="auto"/>
                <w:bottom w:val="none" w:sz="0" w:space="0" w:color="auto"/>
                <w:right w:val="none" w:sz="0" w:space="0" w:color="auto"/>
              </w:divBdr>
              <w:divsChild>
                <w:div w:id="20048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662583">
      <w:bodyDiv w:val="1"/>
      <w:marLeft w:val="0"/>
      <w:marRight w:val="0"/>
      <w:marTop w:val="0"/>
      <w:marBottom w:val="0"/>
      <w:divBdr>
        <w:top w:val="none" w:sz="0" w:space="0" w:color="auto"/>
        <w:left w:val="none" w:sz="0" w:space="0" w:color="auto"/>
        <w:bottom w:val="none" w:sz="0" w:space="0" w:color="auto"/>
        <w:right w:val="none" w:sz="0" w:space="0" w:color="auto"/>
      </w:divBdr>
    </w:div>
    <w:div w:id="418530345">
      <w:bodyDiv w:val="1"/>
      <w:marLeft w:val="0"/>
      <w:marRight w:val="0"/>
      <w:marTop w:val="0"/>
      <w:marBottom w:val="0"/>
      <w:divBdr>
        <w:top w:val="none" w:sz="0" w:space="0" w:color="auto"/>
        <w:left w:val="none" w:sz="0" w:space="0" w:color="auto"/>
        <w:bottom w:val="none" w:sz="0" w:space="0" w:color="auto"/>
        <w:right w:val="none" w:sz="0" w:space="0" w:color="auto"/>
      </w:divBdr>
      <w:divsChild>
        <w:div w:id="2125876650">
          <w:marLeft w:val="0"/>
          <w:marRight w:val="0"/>
          <w:marTop w:val="0"/>
          <w:marBottom w:val="0"/>
          <w:divBdr>
            <w:top w:val="none" w:sz="0" w:space="0" w:color="auto"/>
            <w:left w:val="none" w:sz="0" w:space="0" w:color="auto"/>
            <w:bottom w:val="none" w:sz="0" w:space="0" w:color="auto"/>
            <w:right w:val="none" w:sz="0" w:space="0" w:color="auto"/>
          </w:divBdr>
          <w:divsChild>
            <w:div w:id="1481770548">
              <w:marLeft w:val="0"/>
              <w:marRight w:val="0"/>
              <w:marTop w:val="0"/>
              <w:marBottom w:val="0"/>
              <w:divBdr>
                <w:top w:val="none" w:sz="0" w:space="0" w:color="auto"/>
                <w:left w:val="none" w:sz="0" w:space="0" w:color="auto"/>
                <w:bottom w:val="none" w:sz="0" w:space="0" w:color="auto"/>
                <w:right w:val="none" w:sz="0" w:space="0" w:color="auto"/>
              </w:divBdr>
              <w:divsChild>
                <w:div w:id="179512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174748">
      <w:bodyDiv w:val="1"/>
      <w:marLeft w:val="0"/>
      <w:marRight w:val="0"/>
      <w:marTop w:val="0"/>
      <w:marBottom w:val="0"/>
      <w:divBdr>
        <w:top w:val="none" w:sz="0" w:space="0" w:color="auto"/>
        <w:left w:val="none" w:sz="0" w:space="0" w:color="auto"/>
        <w:bottom w:val="none" w:sz="0" w:space="0" w:color="auto"/>
        <w:right w:val="none" w:sz="0" w:space="0" w:color="auto"/>
      </w:divBdr>
      <w:divsChild>
        <w:div w:id="1817062327">
          <w:marLeft w:val="0"/>
          <w:marRight w:val="0"/>
          <w:marTop w:val="0"/>
          <w:marBottom w:val="0"/>
          <w:divBdr>
            <w:top w:val="none" w:sz="0" w:space="0" w:color="auto"/>
            <w:left w:val="none" w:sz="0" w:space="0" w:color="auto"/>
            <w:bottom w:val="none" w:sz="0" w:space="0" w:color="auto"/>
            <w:right w:val="none" w:sz="0" w:space="0" w:color="auto"/>
          </w:divBdr>
          <w:divsChild>
            <w:div w:id="8803547">
              <w:marLeft w:val="0"/>
              <w:marRight w:val="0"/>
              <w:marTop w:val="0"/>
              <w:marBottom w:val="0"/>
              <w:divBdr>
                <w:top w:val="none" w:sz="0" w:space="0" w:color="auto"/>
                <w:left w:val="none" w:sz="0" w:space="0" w:color="auto"/>
                <w:bottom w:val="none" w:sz="0" w:space="0" w:color="auto"/>
                <w:right w:val="none" w:sz="0" w:space="0" w:color="auto"/>
              </w:divBdr>
              <w:divsChild>
                <w:div w:id="101981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516937">
      <w:bodyDiv w:val="1"/>
      <w:marLeft w:val="0"/>
      <w:marRight w:val="0"/>
      <w:marTop w:val="0"/>
      <w:marBottom w:val="0"/>
      <w:divBdr>
        <w:top w:val="none" w:sz="0" w:space="0" w:color="auto"/>
        <w:left w:val="none" w:sz="0" w:space="0" w:color="auto"/>
        <w:bottom w:val="none" w:sz="0" w:space="0" w:color="auto"/>
        <w:right w:val="none" w:sz="0" w:space="0" w:color="auto"/>
      </w:divBdr>
      <w:divsChild>
        <w:div w:id="696584870">
          <w:marLeft w:val="0"/>
          <w:marRight w:val="0"/>
          <w:marTop w:val="0"/>
          <w:marBottom w:val="0"/>
          <w:divBdr>
            <w:top w:val="none" w:sz="0" w:space="0" w:color="auto"/>
            <w:left w:val="none" w:sz="0" w:space="0" w:color="auto"/>
            <w:bottom w:val="none" w:sz="0" w:space="0" w:color="auto"/>
            <w:right w:val="none" w:sz="0" w:space="0" w:color="auto"/>
          </w:divBdr>
          <w:divsChild>
            <w:div w:id="2008627218">
              <w:marLeft w:val="0"/>
              <w:marRight w:val="0"/>
              <w:marTop w:val="0"/>
              <w:marBottom w:val="0"/>
              <w:divBdr>
                <w:top w:val="none" w:sz="0" w:space="0" w:color="auto"/>
                <w:left w:val="none" w:sz="0" w:space="0" w:color="auto"/>
                <w:bottom w:val="none" w:sz="0" w:space="0" w:color="auto"/>
                <w:right w:val="none" w:sz="0" w:space="0" w:color="auto"/>
              </w:divBdr>
              <w:divsChild>
                <w:div w:id="146272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5501">
      <w:bodyDiv w:val="1"/>
      <w:marLeft w:val="0"/>
      <w:marRight w:val="0"/>
      <w:marTop w:val="0"/>
      <w:marBottom w:val="0"/>
      <w:divBdr>
        <w:top w:val="none" w:sz="0" w:space="0" w:color="auto"/>
        <w:left w:val="none" w:sz="0" w:space="0" w:color="auto"/>
        <w:bottom w:val="none" w:sz="0" w:space="0" w:color="auto"/>
        <w:right w:val="none" w:sz="0" w:space="0" w:color="auto"/>
      </w:divBdr>
    </w:div>
    <w:div w:id="566188668">
      <w:bodyDiv w:val="1"/>
      <w:marLeft w:val="0"/>
      <w:marRight w:val="0"/>
      <w:marTop w:val="0"/>
      <w:marBottom w:val="0"/>
      <w:divBdr>
        <w:top w:val="none" w:sz="0" w:space="0" w:color="auto"/>
        <w:left w:val="none" w:sz="0" w:space="0" w:color="auto"/>
        <w:bottom w:val="none" w:sz="0" w:space="0" w:color="auto"/>
        <w:right w:val="none" w:sz="0" w:space="0" w:color="auto"/>
      </w:divBdr>
    </w:div>
    <w:div w:id="576672962">
      <w:bodyDiv w:val="1"/>
      <w:marLeft w:val="0"/>
      <w:marRight w:val="0"/>
      <w:marTop w:val="0"/>
      <w:marBottom w:val="0"/>
      <w:divBdr>
        <w:top w:val="none" w:sz="0" w:space="0" w:color="auto"/>
        <w:left w:val="none" w:sz="0" w:space="0" w:color="auto"/>
        <w:bottom w:val="none" w:sz="0" w:space="0" w:color="auto"/>
        <w:right w:val="none" w:sz="0" w:space="0" w:color="auto"/>
      </w:divBdr>
      <w:divsChild>
        <w:div w:id="650138063">
          <w:marLeft w:val="0"/>
          <w:marRight w:val="0"/>
          <w:marTop w:val="0"/>
          <w:marBottom w:val="0"/>
          <w:divBdr>
            <w:top w:val="none" w:sz="0" w:space="0" w:color="auto"/>
            <w:left w:val="none" w:sz="0" w:space="0" w:color="auto"/>
            <w:bottom w:val="none" w:sz="0" w:space="0" w:color="auto"/>
            <w:right w:val="none" w:sz="0" w:space="0" w:color="auto"/>
          </w:divBdr>
          <w:divsChild>
            <w:div w:id="1502041398">
              <w:marLeft w:val="0"/>
              <w:marRight w:val="0"/>
              <w:marTop w:val="0"/>
              <w:marBottom w:val="0"/>
              <w:divBdr>
                <w:top w:val="none" w:sz="0" w:space="0" w:color="auto"/>
                <w:left w:val="none" w:sz="0" w:space="0" w:color="auto"/>
                <w:bottom w:val="none" w:sz="0" w:space="0" w:color="auto"/>
                <w:right w:val="none" w:sz="0" w:space="0" w:color="auto"/>
              </w:divBdr>
              <w:divsChild>
                <w:div w:id="16761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3548">
      <w:bodyDiv w:val="1"/>
      <w:marLeft w:val="0"/>
      <w:marRight w:val="0"/>
      <w:marTop w:val="0"/>
      <w:marBottom w:val="0"/>
      <w:divBdr>
        <w:top w:val="none" w:sz="0" w:space="0" w:color="auto"/>
        <w:left w:val="none" w:sz="0" w:space="0" w:color="auto"/>
        <w:bottom w:val="none" w:sz="0" w:space="0" w:color="auto"/>
        <w:right w:val="none" w:sz="0" w:space="0" w:color="auto"/>
      </w:divBdr>
      <w:divsChild>
        <w:div w:id="1605578713">
          <w:marLeft w:val="0"/>
          <w:marRight w:val="0"/>
          <w:marTop w:val="0"/>
          <w:marBottom w:val="0"/>
          <w:divBdr>
            <w:top w:val="none" w:sz="0" w:space="0" w:color="auto"/>
            <w:left w:val="none" w:sz="0" w:space="0" w:color="auto"/>
            <w:bottom w:val="none" w:sz="0" w:space="0" w:color="auto"/>
            <w:right w:val="none" w:sz="0" w:space="0" w:color="auto"/>
          </w:divBdr>
          <w:divsChild>
            <w:div w:id="1068042974">
              <w:marLeft w:val="0"/>
              <w:marRight w:val="0"/>
              <w:marTop w:val="0"/>
              <w:marBottom w:val="0"/>
              <w:divBdr>
                <w:top w:val="none" w:sz="0" w:space="0" w:color="auto"/>
                <w:left w:val="none" w:sz="0" w:space="0" w:color="auto"/>
                <w:bottom w:val="none" w:sz="0" w:space="0" w:color="auto"/>
                <w:right w:val="none" w:sz="0" w:space="0" w:color="auto"/>
              </w:divBdr>
              <w:divsChild>
                <w:div w:id="27591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72259">
      <w:bodyDiv w:val="1"/>
      <w:marLeft w:val="0"/>
      <w:marRight w:val="0"/>
      <w:marTop w:val="0"/>
      <w:marBottom w:val="0"/>
      <w:divBdr>
        <w:top w:val="none" w:sz="0" w:space="0" w:color="auto"/>
        <w:left w:val="none" w:sz="0" w:space="0" w:color="auto"/>
        <w:bottom w:val="none" w:sz="0" w:space="0" w:color="auto"/>
        <w:right w:val="none" w:sz="0" w:space="0" w:color="auto"/>
      </w:divBdr>
      <w:divsChild>
        <w:div w:id="572858701">
          <w:marLeft w:val="0"/>
          <w:marRight w:val="0"/>
          <w:marTop w:val="0"/>
          <w:marBottom w:val="0"/>
          <w:divBdr>
            <w:top w:val="none" w:sz="0" w:space="0" w:color="auto"/>
            <w:left w:val="none" w:sz="0" w:space="0" w:color="auto"/>
            <w:bottom w:val="none" w:sz="0" w:space="0" w:color="auto"/>
            <w:right w:val="none" w:sz="0" w:space="0" w:color="auto"/>
          </w:divBdr>
          <w:divsChild>
            <w:div w:id="588318651">
              <w:marLeft w:val="0"/>
              <w:marRight w:val="0"/>
              <w:marTop w:val="0"/>
              <w:marBottom w:val="0"/>
              <w:divBdr>
                <w:top w:val="none" w:sz="0" w:space="0" w:color="auto"/>
                <w:left w:val="none" w:sz="0" w:space="0" w:color="auto"/>
                <w:bottom w:val="none" w:sz="0" w:space="0" w:color="auto"/>
                <w:right w:val="none" w:sz="0" w:space="0" w:color="auto"/>
              </w:divBdr>
              <w:divsChild>
                <w:div w:id="2730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30308">
      <w:bodyDiv w:val="1"/>
      <w:marLeft w:val="0"/>
      <w:marRight w:val="0"/>
      <w:marTop w:val="0"/>
      <w:marBottom w:val="0"/>
      <w:divBdr>
        <w:top w:val="none" w:sz="0" w:space="0" w:color="auto"/>
        <w:left w:val="none" w:sz="0" w:space="0" w:color="auto"/>
        <w:bottom w:val="none" w:sz="0" w:space="0" w:color="auto"/>
        <w:right w:val="none" w:sz="0" w:space="0" w:color="auto"/>
      </w:divBdr>
      <w:divsChild>
        <w:div w:id="1125150091">
          <w:marLeft w:val="0"/>
          <w:marRight w:val="0"/>
          <w:marTop w:val="0"/>
          <w:marBottom w:val="0"/>
          <w:divBdr>
            <w:top w:val="none" w:sz="0" w:space="0" w:color="auto"/>
            <w:left w:val="none" w:sz="0" w:space="0" w:color="auto"/>
            <w:bottom w:val="none" w:sz="0" w:space="0" w:color="auto"/>
            <w:right w:val="none" w:sz="0" w:space="0" w:color="auto"/>
          </w:divBdr>
          <w:divsChild>
            <w:div w:id="756749198">
              <w:marLeft w:val="0"/>
              <w:marRight w:val="0"/>
              <w:marTop w:val="0"/>
              <w:marBottom w:val="0"/>
              <w:divBdr>
                <w:top w:val="none" w:sz="0" w:space="0" w:color="auto"/>
                <w:left w:val="none" w:sz="0" w:space="0" w:color="auto"/>
                <w:bottom w:val="none" w:sz="0" w:space="0" w:color="auto"/>
                <w:right w:val="none" w:sz="0" w:space="0" w:color="auto"/>
              </w:divBdr>
              <w:divsChild>
                <w:div w:id="7701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86818">
      <w:bodyDiv w:val="1"/>
      <w:marLeft w:val="0"/>
      <w:marRight w:val="0"/>
      <w:marTop w:val="0"/>
      <w:marBottom w:val="0"/>
      <w:divBdr>
        <w:top w:val="none" w:sz="0" w:space="0" w:color="auto"/>
        <w:left w:val="none" w:sz="0" w:space="0" w:color="auto"/>
        <w:bottom w:val="none" w:sz="0" w:space="0" w:color="auto"/>
        <w:right w:val="none" w:sz="0" w:space="0" w:color="auto"/>
      </w:divBdr>
      <w:divsChild>
        <w:div w:id="72898771">
          <w:marLeft w:val="0"/>
          <w:marRight w:val="0"/>
          <w:marTop w:val="0"/>
          <w:marBottom w:val="0"/>
          <w:divBdr>
            <w:top w:val="none" w:sz="0" w:space="0" w:color="auto"/>
            <w:left w:val="none" w:sz="0" w:space="0" w:color="auto"/>
            <w:bottom w:val="none" w:sz="0" w:space="0" w:color="auto"/>
            <w:right w:val="none" w:sz="0" w:space="0" w:color="auto"/>
          </w:divBdr>
          <w:divsChild>
            <w:div w:id="1382901387">
              <w:marLeft w:val="0"/>
              <w:marRight w:val="0"/>
              <w:marTop w:val="0"/>
              <w:marBottom w:val="0"/>
              <w:divBdr>
                <w:top w:val="none" w:sz="0" w:space="0" w:color="auto"/>
                <w:left w:val="none" w:sz="0" w:space="0" w:color="auto"/>
                <w:bottom w:val="none" w:sz="0" w:space="0" w:color="auto"/>
                <w:right w:val="none" w:sz="0" w:space="0" w:color="auto"/>
              </w:divBdr>
              <w:divsChild>
                <w:div w:id="56271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6287">
      <w:bodyDiv w:val="1"/>
      <w:marLeft w:val="0"/>
      <w:marRight w:val="0"/>
      <w:marTop w:val="0"/>
      <w:marBottom w:val="0"/>
      <w:divBdr>
        <w:top w:val="none" w:sz="0" w:space="0" w:color="auto"/>
        <w:left w:val="none" w:sz="0" w:space="0" w:color="auto"/>
        <w:bottom w:val="none" w:sz="0" w:space="0" w:color="auto"/>
        <w:right w:val="none" w:sz="0" w:space="0" w:color="auto"/>
      </w:divBdr>
    </w:div>
    <w:div w:id="673873591">
      <w:bodyDiv w:val="1"/>
      <w:marLeft w:val="0"/>
      <w:marRight w:val="0"/>
      <w:marTop w:val="0"/>
      <w:marBottom w:val="0"/>
      <w:divBdr>
        <w:top w:val="none" w:sz="0" w:space="0" w:color="auto"/>
        <w:left w:val="none" w:sz="0" w:space="0" w:color="auto"/>
        <w:bottom w:val="none" w:sz="0" w:space="0" w:color="auto"/>
        <w:right w:val="none" w:sz="0" w:space="0" w:color="auto"/>
      </w:divBdr>
    </w:div>
    <w:div w:id="686980322">
      <w:bodyDiv w:val="1"/>
      <w:marLeft w:val="0"/>
      <w:marRight w:val="0"/>
      <w:marTop w:val="0"/>
      <w:marBottom w:val="0"/>
      <w:divBdr>
        <w:top w:val="none" w:sz="0" w:space="0" w:color="auto"/>
        <w:left w:val="none" w:sz="0" w:space="0" w:color="auto"/>
        <w:bottom w:val="none" w:sz="0" w:space="0" w:color="auto"/>
        <w:right w:val="none" w:sz="0" w:space="0" w:color="auto"/>
      </w:divBdr>
      <w:divsChild>
        <w:div w:id="922761781">
          <w:marLeft w:val="0"/>
          <w:marRight w:val="0"/>
          <w:marTop w:val="0"/>
          <w:marBottom w:val="0"/>
          <w:divBdr>
            <w:top w:val="none" w:sz="0" w:space="0" w:color="auto"/>
            <w:left w:val="none" w:sz="0" w:space="0" w:color="auto"/>
            <w:bottom w:val="none" w:sz="0" w:space="0" w:color="auto"/>
            <w:right w:val="none" w:sz="0" w:space="0" w:color="auto"/>
          </w:divBdr>
          <w:divsChild>
            <w:div w:id="324169220">
              <w:marLeft w:val="0"/>
              <w:marRight w:val="0"/>
              <w:marTop w:val="0"/>
              <w:marBottom w:val="0"/>
              <w:divBdr>
                <w:top w:val="none" w:sz="0" w:space="0" w:color="auto"/>
                <w:left w:val="none" w:sz="0" w:space="0" w:color="auto"/>
                <w:bottom w:val="none" w:sz="0" w:space="0" w:color="auto"/>
                <w:right w:val="none" w:sz="0" w:space="0" w:color="auto"/>
              </w:divBdr>
              <w:divsChild>
                <w:div w:id="18752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16125">
      <w:bodyDiv w:val="1"/>
      <w:marLeft w:val="0"/>
      <w:marRight w:val="0"/>
      <w:marTop w:val="0"/>
      <w:marBottom w:val="0"/>
      <w:divBdr>
        <w:top w:val="none" w:sz="0" w:space="0" w:color="auto"/>
        <w:left w:val="none" w:sz="0" w:space="0" w:color="auto"/>
        <w:bottom w:val="none" w:sz="0" w:space="0" w:color="auto"/>
        <w:right w:val="none" w:sz="0" w:space="0" w:color="auto"/>
      </w:divBdr>
      <w:divsChild>
        <w:div w:id="1236471513">
          <w:marLeft w:val="0"/>
          <w:marRight w:val="0"/>
          <w:marTop w:val="0"/>
          <w:marBottom w:val="0"/>
          <w:divBdr>
            <w:top w:val="none" w:sz="0" w:space="0" w:color="auto"/>
            <w:left w:val="none" w:sz="0" w:space="0" w:color="auto"/>
            <w:bottom w:val="none" w:sz="0" w:space="0" w:color="auto"/>
            <w:right w:val="none" w:sz="0" w:space="0" w:color="auto"/>
          </w:divBdr>
          <w:divsChild>
            <w:div w:id="404571763">
              <w:marLeft w:val="0"/>
              <w:marRight w:val="0"/>
              <w:marTop w:val="0"/>
              <w:marBottom w:val="0"/>
              <w:divBdr>
                <w:top w:val="none" w:sz="0" w:space="0" w:color="auto"/>
                <w:left w:val="none" w:sz="0" w:space="0" w:color="auto"/>
                <w:bottom w:val="none" w:sz="0" w:space="0" w:color="auto"/>
                <w:right w:val="none" w:sz="0" w:space="0" w:color="auto"/>
              </w:divBdr>
              <w:divsChild>
                <w:div w:id="94241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6929">
      <w:bodyDiv w:val="1"/>
      <w:marLeft w:val="0"/>
      <w:marRight w:val="0"/>
      <w:marTop w:val="0"/>
      <w:marBottom w:val="0"/>
      <w:divBdr>
        <w:top w:val="none" w:sz="0" w:space="0" w:color="auto"/>
        <w:left w:val="none" w:sz="0" w:space="0" w:color="auto"/>
        <w:bottom w:val="none" w:sz="0" w:space="0" w:color="auto"/>
        <w:right w:val="none" w:sz="0" w:space="0" w:color="auto"/>
      </w:divBdr>
      <w:divsChild>
        <w:div w:id="68818836">
          <w:marLeft w:val="0"/>
          <w:marRight w:val="0"/>
          <w:marTop w:val="0"/>
          <w:marBottom w:val="0"/>
          <w:divBdr>
            <w:top w:val="none" w:sz="0" w:space="0" w:color="auto"/>
            <w:left w:val="none" w:sz="0" w:space="0" w:color="auto"/>
            <w:bottom w:val="none" w:sz="0" w:space="0" w:color="auto"/>
            <w:right w:val="none" w:sz="0" w:space="0" w:color="auto"/>
          </w:divBdr>
          <w:divsChild>
            <w:div w:id="546455279">
              <w:marLeft w:val="0"/>
              <w:marRight w:val="0"/>
              <w:marTop w:val="0"/>
              <w:marBottom w:val="0"/>
              <w:divBdr>
                <w:top w:val="none" w:sz="0" w:space="0" w:color="auto"/>
                <w:left w:val="none" w:sz="0" w:space="0" w:color="auto"/>
                <w:bottom w:val="none" w:sz="0" w:space="0" w:color="auto"/>
                <w:right w:val="none" w:sz="0" w:space="0" w:color="auto"/>
              </w:divBdr>
              <w:divsChild>
                <w:div w:id="423652891">
                  <w:marLeft w:val="0"/>
                  <w:marRight w:val="0"/>
                  <w:marTop w:val="0"/>
                  <w:marBottom w:val="0"/>
                  <w:divBdr>
                    <w:top w:val="none" w:sz="0" w:space="0" w:color="auto"/>
                    <w:left w:val="none" w:sz="0" w:space="0" w:color="auto"/>
                    <w:bottom w:val="none" w:sz="0" w:space="0" w:color="auto"/>
                    <w:right w:val="none" w:sz="0" w:space="0" w:color="auto"/>
                  </w:divBdr>
                  <w:divsChild>
                    <w:div w:id="128780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092971">
      <w:bodyDiv w:val="1"/>
      <w:marLeft w:val="0"/>
      <w:marRight w:val="0"/>
      <w:marTop w:val="0"/>
      <w:marBottom w:val="0"/>
      <w:divBdr>
        <w:top w:val="none" w:sz="0" w:space="0" w:color="auto"/>
        <w:left w:val="none" w:sz="0" w:space="0" w:color="auto"/>
        <w:bottom w:val="none" w:sz="0" w:space="0" w:color="auto"/>
        <w:right w:val="none" w:sz="0" w:space="0" w:color="auto"/>
      </w:divBdr>
      <w:divsChild>
        <w:div w:id="1785340241">
          <w:marLeft w:val="0"/>
          <w:marRight w:val="0"/>
          <w:marTop w:val="0"/>
          <w:marBottom w:val="0"/>
          <w:divBdr>
            <w:top w:val="none" w:sz="0" w:space="0" w:color="auto"/>
            <w:left w:val="none" w:sz="0" w:space="0" w:color="auto"/>
            <w:bottom w:val="none" w:sz="0" w:space="0" w:color="auto"/>
            <w:right w:val="none" w:sz="0" w:space="0" w:color="auto"/>
          </w:divBdr>
          <w:divsChild>
            <w:div w:id="198667898">
              <w:marLeft w:val="0"/>
              <w:marRight w:val="0"/>
              <w:marTop w:val="0"/>
              <w:marBottom w:val="0"/>
              <w:divBdr>
                <w:top w:val="none" w:sz="0" w:space="0" w:color="auto"/>
                <w:left w:val="none" w:sz="0" w:space="0" w:color="auto"/>
                <w:bottom w:val="none" w:sz="0" w:space="0" w:color="auto"/>
                <w:right w:val="none" w:sz="0" w:space="0" w:color="auto"/>
              </w:divBdr>
              <w:divsChild>
                <w:div w:id="3683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30684">
      <w:bodyDiv w:val="1"/>
      <w:marLeft w:val="0"/>
      <w:marRight w:val="0"/>
      <w:marTop w:val="0"/>
      <w:marBottom w:val="0"/>
      <w:divBdr>
        <w:top w:val="none" w:sz="0" w:space="0" w:color="auto"/>
        <w:left w:val="none" w:sz="0" w:space="0" w:color="auto"/>
        <w:bottom w:val="none" w:sz="0" w:space="0" w:color="auto"/>
        <w:right w:val="none" w:sz="0" w:space="0" w:color="auto"/>
      </w:divBdr>
    </w:div>
    <w:div w:id="817722257">
      <w:bodyDiv w:val="1"/>
      <w:marLeft w:val="0"/>
      <w:marRight w:val="0"/>
      <w:marTop w:val="0"/>
      <w:marBottom w:val="0"/>
      <w:divBdr>
        <w:top w:val="none" w:sz="0" w:space="0" w:color="auto"/>
        <w:left w:val="none" w:sz="0" w:space="0" w:color="auto"/>
        <w:bottom w:val="none" w:sz="0" w:space="0" w:color="auto"/>
        <w:right w:val="none" w:sz="0" w:space="0" w:color="auto"/>
      </w:divBdr>
      <w:divsChild>
        <w:div w:id="2026587666">
          <w:marLeft w:val="0"/>
          <w:marRight w:val="0"/>
          <w:marTop w:val="0"/>
          <w:marBottom w:val="0"/>
          <w:divBdr>
            <w:top w:val="none" w:sz="0" w:space="0" w:color="auto"/>
            <w:left w:val="none" w:sz="0" w:space="0" w:color="auto"/>
            <w:bottom w:val="none" w:sz="0" w:space="0" w:color="auto"/>
            <w:right w:val="none" w:sz="0" w:space="0" w:color="auto"/>
          </w:divBdr>
          <w:divsChild>
            <w:div w:id="363406795">
              <w:marLeft w:val="0"/>
              <w:marRight w:val="0"/>
              <w:marTop w:val="0"/>
              <w:marBottom w:val="0"/>
              <w:divBdr>
                <w:top w:val="none" w:sz="0" w:space="0" w:color="auto"/>
                <w:left w:val="none" w:sz="0" w:space="0" w:color="auto"/>
                <w:bottom w:val="none" w:sz="0" w:space="0" w:color="auto"/>
                <w:right w:val="none" w:sz="0" w:space="0" w:color="auto"/>
              </w:divBdr>
              <w:divsChild>
                <w:div w:id="18148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73791">
      <w:bodyDiv w:val="1"/>
      <w:marLeft w:val="0"/>
      <w:marRight w:val="0"/>
      <w:marTop w:val="0"/>
      <w:marBottom w:val="0"/>
      <w:divBdr>
        <w:top w:val="none" w:sz="0" w:space="0" w:color="auto"/>
        <w:left w:val="none" w:sz="0" w:space="0" w:color="auto"/>
        <w:bottom w:val="none" w:sz="0" w:space="0" w:color="auto"/>
        <w:right w:val="none" w:sz="0" w:space="0" w:color="auto"/>
      </w:divBdr>
      <w:divsChild>
        <w:div w:id="248126888">
          <w:marLeft w:val="0"/>
          <w:marRight w:val="0"/>
          <w:marTop w:val="0"/>
          <w:marBottom w:val="0"/>
          <w:divBdr>
            <w:top w:val="none" w:sz="0" w:space="0" w:color="auto"/>
            <w:left w:val="none" w:sz="0" w:space="0" w:color="auto"/>
            <w:bottom w:val="none" w:sz="0" w:space="0" w:color="auto"/>
            <w:right w:val="none" w:sz="0" w:space="0" w:color="auto"/>
          </w:divBdr>
          <w:divsChild>
            <w:div w:id="574164443">
              <w:marLeft w:val="0"/>
              <w:marRight w:val="0"/>
              <w:marTop w:val="0"/>
              <w:marBottom w:val="0"/>
              <w:divBdr>
                <w:top w:val="none" w:sz="0" w:space="0" w:color="auto"/>
                <w:left w:val="none" w:sz="0" w:space="0" w:color="auto"/>
                <w:bottom w:val="none" w:sz="0" w:space="0" w:color="auto"/>
                <w:right w:val="none" w:sz="0" w:space="0" w:color="auto"/>
              </w:divBdr>
              <w:divsChild>
                <w:div w:id="1767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263761">
      <w:bodyDiv w:val="1"/>
      <w:marLeft w:val="0"/>
      <w:marRight w:val="0"/>
      <w:marTop w:val="0"/>
      <w:marBottom w:val="0"/>
      <w:divBdr>
        <w:top w:val="none" w:sz="0" w:space="0" w:color="auto"/>
        <w:left w:val="none" w:sz="0" w:space="0" w:color="auto"/>
        <w:bottom w:val="none" w:sz="0" w:space="0" w:color="auto"/>
        <w:right w:val="none" w:sz="0" w:space="0" w:color="auto"/>
      </w:divBdr>
      <w:divsChild>
        <w:div w:id="1354838745">
          <w:marLeft w:val="0"/>
          <w:marRight w:val="0"/>
          <w:marTop w:val="0"/>
          <w:marBottom w:val="0"/>
          <w:divBdr>
            <w:top w:val="none" w:sz="0" w:space="0" w:color="auto"/>
            <w:left w:val="none" w:sz="0" w:space="0" w:color="auto"/>
            <w:bottom w:val="none" w:sz="0" w:space="0" w:color="auto"/>
            <w:right w:val="none" w:sz="0" w:space="0" w:color="auto"/>
          </w:divBdr>
          <w:divsChild>
            <w:div w:id="1774662531">
              <w:marLeft w:val="0"/>
              <w:marRight w:val="0"/>
              <w:marTop w:val="0"/>
              <w:marBottom w:val="0"/>
              <w:divBdr>
                <w:top w:val="none" w:sz="0" w:space="0" w:color="auto"/>
                <w:left w:val="none" w:sz="0" w:space="0" w:color="auto"/>
                <w:bottom w:val="none" w:sz="0" w:space="0" w:color="auto"/>
                <w:right w:val="none" w:sz="0" w:space="0" w:color="auto"/>
              </w:divBdr>
              <w:divsChild>
                <w:div w:id="212691041">
                  <w:marLeft w:val="0"/>
                  <w:marRight w:val="0"/>
                  <w:marTop w:val="0"/>
                  <w:marBottom w:val="0"/>
                  <w:divBdr>
                    <w:top w:val="none" w:sz="0" w:space="0" w:color="auto"/>
                    <w:left w:val="none" w:sz="0" w:space="0" w:color="auto"/>
                    <w:bottom w:val="none" w:sz="0" w:space="0" w:color="auto"/>
                    <w:right w:val="none" w:sz="0" w:space="0" w:color="auto"/>
                  </w:divBdr>
                </w:div>
                <w:div w:id="19653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464381">
      <w:bodyDiv w:val="1"/>
      <w:marLeft w:val="0"/>
      <w:marRight w:val="0"/>
      <w:marTop w:val="0"/>
      <w:marBottom w:val="0"/>
      <w:divBdr>
        <w:top w:val="none" w:sz="0" w:space="0" w:color="auto"/>
        <w:left w:val="none" w:sz="0" w:space="0" w:color="auto"/>
        <w:bottom w:val="none" w:sz="0" w:space="0" w:color="auto"/>
        <w:right w:val="none" w:sz="0" w:space="0" w:color="auto"/>
      </w:divBdr>
      <w:divsChild>
        <w:div w:id="1932202597">
          <w:marLeft w:val="0"/>
          <w:marRight w:val="0"/>
          <w:marTop w:val="0"/>
          <w:marBottom w:val="0"/>
          <w:divBdr>
            <w:top w:val="none" w:sz="0" w:space="0" w:color="auto"/>
            <w:left w:val="none" w:sz="0" w:space="0" w:color="auto"/>
            <w:bottom w:val="none" w:sz="0" w:space="0" w:color="auto"/>
            <w:right w:val="none" w:sz="0" w:space="0" w:color="auto"/>
          </w:divBdr>
          <w:divsChild>
            <w:div w:id="1176729224">
              <w:marLeft w:val="0"/>
              <w:marRight w:val="0"/>
              <w:marTop w:val="0"/>
              <w:marBottom w:val="0"/>
              <w:divBdr>
                <w:top w:val="none" w:sz="0" w:space="0" w:color="auto"/>
                <w:left w:val="none" w:sz="0" w:space="0" w:color="auto"/>
                <w:bottom w:val="none" w:sz="0" w:space="0" w:color="auto"/>
                <w:right w:val="none" w:sz="0" w:space="0" w:color="auto"/>
              </w:divBdr>
              <w:divsChild>
                <w:div w:id="1681807481">
                  <w:marLeft w:val="0"/>
                  <w:marRight w:val="0"/>
                  <w:marTop w:val="0"/>
                  <w:marBottom w:val="0"/>
                  <w:divBdr>
                    <w:top w:val="none" w:sz="0" w:space="0" w:color="auto"/>
                    <w:left w:val="none" w:sz="0" w:space="0" w:color="auto"/>
                    <w:bottom w:val="none" w:sz="0" w:space="0" w:color="auto"/>
                    <w:right w:val="none" w:sz="0" w:space="0" w:color="auto"/>
                  </w:divBdr>
                  <w:divsChild>
                    <w:div w:id="12699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35304">
      <w:bodyDiv w:val="1"/>
      <w:marLeft w:val="0"/>
      <w:marRight w:val="0"/>
      <w:marTop w:val="0"/>
      <w:marBottom w:val="0"/>
      <w:divBdr>
        <w:top w:val="none" w:sz="0" w:space="0" w:color="auto"/>
        <w:left w:val="none" w:sz="0" w:space="0" w:color="auto"/>
        <w:bottom w:val="none" w:sz="0" w:space="0" w:color="auto"/>
        <w:right w:val="none" w:sz="0" w:space="0" w:color="auto"/>
      </w:divBdr>
      <w:divsChild>
        <w:div w:id="376053443">
          <w:marLeft w:val="0"/>
          <w:marRight w:val="0"/>
          <w:marTop w:val="0"/>
          <w:marBottom w:val="0"/>
          <w:divBdr>
            <w:top w:val="none" w:sz="0" w:space="0" w:color="auto"/>
            <w:left w:val="none" w:sz="0" w:space="0" w:color="auto"/>
            <w:bottom w:val="none" w:sz="0" w:space="0" w:color="auto"/>
            <w:right w:val="none" w:sz="0" w:space="0" w:color="auto"/>
          </w:divBdr>
          <w:divsChild>
            <w:div w:id="761412963">
              <w:marLeft w:val="0"/>
              <w:marRight w:val="0"/>
              <w:marTop w:val="0"/>
              <w:marBottom w:val="0"/>
              <w:divBdr>
                <w:top w:val="none" w:sz="0" w:space="0" w:color="auto"/>
                <w:left w:val="none" w:sz="0" w:space="0" w:color="auto"/>
                <w:bottom w:val="none" w:sz="0" w:space="0" w:color="auto"/>
                <w:right w:val="none" w:sz="0" w:space="0" w:color="auto"/>
              </w:divBdr>
              <w:divsChild>
                <w:div w:id="33411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457">
      <w:bodyDiv w:val="1"/>
      <w:marLeft w:val="0"/>
      <w:marRight w:val="0"/>
      <w:marTop w:val="0"/>
      <w:marBottom w:val="0"/>
      <w:divBdr>
        <w:top w:val="none" w:sz="0" w:space="0" w:color="auto"/>
        <w:left w:val="none" w:sz="0" w:space="0" w:color="auto"/>
        <w:bottom w:val="none" w:sz="0" w:space="0" w:color="auto"/>
        <w:right w:val="none" w:sz="0" w:space="0" w:color="auto"/>
      </w:divBdr>
    </w:div>
    <w:div w:id="998387750">
      <w:bodyDiv w:val="1"/>
      <w:marLeft w:val="0"/>
      <w:marRight w:val="0"/>
      <w:marTop w:val="0"/>
      <w:marBottom w:val="0"/>
      <w:divBdr>
        <w:top w:val="none" w:sz="0" w:space="0" w:color="auto"/>
        <w:left w:val="none" w:sz="0" w:space="0" w:color="auto"/>
        <w:bottom w:val="none" w:sz="0" w:space="0" w:color="auto"/>
        <w:right w:val="none" w:sz="0" w:space="0" w:color="auto"/>
      </w:divBdr>
    </w:div>
    <w:div w:id="1002971695">
      <w:bodyDiv w:val="1"/>
      <w:marLeft w:val="0"/>
      <w:marRight w:val="0"/>
      <w:marTop w:val="0"/>
      <w:marBottom w:val="0"/>
      <w:divBdr>
        <w:top w:val="none" w:sz="0" w:space="0" w:color="auto"/>
        <w:left w:val="none" w:sz="0" w:space="0" w:color="auto"/>
        <w:bottom w:val="none" w:sz="0" w:space="0" w:color="auto"/>
        <w:right w:val="none" w:sz="0" w:space="0" w:color="auto"/>
      </w:divBdr>
      <w:divsChild>
        <w:div w:id="66540148">
          <w:marLeft w:val="0"/>
          <w:marRight w:val="0"/>
          <w:marTop w:val="0"/>
          <w:marBottom w:val="0"/>
          <w:divBdr>
            <w:top w:val="none" w:sz="0" w:space="0" w:color="auto"/>
            <w:left w:val="none" w:sz="0" w:space="0" w:color="auto"/>
            <w:bottom w:val="none" w:sz="0" w:space="0" w:color="auto"/>
            <w:right w:val="none" w:sz="0" w:space="0" w:color="auto"/>
          </w:divBdr>
          <w:divsChild>
            <w:div w:id="488205440">
              <w:marLeft w:val="0"/>
              <w:marRight w:val="0"/>
              <w:marTop w:val="0"/>
              <w:marBottom w:val="0"/>
              <w:divBdr>
                <w:top w:val="none" w:sz="0" w:space="0" w:color="auto"/>
                <w:left w:val="none" w:sz="0" w:space="0" w:color="auto"/>
                <w:bottom w:val="none" w:sz="0" w:space="0" w:color="auto"/>
                <w:right w:val="none" w:sz="0" w:space="0" w:color="auto"/>
              </w:divBdr>
              <w:divsChild>
                <w:div w:id="12219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066618">
      <w:bodyDiv w:val="1"/>
      <w:marLeft w:val="0"/>
      <w:marRight w:val="0"/>
      <w:marTop w:val="0"/>
      <w:marBottom w:val="0"/>
      <w:divBdr>
        <w:top w:val="none" w:sz="0" w:space="0" w:color="auto"/>
        <w:left w:val="none" w:sz="0" w:space="0" w:color="auto"/>
        <w:bottom w:val="none" w:sz="0" w:space="0" w:color="auto"/>
        <w:right w:val="none" w:sz="0" w:space="0" w:color="auto"/>
      </w:divBdr>
    </w:div>
    <w:div w:id="1090351132">
      <w:bodyDiv w:val="1"/>
      <w:marLeft w:val="0"/>
      <w:marRight w:val="0"/>
      <w:marTop w:val="0"/>
      <w:marBottom w:val="0"/>
      <w:divBdr>
        <w:top w:val="none" w:sz="0" w:space="0" w:color="auto"/>
        <w:left w:val="none" w:sz="0" w:space="0" w:color="auto"/>
        <w:bottom w:val="none" w:sz="0" w:space="0" w:color="auto"/>
        <w:right w:val="none" w:sz="0" w:space="0" w:color="auto"/>
      </w:divBdr>
      <w:divsChild>
        <w:div w:id="11998808">
          <w:marLeft w:val="0"/>
          <w:marRight w:val="0"/>
          <w:marTop w:val="0"/>
          <w:marBottom w:val="0"/>
          <w:divBdr>
            <w:top w:val="none" w:sz="0" w:space="0" w:color="auto"/>
            <w:left w:val="none" w:sz="0" w:space="0" w:color="auto"/>
            <w:bottom w:val="none" w:sz="0" w:space="0" w:color="auto"/>
            <w:right w:val="none" w:sz="0" w:space="0" w:color="auto"/>
          </w:divBdr>
          <w:divsChild>
            <w:div w:id="689524228">
              <w:marLeft w:val="0"/>
              <w:marRight w:val="0"/>
              <w:marTop w:val="0"/>
              <w:marBottom w:val="0"/>
              <w:divBdr>
                <w:top w:val="none" w:sz="0" w:space="0" w:color="auto"/>
                <w:left w:val="none" w:sz="0" w:space="0" w:color="auto"/>
                <w:bottom w:val="none" w:sz="0" w:space="0" w:color="auto"/>
                <w:right w:val="none" w:sz="0" w:space="0" w:color="auto"/>
              </w:divBdr>
              <w:divsChild>
                <w:div w:id="192540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94070">
      <w:bodyDiv w:val="1"/>
      <w:marLeft w:val="0"/>
      <w:marRight w:val="0"/>
      <w:marTop w:val="0"/>
      <w:marBottom w:val="0"/>
      <w:divBdr>
        <w:top w:val="none" w:sz="0" w:space="0" w:color="auto"/>
        <w:left w:val="none" w:sz="0" w:space="0" w:color="auto"/>
        <w:bottom w:val="none" w:sz="0" w:space="0" w:color="auto"/>
        <w:right w:val="none" w:sz="0" w:space="0" w:color="auto"/>
      </w:divBdr>
      <w:divsChild>
        <w:div w:id="1839222911">
          <w:marLeft w:val="0"/>
          <w:marRight w:val="0"/>
          <w:marTop w:val="0"/>
          <w:marBottom w:val="0"/>
          <w:divBdr>
            <w:top w:val="none" w:sz="0" w:space="0" w:color="auto"/>
            <w:left w:val="none" w:sz="0" w:space="0" w:color="auto"/>
            <w:bottom w:val="none" w:sz="0" w:space="0" w:color="auto"/>
            <w:right w:val="none" w:sz="0" w:space="0" w:color="auto"/>
          </w:divBdr>
          <w:divsChild>
            <w:div w:id="1147698051">
              <w:marLeft w:val="0"/>
              <w:marRight w:val="0"/>
              <w:marTop w:val="0"/>
              <w:marBottom w:val="0"/>
              <w:divBdr>
                <w:top w:val="none" w:sz="0" w:space="0" w:color="auto"/>
                <w:left w:val="none" w:sz="0" w:space="0" w:color="auto"/>
                <w:bottom w:val="none" w:sz="0" w:space="0" w:color="auto"/>
                <w:right w:val="none" w:sz="0" w:space="0" w:color="auto"/>
              </w:divBdr>
              <w:divsChild>
                <w:div w:id="12763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686">
      <w:bodyDiv w:val="1"/>
      <w:marLeft w:val="0"/>
      <w:marRight w:val="0"/>
      <w:marTop w:val="0"/>
      <w:marBottom w:val="0"/>
      <w:divBdr>
        <w:top w:val="none" w:sz="0" w:space="0" w:color="auto"/>
        <w:left w:val="none" w:sz="0" w:space="0" w:color="auto"/>
        <w:bottom w:val="none" w:sz="0" w:space="0" w:color="auto"/>
        <w:right w:val="none" w:sz="0" w:space="0" w:color="auto"/>
      </w:divBdr>
    </w:div>
    <w:div w:id="1231311088">
      <w:bodyDiv w:val="1"/>
      <w:marLeft w:val="0"/>
      <w:marRight w:val="0"/>
      <w:marTop w:val="0"/>
      <w:marBottom w:val="0"/>
      <w:divBdr>
        <w:top w:val="none" w:sz="0" w:space="0" w:color="auto"/>
        <w:left w:val="none" w:sz="0" w:space="0" w:color="auto"/>
        <w:bottom w:val="none" w:sz="0" w:space="0" w:color="auto"/>
        <w:right w:val="none" w:sz="0" w:space="0" w:color="auto"/>
      </w:divBdr>
    </w:div>
    <w:div w:id="1259632821">
      <w:bodyDiv w:val="1"/>
      <w:marLeft w:val="0"/>
      <w:marRight w:val="0"/>
      <w:marTop w:val="0"/>
      <w:marBottom w:val="0"/>
      <w:divBdr>
        <w:top w:val="none" w:sz="0" w:space="0" w:color="auto"/>
        <w:left w:val="none" w:sz="0" w:space="0" w:color="auto"/>
        <w:bottom w:val="none" w:sz="0" w:space="0" w:color="auto"/>
        <w:right w:val="none" w:sz="0" w:space="0" w:color="auto"/>
      </w:divBdr>
    </w:div>
    <w:div w:id="1265846949">
      <w:bodyDiv w:val="1"/>
      <w:marLeft w:val="0"/>
      <w:marRight w:val="0"/>
      <w:marTop w:val="0"/>
      <w:marBottom w:val="0"/>
      <w:divBdr>
        <w:top w:val="none" w:sz="0" w:space="0" w:color="auto"/>
        <w:left w:val="none" w:sz="0" w:space="0" w:color="auto"/>
        <w:bottom w:val="none" w:sz="0" w:space="0" w:color="auto"/>
        <w:right w:val="none" w:sz="0" w:space="0" w:color="auto"/>
      </w:divBdr>
      <w:divsChild>
        <w:div w:id="2117558884">
          <w:marLeft w:val="0"/>
          <w:marRight w:val="0"/>
          <w:marTop w:val="0"/>
          <w:marBottom w:val="0"/>
          <w:divBdr>
            <w:top w:val="none" w:sz="0" w:space="0" w:color="auto"/>
            <w:left w:val="none" w:sz="0" w:space="0" w:color="auto"/>
            <w:bottom w:val="none" w:sz="0" w:space="0" w:color="auto"/>
            <w:right w:val="none" w:sz="0" w:space="0" w:color="auto"/>
          </w:divBdr>
          <w:divsChild>
            <w:div w:id="968243771">
              <w:marLeft w:val="0"/>
              <w:marRight w:val="0"/>
              <w:marTop w:val="0"/>
              <w:marBottom w:val="0"/>
              <w:divBdr>
                <w:top w:val="none" w:sz="0" w:space="0" w:color="auto"/>
                <w:left w:val="none" w:sz="0" w:space="0" w:color="auto"/>
                <w:bottom w:val="none" w:sz="0" w:space="0" w:color="auto"/>
                <w:right w:val="none" w:sz="0" w:space="0" w:color="auto"/>
              </w:divBdr>
              <w:divsChild>
                <w:div w:id="165965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4552">
      <w:bodyDiv w:val="1"/>
      <w:marLeft w:val="0"/>
      <w:marRight w:val="0"/>
      <w:marTop w:val="0"/>
      <w:marBottom w:val="0"/>
      <w:divBdr>
        <w:top w:val="none" w:sz="0" w:space="0" w:color="auto"/>
        <w:left w:val="none" w:sz="0" w:space="0" w:color="auto"/>
        <w:bottom w:val="none" w:sz="0" w:space="0" w:color="auto"/>
        <w:right w:val="none" w:sz="0" w:space="0" w:color="auto"/>
      </w:divBdr>
    </w:div>
    <w:div w:id="1327052357">
      <w:bodyDiv w:val="1"/>
      <w:marLeft w:val="0"/>
      <w:marRight w:val="0"/>
      <w:marTop w:val="0"/>
      <w:marBottom w:val="0"/>
      <w:divBdr>
        <w:top w:val="none" w:sz="0" w:space="0" w:color="auto"/>
        <w:left w:val="none" w:sz="0" w:space="0" w:color="auto"/>
        <w:bottom w:val="none" w:sz="0" w:space="0" w:color="auto"/>
        <w:right w:val="none" w:sz="0" w:space="0" w:color="auto"/>
      </w:divBdr>
      <w:divsChild>
        <w:div w:id="1044908765">
          <w:marLeft w:val="0"/>
          <w:marRight w:val="0"/>
          <w:marTop w:val="0"/>
          <w:marBottom w:val="0"/>
          <w:divBdr>
            <w:top w:val="none" w:sz="0" w:space="0" w:color="auto"/>
            <w:left w:val="none" w:sz="0" w:space="0" w:color="auto"/>
            <w:bottom w:val="none" w:sz="0" w:space="0" w:color="auto"/>
            <w:right w:val="none" w:sz="0" w:space="0" w:color="auto"/>
          </w:divBdr>
          <w:divsChild>
            <w:div w:id="757557167">
              <w:marLeft w:val="0"/>
              <w:marRight w:val="0"/>
              <w:marTop w:val="0"/>
              <w:marBottom w:val="0"/>
              <w:divBdr>
                <w:top w:val="none" w:sz="0" w:space="0" w:color="auto"/>
                <w:left w:val="none" w:sz="0" w:space="0" w:color="auto"/>
                <w:bottom w:val="none" w:sz="0" w:space="0" w:color="auto"/>
                <w:right w:val="none" w:sz="0" w:space="0" w:color="auto"/>
              </w:divBdr>
              <w:divsChild>
                <w:div w:id="3517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89206">
      <w:bodyDiv w:val="1"/>
      <w:marLeft w:val="0"/>
      <w:marRight w:val="0"/>
      <w:marTop w:val="0"/>
      <w:marBottom w:val="0"/>
      <w:divBdr>
        <w:top w:val="none" w:sz="0" w:space="0" w:color="auto"/>
        <w:left w:val="none" w:sz="0" w:space="0" w:color="auto"/>
        <w:bottom w:val="none" w:sz="0" w:space="0" w:color="auto"/>
        <w:right w:val="none" w:sz="0" w:space="0" w:color="auto"/>
      </w:divBdr>
      <w:divsChild>
        <w:div w:id="712342852">
          <w:marLeft w:val="0"/>
          <w:marRight w:val="0"/>
          <w:marTop w:val="0"/>
          <w:marBottom w:val="0"/>
          <w:divBdr>
            <w:top w:val="none" w:sz="0" w:space="0" w:color="auto"/>
            <w:left w:val="none" w:sz="0" w:space="0" w:color="auto"/>
            <w:bottom w:val="none" w:sz="0" w:space="0" w:color="auto"/>
            <w:right w:val="none" w:sz="0" w:space="0" w:color="auto"/>
          </w:divBdr>
          <w:divsChild>
            <w:div w:id="438258230">
              <w:marLeft w:val="0"/>
              <w:marRight w:val="0"/>
              <w:marTop w:val="0"/>
              <w:marBottom w:val="0"/>
              <w:divBdr>
                <w:top w:val="none" w:sz="0" w:space="0" w:color="auto"/>
                <w:left w:val="none" w:sz="0" w:space="0" w:color="auto"/>
                <w:bottom w:val="none" w:sz="0" w:space="0" w:color="auto"/>
                <w:right w:val="none" w:sz="0" w:space="0" w:color="auto"/>
              </w:divBdr>
              <w:divsChild>
                <w:div w:id="162025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59604">
      <w:bodyDiv w:val="1"/>
      <w:marLeft w:val="0"/>
      <w:marRight w:val="0"/>
      <w:marTop w:val="0"/>
      <w:marBottom w:val="0"/>
      <w:divBdr>
        <w:top w:val="none" w:sz="0" w:space="0" w:color="auto"/>
        <w:left w:val="none" w:sz="0" w:space="0" w:color="auto"/>
        <w:bottom w:val="none" w:sz="0" w:space="0" w:color="auto"/>
        <w:right w:val="none" w:sz="0" w:space="0" w:color="auto"/>
      </w:divBdr>
      <w:divsChild>
        <w:div w:id="1039672408">
          <w:marLeft w:val="0"/>
          <w:marRight w:val="0"/>
          <w:marTop w:val="0"/>
          <w:marBottom w:val="0"/>
          <w:divBdr>
            <w:top w:val="none" w:sz="0" w:space="0" w:color="auto"/>
            <w:left w:val="none" w:sz="0" w:space="0" w:color="auto"/>
            <w:bottom w:val="none" w:sz="0" w:space="0" w:color="auto"/>
            <w:right w:val="none" w:sz="0" w:space="0" w:color="auto"/>
          </w:divBdr>
          <w:divsChild>
            <w:div w:id="1075975218">
              <w:marLeft w:val="0"/>
              <w:marRight w:val="0"/>
              <w:marTop w:val="0"/>
              <w:marBottom w:val="0"/>
              <w:divBdr>
                <w:top w:val="none" w:sz="0" w:space="0" w:color="auto"/>
                <w:left w:val="none" w:sz="0" w:space="0" w:color="auto"/>
                <w:bottom w:val="none" w:sz="0" w:space="0" w:color="auto"/>
                <w:right w:val="none" w:sz="0" w:space="0" w:color="auto"/>
              </w:divBdr>
              <w:divsChild>
                <w:div w:id="7495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930258">
      <w:bodyDiv w:val="1"/>
      <w:marLeft w:val="0"/>
      <w:marRight w:val="0"/>
      <w:marTop w:val="0"/>
      <w:marBottom w:val="0"/>
      <w:divBdr>
        <w:top w:val="none" w:sz="0" w:space="0" w:color="auto"/>
        <w:left w:val="none" w:sz="0" w:space="0" w:color="auto"/>
        <w:bottom w:val="none" w:sz="0" w:space="0" w:color="auto"/>
        <w:right w:val="none" w:sz="0" w:space="0" w:color="auto"/>
      </w:divBdr>
    </w:div>
    <w:div w:id="1436167662">
      <w:bodyDiv w:val="1"/>
      <w:marLeft w:val="0"/>
      <w:marRight w:val="0"/>
      <w:marTop w:val="0"/>
      <w:marBottom w:val="0"/>
      <w:divBdr>
        <w:top w:val="none" w:sz="0" w:space="0" w:color="auto"/>
        <w:left w:val="none" w:sz="0" w:space="0" w:color="auto"/>
        <w:bottom w:val="none" w:sz="0" w:space="0" w:color="auto"/>
        <w:right w:val="none" w:sz="0" w:space="0" w:color="auto"/>
      </w:divBdr>
      <w:divsChild>
        <w:div w:id="1671181014">
          <w:marLeft w:val="0"/>
          <w:marRight w:val="0"/>
          <w:marTop w:val="0"/>
          <w:marBottom w:val="0"/>
          <w:divBdr>
            <w:top w:val="none" w:sz="0" w:space="0" w:color="auto"/>
            <w:left w:val="none" w:sz="0" w:space="0" w:color="auto"/>
            <w:bottom w:val="none" w:sz="0" w:space="0" w:color="auto"/>
            <w:right w:val="none" w:sz="0" w:space="0" w:color="auto"/>
          </w:divBdr>
          <w:divsChild>
            <w:div w:id="131023205">
              <w:marLeft w:val="0"/>
              <w:marRight w:val="0"/>
              <w:marTop w:val="0"/>
              <w:marBottom w:val="0"/>
              <w:divBdr>
                <w:top w:val="none" w:sz="0" w:space="0" w:color="auto"/>
                <w:left w:val="none" w:sz="0" w:space="0" w:color="auto"/>
                <w:bottom w:val="none" w:sz="0" w:space="0" w:color="auto"/>
                <w:right w:val="none" w:sz="0" w:space="0" w:color="auto"/>
              </w:divBdr>
              <w:divsChild>
                <w:div w:id="160218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00063">
      <w:bodyDiv w:val="1"/>
      <w:marLeft w:val="0"/>
      <w:marRight w:val="0"/>
      <w:marTop w:val="0"/>
      <w:marBottom w:val="0"/>
      <w:divBdr>
        <w:top w:val="none" w:sz="0" w:space="0" w:color="auto"/>
        <w:left w:val="none" w:sz="0" w:space="0" w:color="auto"/>
        <w:bottom w:val="none" w:sz="0" w:space="0" w:color="auto"/>
        <w:right w:val="none" w:sz="0" w:space="0" w:color="auto"/>
      </w:divBdr>
      <w:divsChild>
        <w:div w:id="1850022352">
          <w:marLeft w:val="0"/>
          <w:marRight w:val="0"/>
          <w:marTop w:val="0"/>
          <w:marBottom w:val="0"/>
          <w:divBdr>
            <w:top w:val="none" w:sz="0" w:space="0" w:color="auto"/>
            <w:left w:val="none" w:sz="0" w:space="0" w:color="auto"/>
            <w:bottom w:val="none" w:sz="0" w:space="0" w:color="auto"/>
            <w:right w:val="none" w:sz="0" w:space="0" w:color="auto"/>
          </w:divBdr>
          <w:divsChild>
            <w:div w:id="887379313">
              <w:marLeft w:val="0"/>
              <w:marRight w:val="0"/>
              <w:marTop w:val="0"/>
              <w:marBottom w:val="0"/>
              <w:divBdr>
                <w:top w:val="none" w:sz="0" w:space="0" w:color="auto"/>
                <w:left w:val="none" w:sz="0" w:space="0" w:color="auto"/>
                <w:bottom w:val="none" w:sz="0" w:space="0" w:color="auto"/>
                <w:right w:val="none" w:sz="0" w:space="0" w:color="auto"/>
              </w:divBdr>
              <w:divsChild>
                <w:div w:id="1810826598">
                  <w:marLeft w:val="0"/>
                  <w:marRight w:val="0"/>
                  <w:marTop w:val="0"/>
                  <w:marBottom w:val="0"/>
                  <w:divBdr>
                    <w:top w:val="none" w:sz="0" w:space="0" w:color="auto"/>
                    <w:left w:val="none" w:sz="0" w:space="0" w:color="auto"/>
                    <w:bottom w:val="none" w:sz="0" w:space="0" w:color="auto"/>
                    <w:right w:val="none" w:sz="0" w:space="0" w:color="auto"/>
                  </w:divBdr>
                  <w:divsChild>
                    <w:div w:id="20195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043441">
      <w:bodyDiv w:val="1"/>
      <w:marLeft w:val="0"/>
      <w:marRight w:val="0"/>
      <w:marTop w:val="0"/>
      <w:marBottom w:val="0"/>
      <w:divBdr>
        <w:top w:val="none" w:sz="0" w:space="0" w:color="auto"/>
        <w:left w:val="none" w:sz="0" w:space="0" w:color="auto"/>
        <w:bottom w:val="none" w:sz="0" w:space="0" w:color="auto"/>
        <w:right w:val="none" w:sz="0" w:space="0" w:color="auto"/>
      </w:divBdr>
      <w:divsChild>
        <w:div w:id="910188720">
          <w:marLeft w:val="0"/>
          <w:marRight w:val="0"/>
          <w:marTop w:val="0"/>
          <w:marBottom w:val="0"/>
          <w:divBdr>
            <w:top w:val="none" w:sz="0" w:space="0" w:color="auto"/>
            <w:left w:val="none" w:sz="0" w:space="0" w:color="auto"/>
            <w:bottom w:val="none" w:sz="0" w:space="0" w:color="auto"/>
            <w:right w:val="none" w:sz="0" w:space="0" w:color="auto"/>
          </w:divBdr>
          <w:divsChild>
            <w:div w:id="529034432">
              <w:marLeft w:val="0"/>
              <w:marRight w:val="0"/>
              <w:marTop w:val="0"/>
              <w:marBottom w:val="0"/>
              <w:divBdr>
                <w:top w:val="none" w:sz="0" w:space="0" w:color="auto"/>
                <w:left w:val="none" w:sz="0" w:space="0" w:color="auto"/>
                <w:bottom w:val="none" w:sz="0" w:space="0" w:color="auto"/>
                <w:right w:val="none" w:sz="0" w:space="0" w:color="auto"/>
              </w:divBdr>
              <w:divsChild>
                <w:div w:id="164003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65600">
      <w:bodyDiv w:val="1"/>
      <w:marLeft w:val="0"/>
      <w:marRight w:val="0"/>
      <w:marTop w:val="0"/>
      <w:marBottom w:val="0"/>
      <w:divBdr>
        <w:top w:val="none" w:sz="0" w:space="0" w:color="auto"/>
        <w:left w:val="none" w:sz="0" w:space="0" w:color="auto"/>
        <w:bottom w:val="none" w:sz="0" w:space="0" w:color="auto"/>
        <w:right w:val="none" w:sz="0" w:space="0" w:color="auto"/>
      </w:divBdr>
    </w:div>
    <w:div w:id="1554930643">
      <w:bodyDiv w:val="1"/>
      <w:marLeft w:val="0"/>
      <w:marRight w:val="0"/>
      <w:marTop w:val="0"/>
      <w:marBottom w:val="0"/>
      <w:divBdr>
        <w:top w:val="none" w:sz="0" w:space="0" w:color="auto"/>
        <w:left w:val="none" w:sz="0" w:space="0" w:color="auto"/>
        <w:bottom w:val="none" w:sz="0" w:space="0" w:color="auto"/>
        <w:right w:val="none" w:sz="0" w:space="0" w:color="auto"/>
      </w:divBdr>
      <w:divsChild>
        <w:div w:id="537397264">
          <w:marLeft w:val="0"/>
          <w:marRight w:val="0"/>
          <w:marTop w:val="0"/>
          <w:marBottom w:val="0"/>
          <w:divBdr>
            <w:top w:val="none" w:sz="0" w:space="0" w:color="auto"/>
            <w:left w:val="none" w:sz="0" w:space="0" w:color="auto"/>
            <w:bottom w:val="none" w:sz="0" w:space="0" w:color="auto"/>
            <w:right w:val="none" w:sz="0" w:space="0" w:color="auto"/>
          </w:divBdr>
          <w:divsChild>
            <w:div w:id="669405124">
              <w:marLeft w:val="0"/>
              <w:marRight w:val="0"/>
              <w:marTop w:val="0"/>
              <w:marBottom w:val="0"/>
              <w:divBdr>
                <w:top w:val="none" w:sz="0" w:space="0" w:color="auto"/>
                <w:left w:val="none" w:sz="0" w:space="0" w:color="auto"/>
                <w:bottom w:val="none" w:sz="0" w:space="0" w:color="auto"/>
                <w:right w:val="none" w:sz="0" w:space="0" w:color="auto"/>
              </w:divBdr>
              <w:divsChild>
                <w:div w:id="20657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79598">
      <w:bodyDiv w:val="1"/>
      <w:marLeft w:val="0"/>
      <w:marRight w:val="0"/>
      <w:marTop w:val="0"/>
      <w:marBottom w:val="0"/>
      <w:divBdr>
        <w:top w:val="none" w:sz="0" w:space="0" w:color="auto"/>
        <w:left w:val="none" w:sz="0" w:space="0" w:color="auto"/>
        <w:bottom w:val="none" w:sz="0" w:space="0" w:color="auto"/>
        <w:right w:val="none" w:sz="0" w:space="0" w:color="auto"/>
      </w:divBdr>
      <w:divsChild>
        <w:div w:id="219481357">
          <w:marLeft w:val="0"/>
          <w:marRight w:val="0"/>
          <w:marTop w:val="0"/>
          <w:marBottom w:val="0"/>
          <w:divBdr>
            <w:top w:val="none" w:sz="0" w:space="0" w:color="auto"/>
            <w:left w:val="none" w:sz="0" w:space="0" w:color="auto"/>
            <w:bottom w:val="none" w:sz="0" w:space="0" w:color="auto"/>
            <w:right w:val="none" w:sz="0" w:space="0" w:color="auto"/>
          </w:divBdr>
          <w:divsChild>
            <w:div w:id="1124931776">
              <w:marLeft w:val="0"/>
              <w:marRight w:val="0"/>
              <w:marTop w:val="0"/>
              <w:marBottom w:val="0"/>
              <w:divBdr>
                <w:top w:val="none" w:sz="0" w:space="0" w:color="auto"/>
                <w:left w:val="none" w:sz="0" w:space="0" w:color="auto"/>
                <w:bottom w:val="none" w:sz="0" w:space="0" w:color="auto"/>
                <w:right w:val="none" w:sz="0" w:space="0" w:color="auto"/>
              </w:divBdr>
              <w:divsChild>
                <w:div w:id="2088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04141">
      <w:bodyDiv w:val="1"/>
      <w:marLeft w:val="0"/>
      <w:marRight w:val="0"/>
      <w:marTop w:val="0"/>
      <w:marBottom w:val="0"/>
      <w:divBdr>
        <w:top w:val="none" w:sz="0" w:space="0" w:color="auto"/>
        <w:left w:val="none" w:sz="0" w:space="0" w:color="auto"/>
        <w:bottom w:val="none" w:sz="0" w:space="0" w:color="auto"/>
        <w:right w:val="none" w:sz="0" w:space="0" w:color="auto"/>
      </w:divBdr>
      <w:divsChild>
        <w:div w:id="1196891544">
          <w:marLeft w:val="0"/>
          <w:marRight w:val="0"/>
          <w:marTop w:val="0"/>
          <w:marBottom w:val="0"/>
          <w:divBdr>
            <w:top w:val="none" w:sz="0" w:space="0" w:color="auto"/>
            <w:left w:val="none" w:sz="0" w:space="0" w:color="auto"/>
            <w:bottom w:val="none" w:sz="0" w:space="0" w:color="auto"/>
            <w:right w:val="none" w:sz="0" w:space="0" w:color="auto"/>
          </w:divBdr>
          <w:divsChild>
            <w:div w:id="469521586">
              <w:marLeft w:val="0"/>
              <w:marRight w:val="0"/>
              <w:marTop w:val="0"/>
              <w:marBottom w:val="0"/>
              <w:divBdr>
                <w:top w:val="none" w:sz="0" w:space="0" w:color="auto"/>
                <w:left w:val="none" w:sz="0" w:space="0" w:color="auto"/>
                <w:bottom w:val="none" w:sz="0" w:space="0" w:color="auto"/>
                <w:right w:val="none" w:sz="0" w:space="0" w:color="auto"/>
              </w:divBdr>
              <w:divsChild>
                <w:div w:id="12565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604947">
      <w:bodyDiv w:val="1"/>
      <w:marLeft w:val="0"/>
      <w:marRight w:val="0"/>
      <w:marTop w:val="0"/>
      <w:marBottom w:val="0"/>
      <w:divBdr>
        <w:top w:val="none" w:sz="0" w:space="0" w:color="auto"/>
        <w:left w:val="none" w:sz="0" w:space="0" w:color="auto"/>
        <w:bottom w:val="none" w:sz="0" w:space="0" w:color="auto"/>
        <w:right w:val="none" w:sz="0" w:space="0" w:color="auto"/>
      </w:divBdr>
      <w:divsChild>
        <w:div w:id="246811604">
          <w:marLeft w:val="0"/>
          <w:marRight w:val="0"/>
          <w:marTop w:val="0"/>
          <w:marBottom w:val="0"/>
          <w:divBdr>
            <w:top w:val="none" w:sz="0" w:space="0" w:color="auto"/>
            <w:left w:val="none" w:sz="0" w:space="0" w:color="auto"/>
            <w:bottom w:val="none" w:sz="0" w:space="0" w:color="auto"/>
            <w:right w:val="none" w:sz="0" w:space="0" w:color="auto"/>
          </w:divBdr>
          <w:divsChild>
            <w:div w:id="786655687">
              <w:marLeft w:val="0"/>
              <w:marRight w:val="0"/>
              <w:marTop w:val="0"/>
              <w:marBottom w:val="0"/>
              <w:divBdr>
                <w:top w:val="none" w:sz="0" w:space="0" w:color="auto"/>
                <w:left w:val="none" w:sz="0" w:space="0" w:color="auto"/>
                <w:bottom w:val="none" w:sz="0" w:space="0" w:color="auto"/>
                <w:right w:val="none" w:sz="0" w:space="0" w:color="auto"/>
              </w:divBdr>
              <w:divsChild>
                <w:div w:id="646516034">
                  <w:marLeft w:val="0"/>
                  <w:marRight w:val="0"/>
                  <w:marTop w:val="0"/>
                  <w:marBottom w:val="0"/>
                  <w:divBdr>
                    <w:top w:val="none" w:sz="0" w:space="0" w:color="auto"/>
                    <w:left w:val="none" w:sz="0" w:space="0" w:color="auto"/>
                    <w:bottom w:val="none" w:sz="0" w:space="0" w:color="auto"/>
                    <w:right w:val="none" w:sz="0" w:space="0" w:color="auto"/>
                  </w:divBdr>
                  <w:divsChild>
                    <w:div w:id="89162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83330">
      <w:bodyDiv w:val="1"/>
      <w:marLeft w:val="0"/>
      <w:marRight w:val="0"/>
      <w:marTop w:val="0"/>
      <w:marBottom w:val="0"/>
      <w:divBdr>
        <w:top w:val="none" w:sz="0" w:space="0" w:color="auto"/>
        <w:left w:val="none" w:sz="0" w:space="0" w:color="auto"/>
        <w:bottom w:val="none" w:sz="0" w:space="0" w:color="auto"/>
        <w:right w:val="none" w:sz="0" w:space="0" w:color="auto"/>
      </w:divBdr>
    </w:div>
    <w:div w:id="1611473147">
      <w:bodyDiv w:val="1"/>
      <w:marLeft w:val="0"/>
      <w:marRight w:val="0"/>
      <w:marTop w:val="0"/>
      <w:marBottom w:val="0"/>
      <w:divBdr>
        <w:top w:val="none" w:sz="0" w:space="0" w:color="auto"/>
        <w:left w:val="none" w:sz="0" w:space="0" w:color="auto"/>
        <w:bottom w:val="none" w:sz="0" w:space="0" w:color="auto"/>
        <w:right w:val="none" w:sz="0" w:space="0" w:color="auto"/>
      </w:divBdr>
      <w:divsChild>
        <w:div w:id="2008316375">
          <w:marLeft w:val="0"/>
          <w:marRight w:val="0"/>
          <w:marTop w:val="0"/>
          <w:marBottom w:val="0"/>
          <w:divBdr>
            <w:top w:val="none" w:sz="0" w:space="0" w:color="auto"/>
            <w:left w:val="none" w:sz="0" w:space="0" w:color="auto"/>
            <w:bottom w:val="none" w:sz="0" w:space="0" w:color="auto"/>
            <w:right w:val="none" w:sz="0" w:space="0" w:color="auto"/>
          </w:divBdr>
          <w:divsChild>
            <w:div w:id="937441337">
              <w:marLeft w:val="0"/>
              <w:marRight w:val="0"/>
              <w:marTop w:val="0"/>
              <w:marBottom w:val="0"/>
              <w:divBdr>
                <w:top w:val="none" w:sz="0" w:space="0" w:color="auto"/>
                <w:left w:val="none" w:sz="0" w:space="0" w:color="auto"/>
                <w:bottom w:val="none" w:sz="0" w:space="0" w:color="auto"/>
                <w:right w:val="none" w:sz="0" w:space="0" w:color="auto"/>
              </w:divBdr>
              <w:divsChild>
                <w:div w:id="17476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91882">
      <w:bodyDiv w:val="1"/>
      <w:marLeft w:val="0"/>
      <w:marRight w:val="0"/>
      <w:marTop w:val="0"/>
      <w:marBottom w:val="0"/>
      <w:divBdr>
        <w:top w:val="none" w:sz="0" w:space="0" w:color="auto"/>
        <w:left w:val="none" w:sz="0" w:space="0" w:color="auto"/>
        <w:bottom w:val="none" w:sz="0" w:space="0" w:color="auto"/>
        <w:right w:val="none" w:sz="0" w:space="0" w:color="auto"/>
      </w:divBdr>
    </w:div>
    <w:div w:id="1641302515">
      <w:bodyDiv w:val="1"/>
      <w:marLeft w:val="0"/>
      <w:marRight w:val="0"/>
      <w:marTop w:val="0"/>
      <w:marBottom w:val="0"/>
      <w:divBdr>
        <w:top w:val="none" w:sz="0" w:space="0" w:color="auto"/>
        <w:left w:val="none" w:sz="0" w:space="0" w:color="auto"/>
        <w:bottom w:val="none" w:sz="0" w:space="0" w:color="auto"/>
        <w:right w:val="none" w:sz="0" w:space="0" w:color="auto"/>
      </w:divBdr>
      <w:divsChild>
        <w:div w:id="1961910918">
          <w:marLeft w:val="0"/>
          <w:marRight w:val="0"/>
          <w:marTop w:val="0"/>
          <w:marBottom w:val="0"/>
          <w:divBdr>
            <w:top w:val="none" w:sz="0" w:space="0" w:color="auto"/>
            <w:left w:val="none" w:sz="0" w:space="0" w:color="auto"/>
            <w:bottom w:val="none" w:sz="0" w:space="0" w:color="auto"/>
            <w:right w:val="none" w:sz="0" w:space="0" w:color="auto"/>
          </w:divBdr>
          <w:divsChild>
            <w:div w:id="612904219">
              <w:marLeft w:val="0"/>
              <w:marRight w:val="0"/>
              <w:marTop w:val="0"/>
              <w:marBottom w:val="0"/>
              <w:divBdr>
                <w:top w:val="none" w:sz="0" w:space="0" w:color="auto"/>
                <w:left w:val="none" w:sz="0" w:space="0" w:color="auto"/>
                <w:bottom w:val="none" w:sz="0" w:space="0" w:color="auto"/>
                <w:right w:val="none" w:sz="0" w:space="0" w:color="auto"/>
              </w:divBdr>
              <w:divsChild>
                <w:div w:id="1935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591090">
      <w:bodyDiv w:val="1"/>
      <w:marLeft w:val="0"/>
      <w:marRight w:val="0"/>
      <w:marTop w:val="0"/>
      <w:marBottom w:val="0"/>
      <w:divBdr>
        <w:top w:val="none" w:sz="0" w:space="0" w:color="auto"/>
        <w:left w:val="none" w:sz="0" w:space="0" w:color="auto"/>
        <w:bottom w:val="none" w:sz="0" w:space="0" w:color="auto"/>
        <w:right w:val="none" w:sz="0" w:space="0" w:color="auto"/>
      </w:divBdr>
      <w:divsChild>
        <w:div w:id="697242985">
          <w:marLeft w:val="0"/>
          <w:marRight w:val="0"/>
          <w:marTop w:val="0"/>
          <w:marBottom w:val="0"/>
          <w:divBdr>
            <w:top w:val="none" w:sz="0" w:space="0" w:color="auto"/>
            <w:left w:val="none" w:sz="0" w:space="0" w:color="auto"/>
            <w:bottom w:val="none" w:sz="0" w:space="0" w:color="auto"/>
            <w:right w:val="none" w:sz="0" w:space="0" w:color="auto"/>
          </w:divBdr>
          <w:divsChild>
            <w:div w:id="1311056042">
              <w:marLeft w:val="0"/>
              <w:marRight w:val="0"/>
              <w:marTop w:val="0"/>
              <w:marBottom w:val="0"/>
              <w:divBdr>
                <w:top w:val="none" w:sz="0" w:space="0" w:color="auto"/>
                <w:left w:val="none" w:sz="0" w:space="0" w:color="auto"/>
                <w:bottom w:val="none" w:sz="0" w:space="0" w:color="auto"/>
                <w:right w:val="none" w:sz="0" w:space="0" w:color="auto"/>
              </w:divBdr>
              <w:divsChild>
                <w:div w:id="20916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7378">
      <w:bodyDiv w:val="1"/>
      <w:marLeft w:val="0"/>
      <w:marRight w:val="0"/>
      <w:marTop w:val="0"/>
      <w:marBottom w:val="0"/>
      <w:divBdr>
        <w:top w:val="none" w:sz="0" w:space="0" w:color="auto"/>
        <w:left w:val="none" w:sz="0" w:space="0" w:color="auto"/>
        <w:bottom w:val="none" w:sz="0" w:space="0" w:color="auto"/>
        <w:right w:val="none" w:sz="0" w:space="0" w:color="auto"/>
      </w:divBdr>
      <w:divsChild>
        <w:div w:id="502941930">
          <w:marLeft w:val="0"/>
          <w:marRight w:val="0"/>
          <w:marTop w:val="0"/>
          <w:marBottom w:val="0"/>
          <w:divBdr>
            <w:top w:val="none" w:sz="0" w:space="0" w:color="auto"/>
            <w:left w:val="none" w:sz="0" w:space="0" w:color="auto"/>
            <w:bottom w:val="none" w:sz="0" w:space="0" w:color="auto"/>
            <w:right w:val="none" w:sz="0" w:space="0" w:color="auto"/>
          </w:divBdr>
          <w:divsChild>
            <w:div w:id="1619676913">
              <w:marLeft w:val="0"/>
              <w:marRight w:val="0"/>
              <w:marTop w:val="0"/>
              <w:marBottom w:val="0"/>
              <w:divBdr>
                <w:top w:val="none" w:sz="0" w:space="0" w:color="auto"/>
                <w:left w:val="none" w:sz="0" w:space="0" w:color="auto"/>
                <w:bottom w:val="none" w:sz="0" w:space="0" w:color="auto"/>
                <w:right w:val="none" w:sz="0" w:space="0" w:color="auto"/>
              </w:divBdr>
              <w:divsChild>
                <w:div w:id="7999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24767">
      <w:bodyDiv w:val="1"/>
      <w:marLeft w:val="0"/>
      <w:marRight w:val="0"/>
      <w:marTop w:val="0"/>
      <w:marBottom w:val="0"/>
      <w:divBdr>
        <w:top w:val="none" w:sz="0" w:space="0" w:color="auto"/>
        <w:left w:val="none" w:sz="0" w:space="0" w:color="auto"/>
        <w:bottom w:val="none" w:sz="0" w:space="0" w:color="auto"/>
        <w:right w:val="none" w:sz="0" w:space="0" w:color="auto"/>
      </w:divBdr>
      <w:divsChild>
        <w:div w:id="2117289204">
          <w:marLeft w:val="0"/>
          <w:marRight w:val="0"/>
          <w:marTop w:val="0"/>
          <w:marBottom w:val="0"/>
          <w:divBdr>
            <w:top w:val="none" w:sz="0" w:space="0" w:color="auto"/>
            <w:left w:val="none" w:sz="0" w:space="0" w:color="auto"/>
            <w:bottom w:val="none" w:sz="0" w:space="0" w:color="auto"/>
            <w:right w:val="none" w:sz="0" w:space="0" w:color="auto"/>
          </w:divBdr>
          <w:divsChild>
            <w:div w:id="692532047">
              <w:marLeft w:val="0"/>
              <w:marRight w:val="0"/>
              <w:marTop w:val="0"/>
              <w:marBottom w:val="0"/>
              <w:divBdr>
                <w:top w:val="none" w:sz="0" w:space="0" w:color="auto"/>
                <w:left w:val="none" w:sz="0" w:space="0" w:color="auto"/>
                <w:bottom w:val="none" w:sz="0" w:space="0" w:color="auto"/>
                <w:right w:val="none" w:sz="0" w:space="0" w:color="auto"/>
              </w:divBdr>
              <w:divsChild>
                <w:div w:id="152157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37643">
      <w:bodyDiv w:val="1"/>
      <w:marLeft w:val="0"/>
      <w:marRight w:val="0"/>
      <w:marTop w:val="0"/>
      <w:marBottom w:val="0"/>
      <w:divBdr>
        <w:top w:val="none" w:sz="0" w:space="0" w:color="auto"/>
        <w:left w:val="none" w:sz="0" w:space="0" w:color="auto"/>
        <w:bottom w:val="none" w:sz="0" w:space="0" w:color="auto"/>
        <w:right w:val="none" w:sz="0" w:space="0" w:color="auto"/>
      </w:divBdr>
    </w:div>
    <w:div w:id="1770925066">
      <w:bodyDiv w:val="1"/>
      <w:marLeft w:val="0"/>
      <w:marRight w:val="0"/>
      <w:marTop w:val="0"/>
      <w:marBottom w:val="0"/>
      <w:divBdr>
        <w:top w:val="none" w:sz="0" w:space="0" w:color="auto"/>
        <w:left w:val="none" w:sz="0" w:space="0" w:color="auto"/>
        <w:bottom w:val="none" w:sz="0" w:space="0" w:color="auto"/>
        <w:right w:val="none" w:sz="0" w:space="0" w:color="auto"/>
      </w:divBdr>
      <w:divsChild>
        <w:div w:id="1201014607">
          <w:marLeft w:val="0"/>
          <w:marRight w:val="0"/>
          <w:marTop w:val="0"/>
          <w:marBottom w:val="0"/>
          <w:divBdr>
            <w:top w:val="none" w:sz="0" w:space="0" w:color="auto"/>
            <w:left w:val="none" w:sz="0" w:space="0" w:color="auto"/>
            <w:bottom w:val="none" w:sz="0" w:space="0" w:color="auto"/>
            <w:right w:val="none" w:sz="0" w:space="0" w:color="auto"/>
          </w:divBdr>
          <w:divsChild>
            <w:div w:id="733430984">
              <w:marLeft w:val="0"/>
              <w:marRight w:val="0"/>
              <w:marTop w:val="0"/>
              <w:marBottom w:val="0"/>
              <w:divBdr>
                <w:top w:val="none" w:sz="0" w:space="0" w:color="auto"/>
                <w:left w:val="none" w:sz="0" w:space="0" w:color="auto"/>
                <w:bottom w:val="none" w:sz="0" w:space="0" w:color="auto"/>
                <w:right w:val="none" w:sz="0" w:space="0" w:color="auto"/>
              </w:divBdr>
              <w:divsChild>
                <w:div w:id="16187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13428">
      <w:bodyDiv w:val="1"/>
      <w:marLeft w:val="0"/>
      <w:marRight w:val="0"/>
      <w:marTop w:val="0"/>
      <w:marBottom w:val="0"/>
      <w:divBdr>
        <w:top w:val="none" w:sz="0" w:space="0" w:color="auto"/>
        <w:left w:val="none" w:sz="0" w:space="0" w:color="auto"/>
        <w:bottom w:val="none" w:sz="0" w:space="0" w:color="auto"/>
        <w:right w:val="none" w:sz="0" w:space="0" w:color="auto"/>
      </w:divBdr>
      <w:divsChild>
        <w:div w:id="1479111514">
          <w:marLeft w:val="0"/>
          <w:marRight w:val="0"/>
          <w:marTop w:val="0"/>
          <w:marBottom w:val="0"/>
          <w:divBdr>
            <w:top w:val="none" w:sz="0" w:space="0" w:color="auto"/>
            <w:left w:val="none" w:sz="0" w:space="0" w:color="auto"/>
            <w:bottom w:val="none" w:sz="0" w:space="0" w:color="auto"/>
            <w:right w:val="none" w:sz="0" w:space="0" w:color="auto"/>
          </w:divBdr>
          <w:divsChild>
            <w:div w:id="1014764264">
              <w:marLeft w:val="0"/>
              <w:marRight w:val="0"/>
              <w:marTop w:val="0"/>
              <w:marBottom w:val="0"/>
              <w:divBdr>
                <w:top w:val="none" w:sz="0" w:space="0" w:color="auto"/>
                <w:left w:val="none" w:sz="0" w:space="0" w:color="auto"/>
                <w:bottom w:val="none" w:sz="0" w:space="0" w:color="auto"/>
                <w:right w:val="none" w:sz="0" w:space="0" w:color="auto"/>
              </w:divBdr>
              <w:divsChild>
                <w:div w:id="112161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8561">
      <w:bodyDiv w:val="1"/>
      <w:marLeft w:val="0"/>
      <w:marRight w:val="0"/>
      <w:marTop w:val="0"/>
      <w:marBottom w:val="0"/>
      <w:divBdr>
        <w:top w:val="none" w:sz="0" w:space="0" w:color="auto"/>
        <w:left w:val="none" w:sz="0" w:space="0" w:color="auto"/>
        <w:bottom w:val="none" w:sz="0" w:space="0" w:color="auto"/>
        <w:right w:val="none" w:sz="0" w:space="0" w:color="auto"/>
      </w:divBdr>
    </w:div>
    <w:div w:id="1805611636">
      <w:bodyDiv w:val="1"/>
      <w:marLeft w:val="0"/>
      <w:marRight w:val="0"/>
      <w:marTop w:val="0"/>
      <w:marBottom w:val="0"/>
      <w:divBdr>
        <w:top w:val="none" w:sz="0" w:space="0" w:color="auto"/>
        <w:left w:val="none" w:sz="0" w:space="0" w:color="auto"/>
        <w:bottom w:val="none" w:sz="0" w:space="0" w:color="auto"/>
        <w:right w:val="none" w:sz="0" w:space="0" w:color="auto"/>
      </w:divBdr>
    </w:div>
    <w:div w:id="1865509478">
      <w:bodyDiv w:val="1"/>
      <w:marLeft w:val="0"/>
      <w:marRight w:val="0"/>
      <w:marTop w:val="0"/>
      <w:marBottom w:val="0"/>
      <w:divBdr>
        <w:top w:val="none" w:sz="0" w:space="0" w:color="auto"/>
        <w:left w:val="none" w:sz="0" w:space="0" w:color="auto"/>
        <w:bottom w:val="none" w:sz="0" w:space="0" w:color="auto"/>
        <w:right w:val="none" w:sz="0" w:space="0" w:color="auto"/>
      </w:divBdr>
      <w:divsChild>
        <w:div w:id="567694451">
          <w:marLeft w:val="0"/>
          <w:marRight w:val="0"/>
          <w:marTop w:val="0"/>
          <w:marBottom w:val="0"/>
          <w:divBdr>
            <w:top w:val="none" w:sz="0" w:space="0" w:color="auto"/>
            <w:left w:val="none" w:sz="0" w:space="0" w:color="auto"/>
            <w:bottom w:val="none" w:sz="0" w:space="0" w:color="auto"/>
            <w:right w:val="none" w:sz="0" w:space="0" w:color="auto"/>
          </w:divBdr>
          <w:divsChild>
            <w:div w:id="39210100">
              <w:marLeft w:val="0"/>
              <w:marRight w:val="0"/>
              <w:marTop w:val="0"/>
              <w:marBottom w:val="0"/>
              <w:divBdr>
                <w:top w:val="none" w:sz="0" w:space="0" w:color="auto"/>
                <w:left w:val="none" w:sz="0" w:space="0" w:color="auto"/>
                <w:bottom w:val="none" w:sz="0" w:space="0" w:color="auto"/>
                <w:right w:val="none" w:sz="0" w:space="0" w:color="auto"/>
              </w:divBdr>
              <w:divsChild>
                <w:div w:id="12812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745197">
      <w:bodyDiv w:val="1"/>
      <w:marLeft w:val="0"/>
      <w:marRight w:val="0"/>
      <w:marTop w:val="0"/>
      <w:marBottom w:val="0"/>
      <w:divBdr>
        <w:top w:val="none" w:sz="0" w:space="0" w:color="auto"/>
        <w:left w:val="none" w:sz="0" w:space="0" w:color="auto"/>
        <w:bottom w:val="none" w:sz="0" w:space="0" w:color="auto"/>
        <w:right w:val="none" w:sz="0" w:space="0" w:color="auto"/>
      </w:divBdr>
    </w:div>
    <w:div w:id="1884707527">
      <w:bodyDiv w:val="1"/>
      <w:marLeft w:val="0"/>
      <w:marRight w:val="0"/>
      <w:marTop w:val="0"/>
      <w:marBottom w:val="0"/>
      <w:divBdr>
        <w:top w:val="none" w:sz="0" w:space="0" w:color="auto"/>
        <w:left w:val="none" w:sz="0" w:space="0" w:color="auto"/>
        <w:bottom w:val="none" w:sz="0" w:space="0" w:color="auto"/>
        <w:right w:val="none" w:sz="0" w:space="0" w:color="auto"/>
      </w:divBdr>
    </w:div>
    <w:div w:id="1891377944">
      <w:bodyDiv w:val="1"/>
      <w:marLeft w:val="0"/>
      <w:marRight w:val="0"/>
      <w:marTop w:val="0"/>
      <w:marBottom w:val="0"/>
      <w:divBdr>
        <w:top w:val="none" w:sz="0" w:space="0" w:color="auto"/>
        <w:left w:val="none" w:sz="0" w:space="0" w:color="auto"/>
        <w:bottom w:val="none" w:sz="0" w:space="0" w:color="auto"/>
        <w:right w:val="none" w:sz="0" w:space="0" w:color="auto"/>
      </w:divBdr>
      <w:divsChild>
        <w:div w:id="484053346">
          <w:marLeft w:val="0"/>
          <w:marRight w:val="0"/>
          <w:marTop w:val="0"/>
          <w:marBottom w:val="0"/>
          <w:divBdr>
            <w:top w:val="none" w:sz="0" w:space="0" w:color="auto"/>
            <w:left w:val="none" w:sz="0" w:space="0" w:color="auto"/>
            <w:bottom w:val="none" w:sz="0" w:space="0" w:color="auto"/>
            <w:right w:val="none" w:sz="0" w:space="0" w:color="auto"/>
          </w:divBdr>
          <w:divsChild>
            <w:div w:id="2019502137">
              <w:marLeft w:val="0"/>
              <w:marRight w:val="0"/>
              <w:marTop w:val="0"/>
              <w:marBottom w:val="0"/>
              <w:divBdr>
                <w:top w:val="none" w:sz="0" w:space="0" w:color="auto"/>
                <w:left w:val="none" w:sz="0" w:space="0" w:color="auto"/>
                <w:bottom w:val="none" w:sz="0" w:space="0" w:color="auto"/>
                <w:right w:val="none" w:sz="0" w:space="0" w:color="auto"/>
              </w:divBdr>
              <w:divsChild>
                <w:div w:id="12333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5098">
      <w:bodyDiv w:val="1"/>
      <w:marLeft w:val="0"/>
      <w:marRight w:val="0"/>
      <w:marTop w:val="0"/>
      <w:marBottom w:val="0"/>
      <w:divBdr>
        <w:top w:val="none" w:sz="0" w:space="0" w:color="auto"/>
        <w:left w:val="none" w:sz="0" w:space="0" w:color="auto"/>
        <w:bottom w:val="none" w:sz="0" w:space="0" w:color="auto"/>
        <w:right w:val="none" w:sz="0" w:space="0" w:color="auto"/>
      </w:divBdr>
      <w:divsChild>
        <w:div w:id="933172602">
          <w:marLeft w:val="0"/>
          <w:marRight w:val="0"/>
          <w:marTop w:val="0"/>
          <w:marBottom w:val="0"/>
          <w:divBdr>
            <w:top w:val="none" w:sz="0" w:space="0" w:color="auto"/>
            <w:left w:val="none" w:sz="0" w:space="0" w:color="auto"/>
            <w:bottom w:val="none" w:sz="0" w:space="0" w:color="auto"/>
            <w:right w:val="none" w:sz="0" w:space="0" w:color="auto"/>
          </w:divBdr>
          <w:divsChild>
            <w:div w:id="1918005531">
              <w:marLeft w:val="0"/>
              <w:marRight w:val="0"/>
              <w:marTop w:val="0"/>
              <w:marBottom w:val="0"/>
              <w:divBdr>
                <w:top w:val="none" w:sz="0" w:space="0" w:color="auto"/>
                <w:left w:val="none" w:sz="0" w:space="0" w:color="auto"/>
                <w:bottom w:val="none" w:sz="0" w:space="0" w:color="auto"/>
                <w:right w:val="none" w:sz="0" w:space="0" w:color="auto"/>
              </w:divBdr>
              <w:divsChild>
                <w:div w:id="20812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75021">
      <w:bodyDiv w:val="1"/>
      <w:marLeft w:val="0"/>
      <w:marRight w:val="0"/>
      <w:marTop w:val="0"/>
      <w:marBottom w:val="0"/>
      <w:divBdr>
        <w:top w:val="none" w:sz="0" w:space="0" w:color="auto"/>
        <w:left w:val="none" w:sz="0" w:space="0" w:color="auto"/>
        <w:bottom w:val="none" w:sz="0" w:space="0" w:color="auto"/>
        <w:right w:val="none" w:sz="0" w:space="0" w:color="auto"/>
      </w:divBdr>
    </w:div>
    <w:div w:id="1923563974">
      <w:bodyDiv w:val="1"/>
      <w:marLeft w:val="0"/>
      <w:marRight w:val="0"/>
      <w:marTop w:val="0"/>
      <w:marBottom w:val="0"/>
      <w:divBdr>
        <w:top w:val="none" w:sz="0" w:space="0" w:color="auto"/>
        <w:left w:val="none" w:sz="0" w:space="0" w:color="auto"/>
        <w:bottom w:val="none" w:sz="0" w:space="0" w:color="auto"/>
        <w:right w:val="none" w:sz="0" w:space="0" w:color="auto"/>
      </w:divBdr>
      <w:divsChild>
        <w:div w:id="2099713539">
          <w:marLeft w:val="0"/>
          <w:marRight w:val="0"/>
          <w:marTop w:val="0"/>
          <w:marBottom w:val="0"/>
          <w:divBdr>
            <w:top w:val="none" w:sz="0" w:space="0" w:color="auto"/>
            <w:left w:val="none" w:sz="0" w:space="0" w:color="auto"/>
            <w:bottom w:val="none" w:sz="0" w:space="0" w:color="auto"/>
            <w:right w:val="none" w:sz="0" w:space="0" w:color="auto"/>
          </w:divBdr>
          <w:divsChild>
            <w:div w:id="610555543">
              <w:marLeft w:val="0"/>
              <w:marRight w:val="0"/>
              <w:marTop w:val="0"/>
              <w:marBottom w:val="0"/>
              <w:divBdr>
                <w:top w:val="none" w:sz="0" w:space="0" w:color="auto"/>
                <w:left w:val="none" w:sz="0" w:space="0" w:color="auto"/>
                <w:bottom w:val="none" w:sz="0" w:space="0" w:color="auto"/>
                <w:right w:val="none" w:sz="0" w:space="0" w:color="auto"/>
              </w:divBdr>
              <w:divsChild>
                <w:div w:id="54907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55074">
      <w:bodyDiv w:val="1"/>
      <w:marLeft w:val="0"/>
      <w:marRight w:val="0"/>
      <w:marTop w:val="0"/>
      <w:marBottom w:val="0"/>
      <w:divBdr>
        <w:top w:val="none" w:sz="0" w:space="0" w:color="auto"/>
        <w:left w:val="none" w:sz="0" w:space="0" w:color="auto"/>
        <w:bottom w:val="none" w:sz="0" w:space="0" w:color="auto"/>
        <w:right w:val="none" w:sz="0" w:space="0" w:color="auto"/>
      </w:divBdr>
      <w:divsChild>
        <w:div w:id="1040477451">
          <w:marLeft w:val="0"/>
          <w:marRight w:val="0"/>
          <w:marTop w:val="0"/>
          <w:marBottom w:val="0"/>
          <w:divBdr>
            <w:top w:val="none" w:sz="0" w:space="0" w:color="auto"/>
            <w:left w:val="none" w:sz="0" w:space="0" w:color="auto"/>
            <w:bottom w:val="none" w:sz="0" w:space="0" w:color="auto"/>
            <w:right w:val="none" w:sz="0" w:space="0" w:color="auto"/>
          </w:divBdr>
          <w:divsChild>
            <w:div w:id="1765611943">
              <w:marLeft w:val="0"/>
              <w:marRight w:val="0"/>
              <w:marTop w:val="0"/>
              <w:marBottom w:val="0"/>
              <w:divBdr>
                <w:top w:val="none" w:sz="0" w:space="0" w:color="auto"/>
                <w:left w:val="none" w:sz="0" w:space="0" w:color="auto"/>
                <w:bottom w:val="none" w:sz="0" w:space="0" w:color="auto"/>
                <w:right w:val="none" w:sz="0" w:space="0" w:color="auto"/>
              </w:divBdr>
              <w:divsChild>
                <w:div w:id="13957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299780">
      <w:bodyDiv w:val="1"/>
      <w:marLeft w:val="0"/>
      <w:marRight w:val="0"/>
      <w:marTop w:val="0"/>
      <w:marBottom w:val="0"/>
      <w:divBdr>
        <w:top w:val="none" w:sz="0" w:space="0" w:color="auto"/>
        <w:left w:val="none" w:sz="0" w:space="0" w:color="auto"/>
        <w:bottom w:val="none" w:sz="0" w:space="0" w:color="auto"/>
        <w:right w:val="none" w:sz="0" w:space="0" w:color="auto"/>
      </w:divBdr>
      <w:divsChild>
        <w:div w:id="1030642541">
          <w:marLeft w:val="0"/>
          <w:marRight w:val="0"/>
          <w:marTop w:val="0"/>
          <w:marBottom w:val="0"/>
          <w:divBdr>
            <w:top w:val="none" w:sz="0" w:space="0" w:color="auto"/>
            <w:left w:val="none" w:sz="0" w:space="0" w:color="auto"/>
            <w:bottom w:val="none" w:sz="0" w:space="0" w:color="auto"/>
            <w:right w:val="none" w:sz="0" w:space="0" w:color="auto"/>
          </w:divBdr>
          <w:divsChild>
            <w:div w:id="78185667">
              <w:marLeft w:val="0"/>
              <w:marRight w:val="0"/>
              <w:marTop w:val="0"/>
              <w:marBottom w:val="0"/>
              <w:divBdr>
                <w:top w:val="none" w:sz="0" w:space="0" w:color="auto"/>
                <w:left w:val="none" w:sz="0" w:space="0" w:color="auto"/>
                <w:bottom w:val="none" w:sz="0" w:space="0" w:color="auto"/>
                <w:right w:val="none" w:sz="0" w:space="0" w:color="auto"/>
              </w:divBdr>
              <w:divsChild>
                <w:div w:id="169734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001363">
      <w:bodyDiv w:val="1"/>
      <w:marLeft w:val="0"/>
      <w:marRight w:val="0"/>
      <w:marTop w:val="0"/>
      <w:marBottom w:val="0"/>
      <w:divBdr>
        <w:top w:val="none" w:sz="0" w:space="0" w:color="auto"/>
        <w:left w:val="none" w:sz="0" w:space="0" w:color="auto"/>
        <w:bottom w:val="none" w:sz="0" w:space="0" w:color="auto"/>
        <w:right w:val="none" w:sz="0" w:space="0" w:color="auto"/>
      </w:divBdr>
    </w:div>
    <w:div w:id="1989629903">
      <w:bodyDiv w:val="1"/>
      <w:marLeft w:val="0"/>
      <w:marRight w:val="0"/>
      <w:marTop w:val="0"/>
      <w:marBottom w:val="0"/>
      <w:divBdr>
        <w:top w:val="none" w:sz="0" w:space="0" w:color="auto"/>
        <w:left w:val="none" w:sz="0" w:space="0" w:color="auto"/>
        <w:bottom w:val="none" w:sz="0" w:space="0" w:color="auto"/>
        <w:right w:val="none" w:sz="0" w:space="0" w:color="auto"/>
      </w:divBdr>
      <w:divsChild>
        <w:div w:id="1447383903">
          <w:marLeft w:val="0"/>
          <w:marRight w:val="0"/>
          <w:marTop w:val="0"/>
          <w:marBottom w:val="0"/>
          <w:divBdr>
            <w:top w:val="none" w:sz="0" w:space="0" w:color="auto"/>
            <w:left w:val="none" w:sz="0" w:space="0" w:color="auto"/>
            <w:bottom w:val="none" w:sz="0" w:space="0" w:color="auto"/>
            <w:right w:val="none" w:sz="0" w:space="0" w:color="auto"/>
          </w:divBdr>
          <w:divsChild>
            <w:div w:id="124003666">
              <w:marLeft w:val="0"/>
              <w:marRight w:val="0"/>
              <w:marTop w:val="0"/>
              <w:marBottom w:val="0"/>
              <w:divBdr>
                <w:top w:val="none" w:sz="0" w:space="0" w:color="auto"/>
                <w:left w:val="none" w:sz="0" w:space="0" w:color="auto"/>
                <w:bottom w:val="none" w:sz="0" w:space="0" w:color="auto"/>
                <w:right w:val="none" w:sz="0" w:space="0" w:color="auto"/>
              </w:divBdr>
              <w:divsChild>
                <w:div w:id="17139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08567">
      <w:bodyDiv w:val="1"/>
      <w:marLeft w:val="0"/>
      <w:marRight w:val="0"/>
      <w:marTop w:val="0"/>
      <w:marBottom w:val="0"/>
      <w:divBdr>
        <w:top w:val="none" w:sz="0" w:space="0" w:color="auto"/>
        <w:left w:val="none" w:sz="0" w:space="0" w:color="auto"/>
        <w:bottom w:val="none" w:sz="0" w:space="0" w:color="auto"/>
        <w:right w:val="none" w:sz="0" w:space="0" w:color="auto"/>
      </w:divBdr>
      <w:divsChild>
        <w:div w:id="801772712">
          <w:marLeft w:val="0"/>
          <w:marRight w:val="0"/>
          <w:marTop w:val="0"/>
          <w:marBottom w:val="0"/>
          <w:divBdr>
            <w:top w:val="none" w:sz="0" w:space="0" w:color="auto"/>
            <w:left w:val="none" w:sz="0" w:space="0" w:color="auto"/>
            <w:bottom w:val="none" w:sz="0" w:space="0" w:color="auto"/>
            <w:right w:val="none" w:sz="0" w:space="0" w:color="auto"/>
          </w:divBdr>
          <w:divsChild>
            <w:div w:id="1474298131">
              <w:marLeft w:val="0"/>
              <w:marRight w:val="0"/>
              <w:marTop w:val="0"/>
              <w:marBottom w:val="0"/>
              <w:divBdr>
                <w:top w:val="none" w:sz="0" w:space="0" w:color="auto"/>
                <w:left w:val="none" w:sz="0" w:space="0" w:color="auto"/>
                <w:bottom w:val="none" w:sz="0" w:space="0" w:color="auto"/>
                <w:right w:val="none" w:sz="0" w:space="0" w:color="auto"/>
              </w:divBdr>
              <w:divsChild>
                <w:div w:id="27363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09303">
      <w:bodyDiv w:val="1"/>
      <w:marLeft w:val="0"/>
      <w:marRight w:val="0"/>
      <w:marTop w:val="0"/>
      <w:marBottom w:val="0"/>
      <w:divBdr>
        <w:top w:val="none" w:sz="0" w:space="0" w:color="auto"/>
        <w:left w:val="none" w:sz="0" w:space="0" w:color="auto"/>
        <w:bottom w:val="none" w:sz="0" w:space="0" w:color="auto"/>
        <w:right w:val="none" w:sz="0" w:space="0" w:color="auto"/>
      </w:divBdr>
      <w:divsChild>
        <w:div w:id="1269046631">
          <w:marLeft w:val="0"/>
          <w:marRight w:val="0"/>
          <w:marTop w:val="0"/>
          <w:marBottom w:val="0"/>
          <w:divBdr>
            <w:top w:val="none" w:sz="0" w:space="0" w:color="auto"/>
            <w:left w:val="none" w:sz="0" w:space="0" w:color="auto"/>
            <w:bottom w:val="none" w:sz="0" w:space="0" w:color="auto"/>
            <w:right w:val="none" w:sz="0" w:space="0" w:color="auto"/>
          </w:divBdr>
          <w:divsChild>
            <w:div w:id="1268344764">
              <w:marLeft w:val="0"/>
              <w:marRight w:val="0"/>
              <w:marTop w:val="0"/>
              <w:marBottom w:val="0"/>
              <w:divBdr>
                <w:top w:val="none" w:sz="0" w:space="0" w:color="auto"/>
                <w:left w:val="none" w:sz="0" w:space="0" w:color="auto"/>
                <w:bottom w:val="none" w:sz="0" w:space="0" w:color="auto"/>
                <w:right w:val="none" w:sz="0" w:space="0" w:color="auto"/>
              </w:divBdr>
              <w:divsChild>
                <w:div w:id="68867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75893">
      <w:bodyDiv w:val="1"/>
      <w:marLeft w:val="0"/>
      <w:marRight w:val="0"/>
      <w:marTop w:val="0"/>
      <w:marBottom w:val="0"/>
      <w:divBdr>
        <w:top w:val="none" w:sz="0" w:space="0" w:color="auto"/>
        <w:left w:val="none" w:sz="0" w:space="0" w:color="auto"/>
        <w:bottom w:val="none" w:sz="0" w:space="0" w:color="auto"/>
        <w:right w:val="none" w:sz="0" w:space="0" w:color="auto"/>
      </w:divBdr>
    </w:div>
    <w:div w:id="2029721066">
      <w:bodyDiv w:val="1"/>
      <w:marLeft w:val="0"/>
      <w:marRight w:val="0"/>
      <w:marTop w:val="0"/>
      <w:marBottom w:val="0"/>
      <w:divBdr>
        <w:top w:val="none" w:sz="0" w:space="0" w:color="auto"/>
        <w:left w:val="none" w:sz="0" w:space="0" w:color="auto"/>
        <w:bottom w:val="none" w:sz="0" w:space="0" w:color="auto"/>
        <w:right w:val="none" w:sz="0" w:space="0" w:color="auto"/>
      </w:divBdr>
      <w:divsChild>
        <w:div w:id="1041367697">
          <w:marLeft w:val="0"/>
          <w:marRight w:val="0"/>
          <w:marTop w:val="0"/>
          <w:marBottom w:val="0"/>
          <w:divBdr>
            <w:top w:val="none" w:sz="0" w:space="0" w:color="auto"/>
            <w:left w:val="none" w:sz="0" w:space="0" w:color="auto"/>
            <w:bottom w:val="none" w:sz="0" w:space="0" w:color="auto"/>
            <w:right w:val="none" w:sz="0" w:space="0" w:color="auto"/>
          </w:divBdr>
          <w:divsChild>
            <w:div w:id="1991866405">
              <w:marLeft w:val="0"/>
              <w:marRight w:val="0"/>
              <w:marTop w:val="0"/>
              <w:marBottom w:val="0"/>
              <w:divBdr>
                <w:top w:val="none" w:sz="0" w:space="0" w:color="auto"/>
                <w:left w:val="none" w:sz="0" w:space="0" w:color="auto"/>
                <w:bottom w:val="none" w:sz="0" w:space="0" w:color="auto"/>
                <w:right w:val="none" w:sz="0" w:space="0" w:color="auto"/>
              </w:divBdr>
              <w:divsChild>
                <w:div w:id="145274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1331">
      <w:bodyDiv w:val="1"/>
      <w:marLeft w:val="0"/>
      <w:marRight w:val="0"/>
      <w:marTop w:val="0"/>
      <w:marBottom w:val="0"/>
      <w:divBdr>
        <w:top w:val="none" w:sz="0" w:space="0" w:color="auto"/>
        <w:left w:val="none" w:sz="0" w:space="0" w:color="auto"/>
        <w:bottom w:val="none" w:sz="0" w:space="0" w:color="auto"/>
        <w:right w:val="none" w:sz="0" w:space="0" w:color="auto"/>
      </w:divBdr>
      <w:divsChild>
        <w:div w:id="987129963">
          <w:marLeft w:val="0"/>
          <w:marRight w:val="0"/>
          <w:marTop w:val="0"/>
          <w:marBottom w:val="0"/>
          <w:divBdr>
            <w:top w:val="none" w:sz="0" w:space="0" w:color="auto"/>
            <w:left w:val="none" w:sz="0" w:space="0" w:color="auto"/>
            <w:bottom w:val="none" w:sz="0" w:space="0" w:color="auto"/>
            <w:right w:val="none" w:sz="0" w:space="0" w:color="auto"/>
          </w:divBdr>
          <w:divsChild>
            <w:div w:id="2021160473">
              <w:marLeft w:val="0"/>
              <w:marRight w:val="0"/>
              <w:marTop w:val="0"/>
              <w:marBottom w:val="0"/>
              <w:divBdr>
                <w:top w:val="none" w:sz="0" w:space="0" w:color="auto"/>
                <w:left w:val="none" w:sz="0" w:space="0" w:color="auto"/>
                <w:bottom w:val="none" w:sz="0" w:space="0" w:color="auto"/>
                <w:right w:val="none" w:sz="0" w:space="0" w:color="auto"/>
              </w:divBdr>
              <w:divsChild>
                <w:div w:id="4430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62527">
      <w:bodyDiv w:val="1"/>
      <w:marLeft w:val="0"/>
      <w:marRight w:val="0"/>
      <w:marTop w:val="0"/>
      <w:marBottom w:val="0"/>
      <w:divBdr>
        <w:top w:val="none" w:sz="0" w:space="0" w:color="auto"/>
        <w:left w:val="none" w:sz="0" w:space="0" w:color="auto"/>
        <w:bottom w:val="none" w:sz="0" w:space="0" w:color="auto"/>
        <w:right w:val="none" w:sz="0" w:space="0" w:color="auto"/>
      </w:divBdr>
      <w:divsChild>
        <w:div w:id="1779061028">
          <w:marLeft w:val="0"/>
          <w:marRight w:val="0"/>
          <w:marTop w:val="0"/>
          <w:marBottom w:val="0"/>
          <w:divBdr>
            <w:top w:val="none" w:sz="0" w:space="0" w:color="auto"/>
            <w:left w:val="none" w:sz="0" w:space="0" w:color="auto"/>
            <w:bottom w:val="none" w:sz="0" w:space="0" w:color="auto"/>
            <w:right w:val="none" w:sz="0" w:space="0" w:color="auto"/>
          </w:divBdr>
          <w:divsChild>
            <w:div w:id="727268502">
              <w:marLeft w:val="0"/>
              <w:marRight w:val="0"/>
              <w:marTop w:val="0"/>
              <w:marBottom w:val="0"/>
              <w:divBdr>
                <w:top w:val="none" w:sz="0" w:space="0" w:color="auto"/>
                <w:left w:val="none" w:sz="0" w:space="0" w:color="auto"/>
                <w:bottom w:val="none" w:sz="0" w:space="0" w:color="auto"/>
                <w:right w:val="none" w:sz="0" w:space="0" w:color="auto"/>
              </w:divBdr>
              <w:divsChild>
                <w:div w:id="15846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8563">
      <w:bodyDiv w:val="1"/>
      <w:marLeft w:val="0"/>
      <w:marRight w:val="0"/>
      <w:marTop w:val="0"/>
      <w:marBottom w:val="0"/>
      <w:divBdr>
        <w:top w:val="none" w:sz="0" w:space="0" w:color="auto"/>
        <w:left w:val="none" w:sz="0" w:space="0" w:color="auto"/>
        <w:bottom w:val="none" w:sz="0" w:space="0" w:color="auto"/>
        <w:right w:val="none" w:sz="0" w:space="0" w:color="auto"/>
      </w:divBdr>
    </w:div>
    <w:div w:id="2137484898">
      <w:bodyDiv w:val="1"/>
      <w:marLeft w:val="0"/>
      <w:marRight w:val="0"/>
      <w:marTop w:val="0"/>
      <w:marBottom w:val="0"/>
      <w:divBdr>
        <w:top w:val="none" w:sz="0" w:space="0" w:color="auto"/>
        <w:left w:val="none" w:sz="0" w:space="0" w:color="auto"/>
        <w:bottom w:val="none" w:sz="0" w:space="0" w:color="auto"/>
        <w:right w:val="none" w:sz="0" w:space="0" w:color="auto"/>
      </w:divBdr>
      <w:divsChild>
        <w:div w:id="1870023585">
          <w:marLeft w:val="0"/>
          <w:marRight w:val="0"/>
          <w:marTop w:val="0"/>
          <w:marBottom w:val="0"/>
          <w:divBdr>
            <w:top w:val="none" w:sz="0" w:space="0" w:color="auto"/>
            <w:left w:val="none" w:sz="0" w:space="0" w:color="auto"/>
            <w:bottom w:val="none" w:sz="0" w:space="0" w:color="auto"/>
            <w:right w:val="none" w:sz="0" w:space="0" w:color="auto"/>
          </w:divBdr>
          <w:divsChild>
            <w:div w:id="405343696">
              <w:marLeft w:val="0"/>
              <w:marRight w:val="0"/>
              <w:marTop w:val="0"/>
              <w:marBottom w:val="0"/>
              <w:divBdr>
                <w:top w:val="none" w:sz="0" w:space="0" w:color="auto"/>
                <w:left w:val="none" w:sz="0" w:space="0" w:color="auto"/>
                <w:bottom w:val="none" w:sz="0" w:space="0" w:color="auto"/>
                <w:right w:val="none" w:sz="0" w:space="0" w:color="auto"/>
              </w:divBdr>
              <w:divsChild>
                <w:div w:id="8968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30786-2EFD-F64F-8567-08B334C2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21</Pages>
  <Words>6725</Words>
  <Characters>38336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Hoogdalem, Matthijs (vanhooms)</dc:creator>
  <cp:keywords/>
  <dc:description/>
  <cp:lastModifiedBy>Van Hoogdalem, Matthijs (vanhooms)</cp:lastModifiedBy>
  <cp:revision>56</cp:revision>
  <dcterms:created xsi:type="dcterms:W3CDTF">2022-05-26T15:24:00Z</dcterms:created>
  <dcterms:modified xsi:type="dcterms:W3CDTF">2022-06-16T22:27:00Z</dcterms:modified>
</cp:coreProperties>
</file>