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3434" w14:textId="4AC5B057" w:rsidR="00AD170D" w:rsidRPr="00F7716C" w:rsidRDefault="006C362B" w:rsidP="00E06571">
      <w:pPr>
        <w:widowControl w:val="0"/>
        <w:pBdr>
          <w:top w:val="nil"/>
          <w:left w:val="nil"/>
          <w:bottom w:val="nil"/>
          <w:right w:val="nil"/>
          <w:between w:val="nil"/>
        </w:pBdr>
        <w:rPr>
          <w:i/>
          <w:iCs/>
        </w:rPr>
      </w:pPr>
      <w:r w:rsidRPr="00F7716C">
        <w:rPr>
          <w:i/>
          <w:iCs/>
        </w:rPr>
        <w:pict w14:anchorId="1E3F07BA">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27" type="#_x0000_t69" style="position:absolute;margin-left:0;margin-top:0;width:50pt;height:50pt;z-index:251658752;visibility:hidden">
            <o:lock v:ext="edit" selection="t"/>
          </v:shape>
        </w:pict>
      </w:r>
      <w:r w:rsidRPr="00F7716C">
        <w:rPr>
          <w:i/>
          <w:iCs/>
        </w:rPr>
        <w:pict w14:anchorId="73183738">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0;margin-top:0;width:50pt;height:50pt;z-index:251659776;visibility:hidden">
            <o:lock v:ext="edit" selection="t"/>
          </v:shape>
        </w:pict>
      </w:r>
      <w:r w:rsidR="00BA35F9" w:rsidRPr="00F7716C">
        <w:rPr>
          <w:i/>
          <w:iCs/>
        </w:rPr>
        <w:t>Research Paper</w:t>
      </w:r>
    </w:p>
    <w:p w14:paraId="1D0AE042" w14:textId="77777777" w:rsidR="00BA35F9" w:rsidRPr="00F7716C" w:rsidRDefault="00BA35F9" w:rsidP="00E06571">
      <w:pPr>
        <w:widowControl w:val="0"/>
        <w:pBdr>
          <w:top w:val="nil"/>
          <w:left w:val="nil"/>
          <w:bottom w:val="nil"/>
          <w:right w:val="nil"/>
          <w:between w:val="nil"/>
        </w:pBdr>
      </w:pPr>
    </w:p>
    <w:p w14:paraId="581C60DE" w14:textId="0618D011" w:rsidR="00AD170D" w:rsidRPr="00F7716C" w:rsidRDefault="00B654AC" w:rsidP="004E2D2C">
      <w:pPr>
        <w:rPr>
          <w:b/>
          <w:bCs/>
          <w:sz w:val="32"/>
          <w:szCs w:val="32"/>
        </w:rPr>
      </w:pPr>
      <w:r w:rsidRPr="00F7716C">
        <w:rPr>
          <w:b/>
          <w:bCs/>
          <w:sz w:val="32"/>
          <w:szCs w:val="32"/>
        </w:rPr>
        <w:t>An integrated approach to develop</w:t>
      </w:r>
      <w:r w:rsidR="00E06571" w:rsidRPr="00F7716C">
        <w:rPr>
          <w:b/>
          <w:bCs/>
          <w:sz w:val="32"/>
          <w:szCs w:val="32"/>
        </w:rPr>
        <w:t>ing</w:t>
      </w:r>
      <w:r w:rsidRPr="00F7716C">
        <w:rPr>
          <w:b/>
          <w:bCs/>
          <w:sz w:val="32"/>
          <w:szCs w:val="32"/>
        </w:rPr>
        <w:t xml:space="preserve"> </w:t>
      </w:r>
      <w:r w:rsidR="004E2D2C" w:rsidRPr="00F7716C">
        <w:rPr>
          <w:b/>
          <w:bCs/>
          <w:sz w:val="32"/>
          <w:szCs w:val="32"/>
        </w:rPr>
        <w:t xml:space="preserve">an </w:t>
      </w:r>
      <w:r w:rsidRPr="00F7716C">
        <w:rPr>
          <w:b/>
          <w:bCs/>
          <w:sz w:val="32"/>
          <w:szCs w:val="32"/>
        </w:rPr>
        <w:t>anthrax-free model area in Bangladesh</w:t>
      </w:r>
    </w:p>
    <w:p w14:paraId="53BD0468" w14:textId="77777777" w:rsidR="00AD170D" w:rsidRPr="00F7716C" w:rsidRDefault="00AD170D" w:rsidP="004E2D2C">
      <w:pPr>
        <w:rPr>
          <w:b/>
        </w:rPr>
      </w:pPr>
    </w:p>
    <w:p w14:paraId="155EE8DE" w14:textId="0388AD5D" w:rsidR="00AD170D" w:rsidRPr="00F7716C" w:rsidRDefault="00B654AC" w:rsidP="004E2D2C">
      <w:pPr>
        <w:pBdr>
          <w:top w:val="nil"/>
          <w:left w:val="nil"/>
          <w:bottom w:val="nil"/>
          <w:right w:val="nil"/>
          <w:between w:val="nil"/>
        </w:pBdr>
      </w:pPr>
      <w:r w:rsidRPr="00F7716C">
        <w:t>Md. Shahjahan Ali Sarker</w:t>
      </w:r>
      <w:r w:rsidRPr="00F7716C">
        <w:rPr>
          <w:vertAlign w:val="superscript"/>
        </w:rPr>
        <w:t>1</w:t>
      </w:r>
      <w:r w:rsidRPr="00F7716C">
        <w:t xml:space="preserve">, Md. </w:t>
      </w:r>
      <w:proofErr w:type="spellStart"/>
      <w:r w:rsidRPr="00F7716C">
        <w:t>Ahosanul</w:t>
      </w:r>
      <w:proofErr w:type="spellEnd"/>
      <w:r w:rsidRPr="00F7716C">
        <w:t xml:space="preserve"> Haque Shahid</w:t>
      </w:r>
      <w:r w:rsidRPr="00F7716C">
        <w:rPr>
          <w:vertAlign w:val="superscript"/>
        </w:rPr>
        <w:t>1</w:t>
      </w:r>
      <w:r w:rsidRPr="00F7716C">
        <w:t xml:space="preserve">, Md. </w:t>
      </w:r>
      <w:proofErr w:type="spellStart"/>
      <w:r w:rsidRPr="00F7716C">
        <w:t>Muket</w:t>
      </w:r>
      <w:proofErr w:type="spellEnd"/>
      <w:r w:rsidRPr="00F7716C">
        <w:t xml:space="preserve"> Mahmud</w:t>
      </w:r>
      <w:r w:rsidRPr="00F7716C">
        <w:rPr>
          <w:vertAlign w:val="superscript"/>
        </w:rPr>
        <w:t>1</w:t>
      </w:r>
      <w:r w:rsidRPr="00F7716C">
        <w:t xml:space="preserve">, </w:t>
      </w:r>
      <w:proofErr w:type="spellStart"/>
      <w:r w:rsidRPr="00F7716C">
        <w:t>Ajran</w:t>
      </w:r>
      <w:proofErr w:type="spellEnd"/>
      <w:r w:rsidRPr="00F7716C">
        <w:t xml:space="preserve"> Kabir</w:t>
      </w:r>
      <w:r w:rsidRPr="00F7716C">
        <w:rPr>
          <w:vertAlign w:val="superscript"/>
        </w:rPr>
        <w:t>1</w:t>
      </w:r>
      <w:r w:rsidRPr="00F7716C">
        <w:t xml:space="preserve">, Md. </w:t>
      </w:r>
      <w:proofErr w:type="spellStart"/>
      <w:r w:rsidRPr="00F7716C">
        <w:t>Bahanur</w:t>
      </w:r>
      <w:proofErr w:type="spellEnd"/>
      <w:r w:rsidRPr="00F7716C">
        <w:t xml:space="preserve"> Rahman </w:t>
      </w:r>
      <w:r w:rsidRPr="00F7716C">
        <w:rPr>
          <w:vertAlign w:val="superscript"/>
        </w:rPr>
        <w:t>1</w:t>
      </w:r>
      <w:r w:rsidRPr="00F7716C">
        <w:t xml:space="preserve">, Md. </w:t>
      </w:r>
      <w:proofErr w:type="spellStart"/>
      <w:r w:rsidRPr="00F7716C">
        <w:t>Asaduzzaman</w:t>
      </w:r>
      <w:proofErr w:type="spellEnd"/>
      <w:r w:rsidRPr="00F7716C">
        <w:t xml:space="preserve"> Sarker </w:t>
      </w:r>
      <w:r w:rsidRPr="00F7716C">
        <w:rPr>
          <w:vertAlign w:val="superscript"/>
        </w:rPr>
        <w:t>2</w:t>
      </w:r>
      <w:r w:rsidRPr="00F7716C">
        <w:t xml:space="preserve">, </w:t>
      </w:r>
      <w:proofErr w:type="spellStart"/>
      <w:r w:rsidRPr="00F7716C">
        <w:t>Ratna</w:t>
      </w:r>
      <w:proofErr w:type="spellEnd"/>
      <w:r w:rsidRPr="00F7716C">
        <w:t xml:space="preserve"> Parvin</w:t>
      </w:r>
      <w:r w:rsidRPr="00F7716C">
        <w:rPr>
          <w:vertAlign w:val="superscript"/>
        </w:rPr>
        <w:t>3</w:t>
      </w:r>
      <w:r w:rsidRPr="00F7716C">
        <w:t xml:space="preserve">, K. H. M. Nazmul Hussain Nazir </w:t>
      </w:r>
      <w:proofErr w:type="gramStart"/>
      <w:r w:rsidRPr="00F7716C">
        <w:rPr>
          <w:vertAlign w:val="superscript"/>
        </w:rPr>
        <w:t>1</w:t>
      </w:r>
      <w:r w:rsidRPr="00F7716C">
        <w:t>,*</w:t>
      </w:r>
      <w:proofErr w:type="gramEnd"/>
    </w:p>
    <w:p w14:paraId="231F9102" w14:textId="77777777" w:rsidR="00E06571" w:rsidRPr="00F7716C" w:rsidRDefault="00E06571" w:rsidP="004E2D2C">
      <w:pPr>
        <w:pBdr>
          <w:top w:val="nil"/>
          <w:left w:val="nil"/>
          <w:bottom w:val="nil"/>
          <w:right w:val="nil"/>
          <w:between w:val="nil"/>
        </w:pBdr>
      </w:pPr>
    </w:p>
    <w:p w14:paraId="75185361" w14:textId="6397F286" w:rsidR="00AD170D" w:rsidRPr="00F7716C" w:rsidRDefault="00B654AC" w:rsidP="004E2D2C">
      <w:pPr>
        <w:pStyle w:val="ListParagraph"/>
        <w:numPr>
          <w:ilvl w:val="0"/>
          <w:numId w:val="4"/>
        </w:numPr>
        <w:spacing w:after="0" w:line="240" w:lineRule="auto"/>
        <w:rPr>
          <w:rFonts w:ascii="Times New Roman" w:hAnsi="Times New Roman"/>
          <w:sz w:val="24"/>
          <w:szCs w:val="24"/>
        </w:rPr>
      </w:pPr>
      <w:r w:rsidRPr="00F7716C">
        <w:rPr>
          <w:rFonts w:ascii="Times New Roman" w:hAnsi="Times New Roman"/>
          <w:sz w:val="24"/>
          <w:szCs w:val="24"/>
        </w:rPr>
        <w:t>Department of Microbiology and Hygiene, Faculty of Veterinary Science, Bangladesh</w:t>
      </w:r>
      <w:r w:rsidR="00E06571" w:rsidRPr="00F7716C">
        <w:rPr>
          <w:rFonts w:ascii="Times New Roman" w:hAnsi="Times New Roman"/>
          <w:sz w:val="24"/>
          <w:szCs w:val="24"/>
        </w:rPr>
        <w:t xml:space="preserve"> </w:t>
      </w:r>
      <w:r w:rsidRPr="00F7716C">
        <w:rPr>
          <w:rFonts w:ascii="Times New Roman" w:hAnsi="Times New Roman"/>
          <w:sz w:val="24"/>
          <w:szCs w:val="24"/>
        </w:rPr>
        <w:t>Agricultural University, Mymensingh-2202, Bangladesh</w:t>
      </w:r>
      <w:r w:rsidR="00E06571" w:rsidRPr="00F7716C">
        <w:rPr>
          <w:rFonts w:ascii="Times New Roman" w:hAnsi="Times New Roman"/>
          <w:sz w:val="24"/>
          <w:szCs w:val="24"/>
        </w:rPr>
        <w:t>.</w:t>
      </w:r>
    </w:p>
    <w:p w14:paraId="41439C0F" w14:textId="4BC5F48D" w:rsidR="00AD170D" w:rsidRPr="00F7716C" w:rsidRDefault="00B654AC" w:rsidP="004E2D2C">
      <w:pPr>
        <w:pStyle w:val="ListParagraph"/>
        <w:numPr>
          <w:ilvl w:val="0"/>
          <w:numId w:val="4"/>
        </w:numPr>
        <w:spacing w:after="0" w:line="240" w:lineRule="auto"/>
        <w:rPr>
          <w:rFonts w:ascii="Times New Roman" w:hAnsi="Times New Roman"/>
          <w:sz w:val="24"/>
          <w:szCs w:val="24"/>
          <w:u w:val="single"/>
        </w:rPr>
      </w:pPr>
      <w:r w:rsidRPr="00F7716C">
        <w:rPr>
          <w:rFonts w:ascii="Times New Roman" w:hAnsi="Times New Roman"/>
          <w:sz w:val="24"/>
          <w:szCs w:val="24"/>
        </w:rPr>
        <w:t>Department of Agriculture Extension, Faculty of Agriculture, Bangladesh Agricultural University, Mymensingh-2202, Bangladesh</w:t>
      </w:r>
      <w:r w:rsidR="00E06571" w:rsidRPr="00F7716C">
        <w:rPr>
          <w:rFonts w:ascii="Times New Roman" w:hAnsi="Times New Roman"/>
          <w:sz w:val="24"/>
          <w:szCs w:val="24"/>
        </w:rPr>
        <w:t>.</w:t>
      </w:r>
    </w:p>
    <w:p w14:paraId="59C6D3F9" w14:textId="3A3ECC95" w:rsidR="00AD170D" w:rsidRPr="00F7716C" w:rsidRDefault="00B654AC" w:rsidP="004E2D2C">
      <w:pPr>
        <w:pStyle w:val="ListParagraph"/>
        <w:numPr>
          <w:ilvl w:val="0"/>
          <w:numId w:val="4"/>
        </w:numPr>
        <w:spacing w:after="0" w:line="240" w:lineRule="auto"/>
        <w:rPr>
          <w:rFonts w:ascii="Times New Roman" w:hAnsi="Times New Roman"/>
          <w:sz w:val="24"/>
          <w:szCs w:val="24"/>
        </w:rPr>
      </w:pPr>
      <w:r w:rsidRPr="00F7716C">
        <w:rPr>
          <w:rFonts w:ascii="Times New Roman" w:hAnsi="Times New Roman"/>
          <w:sz w:val="24"/>
          <w:szCs w:val="24"/>
        </w:rPr>
        <w:t>Department of Animal Nutrition, Faculty of Veterinary, Animal and Biomedical Sciences, Sylhet Agricultural University, Sylhet, Bangladesh</w:t>
      </w:r>
      <w:r w:rsidR="00E06571" w:rsidRPr="00F7716C">
        <w:rPr>
          <w:rFonts w:ascii="Times New Roman" w:hAnsi="Times New Roman"/>
          <w:sz w:val="24"/>
          <w:szCs w:val="24"/>
        </w:rPr>
        <w:t>.</w:t>
      </w:r>
    </w:p>
    <w:p w14:paraId="340904D8" w14:textId="77777777" w:rsidR="00E06571" w:rsidRPr="00F7716C" w:rsidRDefault="00E06571" w:rsidP="00E06571">
      <w:pPr>
        <w:ind w:left="311" w:hanging="311"/>
        <w:jc w:val="both"/>
        <w:rPr>
          <w:u w:val="single"/>
        </w:rPr>
      </w:pPr>
    </w:p>
    <w:p w14:paraId="3BBEE035" w14:textId="56F79FBA" w:rsidR="00AD170D" w:rsidRPr="00F7716C" w:rsidRDefault="00B654AC" w:rsidP="00E06571">
      <w:pPr>
        <w:ind w:left="311" w:hanging="311"/>
        <w:jc w:val="both"/>
      </w:pPr>
      <w:r w:rsidRPr="00F7716C">
        <w:rPr>
          <w:b/>
        </w:rPr>
        <w:t>*</w:t>
      </w:r>
      <w:r w:rsidR="00E06571" w:rsidRPr="00F7716C">
        <w:rPr>
          <w:b/>
        </w:rPr>
        <w:t xml:space="preserve"> </w:t>
      </w:r>
      <w:r w:rsidRPr="00F7716C">
        <w:t xml:space="preserve">Correspondence: </w:t>
      </w:r>
      <w:hyperlink r:id="rId8">
        <w:r w:rsidRPr="00F7716C">
          <w:rPr>
            <w:u w:val="single"/>
          </w:rPr>
          <w:t>nazir@bau.edu.bd</w:t>
        </w:r>
      </w:hyperlink>
      <w:r w:rsidRPr="00F7716C">
        <w:t xml:space="preserve"> (K.H.M.N.H.N.) </w:t>
      </w:r>
    </w:p>
    <w:p w14:paraId="24AC288C" w14:textId="77777777" w:rsidR="00AD170D" w:rsidRPr="00F7716C" w:rsidRDefault="00AD170D" w:rsidP="00E06571">
      <w:pPr>
        <w:pBdr>
          <w:top w:val="nil"/>
          <w:left w:val="nil"/>
          <w:bottom w:val="nil"/>
          <w:right w:val="nil"/>
          <w:between w:val="nil"/>
        </w:pBdr>
        <w:ind w:left="311" w:hanging="198"/>
        <w:rPr>
          <w:rFonts w:eastAsia="Palatino Linotype"/>
        </w:rPr>
      </w:pPr>
    </w:p>
    <w:p w14:paraId="36610A70" w14:textId="6810ECB6" w:rsidR="00AD170D" w:rsidRPr="00F7716C" w:rsidRDefault="00B654AC" w:rsidP="00E06571">
      <w:pPr>
        <w:rPr>
          <w:b/>
        </w:rPr>
      </w:pPr>
      <w:r w:rsidRPr="00F7716C">
        <w:rPr>
          <w:b/>
        </w:rPr>
        <w:t>ABSTRACT</w:t>
      </w:r>
    </w:p>
    <w:p w14:paraId="70016DC0" w14:textId="77777777" w:rsidR="00E06571" w:rsidRPr="00F7716C" w:rsidRDefault="00E06571" w:rsidP="00E06571">
      <w:bookmarkStart w:id="0" w:name="_heading=h.gjdgxs" w:colFirst="0" w:colLast="0"/>
      <w:bookmarkEnd w:id="0"/>
    </w:p>
    <w:p w14:paraId="43DA2C40" w14:textId="011D67B6" w:rsidR="00AD170D" w:rsidRPr="00F7716C" w:rsidRDefault="00B654AC" w:rsidP="00E06571">
      <w:r w:rsidRPr="00F7716C">
        <w:t>An integrated approach was sought to establish an anthrax-free model, where there will be no anthrax in an anthrax-prone area of Bangladesh. The integrated approach included regular vaccination, increased public awareness, rapid confirmation, and prompt disposal, setting up an effective surveillance system, develop</w:t>
      </w:r>
      <w:r w:rsidR="00E06571" w:rsidRPr="00F7716C">
        <w:t>ing an emergency prevention system, enforcing regulations, and enhancing veterinary services' collaboration</w:t>
      </w:r>
      <w:r w:rsidRPr="00F7716C">
        <w:t xml:space="preserve">. Before the research work, a study area reported anthrax in cattle or humans almost every one or two years. The location remains </w:t>
      </w:r>
      <w:proofErr w:type="spellStart"/>
      <w:r w:rsidRPr="00F7716C">
        <w:t>Jamtoil</w:t>
      </w:r>
      <w:proofErr w:type="spellEnd"/>
      <w:r w:rsidRPr="00F7716C">
        <w:t xml:space="preserve"> village in </w:t>
      </w:r>
      <w:proofErr w:type="spellStart"/>
      <w:r w:rsidRPr="00F7716C">
        <w:t>Kamarkhanda</w:t>
      </w:r>
      <w:proofErr w:type="spellEnd"/>
      <w:r w:rsidRPr="00F7716C">
        <w:t xml:space="preserve"> </w:t>
      </w:r>
      <w:proofErr w:type="spellStart"/>
      <w:r w:rsidRPr="00F7716C">
        <w:t>Upazila</w:t>
      </w:r>
      <w:proofErr w:type="spellEnd"/>
      <w:r w:rsidRPr="00F7716C">
        <w:t xml:space="preserve"> of Sirajganj </w:t>
      </w:r>
      <w:r w:rsidR="00E06571" w:rsidRPr="00F7716C">
        <w:t>d</w:t>
      </w:r>
      <w:r w:rsidRPr="00F7716C">
        <w:t xml:space="preserve">istrict located between 24°18' and 24°27' north latitudes and amidst 89°35' and 89°42' east longitudes. Numerous interventions that included both social and laboratory work were implemented from 2017 to 2020. After rigorously implementing the study works, it showed that most community members (97.5%) were aware of </w:t>
      </w:r>
      <w:r w:rsidR="00E06571" w:rsidRPr="00F7716C">
        <w:t xml:space="preserve">the </w:t>
      </w:r>
      <w:r w:rsidRPr="00F7716C">
        <w:t>nature, occurrence, public health importance, and management of the disease. The risky habits and attitudes of the farmers toward the slaughtering of sick cattle reduced significantly (&lt;85%). Vaccination coverage expanded from 40 to 85%, and the percentage of farmers who can presumptively diagnose anthrax by its notable clinical findings has increased from 30% to 85%.</w:t>
      </w:r>
      <w:r w:rsidR="00E06571" w:rsidRPr="00F7716C">
        <w:t xml:space="preserve"> </w:t>
      </w:r>
      <w:r w:rsidRPr="00F7716C">
        <w:t xml:space="preserve">A PCR-based confirmation protocol was applied. Soil samples were collected to examine the pathogenic spores of </w:t>
      </w:r>
      <w:r w:rsidRPr="00F7716C">
        <w:rPr>
          <w:i/>
        </w:rPr>
        <w:t>Bacillus anthraci</w:t>
      </w:r>
      <w:r w:rsidR="004E2D2C" w:rsidRPr="00F7716C">
        <w:rPr>
          <w:i/>
        </w:rPr>
        <w:t>s</w:t>
      </w:r>
      <w:r w:rsidRPr="00F7716C">
        <w:t>, and researchers developed a map so that the farmers in the area would be more cautious about grazing their cattle. A steering committee was formed with the administration, law enforcement agency, local government, livestock, health department, and political elites. This committee periodically reviewed the progress of research work. At the beginning of the investigation, the score was 18, but after implementing research interventions, it increased to 100 out of 120. The locals set up a slaughterhouse in that region, and people slaughtered their animals after examining their animals by qualified veterinarians. As a result of all these works, the model area has been free of anthrax infection for four years. The research finding concluded that the integrated approach is an efficient, effective, and suitable method to establish an anthrax-free model area where there will be no anthrax outbreak.</w:t>
      </w:r>
    </w:p>
    <w:p w14:paraId="23E06A9E" w14:textId="77777777" w:rsidR="00AD170D" w:rsidRPr="00F7716C" w:rsidRDefault="00AD170D" w:rsidP="00E06571">
      <w:bookmarkStart w:id="1" w:name="_heading=h.6v0dwnfqfk04" w:colFirst="0" w:colLast="0"/>
      <w:bookmarkEnd w:id="1"/>
    </w:p>
    <w:p w14:paraId="7367014B" w14:textId="77777777" w:rsidR="00AD170D" w:rsidRPr="00F7716C" w:rsidRDefault="00B654AC" w:rsidP="00E06571">
      <w:r w:rsidRPr="00F7716C">
        <w:rPr>
          <w:b/>
        </w:rPr>
        <w:lastRenderedPageBreak/>
        <w:t xml:space="preserve">Keywords: </w:t>
      </w:r>
      <w:r w:rsidRPr="00F7716C">
        <w:t>Anthrax, model, integrated approach, interventions, livestock.</w:t>
      </w:r>
    </w:p>
    <w:p w14:paraId="51A9888A" w14:textId="2F53D44C" w:rsidR="00AD170D" w:rsidRPr="00F7716C" w:rsidRDefault="00AD170D" w:rsidP="00E06571">
      <w:pPr>
        <w:rPr>
          <w:b/>
        </w:rPr>
      </w:pPr>
    </w:p>
    <w:p w14:paraId="3E0441AC" w14:textId="77777777" w:rsidR="00E06571" w:rsidRPr="00F7716C" w:rsidRDefault="00E06571" w:rsidP="00E06571">
      <w:pPr>
        <w:rPr>
          <w:b/>
        </w:rPr>
      </w:pPr>
    </w:p>
    <w:p w14:paraId="6FE7FE5B" w14:textId="77777777" w:rsidR="00AD170D" w:rsidRPr="00F7716C" w:rsidRDefault="00B654AC" w:rsidP="00E06571">
      <w:pPr>
        <w:numPr>
          <w:ilvl w:val="0"/>
          <w:numId w:val="1"/>
        </w:numPr>
        <w:pBdr>
          <w:top w:val="nil"/>
          <w:left w:val="nil"/>
          <w:bottom w:val="nil"/>
          <w:right w:val="nil"/>
          <w:between w:val="nil"/>
        </w:pBdr>
        <w:ind w:left="360"/>
        <w:rPr>
          <w:rFonts w:eastAsia="Calibri"/>
          <w:b/>
        </w:rPr>
      </w:pPr>
      <w:r w:rsidRPr="00F7716C">
        <w:rPr>
          <w:rFonts w:eastAsia="Calibri"/>
          <w:b/>
        </w:rPr>
        <w:t>INTRODUCTION</w:t>
      </w:r>
    </w:p>
    <w:p w14:paraId="0DEDA6FC" w14:textId="77777777" w:rsidR="00E06571" w:rsidRPr="00F7716C" w:rsidRDefault="00E06571" w:rsidP="00E06571"/>
    <w:p w14:paraId="3215DC4D" w14:textId="5B63272D" w:rsidR="00AD170D" w:rsidRPr="00F7716C" w:rsidRDefault="00B654AC" w:rsidP="00E06571">
      <w:r w:rsidRPr="00F7716C">
        <w:t xml:space="preserve">Anthrax is an infectious disease caused by the spore-forming bacterium </w:t>
      </w:r>
      <w:r w:rsidRPr="00F7716C">
        <w:rPr>
          <w:i/>
        </w:rPr>
        <w:t>Bacillus anthracis</w:t>
      </w:r>
      <w:r w:rsidRPr="00F7716C">
        <w:t>,</w:t>
      </w:r>
      <w:r w:rsidRPr="00F7716C">
        <w:rPr>
          <w:i/>
        </w:rPr>
        <w:t xml:space="preserve"> </w:t>
      </w:r>
      <w:r w:rsidRPr="00F7716C">
        <w:t>having zoonotic importance.</w:t>
      </w:r>
      <w:r w:rsidRPr="00F7716C">
        <w:rPr>
          <w:i/>
        </w:rPr>
        <w:t xml:space="preserve"> </w:t>
      </w:r>
      <w:r w:rsidRPr="00F7716C">
        <w:t>It is an OIE-listed disease and must be reported to the OIE as indicated in its Terrestrial Animal Health Code (OIE, 2012).</w:t>
      </w:r>
      <w:r w:rsidR="00E06571" w:rsidRPr="00F7716C">
        <w:t xml:space="preserve"> </w:t>
      </w:r>
      <w:r w:rsidRPr="00F7716C">
        <w:t>Carlson et al. (2019) mentioned that globally an estimated 20,000 to 100,000 cases occur annually, as an estimated 1.8 billion people live within anthrax-suitable areas, the vast majority of whom live in rural areas in Africa, Europe, and Asia. Anthrax is more common in developing countries and countries that do not have veterinary public health programs that routinely vaccinate animals against anthrax. Before developing the vaccine in the 1930s, anthrax was regarded as a disease of major health or economic importance</w:t>
      </w:r>
      <w:r w:rsidR="00E06571" w:rsidRPr="00F7716C">
        <w:t>. It</w:t>
      </w:r>
      <w:r w:rsidRPr="00F7716C">
        <w:t xml:space="preserve"> was the foremost cause of uncontrolled mortality in cattle, sheep, goats, horses, and pigs worldwide (WHO, 2008). The disease is still enzootic worldwide, and </w:t>
      </w:r>
      <w:r w:rsidRPr="00F7716C">
        <w:rPr>
          <w:i/>
        </w:rPr>
        <w:t xml:space="preserve">B. anthracis </w:t>
      </w:r>
      <w:r w:rsidRPr="00F7716C">
        <w:t xml:space="preserve">has always been high on the list of potential agents </w:t>
      </w:r>
      <w:r w:rsidR="00E06571" w:rsidRPr="00F7716C">
        <w:t>concerning</w:t>
      </w:r>
      <w:r w:rsidRPr="00F7716C">
        <w:t xml:space="preserve"> biological warfare and bioterrorism (Spencer, 2003; </w:t>
      </w:r>
      <w:proofErr w:type="spellStart"/>
      <w:r w:rsidRPr="00F7716C">
        <w:t>Thavaselvam</w:t>
      </w:r>
      <w:proofErr w:type="spellEnd"/>
      <w:r w:rsidRPr="00F7716C">
        <w:t xml:space="preserve"> and </w:t>
      </w:r>
      <w:proofErr w:type="spellStart"/>
      <w:r w:rsidRPr="00F7716C">
        <w:t>Vijayaraghavan</w:t>
      </w:r>
      <w:proofErr w:type="spellEnd"/>
      <w:r w:rsidRPr="00F7716C">
        <w:t>, 2010). Several countries in temperate or cool parts of the globe, for example, Scandinavian countries in the northern hemisphere and New Zealand in the southern hemisphere, have harbored anthrax in the past through importation of contaminated animal materials, have now become free of the disease through appropriate import controls. Other countries are striving to do the same, and several smaller countries have succeeded, such as Belize, Cuba, Cyprus, Czech Republic, Iceland, Ireland, Jamaica, Malta, and Taiwan. Malaysia has also succeeded in becoming anthrax-free (Rahim, 1997). Many European countries, North America and Australia, controlled the anthrax disease. The disease is absent or only sporadic in those countries (</w:t>
      </w:r>
      <w:proofErr w:type="spellStart"/>
      <w:r w:rsidRPr="00F7716C">
        <w:t>Inglesby</w:t>
      </w:r>
      <w:proofErr w:type="spellEnd"/>
      <w:r w:rsidRPr="00F7716C">
        <w:t xml:space="preserve"> et al., 2002, </w:t>
      </w:r>
      <w:proofErr w:type="spellStart"/>
      <w:r w:rsidRPr="00F7716C">
        <w:t>Wiesen</w:t>
      </w:r>
      <w:proofErr w:type="spellEnd"/>
      <w:r w:rsidRPr="00F7716C">
        <w:t xml:space="preserve"> and </w:t>
      </w:r>
      <w:proofErr w:type="spellStart"/>
      <w:r w:rsidRPr="00F7716C">
        <w:t>Littell</w:t>
      </w:r>
      <w:proofErr w:type="spellEnd"/>
      <w:r w:rsidRPr="00F7716C">
        <w:t>, 2002</w:t>
      </w:r>
      <w:r w:rsidR="00E06571" w:rsidRPr="00F7716C">
        <w:t>,</w:t>
      </w:r>
      <w:r w:rsidRPr="00F7716C">
        <w:t xml:space="preserve"> </w:t>
      </w:r>
      <w:proofErr w:type="spellStart"/>
      <w:r w:rsidRPr="00F7716C">
        <w:t>Mongoh</w:t>
      </w:r>
      <w:proofErr w:type="spellEnd"/>
      <w:r w:rsidRPr="00F7716C">
        <w:t xml:space="preserve"> et al., 2008). In Africa, Zambia was identified as a model country </w:t>
      </w:r>
      <w:r w:rsidR="00E06571" w:rsidRPr="00F7716C">
        <w:t>for</w:t>
      </w:r>
      <w:r w:rsidRPr="00F7716C">
        <w:t xml:space="preserve"> the anthrax control program (WHO, 2006). Regular vaccination increased public awareness, and proper quarantine was considered a major strategy to control anthrax worldwide (</w:t>
      </w:r>
      <w:proofErr w:type="spellStart"/>
      <w:r w:rsidRPr="00F7716C">
        <w:t>Odontsetseg</w:t>
      </w:r>
      <w:proofErr w:type="spellEnd"/>
      <w:r w:rsidRPr="00F7716C">
        <w:t xml:space="preserve"> et al., 2007; </w:t>
      </w:r>
      <w:proofErr w:type="spellStart"/>
      <w:r w:rsidRPr="00F7716C">
        <w:t>Simbotwe</w:t>
      </w:r>
      <w:proofErr w:type="spellEnd"/>
      <w:r w:rsidRPr="00F7716C">
        <w:t xml:space="preserve"> et al., 2019). </w:t>
      </w:r>
    </w:p>
    <w:p w14:paraId="1A7CEB94" w14:textId="77777777" w:rsidR="00E06571" w:rsidRPr="00F7716C" w:rsidRDefault="00E06571" w:rsidP="00E06571">
      <w:pPr>
        <w:rPr>
          <w:i/>
        </w:rPr>
      </w:pPr>
    </w:p>
    <w:p w14:paraId="0BB1378A" w14:textId="7084E4C7" w:rsidR="00AD170D" w:rsidRPr="00F7716C" w:rsidRDefault="00E06571" w:rsidP="00E06571">
      <w:r w:rsidRPr="00F7716C">
        <w:t>A</w:t>
      </w:r>
      <w:r w:rsidR="00B654AC" w:rsidRPr="00F7716C">
        <w:t>nthrax is common among domestic ruminants (</w:t>
      </w:r>
      <w:proofErr w:type="spellStart"/>
      <w:r w:rsidR="00B654AC" w:rsidRPr="00F7716C">
        <w:t>Rume</w:t>
      </w:r>
      <w:proofErr w:type="spellEnd"/>
      <w:r w:rsidR="00B654AC" w:rsidRPr="00F7716C">
        <w:t xml:space="preserve">, 2018). Samad and Hoque (1980) reported the first anthrax case in 1980. Mustafa (1984) first isolated </w:t>
      </w:r>
      <w:r w:rsidR="00B654AC" w:rsidRPr="00F7716C">
        <w:rPr>
          <w:i/>
        </w:rPr>
        <w:t>B. anthracis</w:t>
      </w:r>
      <w:r w:rsidR="00B654AC" w:rsidRPr="00F7716C">
        <w:t xml:space="preserve"> from an elephant. Although anthrax has been reported in Bangladesh since 1980, the outbreak was severe </w:t>
      </w:r>
      <w:r w:rsidRPr="00F7716C">
        <w:t>from</w:t>
      </w:r>
      <w:r w:rsidR="00B654AC" w:rsidRPr="00F7716C">
        <w:t xml:space="preserve"> 2008</w:t>
      </w:r>
      <w:r w:rsidRPr="00F7716C">
        <w:t xml:space="preserve"> to </w:t>
      </w:r>
      <w:r w:rsidR="00B654AC" w:rsidRPr="00F7716C">
        <w:t xml:space="preserve">2010, affecting 58 districts out of 64. Still, outbreaks have been reported almost every year in some districts. After that, anthrax outbreaks have persistently been recorded every year in </w:t>
      </w:r>
      <w:r w:rsidRPr="00F7716C">
        <w:t>animals and humans from different country areas</w:t>
      </w:r>
      <w:r w:rsidR="00B654AC" w:rsidRPr="00F7716C">
        <w:t>. Institute of Epidemiology, Disease Control and Research (IEDCR), Bangladesh, reported a total 1802 of the human case of anthrax from 2010</w:t>
      </w:r>
      <w:r w:rsidRPr="00F7716C">
        <w:t xml:space="preserve"> to </w:t>
      </w:r>
      <w:r w:rsidR="00B654AC" w:rsidRPr="00F7716C">
        <w:t xml:space="preserve">2019. </w:t>
      </w:r>
      <w:r w:rsidRPr="00F7716C">
        <w:t>However,</w:t>
      </w:r>
      <w:r w:rsidR="00B654AC" w:rsidRPr="00F7716C">
        <w:t xml:space="preserve"> the actual incidence of anthrax in livestock in Bangladesh is unknown, most owing to under-reporting and reluctance to report by the Department of Livestock Services (DLS). Only after the human outbreak of anthrax and tremendous interest of the media made the situation of reporting anthrax. </w:t>
      </w:r>
      <w:r w:rsidRPr="00F7716C">
        <w:t>From</w:t>
      </w:r>
      <w:r w:rsidR="00B654AC" w:rsidRPr="00F7716C">
        <w:t xml:space="preserve"> 2010</w:t>
      </w:r>
      <w:r w:rsidRPr="00F7716C">
        <w:t xml:space="preserve"> to </w:t>
      </w:r>
      <w:r w:rsidR="00B654AC" w:rsidRPr="00F7716C">
        <w:t xml:space="preserve">2012, 5937 animal anthrax were reported, mostly in rural areas in Bangladesh (Mondal and </w:t>
      </w:r>
      <w:proofErr w:type="spellStart"/>
      <w:r w:rsidR="00B654AC" w:rsidRPr="00F7716C">
        <w:t>Yamage</w:t>
      </w:r>
      <w:proofErr w:type="spellEnd"/>
      <w:r w:rsidR="00B654AC" w:rsidRPr="00F7716C">
        <w:t xml:space="preserve">, 2014). Due to repeated outbreaks causing the deaths of hundreds to thousands of animals negatively impacts overall livelihoods and can also restrict international markets. The outbreak of anthrax has a direct and indirect effect on the country's national economy and negatively impacts overall livelihoods. Livestock is an integral component of the agricultural economy of Bangladesh, performing a central role in the livelihoods of poor </w:t>
      </w:r>
      <w:r w:rsidR="00B654AC" w:rsidRPr="00F7716C">
        <w:lastRenderedPageBreak/>
        <w:t>people. Financial loss due to anthrax disease is not fully calculated. In 2010, from August to October, the Government of Bangladesh declared a red alert for three months. A Germany-based dairy research center named International Farm Comparison Network (IFCN) calculated the loss and reported beef price</w:t>
      </w:r>
      <w:r w:rsidRPr="00F7716C">
        <w:t>s</w:t>
      </w:r>
      <w:r w:rsidR="00B654AC" w:rsidRPr="00F7716C">
        <w:t xml:space="preserve"> decreased by 126%, 17% foreign exchange </w:t>
      </w:r>
      <w:r w:rsidRPr="00F7716C">
        <w:t>slipp</w:t>
      </w:r>
      <w:r w:rsidR="00B654AC" w:rsidRPr="00F7716C">
        <w:t>ed, and tannery industries fell sharply. And their estimated loss was USD 85 million (</w:t>
      </w:r>
      <w:proofErr w:type="spellStart"/>
      <w:r w:rsidR="00B654AC" w:rsidRPr="00F7716C">
        <w:t>Rume</w:t>
      </w:r>
      <w:proofErr w:type="spellEnd"/>
      <w:r w:rsidR="00B654AC" w:rsidRPr="00F7716C">
        <w:t xml:space="preserve">, 2018). </w:t>
      </w:r>
    </w:p>
    <w:p w14:paraId="7ECFBC29" w14:textId="77777777" w:rsidR="00E06571" w:rsidRPr="00F7716C" w:rsidRDefault="00E06571" w:rsidP="00E06571"/>
    <w:p w14:paraId="28AC5A23" w14:textId="513AEB0D" w:rsidR="00AD170D" w:rsidRPr="00F7716C" w:rsidRDefault="00B654AC" w:rsidP="00E06571">
      <w:r w:rsidRPr="00F7716C">
        <w:t xml:space="preserve">Based on the previous reports, it was concluded that lack of efficacy of human anthrax treatment, inadequate vaccination program, improper washing of grass before feeding, lack of awareness of anthrax and transmission, the slaughter of moribund cattle, selling meat from cattle that died of unknown causes to the community were associated with the repeated outbreak of anthrax in Bangladesh (Samad, 2011; Siddiqui et al., </w:t>
      </w:r>
      <w:r w:rsidRPr="00F7716C">
        <w:rPr>
          <w:i/>
        </w:rPr>
        <w:t xml:space="preserve"> </w:t>
      </w:r>
      <w:r w:rsidRPr="00F7716C">
        <w:t>2012; Chakraborty et al.,</w:t>
      </w:r>
      <w:r w:rsidRPr="00F7716C">
        <w:rPr>
          <w:i/>
        </w:rPr>
        <w:t xml:space="preserve">  </w:t>
      </w:r>
      <w:r w:rsidRPr="00F7716C">
        <w:t>2012; Islam et al.,</w:t>
      </w:r>
      <w:r w:rsidRPr="00F7716C">
        <w:rPr>
          <w:i/>
        </w:rPr>
        <w:t xml:space="preserve"> </w:t>
      </w:r>
      <w:r w:rsidRPr="00F7716C">
        <w:t xml:space="preserve">2013; </w:t>
      </w:r>
      <w:proofErr w:type="spellStart"/>
      <w:r w:rsidRPr="00F7716C">
        <w:t>Fasanella</w:t>
      </w:r>
      <w:proofErr w:type="spellEnd"/>
      <w:r w:rsidRPr="00F7716C">
        <w:t xml:space="preserve"> et al., 2013; Ahsan et al., 2013; Hassan et al., 2015). Every year, sporadic outbreaks of animal anthrax occur in some Bangladesh districts, followed by human anthrax. </w:t>
      </w:r>
    </w:p>
    <w:p w14:paraId="5C5840FE" w14:textId="77777777" w:rsidR="00E06571" w:rsidRPr="00F7716C" w:rsidRDefault="00E06571" w:rsidP="00E06571">
      <w:pPr>
        <w:rPr>
          <w:b/>
        </w:rPr>
      </w:pPr>
    </w:p>
    <w:p w14:paraId="770AC29C" w14:textId="46E6DF41" w:rsidR="00AD170D" w:rsidRPr="00F7716C" w:rsidRDefault="00B654AC" w:rsidP="00E06571">
      <w:r w:rsidRPr="00F7716C">
        <w:t xml:space="preserve">Most studies have identified the gap of repeated anthrax outbreaks but have no studies on filling the gap. Through successful research and national planning, we can also control this disease in Bangladesh. The present study </w:t>
      </w:r>
      <w:r w:rsidR="00E06571" w:rsidRPr="00F7716C">
        <w:t>developed</w:t>
      </w:r>
      <w:r w:rsidRPr="00F7716C">
        <w:t xml:space="preserve"> an anthrax-free model area by implementing integrated approaches. </w:t>
      </w:r>
    </w:p>
    <w:p w14:paraId="72D8C8F7" w14:textId="77777777" w:rsidR="00AD170D" w:rsidRPr="00F7716C" w:rsidRDefault="00B654AC" w:rsidP="00E06571">
      <w:r w:rsidRPr="00F7716C">
        <w:t xml:space="preserve"> </w:t>
      </w:r>
    </w:p>
    <w:p w14:paraId="01A293F6" w14:textId="77777777" w:rsidR="00AD170D" w:rsidRPr="00F7716C" w:rsidRDefault="00B654AC" w:rsidP="00E06571">
      <w:pPr>
        <w:numPr>
          <w:ilvl w:val="0"/>
          <w:numId w:val="1"/>
        </w:numPr>
        <w:pBdr>
          <w:top w:val="nil"/>
          <w:left w:val="nil"/>
          <w:bottom w:val="nil"/>
          <w:right w:val="nil"/>
          <w:between w:val="nil"/>
        </w:pBdr>
        <w:ind w:left="360"/>
        <w:rPr>
          <w:rFonts w:eastAsia="Calibri"/>
          <w:b/>
        </w:rPr>
      </w:pPr>
      <w:r w:rsidRPr="00F7716C">
        <w:rPr>
          <w:rFonts w:eastAsia="Calibri"/>
          <w:b/>
        </w:rPr>
        <w:t>MATERIALS AND METHODS</w:t>
      </w:r>
    </w:p>
    <w:p w14:paraId="0A862266" w14:textId="77777777" w:rsidR="00E06571" w:rsidRPr="00F7716C" w:rsidRDefault="00E06571" w:rsidP="00E06571"/>
    <w:p w14:paraId="5512EAF4" w14:textId="01B21F10" w:rsidR="00AD170D" w:rsidRPr="00F7716C" w:rsidRDefault="00B654AC" w:rsidP="00E06571">
      <w:r w:rsidRPr="00F7716C">
        <w:t>The methodology of the research work was based on the combination of social and microbiological outcomes at the community and laboratory level</w:t>
      </w:r>
      <w:r w:rsidR="00E06571" w:rsidRPr="00F7716C">
        <w:t>s</w:t>
      </w:r>
      <w:r w:rsidRPr="00F7716C">
        <w:t xml:space="preserve">. These included Area Selection, implementation of </w:t>
      </w:r>
      <w:r w:rsidR="00E06571" w:rsidRPr="00F7716C">
        <w:t xml:space="preserve">an </w:t>
      </w:r>
      <w:r w:rsidRPr="00F7716C">
        <w:t>Integrated Approach, Monitoring</w:t>
      </w:r>
      <w:r w:rsidR="00E06571" w:rsidRPr="00F7716C">
        <w:t>,</w:t>
      </w:r>
      <w:r w:rsidRPr="00F7716C">
        <w:t xml:space="preserve"> and Evaluation Process. The various methodologies were figured out using data from past research findings and following international guidelines and were led by an advisory committee consisting of a special technical team. Although the research work was predetermined at distinct stages, it was flexible and open to maximum output.</w:t>
      </w:r>
    </w:p>
    <w:p w14:paraId="51CC8163" w14:textId="77777777" w:rsidR="00AD170D" w:rsidRPr="00F7716C" w:rsidRDefault="00AD170D" w:rsidP="00E06571">
      <w:pPr>
        <w:rPr>
          <w:b/>
        </w:rPr>
      </w:pPr>
    </w:p>
    <w:p w14:paraId="2D8C83BD" w14:textId="77777777" w:rsidR="00AD170D" w:rsidRPr="00F7716C" w:rsidRDefault="00B654AC" w:rsidP="00E06571">
      <w:pPr>
        <w:rPr>
          <w:b/>
        </w:rPr>
      </w:pPr>
      <w:r w:rsidRPr="00F7716C">
        <w:rPr>
          <w:b/>
        </w:rPr>
        <w:t>2.1 Study area</w:t>
      </w:r>
    </w:p>
    <w:p w14:paraId="08A285BE" w14:textId="77777777" w:rsidR="00E06571" w:rsidRPr="00F7716C" w:rsidRDefault="00E06571" w:rsidP="00E06571"/>
    <w:p w14:paraId="02A6BC29" w14:textId="55271889" w:rsidR="00AD170D" w:rsidRPr="00F7716C" w:rsidRDefault="00B654AC" w:rsidP="00E06571">
      <w:pPr>
        <w:rPr>
          <w:b/>
        </w:rPr>
      </w:pPr>
      <w:proofErr w:type="spellStart"/>
      <w:r w:rsidRPr="00F7716C">
        <w:t>Jamtoil</w:t>
      </w:r>
      <w:proofErr w:type="spellEnd"/>
      <w:r w:rsidRPr="00F7716C">
        <w:t xml:space="preserve"> village of </w:t>
      </w:r>
      <w:proofErr w:type="spellStart"/>
      <w:r w:rsidRPr="00F7716C">
        <w:t>Kamarkhanda</w:t>
      </w:r>
      <w:proofErr w:type="spellEnd"/>
      <w:r w:rsidRPr="00F7716C">
        <w:t xml:space="preserve"> </w:t>
      </w:r>
      <w:proofErr w:type="spellStart"/>
      <w:r w:rsidRPr="00F7716C">
        <w:t>Upazila</w:t>
      </w:r>
      <w:proofErr w:type="spellEnd"/>
      <w:r w:rsidRPr="00F7716C">
        <w:t xml:space="preserve"> is one of the dense cattle populated villages, located between 24°34' and 24°36' north latitudes and in between 89°64' and 89°68' east longitudes (Figure 1). The diameter of that area is 4.68 sq. kilometer</w:t>
      </w:r>
      <w:r w:rsidR="00E06571" w:rsidRPr="00F7716C">
        <w:t>s</w:t>
      </w:r>
      <w:r w:rsidRPr="00F7716C">
        <w:t>. Repeated anthrax outbreaks in 2010, 2011, 2012, 2014, and 2016 were seen in this village</w:t>
      </w:r>
      <w:r w:rsidR="00E06571" w:rsidRPr="00F7716C">
        <w:t>, and i</w:t>
      </w:r>
      <w:r w:rsidRPr="00F7716C">
        <w:t>t was reported in a different local and national newspaper</w:t>
      </w:r>
      <w:r w:rsidR="00E06571" w:rsidRPr="00F7716C">
        <w:t>s</w:t>
      </w:r>
      <w:r w:rsidRPr="00F7716C">
        <w:t xml:space="preserve">. </w:t>
      </w:r>
    </w:p>
    <w:p w14:paraId="518D23D8" w14:textId="77777777" w:rsidR="00AD170D" w:rsidRPr="00F7716C" w:rsidRDefault="00AD170D" w:rsidP="00E06571">
      <w:pPr>
        <w:rPr>
          <w:b/>
        </w:rPr>
      </w:pPr>
    </w:p>
    <w:p w14:paraId="0D027056" w14:textId="21E61678" w:rsidR="00AD170D" w:rsidRPr="00F7716C" w:rsidRDefault="00B654AC" w:rsidP="00E06571">
      <w:pPr>
        <w:rPr>
          <w:b/>
        </w:rPr>
      </w:pPr>
      <w:r w:rsidRPr="00F7716C">
        <w:rPr>
          <w:b/>
        </w:rPr>
        <w:t xml:space="preserve">2.2 </w:t>
      </w:r>
      <w:r w:rsidR="00C37148" w:rsidRPr="00F7716C">
        <w:rPr>
          <w:b/>
        </w:rPr>
        <w:t>Situation assessment</w:t>
      </w:r>
    </w:p>
    <w:p w14:paraId="7D2102D8" w14:textId="77777777" w:rsidR="00E06571" w:rsidRPr="00F7716C" w:rsidRDefault="00E06571" w:rsidP="00E06571"/>
    <w:p w14:paraId="319C521C" w14:textId="27213E49" w:rsidR="00AD170D" w:rsidRPr="00F7716C" w:rsidRDefault="00B654AC" w:rsidP="00E06571">
      <w:r w:rsidRPr="00F7716C">
        <w:t>A situation assessment was done by using the process of transect walk, key informant interviews, surveys, and focus group discussions in the model area before start</w:t>
      </w:r>
      <w:r w:rsidR="00E06571" w:rsidRPr="00F7716C">
        <w:t>ing</w:t>
      </w:r>
      <w:r w:rsidRPr="00F7716C">
        <w:t xml:space="preserve"> the integrated approaches. The objective of this situation assessment was to know the overall situation like socio</w:t>
      </w:r>
      <w:r w:rsidR="00E06571" w:rsidRPr="00F7716C">
        <w:t>-</w:t>
      </w:r>
      <w:r w:rsidRPr="00F7716C">
        <w:t xml:space="preserve">economic condition, </w:t>
      </w:r>
      <w:r w:rsidR="00E06571" w:rsidRPr="00F7716C">
        <w:t>a</w:t>
      </w:r>
      <w:r w:rsidRPr="00F7716C">
        <w:t>nthrax related knowledge, skill and practice, existing husbandry practice, carcass disposal method, vaccination rate, disease management, existing law regarding livestock, slaughter policy, the role of law enforcing agencies to prevent the slaughter of a sick animal, market inspection, etc</w:t>
      </w:r>
      <w:r w:rsidR="00E06571" w:rsidRPr="00F7716C">
        <w:t>.,</w:t>
      </w:r>
      <w:r w:rsidRPr="00F7716C">
        <w:t xml:space="preserve"> in that particular area. It gave us a guideline </w:t>
      </w:r>
      <w:r w:rsidR="00E06571" w:rsidRPr="00F7716C">
        <w:t>for</w:t>
      </w:r>
      <w:r w:rsidRPr="00F7716C">
        <w:t xml:space="preserve"> our overall work, </w:t>
      </w:r>
      <w:r w:rsidR="00E06571" w:rsidRPr="00F7716C">
        <w:t xml:space="preserve">and </w:t>
      </w:r>
      <w:r w:rsidRPr="00F7716C">
        <w:t xml:space="preserve">helped us to </w:t>
      </w:r>
      <w:r w:rsidRPr="00F7716C">
        <w:lastRenderedPageBreak/>
        <w:t xml:space="preserve">prioritize our activities plan. On the other hand, those values served as baseline values that enabled us to monitor and evaluate our works' overall progress. </w:t>
      </w:r>
    </w:p>
    <w:p w14:paraId="5506BEDB" w14:textId="77777777" w:rsidR="00AD170D" w:rsidRPr="00F7716C" w:rsidRDefault="00AD170D" w:rsidP="00E06571">
      <w:pPr>
        <w:rPr>
          <w:b/>
        </w:rPr>
      </w:pPr>
    </w:p>
    <w:p w14:paraId="7ED4CAB8" w14:textId="77777777" w:rsidR="00AD170D" w:rsidRPr="00F7716C" w:rsidRDefault="00B654AC" w:rsidP="00E06571">
      <w:pPr>
        <w:rPr>
          <w:b/>
        </w:rPr>
      </w:pPr>
      <w:r w:rsidRPr="00F7716C">
        <w:rPr>
          <w:b/>
        </w:rPr>
        <w:t>2.3 Integrated approaches model</w:t>
      </w:r>
    </w:p>
    <w:p w14:paraId="2D0ACF45" w14:textId="77777777" w:rsidR="00E06571" w:rsidRPr="00F7716C" w:rsidRDefault="00E06571" w:rsidP="00E06571"/>
    <w:p w14:paraId="4471FC04" w14:textId="48D8F920" w:rsidR="00AD170D" w:rsidRPr="00F7716C" w:rsidRDefault="00B654AC" w:rsidP="00E06571">
      <w:r w:rsidRPr="00F7716C">
        <w:t>We had seven approaches (Figure 2) which we called integrated approaches. First Vaccination, Second Community Awareness, Third Confirm diagnosis and prompt disposal facilities, Forth Surveillance, Fifth Emergency prevention system, Sixth Implementation of existing law regarding animal slaughter</w:t>
      </w:r>
      <w:r w:rsidR="00E06571" w:rsidRPr="00F7716C">
        <w:t>,</w:t>
      </w:r>
      <w:r w:rsidRPr="00F7716C">
        <w:t xml:space="preserve"> and finally</w:t>
      </w:r>
      <w:r w:rsidR="00E06571" w:rsidRPr="00F7716C">
        <w:t>,</w:t>
      </w:r>
      <w:r w:rsidRPr="00F7716C">
        <w:t xml:space="preserve"> strong collaboration between Animal and Human health departments. </w:t>
      </w:r>
    </w:p>
    <w:p w14:paraId="6F7587B0" w14:textId="77777777" w:rsidR="00AD170D" w:rsidRPr="00F7716C" w:rsidRDefault="00AD170D" w:rsidP="00E06571">
      <w:pPr>
        <w:rPr>
          <w:b/>
        </w:rPr>
      </w:pPr>
    </w:p>
    <w:p w14:paraId="0AE36ED1" w14:textId="77777777" w:rsidR="00AD170D" w:rsidRPr="00F7716C" w:rsidRDefault="00B654AC" w:rsidP="00E06571">
      <w:pPr>
        <w:rPr>
          <w:b/>
        </w:rPr>
      </w:pPr>
      <w:r w:rsidRPr="00F7716C">
        <w:rPr>
          <w:b/>
        </w:rPr>
        <w:t>2.3.1 Approach-1: Cattle Vaccination</w:t>
      </w:r>
    </w:p>
    <w:p w14:paraId="6FFC5605" w14:textId="77777777" w:rsidR="00E06571" w:rsidRPr="00F7716C" w:rsidRDefault="00E06571" w:rsidP="00E06571"/>
    <w:p w14:paraId="521EEF6A" w14:textId="4DA9E51A" w:rsidR="00AD170D" w:rsidRPr="00F7716C" w:rsidRDefault="00B654AC" w:rsidP="00E06571">
      <w:r w:rsidRPr="00F7716C">
        <w:t>All cattle over six months were covered under a mass vaccination program through a door</w:t>
      </w:r>
      <w:r w:rsidR="00E06571" w:rsidRPr="00F7716C">
        <w:t>-to-</w:t>
      </w:r>
      <w:r w:rsidRPr="00F7716C">
        <w:t xml:space="preserve">door visit. Cows more than six months pregnant were not vaccinated. In addition, twice a year, free deworming of cattle </w:t>
      </w:r>
      <w:proofErr w:type="gramStart"/>
      <w:r w:rsidRPr="00F7716C">
        <w:t>w</w:t>
      </w:r>
      <w:r w:rsidR="00E06571" w:rsidRPr="00F7716C">
        <w:t>ere</w:t>
      </w:r>
      <w:proofErr w:type="gramEnd"/>
      <w:r w:rsidRPr="00F7716C">
        <w:t xml:space="preserve"> provided to all the animals in the model area. After each vaccination campaign, a livestock census was performed. </w:t>
      </w:r>
    </w:p>
    <w:p w14:paraId="234F7A37" w14:textId="77777777" w:rsidR="00E06571" w:rsidRPr="00F7716C" w:rsidRDefault="00E06571" w:rsidP="00E06571">
      <w:pPr>
        <w:rPr>
          <w:b/>
        </w:rPr>
      </w:pPr>
    </w:p>
    <w:p w14:paraId="07D384C9" w14:textId="4462F4A0" w:rsidR="00AD170D" w:rsidRPr="00F7716C" w:rsidRDefault="00B654AC" w:rsidP="00E06571">
      <w:pPr>
        <w:rPr>
          <w:b/>
        </w:rPr>
      </w:pPr>
      <w:r w:rsidRPr="00F7716C">
        <w:rPr>
          <w:b/>
        </w:rPr>
        <w:t>2.3.2 Approach-2: Community Awareness</w:t>
      </w:r>
    </w:p>
    <w:p w14:paraId="02C52996" w14:textId="77777777" w:rsidR="00E06571" w:rsidRPr="00F7716C" w:rsidRDefault="00E06571" w:rsidP="00E06571"/>
    <w:p w14:paraId="5899CD3D" w14:textId="5027AE19" w:rsidR="00AD170D" w:rsidRPr="00F7716C" w:rsidRDefault="00B654AC" w:rsidP="00E06571">
      <w:pPr>
        <w:rPr>
          <w:b/>
        </w:rPr>
      </w:pPr>
      <w:r w:rsidRPr="00F7716C">
        <w:t xml:space="preserve">Bangladesh Agricultural University and Livestock department jointly developed vaccination card, disease information card, Billboard, Leaflet, script for proclamation, the module for training, session guide for yard meeting, resourced based area mapping. Build a network with different stakeholders to reach the critical message in the community. </w:t>
      </w:r>
      <w:r w:rsidR="00E06571" w:rsidRPr="00F7716C">
        <w:t>A customized information card of anthrax disease was used for the awareness program</w:t>
      </w:r>
      <w:r w:rsidRPr="00F7716C">
        <w:t xml:space="preserve">. Regular announcing, leaflet, poster and </w:t>
      </w:r>
      <w:r w:rsidR="00E06571" w:rsidRPr="00F7716C">
        <w:t>brochure of illness</w:t>
      </w:r>
      <w:r w:rsidRPr="00F7716C">
        <w:t xml:space="preserve"> distributions, pictorial billboard setup, newspaper report</w:t>
      </w:r>
      <w:r w:rsidR="00E06571" w:rsidRPr="00F7716C">
        <w:t>s</w:t>
      </w:r>
      <w:r w:rsidRPr="00F7716C">
        <w:t xml:space="preserve">, </w:t>
      </w:r>
      <w:r w:rsidR="00E06571" w:rsidRPr="00F7716C">
        <w:t xml:space="preserve">and </w:t>
      </w:r>
      <w:r w:rsidRPr="00F7716C">
        <w:t>key message broadcast using local cable channel</w:t>
      </w:r>
      <w:r w:rsidR="00E06571" w:rsidRPr="00F7716C">
        <w:t>s</w:t>
      </w:r>
      <w:r w:rsidRPr="00F7716C">
        <w:t xml:space="preserve"> were applied as a standard method to raise awareness about anthrax disease. Primary and High school training programs, sensitization workshops, meat market inspections, butcher's training, farmer's training were added to improve knowledge, skill, and practice levels. Speaking out by law enforc</w:t>
      </w:r>
      <w:r w:rsidR="00E06571" w:rsidRPr="00F7716C">
        <w:t>ement</w:t>
      </w:r>
      <w:r w:rsidRPr="00F7716C">
        <w:t xml:space="preserve"> agencies, Imam (religious leader), politically influenced persons strengthened the disease </w:t>
      </w:r>
    </w:p>
    <w:p w14:paraId="6A1DBB8C" w14:textId="77777777" w:rsidR="00E06571" w:rsidRPr="00F7716C" w:rsidRDefault="00E06571" w:rsidP="00E06571">
      <w:pPr>
        <w:rPr>
          <w:b/>
        </w:rPr>
      </w:pPr>
    </w:p>
    <w:p w14:paraId="1F637C2C" w14:textId="6D4423C9" w:rsidR="00AD170D" w:rsidRPr="00F7716C" w:rsidRDefault="00B654AC" w:rsidP="00E06571">
      <w:pPr>
        <w:rPr>
          <w:b/>
        </w:rPr>
      </w:pPr>
      <w:r w:rsidRPr="00F7716C">
        <w:rPr>
          <w:b/>
        </w:rPr>
        <w:t>2.3.3 Approach-3: Confirm diagnosis and Prompt disposal facilities</w:t>
      </w:r>
    </w:p>
    <w:p w14:paraId="1B8D2EBC" w14:textId="77777777" w:rsidR="00E06571" w:rsidRPr="00F7716C" w:rsidRDefault="00E06571" w:rsidP="00E06571"/>
    <w:p w14:paraId="469F63C0" w14:textId="19CA6868" w:rsidR="00AD170D" w:rsidRPr="00F7716C" w:rsidRDefault="00B654AC" w:rsidP="00E06571">
      <w:r w:rsidRPr="00F7716C">
        <w:t>Kit based DNA extraction protocol and a real</w:t>
      </w:r>
      <w:r w:rsidR="00E06571" w:rsidRPr="00F7716C">
        <w:t>-</w:t>
      </w:r>
      <w:r w:rsidRPr="00F7716C">
        <w:t>time PCR based qualitative detection method w</w:t>
      </w:r>
      <w:r w:rsidR="00E06571" w:rsidRPr="00F7716C">
        <w:t>ere</w:t>
      </w:r>
      <w:r w:rsidRPr="00F7716C">
        <w:t xml:space="preserve"> used. Using TaqMan real‐time PCR, specific primers and probes were used </w:t>
      </w:r>
      <w:r w:rsidR="00E06571" w:rsidRPr="00F7716C">
        <w:t>to identify</w:t>
      </w:r>
      <w:r w:rsidRPr="00F7716C">
        <w:t xml:space="preserve"> pathogenic </w:t>
      </w:r>
      <w:r w:rsidRPr="00F7716C">
        <w:rPr>
          <w:i/>
        </w:rPr>
        <w:t>B. anthracis</w:t>
      </w:r>
      <w:r w:rsidRPr="00F7716C">
        <w:t xml:space="preserve"> strains from S</w:t>
      </w:r>
      <w:r w:rsidRPr="00F7716C">
        <w:rPr>
          <w:i/>
        </w:rPr>
        <w:t>ap</w:t>
      </w:r>
      <w:r w:rsidRPr="00F7716C">
        <w:t xml:space="preserve"> gene on S-layer locus, </w:t>
      </w:r>
      <w:r w:rsidRPr="00F7716C">
        <w:rPr>
          <w:i/>
        </w:rPr>
        <w:t>Pag</w:t>
      </w:r>
      <w:r w:rsidRPr="00F7716C">
        <w:t xml:space="preserve"> gene</w:t>
      </w:r>
      <w:r w:rsidR="00E06571" w:rsidRPr="00F7716C">
        <w:t>,</w:t>
      </w:r>
      <w:r w:rsidRPr="00F7716C">
        <w:t xml:space="preserve"> and </w:t>
      </w:r>
      <w:r w:rsidRPr="00F7716C">
        <w:rPr>
          <w:i/>
        </w:rPr>
        <w:t>Cap</w:t>
      </w:r>
      <w:r w:rsidRPr="00F7716C">
        <w:t xml:space="preserve"> gene on two plasmids pXO1</w:t>
      </w:r>
      <w:r w:rsidR="00E06571" w:rsidRPr="00F7716C">
        <w:t>,</w:t>
      </w:r>
      <w:r w:rsidRPr="00F7716C">
        <w:t xml:space="preserve"> and pXO2. </w:t>
      </w:r>
    </w:p>
    <w:p w14:paraId="051414B5" w14:textId="77777777" w:rsidR="00C37148" w:rsidRPr="00F7716C" w:rsidRDefault="00C37148" w:rsidP="00E06571"/>
    <w:p w14:paraId="6BC28654" w14:textId="77777777" w:rsidR="00AD170D" w:rsidRPr="00F7716C" w:rsidRDefault="00B654AC" w:rsidP="00E06571">
      <w:pPr>
        <w:rPr>
          <w:b/>
        </w:rPr>
      </w:pPr>
      <w:r w:rsidRPr="00F7716C">
        <w:rPr>
          <w:b/>
        </w:rPr>
        <w:t>2.3.4 Approach-4: Surveillance</w:t>
      </w:r>
    </w:p>
    <w:p w14:paraId="096117AD" w14:textId="77777777" w:rsidR="00E06571" w:rsidRPr="00F7716C" w:rsidRDefault="00E06571" w:rsidP="00E06571"/>
    <w:p w14:paraId="20A82C98" w14:textId="40E223E0" w:rsidR="00AD170D" w:rsidRPr="00F7716C" w:rsidRDefault="00B654AC" w:rsidP="00E06571">
      <w:r w:rsidRPr="00F7716C">
        <w:t xml:space="preserve">Both active and passive </w:t>
      </w:r>
      <w:r w:rsidR="00E06571" w:rsidRPr="00F7716C">
        <w:t>s</w:t>
      </w:r>
      <w:r w:rsidRPr="00F7716C">
        <w:t xml:space="preserve">urveillance was done. Regular commutation with the officer of </w:t>
      </w:r>
      <w:proofErr w:type="spellStart"/>
      <w:r w:rsidRPr="00F7716C">
        <w:t>Upazila</w:t>
      </w:r>
      <w:proofErr w:type="spellEnd"/>
      <w:r w:rsidRPr="00F7716C">
        <w:t xml:space="preserve"> Livestock and Health Departments, </w:t>
      </w:r>
      <w:proofErr w:type="spellStart"/>
      <w:r w:rsidRPr="00F7716C">
        <w:t>Paravet</w:t>
      </w:r>
      <w:proofErr w:type="spellEnd"/>
      <w:r w:rsidRPr="00F7716C">
        <w:t>/ community vaccinators, meat sellers, community volunteers, village chowkidars, ward members, regular and need-based field visit</w:t>
      </w:r>
      <w:r w:rsidR="00E06571" w:rsidRPr="00F7716C">
        <w:t>s</w:t>
      </w:r>
      <w:r w:rsidRPr="00F7716C">
        <w:t xml:space="preserve"> as a part of active Surveillance and Secondary data collection from </w:t>
      </w:r>
      <w:proofErr w:type="spellStart"/>
      <w:r w:rsidRPr="00F7716C">
        <w:t>Upazila</w:t>
      </w:r>
      <w:proofErr w:type="spellEnd"/>
      <w:r w:rsidRPr="00F7716C">
        <w:t xml:space="preserve"> livestock department and </w:t>
      </w:r>
      <w:proofErr w:type="spellStart"/>
      <w:r w:rsidRPr="00F7716C">
        <w:t>Upazila</w:t>
      </w:r>
      <w:proofErr w:type="spellEnd"/>
      <w:r w:rsidRPr="00F7716C">
        <w:t xml:space="preserve"> Health complex patient register book was our part of passive </w:t>
      </w:r>
      <w:r w:rsidR="00E06571" w:rsidRPr="00F7716C">
        <w:t>s</w:t>
      </w:r>
      <w:r w:rsidRPr="00F7716C">
        <w:t xml:space="preserve">urveillance. If any sudden death or suspected case find, it is informed to the research unit immediately by community providers like a para vet, meat seller, volunteer through mobile phone communication; after that research unit has taken </w:t>
      </w:r>
      <w:r w:rsidRPr="00F7716C">
        <w:lastRenderedPageBreak/>
        <w:t xml:space="preserve">necessary measures like sample collection, </w:t>
      </w:r>
      <w:r w:rsidR="00E06571" w:rsidRPr="00F7716C">
        <w:t xml:space="preserve">and </w:t>
      </w:r>
      <w:r w:rsidRPr="00F7716C">
        <w:t xml:space="preserve">contact with DLS, </w:t>
      </w:r>
      <w:proofErr w:type="spellStart"/>
      <w:r w:rsidRPr="00F7716C">
        <w:t>Upazila</w:t>
      </w:r>
      <w:proofErr w:type="spellEnd"/>
      <w:r w:rsidRPr="00F7716C">
        <w:t xml:space="preserve"> administration, </w:t>
      </w:r>
      <w:proofErr w:type="spellStart"/>
      <w:r w:rsidRPr="00F7716C">
        <w:t>etc</w:t>
      </w:r>
      <w:proofErr w:type="spellEnd"/>
      <w:r w:rsidR="004E2D2C" w:rsidRPr="00F7716C">
        <w:t xml:space="preserve"> (Figure 3)</w:t>
      </w:r>
      <w:r w:rsidRPr="00F7716C">
        <w:t xml:space="preserve">. </w:t>
      </w:r>
    </w:p>
    <w:p w14:paraId="6D6A0278" w14:textId="77777777" w:rsidR="00C37148" w:rsidRPr="00F7716C" w:rsidRDefault="00C37148" w:rsidP="00E06571">
      <w:pPr>
        <w:rPr>
          <w:b/>
        </w:rPr>
      </w:pPr>
    </w:p>
    <w:p w14:paraId="6EC3823B" w14:textId="5730278C" w:rsidR="00AD170D" w:rsidRPr="00F7716C" w:rsidRDefault="00B654AC" w:rsidP="00E06571">
      <w:pPr>
        <w:rPr>
          <w:b/>
        </w:rPr>
      </w:pPr>
      <w:r w:rsidRPr="00F7716C">
        <w:rPr>
          <w:b/>
        </w:rPr>
        <w:t>2.3.5 Approach-5: Emergency Prevention system</w:t>
      </w:r>
    </w:p>
    <w:p w14:paraId="5D68086B" w14:textId="77777777" w:rsidR="00AD170D" w:rsidRPr="00F7716C" w:rsidRDefault="00AD170D" w:rsidP="00E06571">
      <w:pPr>
        <w:rPr>
          <w:b/>
        </w:rPr>
      </w:pPr>
    </w:p>
    <w:p w14:paraId="7B17DBCA" w14:textId="3576E036" w:rsidR="00AD170D" w:rsidRPr="00F7716C" w:rsidRDefault="00B654AC" w:rsidP="00E06571">
      <w:r w:rsidRPr="00F7716C">
        <w:t>Anthrax is a notifiable disease that means that if the disease occurs in an area, the authorities will inform the government. For Bangladesh</w:t>
      </w:r>
      <w:r w:rsidR="00E06571" w:rsidRPr="00F7716C">
        <w:t>,</w:t>
      </w:r>
      <w:r w:rsidRPr="00F7716C">
        <w:t xml:space="preserve"> anthrax is a B-class disease according to the Animal disease act 2008. The research team made appropriate preparations to </w:t>
      </w:r>
      <w:r w:rsidR="00E06571" w:rsidRPr="00F7716C">
        <w:t>promptly ensure the detection work, such as collection and transportation of samples, preparation of used equipment, proper equipment for detecting</w:t>
      </w:r>
      <w:r w:rsidRPr="00F7716C">
        <w:t xml:space="preserve"> the disease in the laboratory, and adequate storage for reagents. A deep burial method was recommended to dispose of Anthrax Carcasses and Contaminated Materials. Evaluate each animal before disposal and ensure that all body openings are plugged with an absorbent material (e.g., non-perforated paper towel, cloths, etc.) before a carcass </w:t>
      </w:r>
      <w:r w:rsidR="00E06571" w:rsidRPr="00F7716C">
        <w:t>i</w:t>
      </w:r>
      <w:r w:rsidRPr="00F7716C">
        <w:t>s moved. 10% formalin was recommended for disinfection of the contaminated area.</w:t>
      </w:r>
    </w:p>
    <w:p w14:paraId="728B5E05" w14:textId="77777777" w:rsidR="00E06571" w:rsidRPr="00F7716C" w:rsidRDefault="00E06571" w:rsidP="00E06571">
      <w:pPr>
        <w:ind w:right="-29"/>
        <w:rPr>
          <w:b/>
        </w:rPr>
      </w:pPr>
    </w:p>
    <w:p w14:paraId="5D57DC4D" w14:textId="2BB24EF2" w:rsidR="00AD170D" w:rsidRPr="00F7716C" w:rsidRDefault="00B654AC" w:rsidP="00E06571">
      <w:pPr>
        <w:ind w:right="-29"/>
        <w:rPr>
          <w:b/>
        </w:rPr>
      </w:pPr>
      <w:r w:rsidRPr="00F7716C">
        <w:rPr>
          <w:b/>
        </w:rPr>
        <w:t>2.3.6 Approach-6: Implementation of existing law regarding animal slaughter</w:t>
      </w:r>
    </w:p>
    <w:p w14:paraId="2EF516B1" w14:textId="77777777" w:rsidR="00E06571" w:rsidRPr="00F7716C" w:rsidRDefault="00E06571" w:rsidP="00E06571"/>
    <w:p w14:paraId="0EAB62FF" w14:textId="393B5C4E" w:rsidR="00AD170D" w:rsidRPr="00F7716C" w:rsidRDefault="00B654AC" w:rsidP="00E06571">
      <w:r w:rsidRPr="00F7716C">
        <w:t>The following legislation governed the livestock sub-sector in Bangladesh: Animal welfare act, 2019</w:t>
      </w:r>
      <w:r w:rsidR="00E06571" w:rsidRPr="00F7716C">
        <w:t>;</w:t>
      </w:r>
      <w:r w:rsidRPr="00F7716C">
        <w:t xml:space="preserve"> Bangladesh Zoo Act, 2009 (Draft)</w:t>
      </w:r>
      <w:r w:rsidR="00E06571" w:rsidRPr="00F7716C">
        <w:t>;</w:t>
      </w:r>
      <w:r w:rsidRPr="00F7716C">
        <w:t xml:space="preserve"> Animals Slaughter and Meat Control Act, 2011; Fish Feed and Animal Feed Act, 2010; National Livestock extension policy, 2012 (http://www.dls.gov.bd/livestockdevpolicy.php). These existing laws and regulations were informed and implemented through mass community awareness and enforcement by public administration and law enforc</w:t>
      </w:r>
      <w:r w:rsidR="00E06571" w:rsidRPr="00F7716C">
        <w:t>ement</w:t>
      </w:r>
      <w:r w:rsidRPr="00F7716C">
        <w:t xml:space="preserve"> agencies.</w:t>
      </w:r>
    </w:p>
    <w:p w14:paraId="65B7F67A" w14:textId="77777777" w:rsidR="00E06571" w:rsidRPr="00F7716C" w:rsidRDefault="00E06571" w:rsidP="00E06571">
      <w:pPr>
        <w:rPr>
          <w:b/>
        </w:rPr>
      </w:pPr>
    </w:p>
    <w:p w14:paraId="60018F20" w14:textId="2659FFD3" w:rsidR="00AD170D" w:rsidRPr="00F7716C" w:rsidRDefault="00B654AC" w:rsidP="00E06571">
      <w:r w:rsidRPr="00F7716C">
        <w:rPr>
          <w:b/>
        </w:rPr>
        <w:t>2.3.7 Approach-7: Strong Collaboration between human and animal health department</w:t>
      </w:r>
    </w:p>
    <w:p w14:paraId="261F4E27" w14:textId="77777777" w:rsidR="00E06571" w:rsidRPr="00F7716C" w:rsidRDefault="00E06571" w:rsidP="00E06571"/>
    <w:p w14:paraId="36DCAB32" w14:textId="13B0497E" w:rsidR="00AD170D" w:rsidRPr="00F7716C" w:rsidRDefault="00B654AC" w:rsidP="00E06571">
      <w:r w:rsidRPr="00F7716C">
        <w:t>The introduction of 'One Health' takes a holistic approach to address</w:t>
      </w:r>
      <w:r w:rsidR="00E06571" w:rsidRPr="00F7716C">
        <w:t>ing</w:t>
      </w:r>
      <w:r w:rsidRPr="00F7716C">
        <w:t xml:space="preserve"> human, animal, and ecosystem health to mitigate and counter anthrax disease. The process calls for strong multi</w:t>
      </w:r>
      <w:r w:rsidR="00E06571" w:rsidRPr="00F7716C">
        <w:t>-</w:t>
      </w:r>
      <w:r w:rsidRPr="00F7716C">
        <w:t xml:space="preserve">sectoral and multidisciplinary collaboration, which moves beyond the strengthening of veterinary-public health systems to more clearly encompass disease control. </w:t>
      </w:r>
    </w:p>
    <w:p w14:paraId="187C61AA" w14:textId="77777777" w:rsidR="00E06571" w:rsidRPr="00F7716C" w:rsidRDefault="00E06571" w:rsidP="00E06571">
      <w:pPr>
        <w:rPr>
          <w:b/>
        </w:rPr>
      </w:pPr>
    </w:p>
    <w:p w14:paraId="4AA07E92" w14:textId="4FF72C45" w:rsidR="00AD170D" w:rsidRPr="00F7716C" w:rsidRDefault="00B654AC" w:rsidP="00E06571">
      <w:pPr>
        <w:rPr>
          <w:b/>
        </w:rPr>
      </w:pPr>
      <w:r w:rsidRPr="00F7716C">
        <w:rPr>
          <w:b/>
        </w:rPr>
        <w:t xml:space="preserve">2.4 Indicator for </w:t>
      </w:r>
      <w:r w:rsidR="00E06571" w:rsidRPr="00F7716C">
        <w:rPr>
          <w:b/>
        </w:rPr>
        <w:t xml:space="preserve">the </w:t>
      </w:r>
      <w:r w:rsidRPr="00F7716C">
        <w:rPr>
          <w:b/>
        </w:rPr>
        <w:t>presence of anthrax and targets set up</w:t>
      </w:r>
    </w:p>
    <w:p w14:paraId="73B12371" w14:textId="77777777" w:rsidR="00E06571" w:rsidRPr="00F7716C" w:rsidRDefault="00E06571" w:rsidP="00E06571">
      <w:bookmarkStart w:id="2" w:name="_heading=h.30j0zll" w:colFirst="0" w:colLast="0"/>
      <w:bookmarkEnd w:id="2"/>
    </w:p>
    <w:p w14:paraId="0A2485FA" w14:textId="2FD506D8" w:rsidR="00AD170D" w:rsidRPr="00F7716C" w:rsidRDefault="00B654AC" w:rsidP="00E06571">
      <w:r w:rsidRPr="00F7716C">
        <w:t xml:space="preserve">Identification and reporting are more sensitive for human cases than for animal causes. Therefore, human case reports were our indicator for the presence of anthrax disease in our </w:t>
      </w:r>
      <w:proofErr w:type="gramStart"/>
      <w:r w:rsidRPr="00F7716C">
        <w:t>Model</w:t>
      </w:r>
      <w:proofErr w:type="gramEnd"/>
      <w:r w:rsidRPr="00F7716C">
        <w:t xml:space="preserve"> area. Some targets were identified to evaluate the progress of the research work, such as bringing at least 80% of the cattle population (more than R0 value) under the vaccination coverage, raising awareness of 90% of the p</w:t>
      </w:r>
      <w:r w:rsidR="00E06571" w:rsidRPr="00F7716C">
        <w:t>eople</w:t>
      </w:r>
      <w:r w:rsidRPr="00F7716C">
        <w:t>, positively changing the knowledge, skills, and attitudes of at least 75% of the farmers, collecting samples within 12 hours</w:t>
      </w:r>
      <w:r w:rsidR="00E06571" w:rsidRPr="00F7716C">
        <w:t>. T</w:t>
      </w:r>
      <w:r w:rsidRPr="00F7716C">
        <w:t>he report was submitted within 24 hours, 100% of the dead animals were burial of in a scientific way, 100% of the health examination certificate was confirmed before slaughter.</w:t>
      </w:r>
    </w:p>
    <w:p w14:paraId="5C54044D" w14:textId="4415E807" w:rsidR="00E06571" w:rsidRPr="00F7716C" w:rsidRDefault="00E06571" w:rsidP="00E06571">
      <w:pPr>
        <w:rPr>
          <w:b/>
        </w:rPr>
      </w:pPr>
    </w:p>
    <w:p w14:paraId="17733846" w14:textId="20163FBE" w:rsidR="00C37148" w:rsidRPr="00F7716C" w:rsidRDefault="00C37148" w:rsidP="00E06571">
      <w:pPr>
        <w:rPr>
          <w:b/>
        </w:rPr>
      </w:pPr>
    </w:p>
    <w:p w14:paraId="10982E13" w14:textId="237AB2FE" w:rsidR="00C37148" w:rsidRPr="00F7716C" w:rsidRDefault="00C37148" w:rsidP="00E06571">
      <w:pPr>
        <w:rPr>
          <w:b/>
        </w:rPr>
      </w:pPr>
    </w:p>
    <w:p w14:paraId="35316F79" w14:textId="77777777" w:rsidR="00C37148" w:rsidRPr="00F7716C" w:rsidRDefault="00C37148" w:rsidP="00E06571">
      <w:pPr>
        <w:rPr>
          <w:b/>
        </w:rPr>
      </w:pPr>
    </w:p>
    <w:p w14:paraId="3634809E" w14:textId="0D499E8B" w:rsidR="00AD170D" w:rsidRPr="00F7716C" w:rsidRDefault="00B654AC" w:rsidP="00E06571">
      <w:r w:rsidRPr="00F7716C">
        <w:rPr>
          <w:b/>
        </w:rPr>
        <w:lastRenderedPageBreak/>
        <w:t>2.5 Monitoring and Evaluation Committee</w:t>
      </w:r>
    </w:p>
    <w:p w14:paraId="7F33FDA7" w14:textId="77777777" w:rsidR="00E06571" w:rsidRPr="00F7716C" w:rsidRDefault="00E06571" w:rsidP="00E06571"/>
    <w:p w14:paraId="1736FB1A" w14:textId="770FE562" w:rsidR="00AD170D" w:rsidRPr="00F7716C" w:rsidRDefault="00B654AC" w:rsidP="00E06571">
      <w:r w:rsidRPr="00F7716C">
        <w:t xml:space="preserve">A monitoring and evaluation committee was formed locally, which evaluated the progress of research outcomes every six months. This committee was formed on the advice of renowned experts from the Department of Microbiology and Hygiene and </w:t>
      </w:r>
      <w:r w:rsidR="00E06571" w:rsidRPr="00F7716C">
        <w:t xml:space="preserve">the </w:t>
      </w:r>
      <w:r w:rsidRPr="00F7716C">
        <w:t>Department of Agricultural Extension, Bangladesh Agricultural University. The committee details are given in Table 1. The research team provided the committee with the logistical support that needed to meet regularly and checked the progress of each intervention that was fixed in the model area every six months. The indicator scores were determined considering the overall improvement of the works.</w:t>
      </w:r>
    </w:p>
    <w:p w14:paraId="45807D2E" w14:textId="77777777" w:rsidR="00E06571" w:rsidRPr="00F7716C" w:rsidRDefault="00E06571" w:rsidP="00E06571">
      <w:pPr>
        <w:rPr>
          <w:b/>
        </w:rPr>
      </w:pPr>
      <w:bookmarkStart w:id="3" w:name="_heading=h.1fob9te" w:colFirst="0" w:colLast="0"/>
      <w:bookmarkEnd w:id="3"/>
    </w:p>
    <w:p w14:paraId="334BD5C9" w14:textId="1E79E630" w:rsidR="00AD170D" w:rsidRPr="00F7716C" w:rsidRDefault="00B654AC" w:rsidP="00E06571">
      <w:pPr>
        <w:rPr>
          <w:b/>
        </w:rPr>
      </w:pPr>
      <w:r w:rsidRPr="00F7716C">
        <w:rPr>
          <w:b/>
        </w:rPr>
        <w:t xml:space="preserve">2.6 </w:t>
      </w:r>
      <w:proofErr w:type="gramStart"/>
      <w:r w:rsidRPr="00F7716C">
        <w:rPr>
          <w:b/>
        </w:rPr>
        <w:t>Score</w:t>
      </w:r>
      <w:proofErr w:type="gramEnd"/>
      <w:r w:rsidRPr="00F7716C">
        <w:rPr>
          <w:b/>
        </w:rPr>
        <w:t xml:space="preserve"> of interventions for evaluating overall progressive (Monitoring tools):</w:t>
      </w:r>
    </w:p>
    <w:p w14:paraId="32737979" w14:textId="77777777" w:rsidR="00E06571" w:rsidRPr="00F7716C" w:rsidRDefault="00E06571" w:rsidP="00E06571"/>
    <w:p w14:paraId="7F55427A" w14:textId="154E3299" w:rsidR="00AD170D" w:rsidRPr="00F7716C" w:rsidRDefault="00B654AC" w:rsidP="00E06571">
      <w:r w:rsidRPr="00F7716C">
        <w:t xml:space="preserve">Since it was a combination of social and lab work, social work is not straightforward. We set up some monitoring tools that regularly helped evaluate the research progress. Some of the monitoring tools used to monitor the progress of anthrax research in the area were based on data from the situation assessment of the site and following international guidelines. Each instrument was again given a score based on its significance (Figure </w:t>
      </w:r>
      <w:r w:rsidR="004E2D2C" w:rsidRPr="00F7716C">
        <w:t>4</w:t>
      </w:r>
      <w:r w:rsidRPr="00F7716C">
        <w:t xml:space="preserve">). Initially, the research tools and how long their scores would be evaluated and when they would be evaluated were also determined early in the research work. A score was given based on the discussion and consensus of all of them based on whether each indicator exists in the area or not, if it existed, whether it is very efficient, not efficient, less efficient, or not at all. This assessment was done regularly by the local committee—that committee chaired by </w:t>
      </w:r>
      <w:proofErr w:type="spellStart"/>
      <w:r w:rsidRPr="00F7716C">
        <w:t>Upazila</w:t>
      </w:r>
      <w:proofErr w:type="spellEnd"/>
      <w:r w:rsidRPr="00F7716C">
        <w:t xml:space="preserve"> Livestock Officer. </w:t>
      </w:r>
    </w:p>
    <w:p w14:paraId="70D5DAD9" w14:textId="77777777" w:rsidR="00E06571" w:rsidRPr="00F7716C" w:rsidRDefault="00E06571" w:rsidP="00E06571">
      <w:pPr>
        <w:rPr>
          <w:b/>
        </w:rPr>
      </w:pPr>
    </w:p>
    <w:p w14:paraId="7E3087F5" w14:textId="55BA8D91" w:rsidR="00AD170D" w:rsidRPr="00F7716C" w:rsidRDefault="00B654AC" w:rsidP="00E06571">
      <w:pPr>
        <w:rPr>
          <w:b/>
        </w:rPr>
      </w:pPr>
      <w:r w:rsidRPr="00F7716C">
        <w:rPr>
          <w:b/>
        </w:rPr>
        <w:t xml:space="preserve">Major activities </w:t>
      </w:r>
      <w:r w:rsidR="00E06571" w:rsidRPr="00F7716C">
        <w:rPr>
          <w:b/>
        </w:rPr>
        <w:t xml:space="preserve">are </w:t>
      </w:r>
      <w:r w:rsidRPr="00F7716C">
        <w:rPr>
          <w:b/>
        </w:rPr>
        <w:t>done during the study period</w:t>
      </w:r>
    </w:p>
    <w:p w14:paraId="0ED28C06" w14:textId="77777777" w:rsidR="00E06571" w:rsidRPr="00F7716C" w:rsidRDefault="00E06571" w:rsidP="00E06571"/>
    <w:p w14:paraId="26DCCB46" w14:textId="3A2F5DB9" w:rsidR="00AD170D" w:rsidRPr="00F7716C" w:rsidRDefault="00B654AC" w:rsidP="00E06571">
      <w:r w:rsidRPr="00F7716C">
        <w:t xml:space="preserve">During the study, several activities were carried out, which </w:t>
      </w:r>
      <w:r w:rsidR="00E06571" w:rsidRPr="00F7716C">
        <w:t xml:space="preserve">were </w:t>
      </w:r>
      <w:r w:rsidRPr="00F7716C">
        <w:t>covered under a single approach and covered multiple methods. Some of these were done once and some more than once. To be easily understood, lists of the works done during the study period are presented in Table 2.</w:t>
      </w:r>
    </w:p>
    <w:p w14:paraId="55908F9C" w14:textId="77777777" w:rsidR="00E06571" w:rsidRPr="00F7716C" w:rsidRDefault="00E06571" w:rsidP="00E06571">
      <w:pPr>
        <w:rPr>
          <w:b/>
        </w:rPr>
      </w:pPr>
    </w:p>
    <w:p w14:paraId="7F6F0D46" w14:textId="7D6CE4C0" w:rsidR="00AD170D" w:rsidRPr="00F7716C" w:rsidRDefault="00B654AC" w:rsidP="00E06571">
      <w:pPr>
        <w:rPr>
          <w:b/>
        </w:rPr>
      </w:pPr>
      <w:r w:rsidRPr="00F7716C">
        <w:rPr>
          <w:b/>
        </w:rPr>
        <w:t>Data management and statistical analysis</w:t>
      </w:r>
    </w:p>
    <w:p w14:paraId="7ED5D454" w14:textId="77777777" w:rsidR="00E06571" w:rsidRPr="00F7716C" w:rsidRDefault="00E06571" w:rsidP="00E06571"/>
    <w:p w14:paraId="625D3641" w14:textId="4F515542" w:rsidR="00AD170D" w:rsidRPr="00F7716C" w:rsidRDefault="00B654AC" w:rsidP="00E06571">
      <w:r w:rsidRPr="00F7716C">
        <w:t>Data were summarized in Microsoft Excel 7 (Microsoft Corporation, Redmond, WA, USA) spreadsheet and statistically analyzed using Epi-Info 3.5.3 (CDC, Atlanta, USA). Descriptive analysis was performed, and results were expressed in frequencies and proportions. Categorical response variables like ELISA value, FGD findings, etc., were presented as proportions and their associations determined by chi-square tests. One-way analysis of variance (ANOVA) was used to compare baseline and evaluation survey data.</w:t>
      </w:r>
    </w:p>
    <w:p w14:paraId="2CF75752" w14:textId="77777777" w:rsidR="00AD170D" w:rsidRPr="00F7716C" w:rsidRDefault="00AD170D" w:rsidP="00E06571">
      <w:pPr>
        <w:rPr>
          <w:b/>
        </w:rPr>
      </w:pPr>
    </w:p>
    <w:p w14:paraId="27DDBA5C" w14:textId="77777777" w:rsidR="00AD170D" w:rsidRPr="00F7716C" w:rsidRDefault="00B654AC" w:rsidP="00E06571">
      <w:pPr>
        <w:numPr>
          <w:ilvl w:val="0"/>
          <w:numId w:val="1"/>
        </w:numPr>
        <w:pBdr>
          <w:top w:val="nil"/>
          <w:left w:val="nil"/>
          <w:bottom w:val="nil"/>
          <w:right w:val="nil"/>
          <w:between w:val="nil"/>
        </w:pBdr>
        <w:ind w:left="360"/>
        <w:rPr>
          <w:rFonts w:eastAsia="Calibri"/>
          <w:b/>
        </w:rPr>
      </w:pPr>
      <w:r w:rsidRPr="00F7716C">
        <w:rPr>
          <w:rFonts w:eastAsia="Calibri"/>
          <w:b/>
        </w:rPr>
        <w:t>RESULTS</w:t>
      </w:r>
      <w:r w:rsidRPr="00F7716C">
        <w:rPr>
          <w:rFonts w:eastAsia="Calibri"/>
        </w:rPr>
        <w:t xml:space="preserve"> </w:t>
      </w:r>
    </w:p>
    <w:p w14:paraId="75465009" w14:textId="77777777" w:rsidR="00E06571" w:rsidRPr="00F7716C" w:rsidRDefault="00E06571" w:rsidP="00E06571">
      <w:pPr>
        <w:rPr>
          <w:b/>
        </w:rPr>
      </w:pPr>
    </w:p>
    <w:p w14:paraId="00431F89" w14:textId="5E1E2B2A" w:rsidR="00AD170D" w:rsidRPr="00F7716C" w:rsidRDefault="00B654AC" w:rsidP="00E06571">
      <w:pPr>
        <w:rPr>
          <w:b/>
        </w:rPr>
      </w:pPr>
      <w:r w:rsidRPr="00F7716C">
        <w:rPr>
          <w:b/>
        </w:rPr>
        <w:t xml:space="preserve">3.1 Major finding after situation assessment of </w:t>
      </w:r>
      <w:r w:rsidR="00E06571" w:rsidRPr="00F7716C">
        <w:rPr>
          <w:b/>
        </w:rPr>
        <w:t xml:space="preserve">the </w:t>
      </w:r>
      <w:r w:rsidRPr="00F7716C">
        <w:rPr>
          <w:b/>
        </w:rPr>
        <w:t>model area</w:t>
      </w:r>
    </w:p>
    <w:p w14:paraId="7131A8D4" w14:textId="77777777" w:rsidR="00E06571" w:rsidRPr="00F7716C" w:rsidRDefault="00E06571" w:rsidP="00E06571"/>
    <w:p w14:paraId="2A1D8285" w14:textId="41DF1645" w:rsidR="00AD170D" w:rsidRPr="00F7716C" w:rsidRDefault="00B654AC" w:rsidP="00E06571">
      <w:r w:rsidRPr="00F7716C">
        <w:t xml:space="preserve">Main sources of income Agriculture 47.06%, non-agricultural </w:t>
      </w:r>
      <w:proofErr w:type="spellStart"/>
      <w:r w:rsidRPr="00F7716C">
        <w:t>labourer</w:t>
      </w:r>
      <w:proofErr w:type="spellEnd"/>
      <w:r w:rsidRPr="00F7716C">
        <w:t xml:space="preserve"> 4%, industry 1.14%, commerce 16.57%, transport and communication 3.87%, service 8.70%, construction 0.87%, religious service 0.27%, rent and remittance 0.26% and others 17.26%. About 90% of the people </w:t>
      </w:r>
      <w:r w:rsidR="00E06571" w:rsidRPr="00F7716C">
        <w:t>in</w:t>
      </w:r>
      <w:r w:rsidRPr="00F7716C">
        <w:t xml:space="preserve"> this model area are involved in cattle rearing. The </w:t>
      </w:r>
      <w:r w:rsidRPr="00F7716C">
        <w:lastRenderedPageBreak/>
        <w:t xml:space="preserve">landowner's ownership of agricultural land is 57.74%, landless </w:t>
      </w:r>
      <w:r w:rsidR="00E06571" w:rsidRPr="00F7716C">
        <w:t xml:space="preserve">is </w:t>
      </w:r>
      <w:r w:rsidRPr="00F7716C">
        <w:t>42.26%</w:t>
      </w:r>
      <w:r w:rsidR="00E06571" w:rsidRPr="00F7716C">
        <w:t>,</w:t>
      </w:r>
      <w:r w:rsidRPr="00F7716C">
        <w:t xml:space="preserve"> agricultural landowner: urban 39.18%</w:t>
      </w:r>
      <w:r w:rsidR="00E06571" w:rsidRPr="00F7716C">
        <w:t>,</w:t>
      </w:r>
      <w:r w:rsidRPr="00F7716C">
        <w:t xml:space="preserve"> and rural </w:t>
      </w:r>
      <w:r w:rsidR="00E06571" w:rsidRPr="00F7716C">
        <w:t xml:space="preserve">is </w:t>
      </w:r>
      <w:r w:rsidRPr="00F7716C">
        <w:t xml:space="preserve">59.17%. Hat and Bazar are 2, most noted are </w:t>
      </w:r>
      <w:proofErr w:type="spellStart"/>
      <w:r w:rsidRPr="00F7716C">
        <w:t>Jamtoil</w:t>
      </w:r>
      <w:proofErr w:type="spellEnd"/>
      <w:r w:rsidRPr="00F7716C">
        <w:t xml:space="preserve"> Bazar and </w:t>
      </w:r>
      <w:proofErr w:type="spellStart"/>
      <w:r w:rsidRPr="00F7716C">
        <w:t>Kamarkhanda</w:t>
      </w:r>
      <w:proofErr w:type="spellEnd"/>
      <w:r w:rsidRPr="00F7716C">
        <w:t xml:space="preserve"> Hat. Average literacy 42.59%; male 47.42%, female 37.49%. All valuable information found after situation assessments are shown in Table 3.</w:t>
      </w:r>
    </w:p>
    <w:p w14:paraId="4924E130" w14:textId="77777777" w:rsidR="00AD170D" w:rsidRPr="00F7716C" w:rsidRDefault="00AD170D" w:rsidP="00E06571">
      <w:pPr>
        <w:rPr>
          <w:b/>
        </w:rPr>
      </w:pPr>
    </w:p>
    <w:p w14:paraId="26DFD17F" w14:textId="77777777" w:rsidR="00AD170D" w:rsidRPr="00F7716C" w:rsidRDefault="00B654AC" w:rsidP="00E06571">
      <w:pPr>
        <w:rPr>
          <w:b/>
        </w:rPr>
      </w:pPr>
      <w:r w:rsidRPr="00F7716C">
        <w:rPr>
          <w:b/>
        </w:rPr>
        <w:t>3.2 Integrated approaches for anthrax free model area development</w:t>
      </w:r>
    </w:p>
    <w:p w14:paraId="05A7DEFE" w14:textId="77777777" w:rsidR="00E06571" w:rsidRPr="00F7716C" w:rsidRDefault="00E06571" w:rsidP="00E06571">
      <w:pPr>
        <w:rPr>
          <w:b/>
        </w:rPr>
      </w:pPr>
    </w:p>
    <w:p w14:paraId="7374AD8E" w14:textId="00D850FE" w:rsidR="00AD170D" w:rsidRPr="00F7716C" w:rsidRDefault="00B654AC" w:rsidP="00E06571">
      <w:pPr>
        <w:rPr>
          <w:b/>
        </w:rPr>
      </w:pPr>
      <w:r w:rsidRPr="00F7716C">
        <w:rPr>
          <w:b/>
        </w:rPr>
        <w:t>3.2.1 Approach-1: Vaccination</w:t>
      </w:r>
    </w:p>
    <w:p w14:paraId="3E5C4618" w14:textId="77777777" w:rsidR="00E06571" w:rsidRPr="00F7716C" w:rsidRDefault="00E06571" w:rsidP="00E06571"/>
    <w:p w14:paraId="5E33182C" w14:textId="056FE42C" w:rsidR="00AD170D" w:rsidRPr="00F7716C" w:rsidRDefault="00B654AC" w:rsidP="00E06571">
      <w:pPr>
        <w:rPr>
          <w:b/>
        </w:rPr>
      </w:pPr>
      <w:r w:rsidRPr="00F7716C">
        <w:t>Cattle vaccination coverage expanded from 40 to 85% through individual home delivery service</w:t>
      </w:r>
      <w:r w:rsidR="00E06571" w:rsidRPr="00F7716C">
        <w:t>s</w:t>
      </w:r>
      <w:r w:rsidRPr="00F7716C">
        <w:t xml:space="preserve"> and </w:t>
      </w:r>
      <w:r w:rsidR="00E06571" w:rsidRPr="00F7716C">
        <w:t>arranged</w:t>
      </w:r>
      <w:r w:rsidRPr="00F7716C">
        <w:t xml:space="preserve"> anthrax vaccination campaigns every 6 months.</w:t>
      </w:r>
    </w:p>
    <w:p w14:paraId="693325ED" w14:textId="77777777" w:rsidR="00AD170D" w:rsidRPr="00F7716C" w:rsidRDefault="00AD170D" w:rsidP="00E06571">
      <w:pPr>
        <w:rPr>
          <w:b/>
        </w:rPr>
      </w:pPr>
    </w:p>
    <w:p w14:paraId="6A42DC0C" w14:textId="77777777" w:rsidR="00AD170D" w:rsidRPr="00F7716C" w:rsidRDefault="00B654AC" w:rsidP="00E06571">
      <w:pPr>
        <w:rPr>
          <w:b/>
        </w:rPr>
      </w:pPr>
      <w:r w:rsidRPr="00F7716C">
        <w:rPr>
          <w:b/>
        </w:rPr>
        <w:t>3.2.2 Approach-2: Community Awareness</w:t>
      </w:r>
    </w:p>
    <w:p w14:paraId="3DF06BA6" w14:textId="77777777" w:rsidR="00E06571" w:rsidRPr="00F7716C" w:rsidRDefault="00E06571" w:rsidP="00E06571"/>
    <w:p w14:paraId="2200A83B" w14:textId="6541F8D9" w:rsidR="00AD170D" w:rsidRPr="00F7716C" w:rsidRDefault="00B654AC" w:rsidP="00E06571">
      <w:r w:rsidRPr="00F7716C">
        <w:t xml:space="preserve">Awareness of anthrax in the model area was raised within a short period during the study period. For that, an Integrated Extension Model was designed and implemented. It showed that </w:t>
      </w:r>
      <w:r w:rsidR="00E06571" w:rsidRPr="00F7716C">
        <w:t>the m</w:t>
      </w:r>
      <w:r w:rsidRPr="00F7716C">
        <w:t xml:space="preserve">ajority </w:t>
      </w:r>
      <w:r w:rsidR="00E06571" w:rsidRPr="00F7716C">
        <w:t xml:space="preserve">of </w:t>
      </w:r>
      <w:r w:rsidRPr="00F7716C">
        <w:t xml:space="preserve">community members (97.5%) were made aware of the nature, occurrence, public health importance, and management of the disease. Their dangerous habits and attitudes toward </w:t>
      </w:r>
      <w:r w:rsidR="00E06571" w:rsidRPr="00F7716C">
        <w:t xml:space="preserve">the </w:t>
      </w:r>
      <w:r w:rsidRPr="00F7716C">
        <w:t>slaughtering sick animals were reduced (&lt;30%). The percentage of farmers who can diagnose anthrax has increased from 30% to 40%.</w:t>
      </w:r>
    </w:p>
    <w:p w14:paraId="49A6A3B9" w14:textId="77777777" w:rsidR="00E06571" w:rsidRPr="00F7716C" w:rsidRDefault="00E06571" w:rsidP="00E06571">
      <w:pPr>
        <w:rPr>
          <w:b/>
        </w:rPr>
      </w:pPr>
    </w:p>
    <w:p w14:paraId="0E429A2E" w14:textId="35424039" w:rsidR="00AD170D" w:rsidRPr="00F7716C" w:rsidRDefault="00B654AC" w:rsidP="00E06571">
      <w:pPr>
        <w:rPr>
          <w:b/>
        </w:rPr>
      </w:pPr>
      <w:r w:rsidRPr="00F7716C">
        <w:rPr>
          <w:b/>
        </w:rPr>
        <w:t>3.2.3 Approach-3: Rapid confirmation and prompt disposal facilities</w:t>
      </w:r>
    </w:p>
    <w:p w14:paraId="211AEDA4" w14:textId="77777777" w:rsidR="00E06571" w:rsidRPr="00F7716C" w:rsidRDefault="00E06571" w:rsidP="00E06571"/>
    <w:p w14:paraId="2C2199C6" w14:textId="6B175BE3" w:rsidR="00AD170D" w:rsidRPr="00F7716C" w:rsidRDefault="00B654AC" w:rsidP="00E06571">
      <w:r w:rsidRPr="00F7716C">
        <w:t>A total of eight suspected tissue samples (ear clipping) of sudden death animals were collected from the model area for rapid confirmation during the study period but were not found positive cases by this period. For the validity of our testing procedure, one positive sample was collected from Central Disease Investigation Laboratory (CDIL), Dhaka. On the other hand, 50 soil samples were collected from the model area</w:t>
      </w:r>
      <w:r w:rsidR="00E06571" w:rsidRPr="00F7716C">
        <w:t>,</w:t>
      </w:r>
      <w:r w:rsidRPr="00F7716C">
        <w:t xml:space="preserve"> and 7 samples were found positive for the presence of viable anthrax spores.</w:t>
      </w:r>
    </w:p>
    <w:p w14:paraId="1DD37279" w14:textId="77777777" w:rsidR="00E06571" w:rsidRPr="00F7716C" w:rsidRDefault="00E06571" w:rsidP="00E06571">
      <w:pPr>
        <w:rPr>
          <w:b/>
        </w:rPr>
      </w:pPr>
    </w:p>
    <w:p w14:paraId="20150A36" w14:textId="229AA1B1" w:rsidR="00AD170D" w:rsidRPr="00F7716C" w:rsidRDefault="00B654AC" w:rsidP="00E06571">
      <w:pPr>
        <w:rPr>
          <w:b/>
        </w:rPr>
      </w:pPr>
      <w:r w:rsidRPr="00F7716C">
        <w:rPr>
          <w:b/>
        </w:rPr>
        <w:t xml:space="preserve">3.2.4 </w:t>
      </w:r>
      <w:r w:rsidR="00E06571" w:rsidRPr="00F7716C">
        <w:rPr>
          <w:b/>
        </w:rPr>
        <w:t>a</w:t>
      </w:r>
      <w:r w:rsidRPr="00F7716C">
        <w:rPr>
          <w:b/>
        </w:rPr>
        <w:t>pproach- 4: Effective surveillance system</w:t>
      </w:r>
    </w:p>
    <w:p w14:paraId="70550DA7" w14:textId="77777777" w:rsidR="00E06571" w:rsidRPr="00F7716C" w:rsidRDefault="00E06571" w:rsidP="00E06571"/>
    <w:p w14:paraId="623585D1" w14:textId="5EA45790" w:rsidR="00AD170D" w:rsidRPr="00F7716C" w:rsidRDefault="00B654AC" w:rsidP="00E06571">
      <w:r w:rsidRPr="00F7716C">
        <w:t>The surveillance system that was introduced in the Model Area was highly efficient. In this system, area staff such as para vet</w:t>
      </w:r>
      <w:r w:rsidR="00E06571" w:rsidRPr="00F7716C">
        <w:t>s</w:t>
      </w:r>
      <w:r w:rsidRPr="00F7716C">
        <w:t>, community vaccinator</w:t>
      </w:r>
      <w:r w:rsidR="00E06571" w:rsidRPr="00F7716C">
        <w:t>s</w:t>
      </w:r>
      <w:r w:rsidRPr="00F7716C">
        <w:t>, meat seller</w:t>
      </w:r>
      <w:r w:rsidR="00E06571" w:rsidRPr="00F7716C">
        <w:t>s</w:t>
      </w:r>
      <w:r w:rsidRPr="00F7716C">
        <w:t>, community volunteer</w:t>
      </w:r>
      <w:r w:rsidR="00E06571" w:rsidRPr="00F7716C">
        <w:t>s</w:t>
      </w:r>
      <w:r w:rsidRPr="00F7716C">
        <w:t>, village chowkidar</w:t>
      </w:r>
      <w:r w:rsidR="00E06571" w:rsidRPr="00F7716C">
        <w:t>s</w:t>
      </w:r>
      <w:r w:rsidRPr="00F7716C">
        <w:t xml:space="preserve">, </w:t>
      </w:r>
      <w:r w:rsidR="00E06571" w:rsidRPr="00F7716C">
        <w:t xml:space="preserve">and </w:t>
      </w:r>
      <w:r w:rsidRPr="00F7716C">
        <w:t>ward member</w:t>
      </w:r>
      <w:r w:rsidR="00E06571" w:rsidRPr="00F7716C">
        <w:t>s</w:t>
      </w:r>
      <w:r w:rsidRPr="00F7716C">
        <w:t xml:space="preserve"> act as a </w:t>
      </w:r>
      <w:proofErr w:type="gramStart"/>
      <w:r w:rsidRPr="00F7716C">
        <w:t>primary informer</w:t>
      </w:r>
      <w:r w:rsidR="00E06571" w:rsidRPr="00F7716C">
        <w:t>s</w:t>
      </w:r>
      <w:proofErr w:type="gramEnd"/>
      <w:r w:rsidRPr="00F7716C">
        <w:t xml:space="preserve"> for the research unit. In case of any untoward animal death or anthrax symptoms in the area, this primary informant would immediately inform the research unit via mobile phone. The research team immediately inspected the ground and told the concerned authorities. The concerned authorities would then be informed at each stage of sample collection and sample identification. </w:t>
      </w:r>
      <w:r w:rsidR="00E06571" w:rsidRPr="00F7716C">
        <w:t>Primary informers were given regular motivation and some roaming expenses for this work</w:t>
      </w:r>
      <w:r w:rsidRPr="00F7716C">
        <w:t xml:space="preserve">. In addition, regular visits to the register of patients, especially regular contact with the </w:t>
      </w:r>
      <w:proofErr w:type="spellStart"/>
      <w:r w:rsidRPr="00F7716C">
        <w:t>Upazila</w:t>
      </w:r>
      <w:proofErr w:type="spellEnd"/>
      <w:r w:rsidRPr="00F7716C">
        <w:t xml:space="preserve"> Health Complex and the </w:t>
      </w:r>
      <w:proofErr w:type="spellStart"/>
      <w:r w:rsidRPr="00F7716C">
        <w:t>Upazila</w:t>
      </w:r>
      <w:proofErr w:type="spellEnd"/>
      <w:r w:rsidRPr="00F7716C">
        <w:t xml:space="preserve"> Livestock Office, were part of our indirect surveillance activities. </w:t>
      </w:r>
      <w:r w:rsidR="00E06571" w:rsidRPr="00F7716C">
        <w:t>Eight suspected samples of sudden death animals were collected within the noticeably shortest period (&lt; 12 hours) during the three years and sent to the laboratory for rapid confirmation for these active and passive surveillance network systems</w:t>
      </w:r>
      <w:r w:rsidRPr="00F7716C">
        <w:t>.</w:t>
      </w:r>
    </w:p>
    <w:p w14:paraId="52F8F4E1" w14:textId="0288FCE5" w:rsidR="00E06571" w:rsidRPr="00F7716C" w:rsidRDefault="00E06571" w:rsidP="00E06571">
      <w:pPr>
        <w:rPr>
          <w:b/>
        </w:rPr>
      </w:pPr>
    </w:p>
    <w:p w14:paraId="5C5A8FB1" w14:textId="02FE4249" w:rsidR="00E06571" w:rsidRPr="00F7716C" w:rsidRDefault="00E06571" w:rsidP="00E06571">
      <w:pPr>
        <w:rPr>
          <w:b/>
        </w:rPr>
      </w:pPr>
    </w:p>
    <w:p w14:paraId="3A5B98B7" w14:textId="3F2E3611" w:rsidR="00AD170D" w:rsidRPr="00F7716C" w:rsidRDefault="00B654AC" w:rsidP="00E06571">
      <w:r w:rsidRPr="00F7716C">
        <w:rPr>
          <w:b/>
        </w:rPr>
        <w:lastRenderedPageBreak/>
        <w:t xml:space="preserve">3.2.5 </w:t>
      </w:r>
      <w:r w:rsidR="00E06571" w:rsidRPr="00F7716C">
        <w:rPr>
          <w:b/>
        </w:rPr>
        <w:t>a</w:t>
      </w:r>
      <w:r w:rsidRPr="00F7716C">
        <w:rPr>
          <w:b/>
        </w:rPr>
        <w:t>pproach- 5: Emergency Prevention system</w:t>
      </w:r>
    </w:p>
    <w:p w14:paraId="17DCE468" w14:textId="77777777" w:rsidR="00E06571" w:rsidRPr="00F7716C" w:rsidRDefault="00E06571" w:rsidP="00E06571"/>
    <w:p w14:paraId="66FE6CA2" w14:textId="55A3935F" w:rsidR="00AD170D" w:rsidRPr="00F7716C" w:rsidRDefault="00B654AC" w:rsidP="00E06571">
      <w:r w:rsidRPr="00F7716C">
        <w:t>An alternate emergency backup, including trained staff, disposal team, community volunteer</w:t>
      </w:r>
      <w:r w:rsidR="00E06571" w:rsidRPr="00F7716C">
        <w:t>s</w:t>
      </w:r>
      <w:r w:rsidRPr="00F7716C">
        <w:t xml:space="preserve">, disinfectant materials, </w:t>
      </w:r>
      <w:r w:rsidR="00E06571" w:rsidRPr="00F7716C">
        <w:t xml:space="preserve">and </w:t>
      </w:r>
      <w:r w:rsidRPr="00F7716C">
        <w:t>the required vaccine</w:t>
      </w:r>
      <w:r w:rsidR="00E06571" w:rsidRPr="00F7716C">
        <w:t>,</w:t>
      </w:r>
      <w:r w:rsidRPr="00F7716C">
        <w:t xml:space="preserve"> was prepared for our model area. The District Livestock Department and </w:t>
      </w:r>
      <w:proofErr w:type="spellStart"/>
      <w:r w:rsidRPr="00F7716C">
        <w:t>Upazila</w:t>
      </w:r>
      <w:proofErr w:type="spellEnd"/>
      <w:r w:rsidRPr="00F7716C">
        <w:t xml:space="preserve"> Administration were informed and regularly updated at every step</w:t>
      </w:r>
      <w:r w:rsidR="00E06571" w:rsidRPr="00F7716C">
        <w:t>,</w:t>
      </w:r>
      <w:r w:rsidRPr="00F7716C">
        <w:t xml:space="preserve"> from collecting samples to disposal. The eight sudden animal death samples were collected during the study. Although they were tested negative for anthrax in the laboratory, each animal was adequately disposed of </w:t>
      </w:r>
      <w:r w:rsidR="00E06571" w:rsidRPr="00F7716C">
        <w:t>us</w:t>
      </w:r>
      <w:r w:rsidRPr="00F7716C">
        <w:t>ing the recommended standard carcass disposal method. These works have been done to improve the capacity build</w:t>
      </w:r>
      <w:r w:rsidR="00E06571" w:rsidRPr="00F7716C">
        <w:t>-</w:t>
      </w:r>
      <w:r w:rsidRPr="00F7716C">
        <w:t xml:space="preserve">up of the people in the model area. People of the </w:t>
      </w:r>
      <w:proofErr w:type="spellStart"/>
      <w:r w:rsidRPr="00F7716C">
        <w:t>Upazila</w:t>
      </w:r>
      <w:proofErr w:type="spellEnd"/>
      <w:r w:rsidRPr="00F7716C">
        <w:t xml:space="preserve"> Livestock Office and local administration were also involved in the procedure.</w:t>
      </w:r>
    </w:p>
    <w:p w14:paraId="100CEFF5" w14:textId="77777777" w:rsidR="00E06571" w:rsidRPr="00F7716C" w:rsidRDefault="00E06571" w:rsidP="00E06571">
      <w:pPr>
        <w:rPr>
          <w:b/>
        </w:rPr>
      </w:pPr>
    </w:p>
    <w:p w14:paraId="499A7FFB" w14:textId="6DAFE5BA" w:rsidR="00AD170D" w:rsidRPr="00F7716C" w:rsidRDefault="00B654AC" w:rsidP="00E06571">
      <w:pPr>
        <w:rPr>
          <w:b/>
        </w:rPr>
      </w:pPr>
      <w:r w:rsidRPr="00F7716C">
        <w:rPr>
          <w:b/>
        </w:rPr>
        <w:t>3.2.6 Approach-6: Implementation of existing law regarding animal slaughter</w:t>
      </w:r>
    </w:p>
    <w:p w14:paraId="58252B4A" w14:textId="77777777" w:rsidR="00E06571" w:rsidRPr="00F7716C" w:rsidRDefault="00E06571" w:rsidP="00E06571"/>
    <w:p w14:paraId="472CA70F" w14:textId="7D347958" w:rsidR="00AD170D" w:rsidRPr="00F7716C" w:rsidRDefault="00B654AC" w:rsidP="00E06571">
      <w:r w:rsidRPr="00F7716C">
        <w:t>Existing laws on animal slaughter were regularly circulated through leaflet distribution. 450 leaflets were distributed, and nine mobile courts were executed in the model area. It helped the community members be aware of existing laws and regulations about the slaughtering of animals. The mobile court allowed the community member to obey the law. Awareness and knowledge about animal slaughter also increased among the area's people due to these leaflets and regular mobile court operations. Which was observed in the finding of survey works. At the baseline, where only 2% of the population knew about existing laws, the rate increased to 65% during the evaluation period.</w:t>
      </w:r>
    </w:p>
    <w:p w14:paraId="00648A95" w14:textId="77777777" w:rsidR="00E06571" w:rsidRPr="00F7716C" w:rsidRDefault="00E06571" w:rsidP="00E06571">
      <w:pPr>
        <w:rPr>
          <w:b/>
        </w:rPr>
      </w:pPr>
    </w:p>
    <w:p w14:paraId="1711D35A" w14:textId="6590D5BC" w:rsidR="00AD170D" w:rsidRPr="00F7716C" w:rsidRDefault="00B654AC" w:rsidP="00E06571">
      <w:pPr>
        <w:rPr>
          <w:b/>
        </w:rPr>
      </w:pPr>
      <w:r w:rsidRPr="00F7716C">
        <w:rPr>
          <w:b/>
        </w:rPr>
        <w:t>3.2.7 Approach-7: Strengthen the collaboration</w:t>
      </w:r>
    </w:p>
    <w:p w14:paraId="1BAEAF1E" w14:textId="77777777" w:rsidR="00E06571" w:rsidRPr="00F7716C" w:rsidRDefault="00E06571" w:rsidP="00E06571"/>
    <w:p w14:paraId="21E5E290" w14:textId="66F4E18F" w:rsidR="00AD170D" w:rsidRPr="00F7716C" w:rsidRDefault="00B654AC" w:rsidP="00E06571">
      <w:pPr>
        <w:rPr>
          <w:b/>
        </w:rPr>
      </w:pPr>
      <w:r w:rsidRPr="00F7716C">
        <w:t>Six advocacy and sensitization workshops with local administrations were done in the model area</w:t>
      </w:r>
      <w:r w:rsidR="00E06571" w:rsidRPr="00F7716C">
        <w:t>,</w:t>
      </w:r>
      <w:r w:rsidRPr="00F7716C">
        <w:t xml:space="preserve"> where all </w:t>
      </w:r>
      <w:proofErr w:type="spellStart"/>
      <w:r w:rsidRPr="00F7716C">
        <w:t>Upazila</w:t>
      </w:r>
      <w:proofErr w:type="spellEnd"/>
      <w:r w:rsidRPr="00F7716C">
        <w:t xml:space="preserve"> administrations and departments were attended as per our plan. In these workshops, the objective and progress of the activity were demonstrated, and members gave recommendations, </w:t>
      </w:r>
      <w:r w:rsidR="00E06571" w:rsidRPr="00F7716C">
        <w:t xml:space="preserve">and </w:t>
      </w:r>
      <w:r w:rsidRPr="00F7716C">
        <w:t xml:space="preserve">suggestions and evaluated the role and responsibilities of different stakeholders. They also assist in monitoring, and some of them, directly and indirectly, help in awareness-raising programs. As a result of working together involving different departments, each department helped them as much as they could. For example, the </w:t>
      </w:r>
      <w:proofErr w:type="spellStart"/>
      <w:r w:rsidRPr="00F7716C">
        <w:t>Upazila</w:t>
      </w:r>
      <w:proofErr w:type="spellEnd"/>
      <w:r w:rsidRPr="00F7716C">
        <w:t xml:space="preserve"> Education Officer, whose primary job is to improve the quality of education in the </w:t>
      </w:r>
      <w:proofErr w:type="spellStart"/>
      <w:r w:rsidRPr="00F7716C">
        <w:t>Upazila</w:t>
      </w:r>
      <w:proofErr w:type="spellEnd"/>
      <w:r w:rsidRPr="00F7716C">
        <w:t xml:space="preserve"> educational institutions, but through our sensitization workshops, he also motivated and worked on disseminating anthrax related information himself and instructing his subordinate teachers so that the teachers too could make their students aware of anthrax. On the other hand, the law enforcement department kept safe food under their watch on a priority basis. That's why they regularly sent their patrol team to the market and worked to force everyone not to slaughter any sick animal.</w:t>
      </w:r>
      <w:r w:rsidRPr="00F7716C">
        <w:rPr>
          <w:b/>
        </w:rPr>
        <w:t xml:space="preserve"> </w:t>
      </w:r>
    </w:p>
    <w:p w14:paraId="207B345E" w14:textId="77777777" w:rsidR="00E06571" w:rsidRPr="00F7716C" w:rsidRDefault="00E06571" w:rsidP="00E06571">
      <w:pPr>
        <w:rPr>
          <w:b/>
        </w:rPr>
      </w:pPr>
      <w:bookmarkStart w:id="4" w:name="_heading=h.3znysh7" w:colFirst="0" w:colLast="0"/>
      <w:bookmarkEnd w:id="4"/>
    </w:p>
    <w:p w14:paraId="0B317101" w14:textId="5D50652D" w:rsidR="00AD170D" w:rsidRPr="00F7716C" w:rsidRDefault="00B654AC" w:rsidP="00E06571">
      <w:pPr>
        <w:rPr>
          <w:b/>
        </w:rPr>
      </w:pPr>
      <w:r w:rsidRPr="00F7716C">
        <w:rPr>
          <w:b/>
        </w:rPr>
        <w:t>3.3 Periodical evaluation of overall progress in the model area</w:t>
      </w:r>
    </w:p>
    <w:p w14:paraId="6FC6E839" w14:textId="77777777" w:rsidR="00E06571" w:rsidRPr="00F7716C" w:rsidRDefault="00E06571" w:rsidP="00E06571"/>
    <w:p w14:paraId="02C8D9CE" w14:textId="24F5F060" w:rsidR="00AD170D" w:rsidRPr="00F7716C" w:rsidRDefault="00B654AC" w:rsidP="00E06571">
      <w:r w:rsidRPr="00F7716C">
        <w:t xml:space="preserve">The research program was started </w:t>
      </w:r>
      <w:r w:rsidR="00E06571" w:rsidRPr="00F7716C">
        <w:t>based on</w:t>
      </w:r>
      <w:r w:rsidRPr="00F7716C">
        <w:t xml:space="preserve"> the information obtained from the Situation Assessment (baseline data) in the Model Area. All the activities were designed and implemented for the scale-up in every approach during the period. An optimum score of each monitoring tool was determined periodically. The steering committee regularly carried out these works, and they were completely independent of the evaluation process without bias. They did not discriminate against anyone but worked with a solid conviction to prevent anthrax in their area. The total score of each indicator and the obtained periodical score of the study area are shown in Table 4.</w:t>
      </w:r>
    </w:p>
    <w:p w14:paraId="518B8DB5" w14:textId="77777777" w:rsidR="00AD170D" w:rsidRPr="00F7716C" w:rsidRDefault="00B654AC" w:rsidP="00E06571">
      <w:pPr>
        <w:rPr>
          <w:b/>
        </w:rPr>
      </w:pPr>
      <w:r w:rsidRPr="00F7716C">
        <w:rPr>
          <w:b/>
        </w:rPr>
        <w:lastRenderedPageBreak/>
        <w:t>3.4 Cumulative Index score</w:t>
      </w:r>
    </w:p>
    <w:p w14:paraId="123E0A6A" w14:textId="77777777" w:rsidR="00E06571" w:rsidRPr="00F7716C" w:rsidRDefault="00E06571" w:rsidP="00E06571"/>
    <w:p w14:paraId="3B1CD69E" w14:textId="07399D5F" w:rsidR="00AD170D" w:rsidRPr="00F7716C" w:rsidRDefault="00B654AC" w:rsidP="00E06571">
      <w:r w:rsidRPr="00F7716C">
        <w:t>The cumulative index score showed that the overall progress of the project is based on different indicators. After a consultation with the steering committee of anthrax control and their recommended score, it was seen that, in the beginning, the cumulative score was only 18. After implement</w:t>
      </w:r>
      <w:r w:rsidR="00E06571" w:rsidRPr="00F7716C">
        <w:t>ing all activities, it was increased to 100,</w:t>
      </w:r>
      <w:r w:rsidRPr="00F7716C">
        <w:t xml:space="preserve"> shown in Figure </w:t>
      </w:r>
      <w:r w:rsidR="004E2D2C" w:rsidRPr="00F7716C">
        <w:t>5</w:t>
      </w:r>
      <w:r w:rsidRPr="00F7716C">
        <w:t>.</w:t>
      </w:r>
      <w:r w:rsidR="00C37148" w:rsidRPr="00F7716C">
        <w:t xml:space="preserve"> </w:t>
      </w:r>
      <w:r w:rsidRPr="00F7716C">
        <w:t>Ultimately with the cooperation of all, the key components that were developed in the model area were:</w:t>
      </w:r>
    </w:p>
    <w:p w14:paraId="5C6233B4" w14:textId="1EFC1C08" w:rsidR="00AD170D" w:rsidRPr="00F7716C" w:rsidRDefault="00B654AC" w:rsidP="00E06571">
      <w:pPr>
        <w:numPr>
          <w:ilvl w:val="0"/>
          <w:numId w:val="2"/>
        </w:numPr>
      </w:pPr>
      <w:r w:rsidRPr="00F7716C">
        <w:t xml:space="preserve">Establish an effective surveillance system in the public health and the veterinary sectors. </w:t>
      </w:r>
    </w:p>
    <w:p w14:paraId="3E66708F" w14:textId="77777777" w:rsidR="00AD170D" w:rsidRPr="00F7716C" w:rsidRDefault="00B654AC" w:rsidP="00E06571">
      <w:pPr>
        <w:numPr>
          <w:ilvl w:val="0"/>
          <w:numId w:val="2"/>
        </w:numPr>
      </w:pPr>
      <w:r w:rsidRPr="00F7716C">
        <w:t>Rapid confirmation and prompt disposal of dead animals, bedding, and contaminated materials, and control of scavengers.</w:t>
      </w:r>
    </w:p>
    <w:p w14:paraId="7AF8F490" w14:textId="77777777" w:rsidR="00AD170D" w:rsidRPr="00F7716C" w:rsidRDefault="00B654AC" w:rsidP="00E06571">
      <w:pPr>
        <w:numPr>
          <w:ilvl w:val="0"/>
          <w:numId w:val="2"/>
        </w:numPr>
      </w:pPr>
      <w:r w:rsidRPr="00F7716C">
        <w:t>Regular vaccination of susceptible livestock animals in areas by using quality-assured vaccines.</w:t>
      </w:r>
    </w:p>
    <w:p w14:paraId="3BCB379E" w14:textId="77777777" w:rsidR="00AD170D" w:rsidRPr="00F7716C" w:rsidRDefault="00B654AC" w:rsidP="00E06571">
      <w:pPr>
        <w:numPr>
          <w:ilvl w:val="0"/>
          <w:numId w:val="2"/>
        </w:numPr>
      </w:pPr>
      <w:r w:rsidRPr="00F7716C">
        <w:t>Increased public awareness and observation of general hygiene principles, including the use of personal protective measures by people who may have contact with diseased or dead animals.</w:t>
      </w:r>
    </w:p>
    <w:p w14:paraId="7E217340" w14:textId="77777777" w:rsidR="00AD170D" w:rsidRPr="00F7716C" w:rsidRDefault="00B654AC" w:rsidP="00E06571">
      <w:pPr>
        <w:numPr>
          <w:ilvl w:val="0"/>
          <w:numId w:val="2"/>
        </w:numPr>
      </w:pPr>
      <w:r w:rsidRPr="00F7716C">
        <w:t>Enforcement of regulations of anthrax control.</w:t>
      </w:r>
    </w:p>
    <w:p w14:paraId="644F49B2" w14:textId="77777777" w:rsidR="00AD170D" w:rsidRPr="00F7716C" w:rsidRDefault="00B654AC" w:rsidP="00E06571">
      <w:pPr>
        <w:numPr>
          <w:ilvl w:val="0"/>
          <w:numId w:val="2"/>
        </w:numPr>
      </w:pPr>
      <w:r w:rsidRPr="00F7716C">
        <w:t>Developed an emergency prevention system.</w:t>
      </w:r>
    </w:p>
    <w:p w14:paraId="50CB1DC9" w14:textId="77777777" w:rsidR="00AD170D" w:rsidRPr="00F7716C" w:rsidRDefault="00B654AC" w:rsidP="00E06571">
      <w:pPr>
        <w:numPr>
          <w:ilvl w:val="0"/>
          <w:numId w:val="2"/>
        </w:numPr>
      </w:pPr>
      <w:r w:rsidRPr="00F7716C">
        <w:t>Strengthen the collaboration of veterinary services within the area to control anthrax in both animals and humans.</w:t>
      </w:r>
    </w:p>
    <w:p w14:paraId="1B4285FB" w14:textId="2DBE4EE7" w:rsidR="00AD170D" w:rsidRPr="00F7716C" w:rsidRDefault="00AD170D" w:rsidP="00E06571">
      <w:pPr>
        <w:rPr>
          <w:b/>
        </w:rPr>
      </w:pPr>
    </w:p>
    <w:p w14:paraId="621ABF7B" w14:textId="77777777" w:rsidR="00AD170D" w:rsidRPr="00F7716C" w:rsidRDefault="00B654AC" w:rsidP="00E06571">
      <w:pPr>
        <w:rPr>
          <w:b/>
        </w:rPr>
      </w:pPr>
      <w:r w:rsidRPr="00F7716C">
        <w:rPr>
          <w:b/>
        </w:rPr>
        <w:t>3.5 Outcomes</w:t>
      </w:r>
    </w:p>
    <w:p w14:paraId="3372EB3A" w14:textId="77777777" w:rsidR="00E06571" w:rsidRPr="00F7716C" w:rsidRDefault="00E06571" w:rsidP="00E06571"/>
    <w:p w14:paraId="3730AE98" w14:textId="55865697" w:rsidR="00AD170D" w:rsidRPr="00F7716C" w:rsidRDefault="00B654AC" w:rsidP="00E06571">
      <w:r w:rsidRPr="00F7716C">
        <w:t xml:space="preserve">After successfully implementing all the activities of an integrated approach, we can see that there was no animal and human anthrax case during this period. The historical event of the anthrax case in the model area is shown in Figure </w:t>
      </w:r>
      <w:r w:rsidR="004E2D2C" w:rsidRPr="00F7716C">
        <w:t>6</w:t>
      </w:r>
      <w:r w:rsidRPr="00F7716C">
        <w:t>.</w:t>
      </w:r>
    </w:p>
    <w:p w14:paraId="0FB01837" w14:textId="77777777" w:rsidR="004E2D2C" w:rsidRPr="00F7716C" w:rsidRDefault="004E2D2C" w:rsidP="00E06571">
      <w:pPr>
        <w:rPr>
          <w:b/>
        </w:rPr>
      </w:pPr>
      <w:bookmarkStart w:id="5" w:name="_heading=h.2et92p0" w:colFirst="0" w:colLast="0"/>
      <w:bookmarkEnd w:id="5"/>
    </w:p>
    <w:p w14:paraId="1ECC1D88" w14:textId="0E659899" w:rsidR="00AD170D" w:rsidRPr="00F7716C" w:rsidRDefault="00B654AC" w:rsidP="00E06571">
      <w:pPr>
        <w:rPr>
          <w:b/>
        </w:rPr>
      </w:pPr>
      <w:proofErr w:type="gramStart"/>
      <w:r w:rsidRPr="00F7716C">
        <w:rPr>
          <w:b/>
        </w:rPr>
        <w:t>4  DISCUSSION</w:t>
      </w:r>
      <w:proofErr w:type="gramEnd"/>
    </w:p>
    <w:p w14:paraId="585E2AB3" w14:textId="77777777" w:rsidR="00E06571" w:rsidRPr="00F7716C" w:rsidRDefault="00E06571" w:rsidP="00E06571"/>
    <w:p w14:paraId="1795BF3A" w14:textId="0CF54AB4" w:rsidR="00AD170D" w:rsidRPr="00F7716C" w:rsidRDefault="00B654AC" w:rsidP="00E06571">
      <w:r w:rsidRPr="00F7716C">
        <w:t xml:space="preserve">Anthrax is supposed to be one of the most potent biological weapon agents because its spores are highly resistant to natural conditions and can survive for several decades in the environment. It is a </w:t>
      </w:r>
      <w:r w:rsidR="00E06571" w:rsidRPr="00F7716C">
        <w:t>public health concern</w:t>
      </w:r>
      <w:r w:rsidRPr="00F7716C">
        <w:t xml:space="preserve"> in many countries where agriculture is the primary source of income. It was also described as "an economic disaster" (Turner, 1980). However, many countries like Canada, the United States, Austria, the Czech Republic, Denmark, Finland, Luxembourg, Malta, Colombia, and the Guianas, Malaysia, Taiwan, </w:t>
      </w:r>
      <w:r w:rsidR="00E06571" w:rsidRPr="00F7716C">
        <w:t xml:space="preserve">and </w:t>
      </w:r>
      <w:r w:rsidRPr="00F7716C">
        <w:t xml:space="preserve">Sweden have been able to control the disease. In this case, they followed different methods. Sweden and, probably, Austria, the Czech Republic, Denmark, Finland, and Luxembourg have eliminated Anthrax (Schmid and Kaufmann, 2002). In African countries like Zambia, Ghana, Georgia, South Africa, Zimbabwe, previously known as Rhodesia, mostly centered on anthrax surveillance and reporting systems, diagnosis, vaccine production, and immunization, disinfection, and decontamination, carcass disposal, treatment of human cases, health systems, as well as intersectoral cooperation between public health services, veterinary services, and other services such as wildlife conservation (WHO, 1994; Balogh et al.,1994; </w:t>
      </w:r>
      <w:proofErr w:type="spellStart"/>
      <w:r w:rsidRPr="00F7716C">
        <w:t>Siamudaala</w:t>
      </w:r>
      <w:proofErr w:type="spellEnd"/>
      <w:r w:rsidRPr="00F7716C">
        <w:t xml:space="preserve"> et al., 2006; </w:t>
      </w:r>
      <w:proofErr w:type="spellStart"/>
      <w:r w:rsidRPr="00F7716C">
        <w:t>Karacalik</w:t>
      </w:r>
      <w:proofErr w:type="spellEnd"/>
      <w:r w:rsidRPr="00F7716C">
        <w:t xml:space="preserve"> et al., 2006). It was considered their national control program and successfully handled anthrax epidemic situations in Africa. Department of Natural Resources and Environment, Victoria, Australia, applied for a control program in response to an outbreak of </w:t>
      </w:r>
      <w:r w:rsidR="00E06571" w:rsidRPr="00F7716C">
        <w:t>a</w:t>
      </w:r>
      <w:r w:rsidRPr="00F7716C">
        <w:t xml:space="preserve">nthrax in cattle affecting some 83 farms during the first half </w:t>
      </w:r>
      <w:r w:rsidRPr="00F7716C">
        <w:lastRenderedPageBreak/>
        <w:t xml:space="preserve">of 1997 was subsequently established as an Australian standard and serves well as a global model for anthrax control (Turner et al., 1999; </w:t>
      </w:r>
      <w:proofErr w:type="spellStart"/>
      <w:r w:rsidRPr="00F7716C">
        <w:t>Durrheim</w:t>
      </w:r>
      <w:proofErr w:type="spellEnd"/>
      <w:r w:rsidRPr="00F7716C">
        <w:t xml:space="preserve"> et al., 2009). Vaccination and movement restrictions have been the key methods used to control </w:t>
      </w:r>
      <w:r w:rsidR="00E06571" w:rsidRPr="00F7716C">
        <w:t>a</w:t>
      </w:r>
      <w:r w:rsidRPr="00F7716C">
        <w:t>nthrax in pasture‐based livestock systems in Australia (Turner et al., 1999). It is now very infrequent to rare in Canada, the United States, and many countries in Europe. An increasing list of countries like Cyprus, New Zealand, Belize, the Caribbean except for Haiti (and thus possibly the Dominican Republic), Malaysia, Taiwan, Sweden, Eire, and I am tempted to add Austria, the Czech Republic, Denmark, Finland, Luxembourg, Malta, Colombia, and the Guianas can truly claim freedom from Anthrax (Hugh-Jones, 1999). Analyzing the initiatives of different countries and their results in anthrax control show</w:t>
      </w:r>
      <w:r w:rsidR="00E06571" w:rsidRPr="00F7716C">
        <w:t>s</w:t>
      </w:r>
      <w:r w:rsidRPr="00F7716C">
        <w:t xml:space="preserve"> that since their methods were effective, it is natural that our integrated approaches and various components should be highly effective in controlling </w:t>
      </w:r>
      <w:r w:rsidR="00E06571" w:rsidRPr="00F7716C">
        <w:t>a</w:t>
      </w:r>
      <w:r w:rsidRPr="00F7716C">
        <w:t>nthrax in any region. Although some countries have some differences in their control strategy. For example, many developed countries like Canada</w:t>
      </w:r>
      <w:r w:rsidR="00E06571" w:rsidRPr="00F7716C">
        <w:t xml:space="preserve">, the </w:t>
      </w:r>
      <w:r w:rsidRPr="00F7716C">
        <w:t xml:space="preserve">USA have a depopulation program aimed at preventing the spread of Anthrax (Dragon and Elkin, 2001; </w:t>
      </w:r>
      <w:proofErr w:type="spellStart"/>
      <w:r w:rsidRPr="00F7716C">
        <w:t>Levings</w:t>
      </w:r>
      <w:proofErr w:type="spellEnd"/>
      <w:r w:rsidRPr="00F7716C">
        <w:t xml:space="preserve">, 2012). But the socio-economic condition of a developing country like Bangladesh does not support it. In Bhutan, to stop the spread of </w:t>
      </w:r>
      <w:r w:rsidR="00E06571" w:rsidRPr="00F7716C">
        <w:t>a</w:t>
      </w:r>
      <w:r w:rsidRPr="00F7716C">
        <w:t xml:space="preserve">nthrax, animal and public health authorities initiated various prevention and control measures: a campaign to create awareness among villagers and students; ring vaccination of cattle against </w:t>
      </w:r>
      <w:r w:rsidR="00E06571" w:rsidRPr="00F7716C">
        <w:t>a</w:t>
      </w:r>
      <w:r w:rsidRPr="00F7716C">
        <w:t xml:space="preserve">nthrax; treatment of sick animals with antimicrobial drugs; disposal of carcasses in deep burial pits; recall, collection, and disposal into burial pits of all potentially infected meat and hides from cattle that died of suspected or confirmed </w:t>
      </w:r>
      <w:r w:rsidR="00E06571" w:rsidRPr="00F7716C">
        <w:t>a</w:t>
      </w:r>
      <w:r w:rsidRPr="00F7716C">
        <w:t xml:space="preserve">nthrax, and monitoring and treatment of persons in whom cutaneous </w:t>
      </w:r>
      <w:r w:rsidR="00E06571" w:rsidRPr="00F7716C">
        <w:t>a</w:t>
      </w:r>
      <w:r w:rsidRPr="00F7716C">
        <w:t>nthrax developed. These control measures ha</w:t>
      </w:r>
      <w:r w:rsidR="00E06571" w:rsidRPr="00F7716C">
        <w:t>ve</w:t>
      </w:r>
      <w:r w:rsidRPr="00F7716C">
        <w:t xml:space="preserve"> proved effective (Thapa, 2014). In Nepal, several strategies like vaccination, awareness, </w:t>
      </w:r>
      <w:r w:rsidR="00E06571" w:rsidRPr="00F7716C">
        <w:t xml:space="preserve">and </w:t>
      </w:r>
      <w:r w:rsidRPr="00F7716C">
        <w:t xml:space="preserve">capacity build-up were applied along with improvement in animal slaughtering and meat inspection in </w:t>
      </w:r>
      <w:r w:rsidR="00C37148" w:rsidRPr="00F7716C">
        <w:t>rural and urban areas, which</w:t>
      </w:r>
      <w:r w:rsidRPr="00F7716C">
        <w:t xml:space="preserve"> helped for anthrax prevention (Joshi et al.,</w:t>
      </w:r>
      <w:r w:rsidRPr="00F7716C">
        <w:rPr>
          <w:i/>
        </w:rPr>
        <w:t xml:space="preserve"> </w:t>
      </w:r>
      <w:r w:rsidRPr="00F7716C">
        <w:t xml:space="preserve">2003). In India, it emphasizes step-up inter-sectoral coordination, collaboration, and sensitization among departments (especially health, veterinary, forestry, education, nutrition, and tribal welfare) to reduce the prevalence and control the outbreaks of </w:t>
      </w:r>
      <w:r w:rsidR="00E06571" w:rsidRPr="00F7716C">
        <w:t>a</w:t>
      </w:r>
      <w:r w:rsidRPr="00F7716C">
        <w:t>nthrax</w:t>
      </w:r>
      <w:r w:rsidR="00E06571" w:rsidRPr="00F7716C">
        <w:t>. Still,</w:t>
      </w:r>
      <w:r w:rsidRPr="00F7716C">
        <w:t xml:space="preserve"> they recommended raising community literacy, </w:t>
      </w:r>
      <w:r w:rsidR="00C37148" w:rsidRPr="00F7716C">
        <w:t>particularly</w:t>
      </w:r>
      <w:r w:rsidRPr="00F7716C">
        <w:t xml:space="preserve"> on safe carcass disposal, changing behavior on dead-livestock consumption</w:t>
      </w:r>
      <w:r w:rsidR="00C37148" w:rsidRPr="00F7716C">
        <w:t>,</w:t>
      </w:r>
      <w:r w:rsidRPr="00F7716C">
        <w:t xml:space="preserve"> and compliance with livestock vaccinations (Sahoo et al.,</w:t>
      </w:r>
      <w:r w:rsidRPr="00F7716C">
        <w:rPr>
          <w:i/>
        </w:rPr>
        <w:t xml:space="preserve"> </w:t>
      </w:r>
      <w:r w:rsidRPr="00F7716C">
        <w:t xml:space="preserve">2020). In the model area, </w:t>
      </w:r>
      <w:r w:rsidR="00E06571" w:rsidRPr="00F7716C">
        <w:t>a</w:t>
      </w:r>
      <w:r w:rsidRPr="00F7716C">
        <w:t>nthrax almost every year- 2010, 2011, 2012, 2014, and 2016, but no anthrax was observed in the last three years due to the application of our approach. Similar approaches applied to our model proved successful in most countries like Zambia, Ghana, Georgia, South Africa, Zimbabwe, and Zambia became a model country for anthrax control (WHO, 2008). On comparing their results, our results were very similar. In North America, one interesting finding was seen. While the disease occurs sporadically in western Canada, they were not maintaining vaccination and had a simple surveillance program. Anthrax was seen again in Ontario after an apparent absence of some decades (Hugh-Jones, 1999).</w:t>
      </w:r>
    </w:p>
    <w:p w14:paraId="4F336552" w14:textId="77777777" w:rsidR="00E06571" w:rsidRPr="00F7716C" w:rsidRDefault="00E06571" w:rsidP="00E06571"/>
    <w:p w14:paraId="66D5DF39" w14:textId="614E0900" w:rsidR="00AD170D" w:rsidRPr="00F7716C" w:rsidRDefault="00B654AC" w:rsidP="00E06571">
      <w:r w:rsidRPr="00F7716C">
        <w:t xml:space="preserve">The components of the Integrated Approach that were used to create the anthrax model area were highly rational and recommended by various recognized organizations like the World Health Organization (WHO), World Organization for Animal Health (OIE), Food and Agriculture Organization of the United Nations (FAO). Many African countries like Zambia, Tanzania, Kenya, </w:t>
      </w:r>
      <w:r w:rsidR="00E06571" w:rsidRPr="00F7716C">
        <w:t xml:space="preserve">and </w:t>
      </w:r>
      <w:r w:rsidRPr="00F7716C">
        <w:t xml:space="preserve">South Africa primarily focused on emergency and compulsory vaccination, proper </w:t>
      </w:r>
      <w:r w:rsidR="00E06571" w:rsidRPr="00F7716C">
        <w:t>carcass disposal</w:t>
      </w:r>
      <w:r w:rsidRPr="00F7716C">
        <w:t>, public education campaign</w:t>
      </w:r>
      <w:r w:rsidR="00E06571" w:rsidRPr="00F7716C">
        <w:t>s</w:t>
      </w:r>
      <w:r w:rsidRPr="00F7716C">
        <w:t xml:space="preserve"> by community health and veterinary staff, </w:t>
      </w:r>
      <w:r w:rsidR="00E06571" w:rsidRPr="00F7716C">
        <w:t xml:space="preserve">and </w:t>
      </w:r>
      <w:r w:rsidRPr="00F7716C">
        <w:t xml:space="preserve">quarantine of an affected area (Balogh, 1994). Education is an essential part of the control program for </w:t>
      </w:r>
      <w:r w:rsidR="00E06571" w:rsidRPr="00F7716C">
        <w:t>a</w:t>
      </w:r>
      <w:r w:rsidRPr="00F7716C">
        <w:t xml:space="preserve">nthrax, as an </w:t>
      </w:r>
      <w:r w:rsidRPr="00F7716C">
        <w:lastRenderedPageBreak/>
        <w:t xml:space="preserve">infectious disease. This has to be pitched at diverse levels within different societies and social groups. However, an excellent model was established in Zambia with material prepared to help villagers recognize the nature of </w:t>
      </w:r>
      <w:r w:rsidR="00E06571" w:rsidRPr="00F7716C">
        <w:t>a</w:t>
      </w:r>
      <w:r w:rsidRPr="00F7716C">
        <w:t>nthrax, the reasons for the need to control it, and the methods to do so (</w:t>
      </w:r>
      <w:proofErr w:type="spellStart"/>
      <w:r w:rsidRPr="00F7716C">
        <w:t>Dietvorst</w:t>
      </w:r>
      <w:proofErr w:type="spellEnd"/>
      <w:r w:rsidRPr="00F7716C">
        <w:t xml:space="preserve">, 1996). The widespread use of a live spore vaccine in South Africa has reduced the incidence of </w:t>
      </w:r>
      <w:r w:rsidR="00E06571" w:rsidRPr="00F7716C">
        <w:t>a</w:t>
      </w:r>
      <w:r w:rsidRPr="00F7716C">
        <w:t xml:space="preserve">nthrax in cattle in this area by more than 99% (Ahmed et al., 2010). Human Anthrax has been virtually eliminated in many developed countries because of effective control measures, including mass animal vaccination, governmental law and veterinary supervision of animal slaughter, and quality control of animal products (Turnbull et al., 1999). A multi-sectoral team from animal and public health offices in Bhutan visited the outbreak area to investigate and establish a control program in Bhutan. To halt the spread of </w:t>
      </w:r>
      <w:r w:rsidR="00E06571" w:rsidRPr="00F7716C">
        <w:t xml:space="preserve">the </w:t>
      </w:r>
      <w:r w:rsidRPr="00F7716C">
        <w:t xml:space="preserve">disease, the team recommended a campaign to encourage awareness among villagers and students. Ring vaccination of cattle against </w:t>
      </w:r>
      <w:r w:rsidR="00E06571" w:rsidRPr="00F7716C">
        <w:t>a</w:t>
      </w:r>
      <w:r w:rsidRPr="00F7716C">
        <w:t xml:space="preserve">nthrax; treatment of sick animals with antimicrobial drugs; disposal of carcasses in deep burial pits; recall, collection, and dumping into burial pits of all potentially infected meat and hides from cattle that died of suspected or confirmed </w:t>
      </w:r>
      <w:r w:rsidR="00E06571" w:rsidRPr="00F7716C">
        <w:t>a</w:t>
      </w:r>
      <w:r w:rsidRPr="00F7716C">
        <w:t xml:space="preserve">nthrax; and monitoring and treatment of people in whom cutaneous </w:t>
      </w:r>
      <w:r w:rsidR="00E06571" w:rsidRPr="00F7716C">
        <w:t>a</w:t>
      </w:r>
      <w:r w:rsidRPr="00F7716C">
        <w:t xml:space="preserve">nthrax developed (Thapa et al., 2014). Chen et al. (2016) mentioned a comprehensive and in-depth retrospective epidemiological study on the spatiotemporal dynamics and risk factors of </w:t>
      </w:r>
      <w:r w:rsidR="00E06571" w:rsidRPr="00F7716C">
        <w:t>a</w:t>
      </w:r>
      <w:r w:rsidRPr="00F7716C">
        <w:t xml:space="preserve">nthrax is needed to control </w:t>
      </w:r>
      <w:r w:rsidR="00E06571" w:rsidRPr="00F7716C">
        <w:t>a</w:t>
      </w:r>
      <w:r w:rsidRPr="00F7716C">
        <w:t xml:space="preserve">nthrax. He prepared a map for the demonstrated distribution of </w:t>
      </w:r>
      <w:r w:rsidR="00E06571" w:rsidRPr="00F7716C">
        <w:t>a</w:t>
      </w:r>
      <w:r w:rsidRPr="00F7716C">
        <w:t xml:space="preserve">nthrax. Patil (2010) highlighted the proper legislation for meat handling, behavioral change communication, and effective immunization of animals to control anthrax disease in India. In Bangladesh, researchers like Ahmed et al. (2010); Roy et al. (2013); Islam et al. (2013); Hasan et al. (2015); Ahsan et al. (2015) recommended a formulation of comprehensive preparedness and response guidelines (strategies), including the activities relating to surveillance, communication, vaccination, outbreak investigation and to be approved by the government and implemented in the risky high districts towards minimizing animal anthrax at source are demanded. </w:t>
      </w:r>
    </w:p>
    <w:p w14:paraId="6304E483" w14:textId="77777777" w:rsidR="00E06571" w:rsidRPr="00F7716C" w:rsidRDefault="00E06571" w:rsidP="00E06571">
      <w:pPr>
        <w:rPr>
          <w:b/>
        </w:rPr>
      </w:pPr>
    </w:p>
    <w:p w14:paraId="35E16EAA" w14:textId="1FCBA75C" w:rsidR="00AD170D" w:rsidRPr="00F7716C" w:rsidRDefault="00B654AC" w:rsidP="00E06571">
      <w:r w:rsidRPr="00F7716C">
        <w:t xml:space="preserve">Progressive control pathway (PCP) is a staged approach increasingly used for the reduction, elimination, and eradication of a range of human and animal diseases, including foot-and-mouth disease (FMD), </w:t>
      </w:r>
      <w:proofErr w:type="spellStart"/>
      <w:r w:rsidR="00E06571" w:rsidRPr="00F7716C">
        <w:rPr>
          <w:i/>
        </w:rPr>
        <w:t>P</w:t>
      </w:r>
      <w:r w:rsidRPr="00F7716C">
        <w:rPr>
          <w:i/>
        </w:rPr>
        <w:t>este</w:t>
      </w:r>
      <w:proofErr w:type="spellEnd"/>
      <w:r w:rsidRPr="00F7716C">
        <w:rPr>
          <w:i/>
        </w:rPr>
        <w:t xml:space="preserve"> des </w:t>
      </w:r>
      <w:r w:rsidR="00E06571" w:rsidRPr="00F7716C">
        <w:rPr>
          <w:i/>
        </w:rPr>
        <w:t>P</w:t>
      </w:r>
      <w:r w:rsidRPr="00F7716C">
        <w:rPr>
          <w:i/>
        </w:rPr>
        <w:t>etits ruminants</w:t>
      </w:r>
      <w:r w:rsidRPr="00F7716C">
        <w:t xml:space="preserve"> (PPR), brucellosis, and rabies (Sumption et al., 2012; OIE, 2012; FAO, 2015). Within the PCP acronym, the word 'control' can </w:t>
      </w:r>
      <w:r w:rsidR="00E06571" w:rsidRPr="00F7716C">
        <w:t>encompass</w:t>
      </w:r>
      <w:r w:rsidRPr="00F7716C">
        <w:t xml:space="preserve"> the full range of strategies against diseases and reducing the disease burden to elimination and eradication. Although our research work is not eradicated, we think this work is the first step in eradicating the disease. Our approaches to controlling </w:t>
      </w:r>
      <w:r w:rsidR="00E06571" w:rsidRPr="00F7716C">
        <w:t>a</w:t>
      </w:r>
      <w:r w:rsidRPr="00F7716C">
        <w:t xml:space="preserve">nthrax were implemented step by step without managing them all </w:t>
      </w:r>
      <w:r w:rsidR="00E06571" w:rsidRPr="00F7716C">
        <w:t>simultaneously</w:t>
      </w:r>
      <w:r w:rsidRPr="00F7716C">
        <w:t xml:space="preserve">. We called the continuation of this work the Progressive Control Pathway. Some work was dependent on one another. For example, if people in the area have no idea about </w:t>
      </w:r>
      <w:r w:rsidR="00E06571" w:rsidRPr="00F7716C">
        <w:t>a</w:t>
      </w:r>
      <w:r w:rsidRPr="00F7716C">
        <w:t xml:space="preserve">nthrax, they will not refrain from buying the meat of infected animals. On the other hand, cattle owners will not vaccinate cows if they do not know the dangers and consequences of </w:t>
      </w:r>
      <w:r w:rsidR="00E06571" w:rsidRPr="00F7716C">
        <w:t>a</w:t>
      </w:r>
      <w:r w:rsidRPr="00F7716C">
        <w:t>nthrax. Again, if the people are not aware of the overall situation, they will not want to abide by the existing laws regarding animal slaughter. Considering all these factors, we sorted out our research work. On the other hand, since awareness and vaccination rates were meager, these issues were given the highest priority. Such pathways are used in disease prevention and eradication works. The progressive control pathway is also recognized as an effective and more sustainable method applied in many countries (</w:t>
      </w:r>
      <w:proofErr w:type="spellStart"/>
      <w:r w:rsidRPr="00F7716C">
        <w:t>Diall</w:t>
      </w:r>
      <w:proofErr w:type="spellEnd"/>
      <w:r w:rsidRPr="00F7716C">
        <w:t xml:space="preserve"> et al., 2017). </w:t>
      </w:r>
    </w:p>
    <w:p w14:paraId="43EFAA66" w14:textId="77777777" w:rsidR="00E06571" w:rsidRPr="00F7716C" w:rsidRDefault="00E06571" w:rsidP="00E06571"/>
    <w:p w14:paraId="245F4B3F" w14:textId="385832A9" w:rsidR="00AD170D" w:rsidRPr="00F7716C" w:rsidRDefault="00B654AC" w:rsidP="00E06571">
      <w:r w:rsidRPr="00F7716C">
        <w:t xml:space="preserve">Since the research work was time-based, the results of three years were seen. If the work could have been done for a longer time and the effects could have been observed for </w:t>
      </w:r>
      <w:r w:rsidRPr="00F7716C">
        <w:lastRenderedPageBreak/>
        <w:t xml:space="preserve">more time, it would have been more confident to say how practical our integrated approach is. </w:t>
      </w:r>
    </w:p>
    <w:p w14:paraId="76D68168" w14:textId="77777777" w:rsidR="00AD170D" w:rsidRPr="00F7716C" w:rsidRDefault="00AD170D" w:rsidP="00E06571"/>
    <w:p w14:paraId="1E2F649A" w14:textId="77777777" w:rsidR="00AD170D" w:rsidRPr="00F7716C" w:rsidRDefault="00B654AC" w:rsidP="00E06571">
      <w:pPr>
        <w:numPr>
          <w:ilvl w:val="0"/>
          <w:numId w:val="1"/>
        </w:numPr>
        <w:pBdr>
          <w:top w:val="nil"/>
          <w:left w:val="nil"/>
          <w:bottom w:val="nil"/>
          <w:right w:val="nil"/>
          <w:between w:val="nil"/>
        </w:pBdr>
        <w:ind w:left="360"/>
        <w:rPr>
          <w:rFonts w:eastAsia="Calibri"/>
          <w:b/>
        </w:rPr>
      </w:pPr>
      <w:r w:rsidRPr="00F7716C">
        <w:rPr>
          <w:rFonts w:eastAsia="Calibri"/>
          <w:b/>
        </w:rPr>
        <w:t>CONCLUSIONS</w:t>
      </w:r>
    </w:p>
    <w:p w14:paraId="494D624F" w14:textId="77777777" w:rsidR="00E06571" w:rsidRPr="00F7716C" w:rsidRDefault="00E06571" w:rsidP="00E06571"/>
    <w:p w14:paraId="1B331820" w14:textId="2B16B823" w:rsidR="00AD170D" w:rsidRPr="00F7716C" w:rsidRDefault="00B654AC" w:rsidP="00E06571">
      <w:r w:rsidRPr="00F7716C">
        <w:t>In Bangladesh, climate, soil properties, rainfall pattern, temperature, animal population, husbandry pattern, management practice, feeding, and disease management is the potential threat for anthrax disease. Besides, the economic status of farmers, their knowledge level, the capacity of anthrax control measures, the awareness level of meat sellers and consumers, animal slaughter practice, inadequate vaccination coverage, limited application of existing laws, all these things have created a re-attack of the disease in the future. Any time there may be an epidemic</w:t>
      </w:r>
      <w:r w:rsidR="00E06571" w:rsidRPr="00F7716C">
        <w:t>, and t</w:t>
      </w:r>
      <w:r w:rsidRPr="00F7716C">
        <w:t>here is an urgent need for Bangladesh to make a concerted effort to avoid such a situation arising. Based on the research finding, it can be concluded that the integrated approach is an efficient, effective, and suitable method to set up an anthrax-free model in the area where there will be. And this model may extend to the other parts of Bangladesh</w:t>
      </w:r>
      <w:r w:rsidR="00E06571" w:rsidRPr="00F7716C">
        <w:t xml:space="preserve"> and</w:t>
      </w:r>
      <w:r w:rsidRPr="00F7716C">
        <w:t xml:space="preserve"> in similar geographic regions like India, Nepal, and other South Asian countries where anthrax is still a problem in both animals and humans.</w:t>
      </w:r>
    </w:p>
    <w:p w14:paraId="1231559A" w14:textId="77777777" w:rsidR="00AD170D" w:rsidRPr="00F7716C" w:rsidRDefault="00AD170D" w:rsidP="00E06571"/>
    <w:p w14:paraId="09AD9D7C" w14:textId="77777777" w:rsidR="00AD170D" w:rsidRPr="00F7716C" w:rsidRDefault="00B654AC" w:rsidP="00E06571">
      <w:pPr>
        <w:rPr>
          <w:b/>
        </w:rPr>
      </w:pPr>
      <w:r w:rsidRPr="00F7716C">
        <w:rPr>
          <w:b/>
        </w:rPr>
        <w:t>ACKNOWLEDGMENTS</w:t>
      </w:r>
    </w:p>
    <w:p w14:paraId="299EAFE6" w14:textId="77777777" w:rsidR="00E06571" w:rsidRPr="00F7716C" w:rsidRDefault="00E06571" w:rsidP="00E06571"/>
    <w:p w14:paraId="647F5BC9" w14:textId="1FA40CA0" w:rsidR="00AD170D" w:rsidRPr="00F7716C" w:rsidRDefault="00B654AC" w:rsidP="00E06571">
      <w:r w:rsidRPr="00F7716C">
        <w:t xml:space="preserve">We are grateful to all personnel involved in this research study for their valuable time, opinion, advice, and suggestions. The authors would like to thank the District Livestock office, </w:t>
      </w:r>
      <w:proofErr w:type="spellStart"/>
      <w:r w:rsidRPr="00F7716C">
        <w:t>Upazilla</w:t>
      </w:r>
      <w:proofErr w:type="spellEnd"/>
      <w:r w:rsidRPr="00F7716C">
        <w:t xml:space="preserve"> Livestock Office, Department of Livestock Services (DLS), Bangladesh, Department of Microbiology and Hygiene, and Department of Agricultural Extension Education, Bangladesh Agricultural University, Mymensingh for their technical assistance. </w:t>
      </w:r>
      <w:r w:rsidR="00E06571" w:rsidRPr="00F7716C">
        <w:t>The a</w:t>
      </w:r>
      <w:r w:rsidRPr="00F7716C">
        <w:t>uthors would like to thank the two anonymous reviewers for their insightful comments</w:t>
      </w:r>
      <w:r w:rsidR="00E06571" w:rsidRPr="00F7716C">
        <w:t>,</w:t>
      </w:r>
      <w:r w:rsidRPr="00F7716C">
        <w:t xml:space="preserve"> which significantly improved the manuscript.</w:t>
      </w:r>
    </w:p>
    <w:p w14:paraId="7A8F390C" w14:textId="77777777" w:rsidR="00E06571" w:rsidRPr="00F7716C" w:rsidRDefault="00E06571" w:rsidP="00E06571">
      <w:pPr>
        <w:rPr>
          <w:b/>
        </w:rPr>
      </w:pPr>
    </w:p>
    <w:p w14:paraId="04F121A3" w14:textId="2CBD7070" w:rsidR="00AD170D" w:rsidRPr="00F7716C" w:rsidRDefault="00B654AC" w:rsidP="00E06571">
      <w:pPr>
        <w:rPr>
          <w:b/>
        </w:rPr>
      </w:pPr>
      <w:r w:rsidRPr="00F7716C">
        <w:rPr>
          <w:b/>
        </w:rPr>
        <w:t>CONFLICT OF INTEREST</w:t>
      </w:r>
    </w:p>
    <w:p w14:paraId="4C69C908" w14:textId="77777777" w:rsidR="00E06571" w:rsidRPr="00F7716C" w:rsidRDefault="00E06571" w:rsidP="00E06571"/>
    <w:p w14:paraId="31A4281B" w14:textId="6DFE35FB" w:rsidR="00AD170D" w:rsidRPr="00F7716C" w:rsidRDefault="00B654AC" w:rsidP="00E06571">
      <w:r w:rsidRPr="00F7716C">
        <w:t>The authors declare no conflict of interest.</w:t>
      </w:r>
    </w:p>
    <w:p w14:paraId="799B646A" w14:textId="77777777" w:rsidR="00E06571" w:rsidRPr="00F7716C" w:rsidRDefault="00E06571" w:rsidP="00E06571">
      <w:pPr>
        <w:rPr>
          <w:b/>
        </w:rPr>
      </w:pPr>
    </w:p>
    <w:p w14:paraId="01A36F00" w14:textId="64F08140" w:rsidR="00AD170D" w:rsidRPr="00F7716C" w:rsidRDefault="00B654AC" w:rsidP="00E06571">
      <w:pPr>
        <w:rPr>
          <w:b/>
        </w:rPr>
      </w:pPr>
      <w:r w:rsidRPr="00F7716C">
        <w:rPr>
          <w:b/>
        </w:rPr>
        <w:t>ETHICAL STATEMENT</w:t>
      </w:r>
    </w:p>
    <w:p w14:paraId="5380A841" w14:textId="77777777" w:rsidR="00E06571" w:rsidRPr="00F7716C" w:rsidRDefault="00E06571" w:rsidP="00E06571"/>
    <w:p w14:paraId="75E608A5" w14:textId="190AA24F" w:rsidR="00AD170D" w:rsidRPr="00F7716C" w:rsidRDefault="00B654AC" w:rsidP="00E06571">
      <w:r w:rsidRPr="00F7716C">
        <w:t>The authors confirm that the ethical policies of the journal, as noted on the journal’s author guidelines page, have been adhered to</w:t>
      </w:r>
      <w:r w:rsidR="00E06571" w:rsidRPr="00F7716C">
        <w:t>,</w:t>
      </w:r>
      <w:r w:rsidRPr="00F7716C">
        <w:t xml:space="preserve"> and the appropriate ethical review committee approval has been received. A</w:t>
      </w:r>
      <w:r w:rsidR="00E06571" w:rsidRPr="00F7716C">
        <w:t>n</w:t>
      </w:r>
      <w:r w:rsidRPr="00F7716C">
        <w:t xml:space="preserve"> approval was take</w:t>
      </w:r>
      <w:r w:rsidR="00E06571" w:rsidRPr="00F7716C">
        <w:t>n</w:t>
      </w:r>
      <w:r w:rsidRPr="00F7716C">
        <w:t xml:space="preserve"> f</w:t>
      </w:r>
      <w:r w:rsidR="00E06571" w:rsidRPr="00F7716C">
        <w:t>ro</w:t>
      </w:r>
      <w:r w:rsidRPr="00F7716C">
        <w:t xml:space="preserve">m </w:t>
      </w:r>
      <w:r w:rsidR="00E06571" w:rsidRPr="00F7716C">
        <w:t xml:space="preserve">the </w:t>
      </w:r>
      <w:r w:rsidRPr="00F7716C">
        <w:t xml:space="preserve">Animal Welfare and Experimentation Ethics Committee (AWEEC) of Bangladesh Agricultural </w:t>
      </w:r>
      <w:r w:rsidR="00E06571" w:rsidRPr="00F7716C">
        <w:t>U</w:t>
      </w:r>
      <w:r w:rsidRPr="00F7716C">
        <w:t xml:space="preserve">niversity, Mymensingh-2002, Bangladesh </w:t>
      </w:r>
      <w:r w:rsidR="00E06571" w:rsidRPr="00F7716C">
        <w:t>[N</w:t>
      </w:r>
      <w:r w:rsidRPr="00F7716C">
        <w:t xml:space="preserve">o </w:t>
      </w:r>
      <w:r w:rsidR="00DC5840" w:rsidRPr="00F7716C">
        <w:t>AWEEC/BAU/2018(21)</w:t>
      </w:r>
      <w:r w:rsidR="00E06571" w:rsidRPr="00F7716C">
        <w:t>]</w:t>
      </w:r>
      <w:r w:rsidRPr="00F7716C">
        <w:t>.</w:t>
      </w:r>
    </w:p>
    <w:p w14:paraId="23A51915" w14:textId="77777777" w:rsidR="00E06571" w:rsidRPr="00F7716C" w:rsidRDefault="00E06571" w:rsidP="00E06571"/>
    <w:p w14:paraId="14E6A43F" w14:textId="72A44983" w:rsidR="00AD170D" w:rsidRPr="00F7716C" w:rsidRDefault="00B654AC" w:rsidP="00E06571">
      <w:pPr>
        <w:rPr>
          <w:b/>
          <w:bCs/>
        </w:rPr>
      </w:pPr>
      <w:r w:rsidRPr="00F7716C">
        <w:rPr>
          <w:b/>
          <w:bCs/>
        </w:rPr>
        <w:t>DATA AVAILABILITY STATEMENT</w:t>
      </w:r>
    </w:p>
    <w:p w14:paraId="42447DF2" w14:textId="77777777" w:rsidR="00E06571" w:rsidRPr="00F7716C" w:rsidRDefault="00E06571" w:rsidP="00E06571"/>
    <w:p w14:paraId="6F37BF1A" w14:textId="022AE29E" w:rsidR="00AD170D" w:rsidRPr="00F7716C" w:rsidRDefault="00B654AC" w:rsidP="00E06571">
      <w:r w:rsidRPr="00F7716C">
        <w:t>The data that support the findings of this study are available from the corresponding author upon reasonable request</w:t>
      </w:r>
    </w:p>
    <w:p w14:paraId="71565FEF" w14:textId="77777777" w:rsidR="00E06571" w:rsidRPr="00F7716C" w:rsidRDefault="00E06571" w:rsidP="00E06571"/>
    <w:p w14:paraId="6ED5310D" w14:textId="342063D7" w:rsidR="00AD170D" w:rsidRPr="00F7716C" w:rsidRDefault="00B654AC" w:rsidP="00E06571">
      <w:pPr>
        <w:rPr>
          <w:b/>
          <w:bCs/>
        </w:rPr>
      </w:pPr>
      <w:r w:rsidRPr="00F7716C">
        <w:rPr>
          <w:b/>
          <w:bCs/>
        </w:rPr>
        <w:t>ORCID</w:t>
      </w:r>
      <w:r w:rsidR="00E06571" w:rsidRPr="00F7716C">
        <w:rPr>
          <w:b/>
          <w:bCs/>
        </w:rPr>
        <w:t>s</w:t>
      </w:r>
    </w:p>
    <w:p w14:paraId="5698C19E" w14:textId="77777777" w:rsidR="00E06571" w:rsidRPr="00F7716C" w:rsidRDefault="00E06571" w:rsidP="00E06571">
      <w:pPr>
        <w:rPr>
          <w:b/>
          <w:bCs/>
        </w:rPr>
      </w:pPr>
    </w:p>
    <w:p w14:paraId="03C7AFAB" w14:textId="77777777" w:rsidR="00AD170D" w:rsidRPr="00F7716C" w:rsidRDefault="00B654AC" w:rsidP="00E06571">
      <w:r w:rsidRPr="00F7716C">
        <w:t>Md. Shahjahan Ali Sarker (ORCID: 0000-0001-7480-3576)</w:t>
      </w:r>
    </w:p>
    <w:p w14:paraId="1EAAF4FC" w14:textId="77777777" w:rsidR="00AD170D" w:rsidRPr="00F7716C" w:rsidRDefault="00B654AC" w:rsidP="00E06571">
      <w:r w:rsidRPr="00F7716C">
        <w:t xml:space="preserve"> Md. </w:t>
      </w:r>
      <w:proofErr w:type="spellStart"/>
      <w:r w:rsidRPr="00F7716C">
        <w:t>Ahosanul</w:t>
      </w:r>
      <w:proofErr w:type="spellEnd"/>
      <w:r w:rsidRPr="00F7716C">
        <w:t xml:space="preserve"> Haque Shahid (RCID: 0000-0002-0281-4644)</w:t>
      </w:r>
    </w:p>
    <w:p w14:paraId="1F85346D" w14:textId="77777777" w:rsidR="00AD170D" w:rsidRPr="00F7716C" w:rsidRDefault="00B654AC" w:rsidP="00E06571">
      <w:r w:rsidRPr="00F7716C">
        <w:lastRenderedPageBreak/>
        <w:t xml:space="preserve"> Md. </w:t>
      </w:r>
      <w:proofErr w:type="spellStart"/>
      <w:r w:rsidRPr="00F7716C">
        <w:t>Muket</w:t>
      </w:r>
      <w:proofErr w:type="spellEnd"/>
      <w:r w:rsidRPr="00F7716C">
        <w:t xml:space="preserve"> Mahmud</w:t>
      </w:r>
    </w:p>
    <w:p w14:paraId="5438FB02" w14:textId="7C028567" w:rsidR="00AD170D" w:rsidRPr="00F7716C" w:rsidRDefault="00B654AC" w:rsidP="00E06571">
      <w:proofErr w:type="spellStart"/>
      <w:r w:rsidRPr="00F7716C">
        <w:t>Ajran</w:t>
      </w:r>
      <w:proofErr w:type="spellEnd"/>
      <w:r w:rsidRPr="00F7716C">
        <w:t xml:space="preserve"> Kabir</w:t>
      </w:r>
    </w:p>
    <w:p w14:paraId="29026B85" w14:textId="77777777" w:rsidR="00AD170D" w:rsidRPr="00F7716C" w:rsidRDefault="00B654AC" w:rsidP="00E06571">
      <w:r w:rsidRPr="00F7716C">
        <w:t xml:space="preserve">Md. </w:t>
      </w:r>
      <w:proofErr w:type="spellStart"/>
      <w:r w:rsidRPr="00F7716C">
        <w:t>Bahanur</w:t>
      </w:r>
      <w:proofErr w:type="spellEnd"/>
      <w:r w:rsidRPr="00F7716C">
        <w:t xml:space="preserve"> Rahman </w:t>
      </w:r>
    </w:p>
    <w:p w14:paraId="5CE3A774" w14:textId="77777777" w:rsidR="00AD170D" w:rsidRPr="00F7716C" w:rsidRDefault="00B654AC" w:rsidP="00E06571">
      <w:r w:rsidRPr="00F7716C">
        <w:t xml:space="preserve">Md. </w:t>
      </w:r>
      <w:proofErr w:type="spellStart"/>
      <w:r w:rsidRPr="00F7716C">
        <w:t>Asaduzzaman</w:t>
      </w:r>
      <w:proofErr w:type="spellEnd"/>
      <w:r w:rsidRPr="00F7716C">
        <w:t xml:space="preserve"> Sarker </w:t>
      </w:r>
    </w:p>
    <w:p w14:paraId="249BFAB0" w14:textId="77777777" w:rsidR="00AD170D" w:rsidRPr="00F7716C" w:rsidRDefault="00B654AC" w:rsidP="00E06571">
      <w:r w:rsidRPr="00F7716C">
        <w:t xml:space="preserve"> </w:t>
      </w:r>
      <w:proofErr w:type="spellStart"/>
      <w:r w:rsidRPr="00F7716C">
        <w:t>Ratna</w:t>
      </w:r>
      <w:proofErr w:type="spellEnd"/>
      <w:r w:rsidRPr="00F7716C">
        <w:t xml:space="preserve"> Parvin</w:t>
      </w:r>
    </w:p>
    <w:p w14:paraId="0EECFAD9" w14:textId="77777777" w:rsidR="00AD170D" w:rsidRPr="00F7716C" w:rsidRDefault="00B654AC" w:rsidP="00E06571">
      <w:r w:rsidRPr="00F7716C">
        <w:t xml:space="preserve"> K. H. M. Nazmul Hussain Nazir (ORCID: 0000-0002-3893-754X)</w:t>
      </w:r>
    </w:p>
    <w:p w14:paraId="3217C37A" w14:textId="77777777" w:rsidR="00E06571" w:rsidRPr="00F7716C" w:rsidRDefault="00E06571" w:rsidP="00E06571"/>
    <w:p w14:paraId="71A820A9" w14:textId="77777777" w:rsidR="00AD170D" w:rsidRPr="00F7716C" w:rsidRDefault="00B654AC" w:rsidP="00E06571">
      <w:pPr>
        <w:rPr>
          <w:b/>
        </w:rPr>
      </w:pPr>
      <w:r w:rsidRPr="00F7716C">
        <w:rPr>
          <w:b/>
        </w:rPr>
        <w:t>REFERENCES</w:t>
      </w:r>
    </w:p>
    <w:p w14:paraId="0E92A309" w14:textId="77777777" w:rsidR="00E06571" w:rsidRPr="00F7716C" w:rsidRDefault="00E06571" w:rsidP="00E06571">
      <w:pPr>
        <w:ind w:left="720" w:hanging="720"/>
      </w:pPr>
    </w:p>
    <w:p w14:paraId="59F9DBC5" w14:textId="705BD8A2" w:rsidR="00AD170D" w:rsidRPr="00F7716C" w:rsidRDefault="00B654AC" w:rsidP="00E06571">
      <w:pPr>
        <w:ind w:left="720" w:hanging="720"/>
      </w:pPr>
      <w:r w:rsidRPr="00F7716C">
        <w:t xml:space="preserve">Ahmed, B. N., Sultana, Y., Fatema, D. S. M., Ara, K., Begum, N., </w:t>
      </w:r>
      <w:proofErr w:type="spellStart"/>
      <w:r w:rsidRPr="00F7716C">
        <w:t>Mostanzid</w:t>
      </w:r>
      <w:proofErr w:type="spellEnd"/>
      <w:r w:rsidRPr="00F7716C">
        <w:t xml:space="preserve">, S. M., &amp; </w:t>
      </w:r>
      <w:proofErr w:type="spellStart"/>
      <w:r w:rsidRPr="00F7716C">
        <w:t>Jubayer</w:t>
      </w:r>
      <w:proofErr w:type="spellEnd"/>
      <w:r w:rsidRPr="00F7716C">
        <w:t xml:space="preserve">, S. (2010). Anthrax: an emerging zoonotic disease in Bangladesh. </w:t>
      </w:r>
      <w:r w:rsidRPr="00F7716C">
        <w:rPr>
          <w:i/>
        </w:rPr>
        <w:t>Bangladesh Journal of Medical Microbiology</w:t>
      </w:r>
      <w:r w:rsidRPr="00F7716C">
        <w:t xml:space="preserve">, </w:t>
      </w:r>
      <w:r w:rsidRPr="00F7716C">
        <w:rPr>
          <w:i/>
        </w:rPr>
        <w:t>4</w:t>
      </w:r>
      <w:r w:rsidRPr="00F7716C">
        <w:t>(1), 46-50.</w:t>
      </w:r>
    </w:p>
    <w:p w14:paraId="6170EF74" w14:textId="7CB94D52" w:rsidR="00AD170D" w:rsidRPr="00F7716C" w:rsidRDefault="00B654AC" w:rsidP="00E06571">
      <w:pPr>
        <w:ind w:left="720" w:hanging="720"/>
      </w:pPr>
      <w:r w:rsidRPr="00F7716C">
        <w:t xml:space="preserve">Ahsan, M. M., Khan, M. F. R., Rahman, M. B., Hassan, J., Chowdhury, S. M. Z. H., </w:t>
      </w:r>
      <w:proofErr w:type="spellStart"/>
      <w:r w:rsidRPr="00F7716C">
        <w:t>Parvej</w:t>
      </w:r>
      <w:proofErr w:type="spellEnd"/>
      <w:r w:rsidRPr="00F7716C">
        <w:t xml:space="preserve">, M. S., ...  Nazir, K. H. M. N. H. (2013). Investigation into Bacillus anthracis spores in soil and analysis of environmental parameters related to repeated anthrax outbreak in Sirajganj, Bangladesh. </w:t>
      </w:r>
      <w:r w:rsidRPr="00F7716C">
        <w:rPr>
          <w:i/>
        </w:rPr>
        <w:t xml:space="preserve">Thai </w:t>
      </w:r>
      <w:proofErr w:type="spellStart"/>
      <w:r w:rsidRPr="00F7716C">
        <w:rPr>
          <w:i/>
        </w:rPr>
        <w:t>J</w:t>
      </w:r>
      <w:r w:rsidR="00E814F1" w:rsidRPr="00F7716C">
        <w:rPr>
          <w:i/>
        </w:rPr>
        <w:t>outnal</w:t>
      </w:r>
      <w:proofErr w:type="spellEnd"/>
      <w:r w:rsidR="00E814F1" w:rsidRPr="00F7716C">
        <w:rPr>
          <w:i/>
        </w:rPr>
        <w:t xml:space="preserve"> of</w:t>
      </w:r>
      <w:r w:rsidRPr="00F7716C">
        <w:rPr>
          <w:i/>
        </w:rPr>
        <w:t xml:space="preserve"> Vet</w:t>
      </w:r>
      <w:r w:rsidR="00E814F1" w:rsidRPr="00F7716C">
        <w:rPr>
          <w:i/>
        </w:rPr>
        <w:t>erinary</w:t>
      </w:r>
      <w:r w:rsidRPr="00F7716C">
        <w:rPr>
          <w:i/>
        </w:rPr>
        <w:t xml:space="preserve"> Med</w:t>
      </w:r>
      <w:r w:rsidR="00E814F1" w:rsidRPr="00F7716C">
        <w:rPr>
          <w:i/>
        </w:rPr>
        <w:t>icine</w:t>
      </w:r>
      <w:r w:rsidRPr="00F7716C">
        <w:t xml:space="preserve">, </w:t>
      </w:r>
      <w:r w:rsidRPr="00F7716C">
        <w:rPr>
          <w:i/>
        </w:rPr>
        <w:t>43</w:t>
      </w:r>
      <w:r w:rsidRPr="00F7716C">
        <w:t>(3), 449-54.</w:t>
      </w:r>
    </w:p>
    <w:p w14:paraId="449F1BA4" w14:textId="77777777" w:rsidR="00AD170D" w:rsidRPr="00F7716C" w:rsidRDefault="00B654AC" w:rsidP="00E06571">
      <w:pPr>
        <w:ind w:left="720" w:hanging="720"/>
      </w:pPr>
      <w:r w:rsidRPr="00F7716C">
        <w:t xml:space="preserve">Ahsan, M. M., Rahman, M. B., Chowdhury, S. M. Z. H., </w:t>
      </w:r>
      <w:proofErr w:type="spellStart"/>
      <w:r w:rsidRPr="00F7716C">
        <w:t>Parvej</w:t>
      </w:r>
      <w:proofErr w:type="spellEnd"/>
      <w:r w:rsidRPr="00F7716C">
        <w:t xml:space="preserve">, M. S., &amp; Nazir, K. N. H. (2015). Factors associated with repeated outbreak of anthrax in Bangladesh: qualitative and quantitative study. </w:t>
      </w:r>
      <w:r w:rsidRPr="00F7716C">
        <w:rPr>
          <w:i/>
        </w:rPr>
        <w:t>Journal of Advanced Veterinary and Animal Research</w:t>
      </w:r>
      <w:r w:rsidRPr="00F7716C">
        <w:t xml:space="preserve">, </w:t>
      </w:r>
      <w:r w:rsidRPr="00F7716C">
        <w:rPr>
          <w:i/>
        </w:rPr>
        <w:t>2</w:t>
      </w:r>
      <w:r w:rsidRPr="00F7716C">
        <w:t>(2), 158-164.</w:t>
      </w:r>
    </w:p>
    <w:p w14:paraId="26F44F00" w14:textId="52EF9936" w:rsidR="00AD170D" w:rsidRPr="00F7716C" w:rsidRDefault="00B654AC" w:rsidP="00E06571">
      <w:pPr>
        <w:ind w:left="720" w:hanging="720"/>
      </w:pPr>
      <w:r w:rsidRPr="00F7716C">
        <w:t xml:space="preserve">Balogh, K. D., </w:t>
      </w:r>
      <w:proofErr w:type="spellStart"/>
      <w:r w:rsidRPr="00F7716C">
        <w:t>Bbalo</w:t>
      </w:r>
      <w:proofErr w:type="spellEnd"/>
      <w:r w:rsidRPr="00F7716C">
        <w:t xml:space="preserve">, G. C., </w:t>
      </w:r>
      <w:proofErr w:type="spellStart"/>
      <w:r w:rsidRPr="00F7716C">
        <w:t>Böhm</w:t>
      </w:r>
      <w:proofErr w:type="spellEnd"/>
      <w:r w:rsidRPr="00F7716C">
        <w:t xml:space="preserve">, R., </w:t>
      </w:r>
      <w:proofErr w:type="spellStart"/>
      <w:r w:rsidRPr="00F7716C">
        <w:t>Chizyuka</w:t>
      </w:r>
      <w:proofErr w:type="spellEnd"/>
      <w:r w:rsidRPr="00F7716C">
        <w:t xml:space="preserve">, H. G. B., </w:t>
      </w:r>
      <w:proofErr w:type="spellStart"/>
      <w:r w:rsidRPr="00F7716C">
        <w:t>Kigan</w:t>
      </w:r>
      <w:proofErr w:type="spellEnd"/>
      <w:r w:rsidRPr="00F7716C">
        <w:t xml:space="preserve">, B., </w:t>
      </w:r>
      <w:proofErr w:type="spellStart"/>
      <w:r w:rsidRPr="00F7716C">
        <w:t>Komba</w:t>
      </w:r>
      <w:proofErr w:type="spellEnd"/>
      <w:r w:rsidRPr="00F7716C">
        <w:t xml:space="preserve">, G. L., ...  Fujikura, T. (1994). Anthrax control and research, with special reference to national </w:t>
      </w:r>
      <w:proofErr w:type="spellStart"/>
      <w:r w:rsidRPr="00F7716C">
        <w:t>programme</w:t>
      </w:r>
      <w:proofErr w:type="spellEnd"/>
      <w:r w:rsidRPr="00F7716C">
        <w:t xml:space="preserve"> development in Africa: memorandum from a WHO meeting. </w:t>
      </w:r>
      <w:r w:rsidRPr="00F7716C">
        <w:rPr>
          <w:i/>
        </w:rPr>
        <w:t>Bulletin of the World Health Organization</w:t>
      </w:r>
      <w:r w:rsidRPr="00F7716C">
        <w:t xml:space="preserve">, </w:t>
      </w:r>
      <w:r w:rsidRPr="00F7716C">
        <w:rPr>
          <w:i/>
        </w:rPr>
        <w:t>72</w:t>
      </w:r>
      <w:r w:rsidRPr="00F7716C">
        <w:t>(1), 13-22.</w:t>
      </w:r>
    </w:p>
    <w:p w14:paraId="05878679" w14:textId="076C02A2" w:rsidR="00AD170D" w:rsidRPr="00F7716C" w:rsidRDefault="00B654AC" w:rsidP="00E06571">
      <w:pPr>
        <w:ind w:left="720" w:hanging="720"/>
      </w:pPr>
      <w:r w:rsidRPr="00F7716C">
        <w:t xml:space="preserve">Carlson, C. J., </w:t>
      </w:r>
      <w:proofErr w:type="spellStart"/>
      <w:r w:rsidRPr="00F7716C">
        <w:t>Kracalik</w:t>
      </w:r>
      <w:proofErr w:type="spellEnd"/>
      <w:r w:rsidRPr="00F7716C">
        <w:t xml:space="preserve">, I. T., Ross, N., Alexander, K. A., Hugh-Jones, M. E., </w:t>
      </w:r>
      <w:proofErr w:type="spellStart"/>
      <w:r w:rsidRPr="00F7716C">
        <w:t>Fegan</w:t>
      </w:r>
      <w:proofErr w:type="spellEnd"/>
      <w:r w:rsidRPr="00F7716C">
        <w:t xml:space="preserve">, M., ... Blackburn, J. K. (2019). The global distribution of Bacillus anthracis and associated anthrax risk to humans, livestock and wildlife. </w:t>
      </w:r>
      <w:r w:rsidRPr="00F7716C">
        <w:rPr>
          <w:i/>
        </w:rPr>
        <w:t xml:space="preserve">Nature </w:t>
      </w:r>
      <w:r w:rsidR="00986418" w:rsidRPr="00F7716C">
        <w:rPr>
          <w:i/>
        </w:rPr>
        <w:t>M</w:t>
      </w:r>
      <w:r w:rsidRPr="00F7716C">
        <w:rPr>
          <w:i/>
        </w:rPr>
        <w:t>icrobiology</w:t>
      </w:r>
      <w:r w:rsidRPr="00F7716C">
        <w:t xml:space="preserve">, </w:t>
      </w:r>
      <w:r w:rsidRPr="00F7716C">
        <w:rPr>
          <w:i/>
        </w:rPr>
        <w:t>4</w:t>
      </w:r>
      <w:r w:rsidRPr="00F7716C">
        <w:t>(8), 1337-1343.</w:t>
      </w:r>
    </w:p>
    <w:p w14:paraId="3B3E90C5" w14:textId="6AD65AA2" w:rsidR="00AD170D" w:rsidRPr="00F7716C" w:rsidRDefault="00B654AC" w:rsidP="00E06571">
      <w:pPr>
        <w:ind w:left="720" w:hanging="720"/>
      </w:pPr>
      <w:r w:rsidRPr="00F7716C">
        <w:t xml:space="preserve">Chakraborty, A., Khan, S. U., </w:t>
      </w:r>
      <w:proofErr w:type="spellStart"/>
      <w:r w:rsidRPr="00F7716C">
        <w:t>Hasnat</w:t>
      </w:r>
      <w:proofErr w:type="spellEnd"/>
      <w:r w:rsidRPr="00F7716C">
        <w:t xml:space="preserve">, M. A., Parveen, S., Islam, M. S., </w:t>
      </w:r>
      <w:proofErr w:type="spellStart"/>
      <w:r w:rsidRPr="00F7716C">
        <w:t>Mikolon</w:t>
      </w:r>
      <w:proofErr w:type="spellEnd"/>
      <w:r w:rsidRPr="00F7716C">
        <w:t xml:space="preserve">, A., ...  Hossain, M. J. (2012). Anthrax outbreaks in Bangladesh, 2009–2010. </w:t>
      </w:r>
      <w:r w:rsidRPr="00F7716C">
        <w:rPr>
          <w:i/>
        </w:rPr>
        <w:t xml:space="preserve">The American </w:t>
      </w:r>
      <w:r w:rsidR="00986418" w:rsidRPr="00F7716C">
        <w:rPr>
          <w:i/>
        </w:rPr>
        <w:t>J</w:t>
      </w:r>
      <w:r w:rsidRPr="00F7716C">
        <w:rPr>
          <w:i/>
        </w:rPr>
        <w:t xml:space="preserve">ournal of </w:t>
      </w:r>
      <w:r w:rsidR="00986418" w:rsidRPr="00F7716C">
        <w:rPr>
          <w:i/>
        </w:rPr>
        <w:t>T</w:t>
      </w:r>
      <w:r w:rsidRPr="00F7716C">
        <w:rPr>
          <w:i/>
        </w:rPr>
        <w:t xml:space="preserve">ropical </w:t>
      </w:r>
      <w:r w:rsidR="00986418" w:rsidRPr="00F7716C">
        <w:rPr>
          <w:i/>
        </w:rPr>
        <w:t>M</w:t>
      </w:r>
      <w:r w:rsidRPr="00F7716C">
        <w:rPr>
          <w:i/>
        </w:rPr>
        <w:t xml:space="preserve">edicine and </w:t>
      </w:r>
      <w:r w:rsidR="00986418" w:rsidRPr="00F7716C">
        <w:rPr>
          <w:i/>
        </w:rPr>
        <w:t>H</w:t>
      </w:r>
      <w:r w:rsidRPr="00F7716C">
        <w:rPr>
          <w:i/>
        </w:rPr>
        <w:t>ygiene</w:t>
      </w:r>
      <w:r w:rsidRPr="00F7716C">
        <w:t xml:space="preserve">, </w:t>
      </w:r>
      <w:r w:rsidRPr="00F7716C">
        <w:rPr>
          <w:i/>
        </w:rPr>
        <w:t>86</w:t>
      </w:r>
      <w:r w:rsidRPr="00F7716C">
        <w:t>(4), 703-710.</w:t>
      </w:r>
    </w:p>
    <w:p w14:paraId="6A44B3F9" w14:textId="3BBED16D" w:rsidR="00AD170D" w:rsidRPr="00F7716C" w:rsidRDefault="00B654AC" w:rsidP="00E06571">
      <w:pPr>
        <w:ind w:left="720" w:hanging="720"/>
      </w:pPr>
      <w:r w:rsidRPr="00F7716C">
        <w:t xml:space="preserve">Chen, W. J., Lai, S. J., Yang, Y., Liu, K., Li, X. L., Yao, H. W., ... Cao, W. C. (2016). Mapping the distribution of anthrax in mainland China, 2005–2013. </w:t>
      </w:r>
      <w:proofErr w:type="spellStart"/>
      <w:r w:rsidRPr="00F7716C">
        <w:rPr>
          <w:i/>
        </w:rPr>
        <w:t>PLoS</w:t>
      </w:r>
      <w:proofErr w:type="spellEnd"/>
      <w:r w:rsidRPr="00F7716C">
        <w:rPr>
          <w:i/>
        </w:rPr>
        <w:t xml:space="preserve"> </w:t>
      </w:r>
      <w:r w:rsidR="00170F0A" w:rsidRPr="00F7716C">
        <w:rPr>
          <w:i/>
        </w:rPr>
        <w:t>N</w:t>
      </w:r>
      <w:r w:rsidRPr="00F7716C">
        <w:rPr>
          <w:i/>
        </w:rPr>
        <w:t xml:space="preserve">eglected </w:t>
      </w:r>
      <w:r w:rsidR="00170F0A" w:rsidRPr="00F7716C">
        <w:rPr>
          <w:i/>
        </w:rPr>
        <w:t>T</w:t>
      </w:r>
      <w:r w:rsidRPr="00F7716C">
        <w:rPr>
          <w:i/>
        </w:rPr>
        <w:t xml:space="preserve">ropical </w:t>
      </w:r>
      <w:r w:rsidR="00170F0A" w:rsidRPr="00F7716C">
        <w:rPr>
          <w:i/>
        </w:rPr>
        <w:t>D</w:t>
      </w:r>
      <w:r w:rsidRPr="00F7716C">
        <w:rPr>
          <w:i/>
        </w:rPr>
        <w:t>iseases</w:t>
      </w:r>
      <w:r w:rsidRPr="00F7716C">
        <w:t xml:space="preserve">, </w:t>
      </w:r>
      <w:r w:rsidRPr="00F7716C">
        <w:rPr>
          <w:i/>
        </w:rPr>
        <w:t>10</w:t>
      </w:r>
      <w:r w:rsidRPr="00F7716C">
        <w:t>(4), e0004637.</w:t>
      </w:r>
    </w:p>
    <w:p w14:paraId="68B95290" w14:textId="6F6AF88D" w:rsidR="00AD170D" w:rsidRPr="00F7716C" w:rsidRDefault="00B654AC" w:rsidP="00E06571">
      <w:pPr>
        <w:ind w:left="720" w:hanging="720"/>
      </w:pPr>
      <w:proofErr w:type="spellStart"/>
      <w:r w:rsidRPr="00F7716C">
        <w:t>Diall</w:t>
      </w:r>
      <w:proofErr w:type="spellEnd"/>
      <w:r w:rsidRPr="00F7716C">
        <w:t xml:space="preserve">, O., Cecchi, G., Wanda, G., </w:t>
      </w:r>
      <w:proofErr w:type="spellStart"/>
      <w:r w:rsidRPr="00F7716C">
        <w:t>Argilés</w:t>
      </w:r>
      <w:proofErr w:type="spellEnd"/>
      <w:r w:rsidRPr="00F7716C">
        <w:t xml:space="preserve">-Herrero, R., </w:t>
      </w:r>
      <w:proofErr w:type="spellStart"/>
      <w:r w:rsidRPr="00F7716C">
        <w:t>Vreysen</w:t>
      </w:r>
      <w:proofErr w:type="spellEnd"/>
      <w:r w:rsidRPr="00F7716C">
        <w:t xml:space="preserve">, M. J., </w:t>
      </w:r>
      <w:proofErr w:type="spellStart"/>
      <w:r w:rsidRPr="00F7716C">
        <w:t>Cattoli</w:t>
      </w:r>
      <w:proofErr w:type="spellEnd"/>
      <w:r w:rsidRPr="00F7716C">
        <w:t xml:space="preserve">, G., ...  </w:t>
      </w:r>
      <w:proofErr w:type="spellStart"/>
      <w:r w:rsidRPr="00F7716C">
        <w:t>Bouyer</w:t>
      </w:r>
      <w:proofErr w:type="spellEnd"/>
      <w:r w:rsidRPr="00F7716C">
        <w:t xml:space="preserve">, J. (2017). Developing a progressive control pathway for African animal </w:t>
      </w:r>
      <w:proofErr w:type="spellStart"/>
      <w:r w:rsidRPr="00F7716C">
        <w:t>trypanosomosis</w:t>
      </w:r>
      <w:proofErr w:type="spellEnd"/>
      <w:r w:rsidRPr="00F7716C">
        <w:t xml:space="preserve">. </w:t>
      </w:r>
      <w:r w:rsidRPr="00F7716C">
        <w:rPr>
          <w:i/>
        </w:rPr>
        <w:t>Trends in Parasitology</w:t>
      </w:r>
      <w:r w:rsidRPr="00F7716C">
        <w:t xml:space="preserve">, </w:t>
      </w:r>
      <w:r w:rsidRPr="00F7716C">
        <w:rPr>
          <w:i/>
        </w:rPr>
        <w:t>33</w:t>
      </w:r>
      <w:r w:rsidRPr="00F7716C">
        <w:t>(7), 499-509.</w:t>
      </w:r>
    </w:p>
    <w:p w14:paraId="28A148DD" w14:textId="77777777" w:rsidR="00AD170D" w:rsidRPr="00F7716C" w:rsidRDefault="00B654AC" w:rsidP="00E06571">
      <w:pPr>
        <w:ind w:left="720" w:hanging="720"/>
      </w:pPr>
      <w:proofErr w:type="spellStart"/>
      <w:r w:rsidRPr="00F7716C">
        <w:t>Dietvorst</w:t>
      </w:r>
      <w:proofErr w:type="spellEnd"/>
      <w:r w:rsidRPr="00F7716C">
        <w:t xml:space="preserve">, D. C. E. (1996). Educational material on anthrax for villages in western Zambia. In </w:t>
      </w:r>
      <w:r w:rsidRPr="00F7716C">
        <w:rPr>
          <w:i/>
        </w:rPr>
        <w:t>Proceedings of the International Workshop on Anthrax</w:t>
      </w:r>
      <w:r w:rsidRPr="00F7716C">
        <w:t xml:space="preserve"> (pp. 104-106). Salisbury Medical Bulletin.</w:t>
      </w:r>
    </w:p>
    <w:p w14:paraId="4E750500" w14:textId="77390428" w:rsidR="00AD170D" w:rsidRPr="00F7716C" w:rsidRDefault="00B654AC" w:rsidP="00E06571">
      <w:pPr>
        <w:ind w:left="720" w:hanging="720"/>
      </w:pPr>
      <w:r w:rsidRPr="00F7716C">
        <w:t xml:space="preserve">Dragon, D. C., Rennie, R. P., &amp; Elkin, B. T. (2001). Detection of anthrax spores in endemic regions of northern Canada. </w:t>
      </w:r>
      <w:r w:rsidRPr="00F7716C">
        <w:rPr>
          <w:i/>
        </w:rPr>
        <w:t xml:space="preserve">Journal of </w:t>
      </w:r>
      <w:r w:rsidR="00902DE1" w:rsidRPr="00F7716C">
        <w:rPr>
          <w:i/>
        </w:rPr>
        <w:t>A</w:t>
      </w:r>
      <w:r w:rsidRPr="00F7716C">
        <w:rPr>
          <w:i/>
        </w:rPr>
        <w:t xml:space="preserve">pplied </w:t>
      </w:r>
      <w:r w:rsidR="00902DE1" w:rsidRPr="00F7716C">
        <w:rPr>
          <w:i/>
        </w:rPr>
        <w:t>M</w:t>
      </w:r>
      <w:r w:rsidRPr="00F7716C">
        <w:rPr>
          <w:i/>
        </w:rPr>
        <w:t>icrobiology</w:t>
      </w:r>
      <w:r w:rsidRPr="00F7716C">
        <w:t xml:space="preserve">, </w:t>
      </w:r>
      <w:r w:rsidRPr="00F7716C">
        <w:rPr>
          <w:i/>
        </w:rPr>
        <w:t>91</w:t>
      </w:r>
      <w:r w:rsidRPr="00F7716C">
        <w:t>(3), 435-441.</w:t>
      </w:r>
    </w:p>
    <w:p w14:paraId="7A4DAC1C" w14:textId="2304273B" w:rsidR="00AD170D" w:rsidRPr="00F7716C" w:rsidRDefault="00B654AC" w:rsidP="00E06571">
      <w:pPr>
        <w:ind w:left="720" w:hanging="720"/>
      </w:pPr>
      <w:proofErr w:type="spellStart"/>
      <w:r w:rsidRPr="00F7716C">
        <w:t>Durrheim</w:t>
      </w:r>
      <w:proofErr w:type="spellEnd"/>
      <w:r w:rsidRPr="00F7716C">
        <w:t xml:space="preserve">, D. N., Freeman, P., Roth, I., &amp; </w:t>
      </w:r>
      <w:proofErr w:type="spellStart"/>
      <w:r w:rsidRPr="00F7716C">
        <w:t>Hornitzky</w:t>
      </w:r>
      <w:proofErr w:type="spellEnd"/>
      <w:r w:rsidRPr="00F7716C">
        <w:t xml:space="preserve">, M. (2009). Epidemiologic questions from anthrax outbreak, Hunter Valley, Australia. </w:t>
      </w:r>
      <w:r w:rsidRPr="00F7716C">
        <w:rPr>
          <w:i/>
        </w:rPr>
        <w:t xml:space="preserve">Emerging </w:t>
      </w:r>
      <w:r w:rsidR="00902DE1" w:rsidRPr="00F7716C">
        <w:rPr>
          <w:i/>
        </w:rPr>
        <w:t>I</w:t>
      </w:r>
      <w:r w:rsidRPr="00F7716C">
        <w:rPr>
          <w:i/>
        </w:rPr>
        <w:t xml:space="preserve">nfectious </w:t>
      </w:r>
      <w:r w:rsidR="00902DE1" w:rsidRPr="00F7716C">
        <w:rPr>
          <w:i/>
        </w:rPr>
        <w:t>D</w:t>
      </w:r>
      <w:r w:rsidRPr="00F7716C">
        <w:rPr>
          <w:i/>
        </w:rPr>
        <w:t>iseases</w:t>
      </w:r>
      <w:r w:rsidRPr="00F7716C">
        <w:t xml:space="preserve">, </w:t>
      </w:r>
      <w:r w:rsidRPr="00F7716C">
        <w:rPr>
          <w:i/>
        </w:rPr>
        <w:t>15</w:t>
      </w:r>
      <w:r w:rsidRPr="00F7716C">
        <w:t>(5), 840.</w:t>
      </w:r>
    </w:p>
    <w:p w14:paraId="10D0A995" w14:textId="1C8FEE38" w:rsidR="00AD170D" w:rsidRPr="00F7716C" w:rsidRDefault="00B654AC" w:rsidP="00E06571">
      <w:pPr>
        <w:ind w:left="720" w:hanging="720"/>
      </w:pPr>
      <w:r w:rsidRPr="00F7716C">
        <w:t xml:space="preserve">FAO. (2015). Food and Agricultural Organization of the United Nations, Global Strategy for the Control and Eradication of PPR. </w:t>
      </w:r>
      <w:r w:rsidR="004E1CBD" w:rsidRPr="00F7716C">
        <w:rPr>
          <w:shd w:val="clear" w:color="auto" w:fill="FFFFFF"/>
        </w:rPr>
        <w:t xml:space="preserve">Control and Eradication of </w:t>
      </w:r>
      <w:proofErr w:type="spellStart"/>
      <w:r w:rsidR="004E1CBD" w:rsidRPr="00F7716C">
        <w:rPr>
          <w:shd w:val="clear" w:color="auto" w:fill="FFFFFF"/>
        </w:rPr>
        <w:lastRenderedPageBreak/>
        <w:t>Peste</w:t>
      </w:r>
      <w:proofErr w:type="spellEnd"/>
      <w:r w:rsidR="004E1CBD" w:rsidRPr="00F7716C">
        <w:rPr>
          <w:shd w:val="clear" w:color="auto" w:fill="FFFFFF"/>
        </w:rPr>
        <w:t xml:space="preserve"> </w:t>
      </w:r>
      <w:proofErr w:type="gramStart"/>
      <w:r w:rsidR="004E1CBD" w:rsidRPr="00F7716C">
        <w:rPr>
          <w:shd w:val="clear" w:color="auto" w:fill="FFFFFF"/>
        </w:rPr>
        <w:t>Des</w:t>
      </w:r>
      <w:proofErr w:type="gramEnd"/>
      <w:r w:rsidR="004E1CBD" w:rsidRPr="00F7716C">
        <w:rPr>
          <w:shd w:val="clear" w:color="auto" w:fill="FFFFFF"/>
        </w:rPr>
        <w:t xml:space="preserve"> Petits Ruminants (PPR), Abidjan, Ivory Coast, 31 March–2 April 2015.</w:t>
      </w:r>
    </w:p>
    <w:p w14:paraId="300672E6" w14:textId="2871BA33" w:rsidR="00AD170D" w:rsidRPr="00F7716C" w:rsidRDefault="00B654AC" w:rsidP="00E06571">
      <w:pPr>
        <w:ind w:left="720" w:hanging="720"/>
      </w:pPr>
      <w:proofErr w:type="spellStart"/>
      <w:r w:rsidRPr="00F7716C">
        <w:t>Fasanella</w:t>
      </w:r>
      <w:proofErr w:type="spellEnd"/>
      <w:r w:rsidRPr="00F7716C">
        <w:t xml:space="preserve">, A., </w:t>
      </w:r>
      <w:proofErr w:type="spellStart"/>
      <w:r w:rsidRPr="00F7716C">
        <w:t>Garofolo</w:t>
      </w:r>
      <w:proofErr w:type="spellEnd"/>
      <w:r w:rsidRPr="00F7716C">
        <w:t xml:space="preserve">, G., Hossain, M. J., Shamsuddin, M., Blackburn, J. K., &amp; Hugh-Jones, M. (2013). Bangladesh anthrax outbreaks are probably caused by contaminated livestock feed. </w:t>
      </w:r>
      <w:r w:rsidRPr="00F7716C">
        <w:rPr>
          <w:i/>
        </w:rPr>
        <w:t xml:space="preserve">Epidemiology </w:t>
      </w:r>
      <w:r w:rsidR="00CD0CD0" w:rsidRPr="00F7716C">
        <w:rPr>
          <w:i/>
        </w:rPr>
        <w:t>and</w:t>
      </w:r>
      <w:r w:rsidRPr="00F7716C">
        <w:rPr>
          <w:i/>
        </w:rPr>
        <w:t xml:space="preserve"> Infection</w:t>
      </w:r>
      <w:r w:rsidRPr="00F7716C">
        <w:t xml:space="preserve">, </w:t>
      </w:r>
      <w:r w:rsidRPr="00F7716C">
        <w:rPr>
          <w:i/>
        </w:rPr>
        <w:t>141</w:t>
      </w:r>
      <w:r w:rsidRPr="00F7716C">
        <w:t>(5), 1021-1028.</w:t>
      </w:r>
    </w:p>
    <w:p w14:paraId="0272BD1F" w14:textId="18E6BA4C" w:rsidR="00AD170D" w:rsidRPr="00F7716C" w:rsidRDefault="00B654AC" w:rsidP="00E06571">
      <w:pPr>
        <w:ind w:left="720" w:hanging="720"/>
      </w:pPr>
      <w:r w:rsidRPr="00F7716C">
        <w:t xml:space="preserve">Hassan, J., Ahsan, M., Rahman, M., Chowdhury, S. M. Z. H., </w:t>
      </w:r>
      <w:proofErr w:type="spellStart"/>
      <w:r w:rsidRPr="00F7716C">
        <w:t>Parvej</w:t>
      </w:r>
      <w:proofErr w:type="spellEnd"/>
      <w:r w:rsidRPr="00F7716C">
        <w:t xml:space="preserve">, M., &amp; Nazir, K. H. M. (2015). Factors associated with repeated outbreak of anthrax in Bangladesh: qualitative and quantitative study. </w:t>
      </w:r>
      <w:r w:rsidRPr="00F7716C">
        <w:rPr>
          <w:i/>
        </w:rPr>
        <w:t xml:space="preserve">Journal of Advanced Veterinary </w:t>
      </w:r>
      <w:r w:rsidR="00CD0CD0" w:rsidRPr="00F7716C">
        <w:rPr>
          <w:i/>
        </w:rPr>
        <w:t>and</w:t>
      </w:r>
      <w:r w:rsidRPr="00F7716C">
        <w:rPr>
          <w:i/>
        </w:rPr>
        <w:t xml:space="preserve"> Animal Research</w:t>
      </w:r>
      <w:r w:rsidRPr="00F7716C">
        <w:t xml:space="preserve">, </w:t>
      </w:r>
      <w:r w:rsidRPr="00F7716C">
        <w:rPr>
          <w:i/>
        </w:rPr>
        <w:t>2</w:t>
      </w:r>
      <w:r w:rsidRPr="00F7716C">
        <w:t>(2).</w:t>
      </w:r>
    </w:p>
    <w:p w14:paraId="06CE0064" w14:textId="77777777" w:rsidR="00AD170D" w:rsidRPr="00F7716C" w:rsidRDefault="00B654AC" w:rsidP="00E06571">
      <w:pPr>
        <w:ind w:left="720" w:hanging="720"/>
      </w:pPr>
      <w:r w:rsidRPr="00F7716C">
        <w:t xml:space="preserve">Hassan, J., Rahman, M. B., Chowdhury, S. M. Z. H., </w:t>
      </w:r>
      <w:proofErr w:type="spellStart"/>
      <w:r w:rsidRPr="00F7716C">
        <w:t>Rabidas</w:t>
      </w:r>
      <w:proofErr w:type="spellEnd"/>
      <w:r w:rsidRPr="00F7716C">
        <w:t xml:space="preserve">, S. K., </w:t>
      </w:r>
      <w:proofErr w:type="spellStart"/>
      <w:r w:rsidRPr="00F7716C">
        <w:t>Parvej</w:t>
      </w:r>
      <w:proofErr w:type="spellEnd"/>
      <w:r w:rsidRPr="00F7716C">
        <w:t xml:space="preserve">, M. S., &amp; Nazir, K. N. H. (2015). ELISA based anthrax antibody titer in cattle induced by locally prepared anthrax vaccine originated from </w:t>
      </w:r>
      <w:proofErr w:type="spellStart"/>
      <w:r w:rsidRPr="00F7716C">
        <w:t>sterne</w:t>
      </w:r>
      <w:proofErr w:type="spellEnd"/>
      <w:r w:rsidRPr="00F7716C">
        <w:t xml:space="preserve"> F-24 strain in Bangladesh. </w:t>
      </w:r>
      <w:r w:rsidRPr="00F7716C">
        <w:rPr>
          <w:i/>
        </w:rPr>
        <w:t>Microbes and Health</w:t>
      </w:r>
      <w:r w:rsidRPr="00F7716C">
        <w:t xml:space="preserve">, </w:t>
      </w:r>
      <w:r w:rsidRPr="00F7716C">
        <w:rPr>
          <w:i/>
        </w:rPr>
        <w:t>4</w:t>
      </w:r>
      <w:r w:rsidRPr="00F7716C">
        <w:t>(1), 36-38.</w:t>
      </w:r>
    </w:p>
    <w:p w14:paraId="27F1C3AA" w14:textId="33141568" w:rsidR="00AD170D" w:rsidRPr="00F7716C" w:rsidRDefault="00B654AC" w:rsidP="00E06571">
      <w:pPr>
        <w:ind w:left="720" w:hanging="720"/>
      </w:pPr>
      <w:r w:rsidRPr="00F7716C">
        <w:t xml:space="preserve">Hugh‐Jones, M. (1999). 1996–97 global anthrax report. </w:t>
      </w:r>
      <w:r w:rsidRPr="00F7716C">
        <w:rPr>
          <w:i/>
        </w:rPr>
        <w:t xml:space="preserve">Journal of </w:t>
      </w:r>
      <w:r w:rsidR="005656A5" w:rsidRPr="00F7716C">
        <w:rPr>
          <w:i/>
        </w:rPr>
        <w:t>A</w:t>
      </w:r>
      <w:r w:rsidRPr="00F7716C">
        <w:rPr>
          <w:i/>
        </w:rPr>
        <w:t xml:space="preserve">pplied </w:t>
      </w:r>
      <w:r w:rsidR="005656A5" w:rsidRPr="00F7716C">
        <w:rPr>
          <w:i/>
        </w:rPr>
        <w:t>M</w:t>
      </w:r>
      <w:r w:rsidRPr="00F7716C">
        <w:rPr>
          <w:i/>
        </w:rPr>
        <w:t>icrobiology</w:t>
      </w:r>
      <w:r w:rsidRPr="00F7716C">
        <w:t xml:space="preserve">, </w:t>
      </w:r>
      <w:r w:rsidRPr="00F7716C">
        <w:rPr>
          <w:i/>
        </w:rPr>
        <w:t>87</w:t>
      </w:r>
      <w:r w:rsidRPr="00F7716C">
        <w:t>(2), 189-191.</w:t>
      </w:r>
    </w:p>
    <w:p w14:paraId="00EC183C" w14:textId="31688E46" w:rsidR="00AD170D" w:rsidRPr="00F7716C" w:rsidRDefault="00B654AC" w:rsidP="00E06571">
      <w:pPr>
        <w:ind w:left="720" w:hanging="720"/>
      </w:pPr>
      <w:proofErr w:type="spellStart"/>
      <w:r w:rsidRPr="00F7716C">
        <w:t>Inglesby</w:t>
      </w:r>
      <w:proofErr w:type="spellEnd"/>
      <w:r w:rsidRPr="00F7716C">
        <w:t xml:space="preserve">, T. V., O'Toole, T., Henderson, D. A., Bartlett, J. G., Ascher, M. S., </w:t>
      </w:r>
      <w:proofErr w:type="spellStart"/>
      <w:r w:rsidRPr="00F7716C">
        <w:t>Eitzen</w:t>
      </w:r>
      <w:proofErr w:type="spellEnd"/>
      <w:r w:rsidRPr="00F7716C">
        <w:t xml:space="preserve">, E., ...  Working Group on Civilian Biodefense. (2002). Anthrax as a biological weapon, 2002: updated recommendations for management. </w:t>
      </w:r>
      <w:r w:rsidRPr="00F7716C">
        <w:rPr>
          <w:i/>
        </w:rPr>
        <w:t>Jama</w:t>
      </w:r>
      <w:r w:rsidRPr="00F7716C">
        <w:t xml:space="preserve">, </w:t>
      </w:r>
      <w:r w:rsidRPr="00F7716C">
        <w:rPr>
          <w:i/>
        </w:rPr>
        <w:t>287</w:t>
      </w:r>
      <w:r w:rsidRPr="00F7716C">
        <w:t>(17), 2236-2252.</w:t>
      </w:r>
    </w:p>
    <w:p w14:paraId="7C6A64F6" w14:textId="4BCF1E9A" w:rsidR="00AD170D" w:rsidRPr="00F7716C" w:rsidRDefault="00B654AC" w:rsidP="00E06571">
      <w:pPr>
        <w:ind w:left="720" w:hanging="720"/>
      </w:pPr>
      <w:r w:rsidRPr="00F7716C">
        <w:t xml:space="preserve">Islam, M. S., Hossain, M. J., </w:t>
      </w:r>
      <w:proofErr w:type="spellStart"/>
      <w:r w:rsidRPr="00F7716C">
        <w:t>Mikolon</w:t>
      </w:r>
      <w:proofErr w:type="spellEnd"/>
      <w:r w:rsidRPr="00F7716C">
        <w:t xml:space="preserve">, A., Parveen, S., Khan, M. S. U., Haider, N., ...  </w:t>
      </w:r>
      <w:proofErr w:type="spellStart"/>
      <w:r w:rsidRPr="00F7716C">
        <w:t>Luby</w:t>
      </w:r>
      <w:proofErr w:type="spellEnd"/>
      <w:r w:rsidRPr="00F7716C">
        <w:t xml:space="preserve">, S. P. (2013). Risk practices for animal and human anthrax in Bangladesh: an exploratory study. </w:t>
      </w:r>
      <w:r w:rsidRPr="00F7716C">
        <w:rPr>
          <w:i/>
        </w:rPr>
        <w:t xml:space="preserve">Infection </w:t>
      </w:r>
      <w:r w:rsidR="004E2D2C" w:rsidRPr="00F7716C">
        <w:rPr>
          <w:i/>
        </w:rPr>
        <w:t>E</w:t>
      </w:r>
      <w:r w:rsidRPr="00F7716C">
        <w:rPr>
          <w:i/>
        </w:rPr>
        <w:t xml:space="preserve">cology </w:t>
      </w:r>
      <w:r w:rsidR="005A1EBE" w:rsidRPr="00F7716C">
        <w:rPr>
          <w:i/>
        </w:rPr>
        <w:t>and</w:t>
      </w:r>
      <w:r w:rsidRPr="00F7716C">
        <w:rPr>
          <w:i/>
        </w:rPr>
        <w:t xml:space="preserve"> </w:t>
      </w:r>
      <w:r w:rsidR="004E2D2C" w:rsidRPr="00F7716C">
        <w:rPr>
          <w:i/>
        </w:rPr>
        <w:t>E</w:t>
      </w:r>
      <w:r w:rsidRPr="00F7716C">
        <w:rPr>
          <w:i/>
        </w:rPr>
        <w:t>pidemiology</w:t>
      </w:r>
      <w:r w:rsidRPr="00F7716C">
        <w:t xml:space="preserve">, </w:t>
      </w:r>
      <w:r w:rsidRPr="00F7716C">
        <w:rPr>
          <w:i/>
        </w:rPr>
        <w:t>3</w:t>
      </w:r>
      <w:r w:rsidRPr="00F7716C">
        <w:t>(1), 21356.</w:t>
      </w:r>
    </w:p>
    <w:p w14:paraId="18B02B8B" w14:textId="21BFC24B" w:rsidR="00AD170D" w:rsidRPr="00F7716C" w:rsidRDefault="00B654AC" w:rsidP="00E06571">
      <w:pPr>
        <w:ind w:left="720" w:hanging="720"/>
      </w:pPr>
      <w:r w:rsidRPr="00F7716C">
        <w:t xml:space="preserve">Joshi, D. D., </w:t>
      </w:r>
      <w:proofErr w:type="spellStart"/>
      <w:r w:rsidRPr="00F7716C">
        <w:t>Maharjan</w:t>
      </w:r>
      <w:proofErr w:type="spellEnd"/>
      <w:r w:rsidRPr="00F7716C">
        <w:t xml:space="preserve">, M., Johansen, M. V., Willingham, A. L., &amp; Sharma, M. (2003). Improving meat inspection and control in resource-poor communities: the Nepal example. </w:t>
      </w:r>
      <w:r w:rsidRPr="00F7716C">
        <w:rPr>
          <w:i/>
        </w:rPr>
        <w:t xml:space="preserve">Acta </w:t>
      </w:r>
      <w:proofErr w:type="spellStart"/>
      <w:r w:rsidR="004E2D2C" w:rsidRPr="00F7716C">
        <w:rPr>
          <w:i/>
        </w:rPr>
        <w:t>T</w:t>
      </w:r>
      <w:r w:rsidRPr="00F7716C">
        <w:rPr>
          <w:i/>
        </w:rPr>
        <w:t>ropica</w:t>
      </w:r>
      <w:proofErr w:type="spellEnd"/>
      <w:r w:rsidRPr="00F7716C">
        <w:t xml:space="preserve">, </w:t>
      </w:r>
      <w:r w:rsidRPr="00F7716C">
        <w:rPr>
          <w:i/>
        </w:rPr>
        <w:t>87</w:t>
      </w:r>
      <w:r w:rsidRPr="00F7716C">
        <w:t>(1), 119-127.</w:t>
      </w:r>
    </w:p>
    <w:p w14:paraId="398325A0" w14:textId="5257A370" w:rsidR="00AD170D" w:rsidRPr="00F7716C" w:rsidRDefault="00B654AC" w:rsidP="00E06571">
      <w:pPr>
        <w:ind w:left="720" w:hanging="720"/>
      </w:pPr>
      <w:proofErr w:type="spellStart"/>
      <w:r w:rsidRPr="00F7716C">
        <w:t>Kracalik</w:t>
      </w:r>
      <w:proofErr w:type="spellEnd"/>
      <w:r w:rsidRPr="00F7716C">
        <w:t xml:space="preserve">, I., Abdullayev, R., </w:t>
      </w:r>
      <w:proofErr w:type="spellStart"/>
      <w:r w:rsidRPr="00F7716C">
        <w:t>Asadov</w:t>
      </w:r>
      <w:proofErr w:type="spellEnd"/>
      <w:r w:rsidRPr="00F7716C">
        <w:t xml:space="preserve">, K., Ismayilova, R., </w:t>
      </w:r>
      <w:proofErr w:type="spellStart"/>
      <w:r w:rsidRPr="00F7716C">
        <w:t>Baghirova</w:t>
      </w:r>
      <w:proofErr w:type="spellEnd"/>
      <w:r w:rsidRPr="00F7716C">
        <w:t xml:space="preserve">, M., </w:t>
      </w:r>
      <w:proofErr w:type="spellStart"/>
      <w:r w:rsidRPr="00F7716C">
        <w:t>Ustun</w:t>
      </w:r>
      <w:proofErr w:type="spellEnd"/>
      <w:r w:rsidRPr="00F7716C">
        <w:t xml:space="preserve">, N., ... &amp; Blackburn, J. K. (2014). Changing patterns of human anthrax in Azerbaijan during the post-Soviet and preemptive livestock vaccination eras. </w:t>
      </w:r>
      <w:proofErr w:type="spellStart"/>
      <w:r w:rsidRPr="00F7716C">
        <w:rPr>
          <w:i/>
        </w:rPr>
        <w:t>PLoS</w:t>
      </w:r>
      <w:proofErr w:type="spellEnd"/>
      <w:r w:rsidRPr="00F7716C">
        <w:rPr>
          <w:i/>
        </w:rPr>
        <w:t xml:space="preserve"> </w:t>
      </w:r>
      <w:r w:rsidR="004E2D2C" w:rsidRPr="00F7716C">
        <w:rPr>
          <w:i/>
        </w:rPr>
        <w:t>Neglected Tropical Diseases</w:t>
      </w:r>
      <w:r w:rsidRPr="00F7716C">
        <w:t xml:space="preserve">, </w:t>
      </w:r>
      <w:r w:rsidRPr="00F7716C">
        <w:rPr>
          <w:i/>
        </w:rPr>
        <w:t>8</w:t>
      </w:r>
      <w:r w:rsidRPr="00F7716C">
        <w:t>(7), e2985.</w:t>
      </w:r>
    </w:p>
    <w:p w14:paraId="77473274" w14:textId="2C1FF717" w:rsidR="00AD170D" w:rsidRPr="00F7716C" w:rsidRDefault="00B654AC" w:rsidP="00E06571">
      <w:pPr>
        <w:ind w:left="720" w:hanging="720"/>
      </w:pPr>
      <w:proofErr w:type="spellStart"/>
      <w:r w:rsidRPr="00F7716C">
        <w:t>Levings</w:t>
      </w:r>
      <w:proofErr w:type="spellEnd"/>
      <w:r w:rsidRPr="00F7716C">
        <w:t xml:space="preserve">, R. L. (2012). Emerging and exotic zoonotic disease preparedness and response in the United States–coordination of the animal health component. </w:t>
      </w:r>
      <w:r w:rsidRPr="00F7716C">
        <w:rPr>
          <w:i/>
        </w:rPr>
        <w:t xml:space="preserve">Zoonoses and </w:t>
      </w:r>
      <w:r w:rsidR="004E2D2C" w:rsidRPr="00F7716C">
        <w:rPr>
          <w:i/>
        </w:rPr>
        <w:t>Public Health</w:t>
      </w:r>
      <w:r w:rsidRPr="00F7716C">
        <w:t xml:space="preserve">, </w:t>
      </w:r>
      <w:r w:rsidRPr="00F7716C">
        <w:rPr>
          <w:i/>
        </w:rPr>
        <w:t>59</w:t>
      </w:r>
      <w:r w:rsidRPr="00F7716C">
        <w:t>, 80-94.</w:t>
      </w:r>
    </w:p>
    <w:p w14:paraId="0167895A" w14:textId="34C755D9" w:rsidR="00AD170D" w:rsidRPr="00F7716C" w:rsidRDefault="00B654AC" w:rsidP="00E06571">
      <w:pPr>
        <w:ind w:left="720" w:hanging="720"/>
      </w:pPr>
      <w:r w:rsidRPr="00F7716C">
        <w:t xml:space="preserve">Mondal, S. P., &amp; </w:t>
      </w:r>
      <w:proofErr w:type="spellStart"/>
      <w:r w:rsidRPr="00F7716C">
        <w:t>Yamage</w:t>
      </w:r>
      <w:proofErr w:type="spellEnd"/>
      <w:r w:rsidRPr="00F7716C">
        <w:t xml:space="preserve">, M. (2014). A retrospective study on the epidemiology of anthrax, foot and mouth disease, </w:t>
      </w:r>
      <w:proofErr w:type="spellStart"/>
      <w:r w:rsidRPr="00F7716C">
        <w:t>haemorrhagic</w:t>
      </w:r>
      <w:proofErr w:type="spellEnd"/>
      <w:r w:rsidRPr="00F7716C">
        <w:t xml:space="preserve"> </w:t>
      </w:r>
      <w:proofErr w:type="spellStart"/>
      <w:r w:rsidRPr="00F7716C">
        <w:t>septicaemia</w:t>
      </w:r>
      <w:proofErr w:type="spellEnd"/>
      <w:r w:rsidRPr="00F7716C">
        <w:t xml:space="preserve">, </w:t>
      </w:r>
      <w:proofErr w:type="spellStart"/>
      <w:r w:rsidRPr="00F7716C">
        <w:t>peste</w:t>
      </w:r>
      <w:proofErr w:type="spellEnd"/>
      <w:r w:rsidRPr="00F7716C">
        <w:t xml:space="preserve"> des petits ruminants and rabies in Bangladesh, 2010-2012. </w:t>
      </w:r>
      <w:proofErr w:type="spellStart"/>
      <w:r w:rsidRPr="00F7716C">
        <w:rPr>
          <w:i/>
        </w:rPr>
        <w:t>PloS</w:t>
      </w:r>
      <w:proofErr w:type="spellEnd"/>
      <w:r w:rsidRPr="00F7716C">
        <w:rPr>
          <w:i/>
        </w:rPr>
        <w:t xml:space="preserve"> </w:t>
      </w:r>
      <w:r w:rsidR="004E2D2C" w:rsidRPr="00F7716C">
        <w:rPr>
          <w:i/>
        </w:rPr>
        <w:t>O</w:t>
      </w:r>
      <w:r w:rsidRPr="00F7716C">
        <w:rPr>
          <w:i/>
        </w:rPr>
        <w:t>ne</w:t>
      </w:r>
      <w:r w:rsidRPr="00F7716C">
        <w:t xml:space="preserve">, </w:t>
      </w:r>
      <w:r w:rsidRPr="00F7716C">
        <w:rPr>
          <w:i/>
        </w:rPr>
        <w:t>9</w:t>
      </w:r>
      <w:r w:rsidRPr="00F7716C">
        <w:t>(8), e104435.</w:t>
      </w:r>
    </w:p>
    <w:p w14:paraId="7C0CE2E3" w14:textId="77777777" w:rsidR="00AD170D" w:rsidRPr="00F7716C" w:rsidRDefault="00B654AC" w:rsidP="00E06571">
      <w:pPr>
        <w:ind w:left="720" w:hanging="720"/>
      </w:pPr>
      <w:proofErr w:type="spellStart"/>
      <w:r w:rsidRPr="00F7716C">
        <w:t>Mongoh</w:t>
      </w:r>
      <w:proofErr w:type="spellEnd"/>
      <w:r w:rsidRPr="00F7716C">
        <w:t xml:space="preserve">, M. N., Dyer, N. W., </w:t>
      </w:r>
      <w:proofErr w:type="spellStart"/>
      <w:r w:rsidRPr="00F7716C">
        <w:t>Stoltenow</w:t>
      </w:r>
      <w:proofErr w:type="spellEnd"/>
      <w:r w:rsidRPr="00F7716C">
        <w:t xml:space="preserve">, C. L., &amp; </w:t>
      </w:r>
      <w:proofErr w:type="spellStart"/>
      <w:r w:rsidRPr="00F7716C">
        <w:t>Khaitsa</w:t>
      </w:r>
      <w:proofErr w:type="spellEnd"/>
      <w:r w:rsidRPr="00F7716C">
        <w:t xml:space="preserve">, M. L. (2008). Risk factors associated with anthrax outbreak in animals in North Dakota, 2005: A retrospective case-control study. </w:t>
      </w:r>
      <w:r w:rsidRPr="00F7716C">
        <w:rPr>
          <w:i/>
        </w:rPr>
        <w:t>Public Health Reports</w:t>
      </w:r>
      <w:r w:rsidRPr="00F7716C">
        <w:t xml:space="preserve">, </w:t>
      </w:r>
      <w:r w:rsidRPr="00F7716C">
        <w:rPr>
          <w:i/>
        </w:rPr>
        <w:t>123</w:t>
      </w:r>
      <w:r w:rsidRPr="00F7716C">
        <w:t>(3), 352-359.</w:t>
      </w:r>
    </w:p>
    <w:p w14:paraId="15690A37" w14:textId="77777777" w:rsidR="00AD170D" w:rsidRPr="00F7716C" w:rsidRDefault="00B654AC" w:rsidP="00E06571">
      <w:pPr>
        <w:ind w:left="720" w:hanging="720"/>
      </w:pPr>
      <w:r w:rsidRPr="00F7716C">
        <w:t xml:space="preserve"> Mustafa, A. H. (1984). Isolation of anthrax bacillus from an elephant in Bangladesh. </w:t>
      </w:r>
      <w:r w:rsidRPr="00F7716C">
        <w:rPr>
          <w:i/>
          <w:iCs/>
        </w:rPr>
        <w:t>Veterinary Record</w:t>
      </w:r>
      <w:r w:rsidRPr="00F7716C">
        <w:t>, 114(24), 590.</w:t>
      </w:r>
    </w:p>
    <w:p w14:paraId="79B9A6A2" w14:textId="4BA023A0" w:rsidR="00AD170D" w:rsidRPr="00F7716C" w:rsidRDefault="00B654AC" w:rsidP="00E06571">
      <w:pPr>
        <w:ind w:left="720" w:hanging="720"/>
      </w:pPr>
      <w:proofErr w:type="spellStart"/>
      <w:r w:rsidRPr="00F7716C">
        <w:t>Odontsetseg</w:t>
      </w:r>
      <w:proofErr w:type="spellEnd"/>
      <w:r w:rsidRPr="00F7716C">
        <w:t xml:space="preserve">, N., </w:t>
      </w:r>
      <w:proofErr w:type="spellStart"/>
      <w:r w:rsidRPr="00F7716C">
        <w:t>Sh</w:t>
      </w:r>
      <w:proofErr w:type="spellEnd"/>
      <w:r w:rsidRPr="00F7716C">
        <w:t xml:space="preserve">, T., </w:t>
      </w:r>
      <w:proofErr w:type="spellStart"/>
      <w:r w:rsidRPr="00F7716C">
        <w:t>Adiyasuren</w:t>
      </w:r>
      <w:proofErr w:type="spellEnd"/>
      <w:r w:rsidRPr="00F7716C">
        <w:t xml:space="preserve">, Z., </w:t>
      </w:r>
      <w:proofErr w:type="spellStart"/>
      <w:r w:rsidRPr="00F7716C">
        <w:t>Uuganbayar</w:t>
      </w:r>
      <w:proofErr w:type="spellEnd"/>
      <w:r w:rsidRPr="00F7716C">
        <w:t xml:space="preserve">, D., &amp; </w:t>
      </w:r>
      <w:proofErr w:type="spellStart"/>
      <w:r w:rsidRPr="00F7716C">
        <w:t>Mweene</w:t>
      </w:r>
      <w:proofErr w:type="spellEnd"/>
      <w:r w:rsidRPr="00F7716C">
        <w:t xml:space="preserve">, A. S. (2007). Anthrax in animals and humans in Mongolia. </w:t>
      </w:r>
      <w:r w:rsidRPr="00F7716C">
        <w:rPr>
          <w:i/>
        </w:rPr>
        <w:t xml:space="preserve">Revue </w:t>
      </w:r>
      <w:proofErr w:type="spellStart"/>
      <w:r w:rsidR="004E2D2C" w:rsidRPr="00F7716C">
        <w:rPr>
          <w:i/>
        </w:rPr>
        <w:t>S</w:t>
      </w:r>
      <w:r w:rsidRPr="00F7716C">
        <w:rPr>
          <w:i/>
        </w:rPr>
        <w:t>cientifique</w:t>
      </w:r>
      <w:proofErr w:type="spellEnd"/>
      <w:r w:rsidRPr="00F7716C">
        <w:rPr>
          <w:i/>
        </w:rPr>
        <w:t xml:space="preserve"> et </w:t>
      </w:r>
      <w:r w:rsidR="004E2D2C" w:rsidRPr="00F7716C">
        <w:rPr>
          <w:i/>
        </w:rPr>
        <w:t>T</w:t>
      </w:r>
      <w:r w:rsidRPr="00F7716C">
        <w:rPr>
          <w:i/>
        </w:rPr>
        <w:t>echnique (International Office of Epizootics)</w:t>
      </w:r>
      <w:r w:rsidRPr="00F7716C">
        <w:t xml:space="preserve">, </w:t>
      </w:r>
      <w:r w:rsidRPr="00F7716C">
        <w:rPr>
          <w:i/>
        </w:rPr>
        <w:t>26</w:t>
      </w:r>
      <w:r w:rsidRPr="00F7716C">
        <w:t>(3), 701-710.</w:t>
      </w:r>
    </w:p>
    <w:p w14:paraId="623AA011" w14:textId="3CB4C54A" w:rsidR="00AD170D" w:rsidRPr="00F7716C" w:rsidRDefault="00B654AC" w:rsidP="00E06571">
      <w:pPr>
        <w:ind w:left="720" w:hanging="720"/>
      </w:pPr>
      <w:r w:rsidRPr="00F7716C">
        <w:t>OIE (2012). Organization of Animal health, The Global Foot-and-Mouth Disease Control Strategy: Strengthening Animal Health Systems through Improved Control of Major Diseases</w:t>
      </w:r>
      <w:r w:rsidR="006D6B6D" w:rsidRPr="00F7716C">
        <w:t xml:space="preserve">, </w:t>
      </w:r>
      <w:r w:rsidR="00A75DA5" w:rsidRPr="00F7716C">
        <w:t>(</w:t>
      </w:r>
      <w:r w:rsidR="0057318E" w:rsidRPr="00F7716C">
        <w:t>p</w:t>
      </w:r>
      <w:r w:rsidR="00572602" w:rsidRPr="00F7716C">
        <w:t>.</w:t>
      </w:r>
      <w:r w:rsidR="00D12732" w:rsidRPr="00F7716C">
        <w:t>21</w:t>
      </w:r>
      <w:r w:rsidR="006D6B6D" w:rsidRPr="00F7716C">
        <w:t>1</w:t>
      </w:r>
      <w:r w:rsidR="00A75DA5" w:rsidRPr="00F7716C">
        <w:t>)</w:t>
      </w:r>
      <w:r w:rsidR="006D6B6D" w:rsidRPr="00F7716C">
        <w:t>.</w:t>
      </w:r>
    </w:p>
    <w:p w14:paraId="7E1B98E5" w14:textId="564410AB" w:rsidR="00AD170D" w:rsidRPr="00F7716C" w:rsidRDefault="00B654AC" w:rsidP="00E06571">
      <w:pPr>
        <w:ind w:left="720" w:hanging="720"/>
      </w:pPr>
      <w:r w:rsidRPr="00F7716C">
        <w:t xml:space="preserve">OIE, FAO, WHO. (2020). </w:t>
      </w:r>
      <w:r w:rsidRPr="00F7716C">
        <w:rPr>
          <w:i/>
        </w:rPr>
        <w:t>Guidelines for the surveillance and control of anthrax in humans and animals</w:t>
      </w:r>
      <w:r w:rsidRPr="00F7716C">
        <w:t>. 4th ed. Geneva: World Health Organization; 2008,</w:t>
      </w:r>
      <w:hyperlink r:id="rId9">
        <w:r w:rsidRPr="00F7716C">
          <w:rPr>
            <w:u w:val="single"/>
          </w:rPr>
          <w:t xml:space="preserve"> </w:t>
        </w:r>
      </w:hyperlink>
      <w:hyperlink r:id="rId10">
        <w:r w:rsidRPr="00F7716C">
          <w:rPr>
            <w:u w:val="single"/>
          </w:rPr>
          <w:t>http://www.who.int/csr/resources/publications/AnthraxGuidelines2008/en/index/</w:t>
        </w:r>
        <w:r w:rsidRPr="00F7716C">
          <w:rPr>
            <w:u w:val="single"/>
          </w:rPr>
          <w:lastRenderedPageBreak/>
          <w:t>html</w:t>
        </w:r>
      </w:hyperlink>
      <w:r w:rsidRPr="00F7716C">
        <w:t>,</w:t>
      </w:r>
      <w:r w:rsidR="00E06571" w:rsidRPr="00F7716C">
        <w:t xml:space="preserve"> </w:t>
      </w:r>
      <w:hyperlink r:id="rId11" w:history="1">
        <w:r w:rsidR="00E06571" w:rsidRPr="00F7716C">
          <w:rPr>
            <w:rStyle w:val="Hyperlink"/>
            <w:color w:val="auto"/>
          </w:rPr>
          <w:t>http://www.who.int/csr/resources/publications/anthrax_web.pdf</w:t>
        </w:r>
      </w:hyperlink>
      <w:r w:rsidRPr="00F7716C">
        <w:t>, last accessed 20 March 2020.</w:t>
      </w:r>
    </w:p>
    <w:p w14:paraId="03C5788A" w14:textId="7F25721D" w:rsidR="00AD170D" w:rsidRPr="00F7716C" w:rsidRDefault="00B654AC" w:rsidP="00E06571">
      <w:pPr>
        <w:ind w:left="720" w:hanging="720"/>
      </w:pPr>
      <w:r w:rsidRPr="00F7716C">
        <w:t xml:space="preserve">Patil, R. R. (2010). Anthrax: public health risk in India and socio-environmental determinants. </w:t>
      </w:r>
      <w:r w:rsidRPr="00F7716C">
        <w:rPr>
          <w:i/>
        </w:rPr>
        <w:t xml:space="preserve">Indian </w:t>
      </w:r>
      <w:r w:rsidR="00C37148" w:rsidRPr="00F7716C">
        <w:rPr>
          <w:i/>
        </w:rPr>
        <w:t>J</w:t>
      </w:r>
      <w:r w:rsidRPr="00F7716C">
        <w:rPr>
          <w:i/>
        </w:rPr>
        <w:t xml:space="preserve">ournal of </w:t>
      </w:r>
      <w:r w:rsidR="00C37148" w:rsidRPr="00F7716C">
        <w:rPr>
          <w:i/>
        </w:rPr>
        <w:t>C</w:t>
      </w:r>
      <w:r w:rsidRPr="00F7716C">
        <w:rPr>
          <w:i/>
        </w:rPr>
        <w:t xml:space="preserve">ommunity </w:t>
      </w:r>
      <w:r w:rsidR="00C37148" w:rsidRPr="00F7716C">
        <w:rPr>
          <w:i/>
        </w:rPr>
        <w:t>M</w:t>
      </w:r>
      <w:r w:rsidRPr="00F7716C">
        <w:rPr>
          <w:i/>
        </w:rPr>
        <w:t>edicine</w:t>
      </w:r>
      <w:r w:rsidRPr="00F7716C">
        <w:t xml:space="preserve">, </w:t>
      </w:r>
      <w:r w:rsidRPr="00F7716C">
        <w:rPr>
          <w:i/>
        </w:rPr>
        <w:t>35</w:t>
      </w:r>
      <w:r w:rsidRPr="00F7716C">
        <w:t>(1), 189.</w:t>
      </w:r>
    </w:p>
    <w:p w14:paraId="49ADF69C" w14:textId="77777777" w:rsidR="00AD170D" w:rsidRPr="00F7716C" w:rsidRDefault="00B654AC" w:rsidP="00E06571">
      <w:pPr>
        <w:ind w:left="720" w:hanging="720"/>
      </w:pPr>
      <w:r w:rsidRPr="00F7716C">
        <w:t xml:space="preserve">Rahim N.A.A., (1997). Anthrax in Malaysia. In: Joshi DD, ed. Proceedings of the International Workshop on Anthrax, 9-11 March, 1997, Kathmandu, Nepal. Kathmandu: The National Zoonoses and Food Hygiene Research Centre, </w:t>
      </w:r>
      <w:proofErr w:type="spellStart"/>
      <w:r w:rsidRPr="00F7716C">
        <w:t>Tahachal</w:t>
      </w:r>
      <w:proofErr w:type="spellEnd"/>
      <w:r w:rsidRPr="00F7716C">
        <w:t>, 97.</w:t>
      </w:r>
    </w:p>
    <w:p w14:paraId="31DAAC85" w14:textId="539B03B8" w:rsidR="00AD170D" w:rsidRPr="00F7716C" w:rsidRDefault="00B654AC" w:rsidP="00E06571">
      <w:pPr>
        <w:ind w:left="720" w:hanging="720"/>
      </w:pPr>
      <w:r w:rsidRPr="00F7716C">
        <w:t xml:space="preserve">Roy, P. R., Rashid, M. M., </w:t>
      </w:r>
      <w:proofErr w:type="spellStart"/>
      <w:r w:rsidRPr="00F7716C">
        <w:t>Ferdoush</w:t>
      </w:r>
      <w:proofErr w:type="spellEnd"/>
      <w:r w:rsidRPr="00F7716C">
        <w:t xml:space="preserve">, M. J., Dipti, M., </w:t>
      </w:r>
      <w:proofErr w:type="spellStart"/>
      <w:r w:rsidRPr="00F7716C">
        <w:t>Chowdury</w:t>
      </w:r>
      <w:proofErr w:type="spellEnd"/>
      <w:r w:rsidRPr="00F7716C">
        <w:t xml:space="preserve">, M. G. A., </w:t>
      </w:r>
      <w:proofErr w:type="spellStart"/>
      <w:r w:rsidRPr="00F7716C">
        <w:t>Mostofa</w:t>
      </w:r>
      <w:proofErr w:type="spellEnd"/>
      <w:r w:rsidRPr="00F7716C">
        <w:t xml:space="preserve">, M. G., ...  Hossain, M. M. (2013). Biochemical and immunological characterization of anthrax spore vaccine in goat. </w:t>
      </w:r>
      <w:r w:rsidRPr="00F7716C">
        <w:rPr>
          <w:i/>
        </w:rPr>
        <w:t>Bangladesh Journal of Veterinary Medicine</w:t>
      </w:r>
      <w:r w:rsidRPr="00F7716C">
        <w:t xml:space="preserve">, </w:t>
      </w:r>
      <w:r w:rsidRPr="00F7716C">
        <w:rPr>
          <w:i/>
        </w:rPr>
        <w:t>11</w:t>
      </w:r>
      <w:r w:rsidRPr="00F7716C">
        <w:t>(2), 151-157.</w:t>
      </w:r>
    </w:p>
    <w:p w14:paraId="2D1928BC" w14:textId="77777777" w:rsidR="00AD170D" w:rsidRPr="00F7716C" w:rsidRDefault="00B654AC" w:rsidP="00E06571">
      <w:pPr>
        <w:ind w:left="720" w:hanging="720"/>
      </w:pPr>
      <w:proofErr w:type="spellStart"/>
      <w:r w:rsidRPr="00F7716C">
        <w:t>Rume</w:t>
      </w:r>
      <w:proofErr w:type="spellEnd"/>
      <w:r w:rsidRPr="00F7716C">
        <w:t xml:space="preserve">, F. I. (2018). </w:t>
      </w:r>
      <w:r w:rsidRPr="00F7716C">
        <w:rPr>
          <w:i/>
        </w:rPr>
        <w:t>Epidemiology of Anthrax in Domestic Animals of Bangladesh</w:t>
      </w:r>
      <w:r w:rsidRPr="00F7716C">
        <w:t xml:space="preserve"> (Doctoral dissertation, University of Dhaka).</w:t>
      </w:r>
    </w:p>
    <w:p w14:paraId="393C7389" w14:textId="102DEEE2" w:rsidR="00AD170D" w:rsidRPr="00F7716C" w:rsidRDefault="00B654AC" w:rsidP="00E06571">
      <w:pPr>
        <w:ind w:left="720" w:hanging="720"/>
      </w:pPr>
      <w:r w:rsidRPr="00F7716C">
        <w:t xml:space="preserve">Sahoo, K. C., Negi, S., </w:t>
      </w:r>
      <w:proofErr w:type="spellStart"/>
      <w:r w:rsidRPr="00F7716C">
        <w:t>Barla</w:t>
      </w:r>
      <w:proofErr w:type="spellEnd"/>
      <w:r w:rsidRPr="00F7716C">
        <w:t xml:space="preserve">, D., </w:t>
      </w:r>
      <w:proofErr w:type="spellStart"/>
      <w:r w:rsidRPr="00F7716C">
        <w:t>Badaik</w:t>
      </w:r>
      <w:proofErr w:type="spellEnd"/>
      <w:r w:rsidRPr="00F7716C">
        <w:t xml:space="preserve">, G., Sahoo, S., Bal, M., ...  Bhattacharya, D. (2020). The landscape of Anthrax prevention and control: stakeholders’ perceptive in Odisha, India. </w:t>
      </w:r>
      <w:r w:rsidRPr="00F7716C">
        <w:rPr>
          <w:i/>
        </w:rPr>
        <w:t xml:space="preserve">International </w:t>
      </w:r>
      <w:r w:rsidR="003A4724" w:rsidRPr="00F7716C">
        <w:rPr>
          <w:i/>
        </w:rPr>
        <w:t>J</w:t>
      </w:r>
      <w:r w:rsidRPr="00F7716C">
        <w:rPr>
          <w:i/>
        </w:rPr>
        <w:t xml:space="preserve">ournal of </w:t>
      </w:r>
      <w:r w:rsidR="003A4724" w:rsidRPr="00F7716C">
        <w:rPr>
          <w:i/>
        </w:rPr>
        <w:t>E</w:t>
      </w:r>
      <w:r w:rsidRPr="00F7716C">
        <w:rPr>
          <w:i/>
        </w:rPr>
        <w:t xml:space="preserve">nvironmental </w:t>
      </w:r>
      <w:r w:rsidR="003A4724" w:rsidRPr="00F7716C">
        <w:rPr>
          <w:i/>
        </w:rPr>
        <w:t>R</w:t>
      </w:r>
      <w:r w:rsidRPr="00F7716C">
        <w:rPr>
          <w:i/>
        </w:rPr>
        <w:t xml:space="preserve">esearch and </w:t>
      </w:r>
      <w:r w:rsidR="003A4724" w:rsidRPr="00F7716C">
        <w:rPr>
          <w:i/>
        </w:rPr>
        <w:t>P</w:t>
      </w:r>
      <w:r w:rsidRPr="00F7716C">
        <w:rPr>
          <w:i/>
        </w:rPr>
        <w:t xml:space="preserve">ublic </w:t>
      </w:r>
      <w:r w:rsidR="003A4724" w:rsidRPr="00F7716C">
        <w:rPr>
          <w:i/>
        </w:rPr>
        <w:t>H</w:t>
      </w:r>
      <w:r w:rsidRPr="00F7716C">
        <w:rPr>
          <w:i/>
        </w:rPr>
        <w:t>ealth</w:t>
      </w:r>
      <w:r w:rsidRPr="00F7716C">
        <w:t xml:space="preserve">, </w:t>
      </w:r>
      <w:r w:rsidRPr="00F7716C">
        <w:rPr>
          <w:i/>
        </w:rPr>
        <w:t>17</w:t>
      </w:r>
      <w:r w:rsidRPr="00F7716C">
        <w:t>(9), 3094.</w:t>
      </w:r>
    </w:p>
    <w:p w14:paraId="5F29344C" w14:textId="77777777" w:rsidR="00AD170D" w:rsidRPr="00F7716C" w:rsidRDefault="00B654AC" w:rsidP="00E06571">
      <w:pPr>
        <w:ind w:left="720" w:hanging="720"/>
      </w:pPr>
      <w:r w:rsidRPr="00F7716C">
        <w:t xml:space="preserve">Samad, M. A. (2011). Public health threat caused by zoonotic diseases in Bangladesh. </w:t>
      </w:r>
      <w:r w:rsidRPr="00F7716C">
        <w:rPr>
          <w:i/>
        </w:rPr>
        <w:t>Bangladesh Journal of Veterinary Medicine</w:t>
      </w:r>
      <w:r w:rsidRPr="00F7716C">
        <w:t xml:space="preserve">, </w:t>
      </w:r>
      <w:r w:rsidRPr="00F7716C">
        <w:rPr>
          <w:i/>
        </w:rPr>
        <w:t>9</w:t>
      </w:r>
      <w:r w:rsidRPr="00F7716C">
        <w:t>(2), 95-120.</w:t>
      </w:r>
    </w:p>
    <w:p w14:paraId="4AC8262B" w14:textId="4204B1B2" w:rsidR="00AD170D" w:rsidRPr="00F7716C" w:rsidRDefault="00B654AC" w:rsidP="00E06571">
      <w:pPr>
        <w:ind w:left="720" w:hanging="720"/>
      </w:pPr>
      <w:r w:rsidRPr="00F7716C">
        <w:t xml:space="preserve">Samad, M. A., &amp; Hoque, M. E. (1986). Anthrax in man and cattle in Bangladesh. </w:t>
      </w:r>
      <w:r w:rsidRPr="00F7716C">
        <w:rPr>
          <w:i/>
        </w:rPr>
        <w:t xml:space="preserve">The Journal of </w:t>
      </w:r>
      <w:r w:rsidR="00802C03" w:rsidRPr="00F7716C">
        <w:rPr>
          <w:i/>
        </w:rPr>
        <w:t>T</w:t>
      </w:r>
      <w:r w:rsidRPr="00F7716C">
        <w:rPr>
          <w:i/>
        </w:rPr>
        <w:t xml:space="preserve">ropical </w:t>
      </w:r>
      <w:r w:rsidR="00802C03" w:rsidRPr="00F7716C">
        <w:rPr>
          <w:i/>
        </w:rPr>
        <w:t>M</w:t>
      </w:r>
      <w:r w:rsidRPr="00F7716C">
        <w:rPr>
          <w:i/>
        </w:rPr>
        <w:t xml:space="preserve">edicine and </w:t>
      </w:r>
      <w:r w:rsidR="00802C03" w:rsidRPr="00F7716C">
        <w:rPr>
          <w:i/>
        </w:rPr>
        <w:t>H</w:t>
      </w:r>
      <w:r w:rsidRPr="00F7716C">
        <w:rPr>
          <w:i/>
        </w:rPr>
        <w:t>ygiene</w:t>
      </w:r>
      <w:r w:rsidRPr="00F7716C">
        <w:t xml:space="preserve">, </w:t>
      </w:r>
      <w:r w:rsidRPr="00F7716C">
        <w:rPr>
          <w:i/>
        </w:rPr>
        <w:t>89</w:t>
      </w:r>
      <w:r w:rsidRPr="00F7716C">
        <w:t>(1), 43-45.</w:t>
      </w:r>
    </w:p>
    <w:p w14:paraId="7B6D224C" w14:textId="3BD4D985" w:rsidR="00AD170D" w:rsidRPr="00F7716C" w:rsidRDefault="00B654AC" w:rsidP="00E06571">
      <w:pPr>
        <w:ind w:left="720" w:hanging="720"/>
      </w:pPr>
      <w:r w:rsidRPr="00F7716C">
        <w:t xml:space="preserve">Schmid, G., &amp; Kaufmann, A. (2002). Anthrax in Europe: its epidemiology, clinical characteristics, and role in bioterrorism. </w:t>
      </w:r>
      <w:r w:rsidRPr="00F7716C">
        <w:rPr>
          <w:i/>
        </w:rPr>
        <w:t xml:space="preserve">Clinical </w:t>
      </w:r>
      <w:r w:rsidR="00AB3AE1" w:rsidRPr="00F7716C">
        <w:rPr>
          <w:i/>
        </w:rPr>
        <w:t>M</w:t>
      </w:r>
      <w:r w:rsidRPr="00F7716C">
        <w:rPr>
          <w:i/>
        </w:rPr>
        <w:t xml:space="preserve">icrobiology and </w:t>
      </w:r>
      <w:r w:rsidR="00AB3AE1" w:rsidRPr="00F7716C">
        <w:rPr>
          <w:i/>
        </w:rPr>
        <w:t>I</w:t>
      </w:r>
      <w:r w:rsidRPr="00F7716C">
        <w:rPr>
          <w:i/>
        </w:rPr>
        <w:t>nfection</w:t>
      </w:r>
      <w:r w:rsidRPr="00F7716C">
        <w:t xml:space="preserve">, </w:t>
      </w:r>
      <w:r w:rsidRPr="00F7716C">
        <w:rPr>
          <w:i/>
        </w:rPr>
        <w:t>8</w:t>
      </w:r>
      <w:r w:rsidRPr="00F7716C">
        <w:t>(8), 479-488.</w:t>
      </w:r>
    </w:p>
    <w:p w14:paraId="24C9C648" w14:textId="0BD3E77E" w:rsidR="00AD170D" w:rsidRPr="00F7716C" w:rsidRDefault="00B654AC" w:rsidP="00E06571">
      <w:pPr>
        <w:ind w:left="720" w:hanging="720"/>
      </w:pPr>
      <w:proofErr w:type="spellStart"/>
      <w:r w:rsidRPr="00F7716C">
        <w:t>Siamudaala</w:t>
      </w:r>
      <w:proofErr w:type="spellEnd"/>
      <w:r w:rsidRPr="00F7716C">
        <w:t xml:space="preserve">, V. M., Bwalya, J. M., </w:t>
      </w:r>
      <w:proofErr w:type="spellStart"/>
      <w:r w:rsidRPr="00F7716C">
        <w:t>Munang'andu</w:t>
      </w:r>
      <w:proofErr w:type="spellEnd"/>
      <w:r w:rsidRPr="00F7716C">
        <w:t xml:space="preserve">, H. M., Sinyangwe, P. G., Banda, F., </w:t>
      </w:r>
      <w:proofErr w:type="spellStart"/>
      <w:r w:rsidRPr="00F7716C">
        <w:t>Mweene</w:t>
      </w:r>
      <w:proofErr w:type="spellEnd"/>
      <w:r w:rsidRPr="00F7716C">
        <w:t xml:space="preserve">, A. S., ...  Kida, H. (2006). Ecology and epidemiology of anthrax in cattle and humans in Zambia. </w:t>
      </w:r>
      <w:r w:rsidRPr="00F7716C">
        <w:rPr>
          <w:i/>
        </w:rPr>
        <w:t>Japanese Journal of Veterinary Research</w:t>
      </w:r>
      <w:r w:rsidRPr="00F7716C">
        <w:t xml:space="preserve">, </w:t>
      </w:r>
      <w:r w:rsidRPr="00F7716C">
        <w:rPr>
          <w:i/>
        </w:rPr>
        <w:t>54</w:t>
      </w:r>
      <w:r w:rsidRPr="00F7716C">
        <w:t>(1), 15-23.</w:t>
      </w:r>
    </w:p>
    <w:p w14:paraId="6BC8779E" w14:textId="09F8B808" w:rsidR="00AD170D" w:rsidRPr="00F7716C" w:rsidRDefault="00B654AC" w:rsidP="00E06571">
      <w:pPr>
        <w:ind w:left="720" w:hanging="720"/>
      </w:pPr>
      <w:r w:rsidRPr="00F7716C">
        <w:t xml:space="preserve">Siddiqui, M. A., Khan, M. A. H., Ahmed, S. S., Anwar, K. S., </w:t>
      </w:r>
      <w:proofErr w:type="spellStart"/>
      <w:r w:rsidRPr="00F7716C">
        <w:t>Akhtaruzzaman</w:t>
      </w:r>
      <w:proofErr w:type="spellEnd"/>
      <w:r w:rsidRPr="00F7716C">
        <w:t xml:space="preserve">, S. M., &amp; Salam, M. A. (2012). Recent outbreak of cutaneous anthrax in Bangladesh: </w:t>
      </w:r>
      <w:proofErr w:type="spellStart"/>
      <w:r w:rsidRPr="00F7716C">
        <w:t>clinico</w:t>
      </w:r>
      <w:proofErr w:type="spellEnd"/>
      <w:r w:rsidRPr="00F7716C">
        <w:t xml:space="preserve">-demographic profile and treatment outcome of cases attended at </w:t>
      </w:r>
      <w:proofErr w:type="spellStart"/>
      <w:r w:rsidRPr="00F7716C">
        <w:t>Rajshahi</w:t>
      </w:r>
      <w:proofErr w:type="spellEnd"/>
      <w:r w:rsidRPr="00F7716C">
        <w:t xml:space="preserve"> Medical College Hospital. </w:t>
      </w:r>
      <w:r w:rsidRPr="00F7716C">
        <w:rPr>
          <w:i/>
        </w:rPr>
        <w:t xml:space="preserve">BMC </w:t>
      </w:r>
      <w:r w:rsidR="00E06571" w:rsidRPr="00F7716C">
        <w:rPr>
          <w:i/>
        </w:rPr>
        <w:t>Research Notes</w:t>
      </w:r>
      <w:r w:rsidRPr="00F7716C">
        <w:t xml:space="preserve">, </w:t>
      </w:r>
      <w:r w:rsidRPr="00F7716C">
        <w:rPr>
          <w:i/>
        </w:rPr>
        <w:t>5</w:t>
      </w:r>
      <w:r w:rsidRPr="00F7716C">
        <w:t>(1), 1-6.</w:t>
      </w:r>
    </w:p>
    <w:p w14:paraId="04A1E2D6" w14:textId="77777777" w:rsidR="00AD170D" w:rsidRPr="00F7716C" w:rsidRDefault="00B654AC" w:rsidP="00E06571">
      <w:pPr>
        <w:ind w:left="720" w:hanging="720"/>
      </w:pPr>
      <w:proofErr w:type="spellStart"/>
      <w:r w:rsidRPr="00F7716C">
        <w:t>Simbotwe</w:t>
      </w:r>
      <w:proofErr w:type="spellEnd"/>
      <w:r w:rsidRPr="00F7716C">
        <w:t xml:space="preserve">, M., Mulenga, E., </w:t>
      </w:r>
      <w:proofErr w:type="spellStart"/>
      <w:r w:rsidRPr="00F7716C">
        <w:t>Furuta</w:t>
      </w:r>
      <w:proofErr w:type="spellEnd"/>
      <w:r w:rsidRPr="00F7716C">
        <w:t xml:space="preserve">, Y., </w:t>
      </w:r>
      <w:proofErr w:type="spellStart"/>
      <w:r w:rsidRPr="00F7716C">
        <w:t>Munkombwe</w:t>
      </w:r>
      <w:proofErr w:type="spellEnd"/>
      <w:r w:rsidRPr="00F7716C">
        <w:t xml:space="preserve"> </w:t>
      </w:r>
      <w:proofErr w:type="spellStart"/>
      <w:r w:rsidRPr="00F7716C">
        <w:t>Muuka</w:t>
      </w:r>
      <w:proofErr w:type="spellEnd"/>
      <w:r w:rsidRPr="00F7716C">
        <w:t xml:space="preserve">, G., </w:t>
      </w:r>
      <w:proofErr w:type="spellStart"/>
      <w:r w:rsidRPr="00F7716C">
        <w:t>Hang'ombe</w:t>
      </w:r>
      <w:proofErr w:type="spellEnd"/>
      <w:r w:rsidRPr="00F7716C">
        <w:t xml:space="preserve">, B. M., &amp; Higashi, H. (2019). Geographic distribution of cattle anthrax in Western Zambia. </w:t>
      </w:r>
      <w:r w:rsidRPr="00F7716C">
        <w:rPr>
          <w:i/>
        </w:rPr>
        <w:t>Japanese Journal of Veterinary Research</w:t>
      </w:r>
      <w:r w:rsidRPr="00F7716C">
        <w:t xml:space="preserve">, </w:t>
      </w:r>
      <w:r w:rsidRPr="00F7716C">
        <w:rPr>
          <w:i/>
        </w:rPr>
        <w:t>67</w:t>
      </w:r>
      <w:r w:rsidRPr="00F7716C">
        <w:t>(2), 195-202.</w:t>
      </w:r>
    </w:p>
    <w:p w14:paraId="5187D7B9" w14:textId="77777777" w:rsidR="00AD170D" w:rsidRPr="00F7716C" w:rsidRDefault="00B654AC" w:rsidP="00E06571">
      <w:pPr>
        <w:ind w:left="720" w:hanging="720"/>
      </w:pPr>
      <w:r w:rsidRPr="00F7716C">
        <w:t xml:space="preserve">Spencer, R. C. (2003). Bacillus anthracis. </w:t>
      </w:r>
      <w:r w:rsidRPr="00F7716C">
        <w:rPr>
          <w:i/>
        </w:rPr>
        <w:t>Journal of clinical pathology</w:t>
      </w:r>
      <w:r w:rsidRPr="00F7716C">
        <w:t xml:space="preserve">, </w:t>
      </w:r>
      <w:r w:rsidRPr="00F7716C">
        <w:rPr>
          <w:i/>
        </w:rPr>
        <w:t>56</w:t>
      </w:r>
      <w:r w:rsidRPr="00F7716C">
        <w:t>(3), 182-187.</w:t>
      </w:r>
    </w:p>
    <w:p w14:paraId="636BC5F2" w14:textId="77777777" w:rsidR="00AD170D" w:rsidRPr="00F7716C" w:rsidRDefault="00B654AC" w:rsidP="00E06571">
      <w:pPr>
        <w:ind w:left="720" w:hanging="720"/>
      </w:pPr>
      <w:r w:rsidRPr="00F7716C">
        <w:t xml:space="preserve">Sumption, K., Domenech, J., &amp; Ferrari, G. (2012). Progressive control of FMD on a global scale. </w:t>
      </w:r>
      <w:r w:rsidRPr="00F7716C">
        <w:rPr>
          <w:i/>
        </w:rPr>
        <w:t>Veterinary Record</w:t>
      </w:r>
      <w:r w:rsidRPr="00F7716C">
        <w:t xml:space="preserve">, </w:t>
      </w:r>
      <w:r w:rsidRPr="00F7716C">
        <w:rPr>
          <w:i/>
        </w:rPr>
        <w:t>170</w:t>
      </w:r>
      <w:r w:rsidRPr="00F7716C">
        <w:t>(25), 637-639.</w:t>
      </w:r>
    </w:p>
    <w:p w14:paraId="3895CAC7" w14:textId="32C5335A" w:rsidR="00AD170D" w:rsidRPr="00F7716C" w:rsidRDefault="00B654AC" w:rsidP="00E06571">
      <w:pPr>
        <w:ind w:left="720" w:hanging="720"/>
      </w:pPr>
      <w:r w:rsidRPr="00F7716C">
        <w:t xml:space="preserve">Thapa, N. K., Tenzin, K. W., Tshering </w:t>
      </w:r>
      <w:proofErr w:type="spellStart"/>
      <w:r w:rsidRPr="00F7716C">
        <w:t>Dorji</w:t>
      </w:r>
      <w:proofErr w:type="spellEnd"/>
      <w:r w:rsidRPr="00F7716C">
        <w:t xml:space="preserve">, M., </w:t>
      </w:r>
      <w:proofErr w:type="spellStart"/>
      <w:r w:rsidRPr="00F7716C">
        <w:t>Dorjee</w:t>
      </w:r>
      <w:proofErr w:type="spellEnd"/>
      <w:r w:rsidRPr="00F7716C">
        <w:t xml:space="preserve">, J., Marston, C. K., &amp; </w:t>
      </w:r>
      <w:proofErr w:type="spellStart"/>
      <w:r w:rsidRPr="00F7716C">
        <w:t>Hoffmaster</w:t>
      </w:r>
      <w:proofErr w:type="spellEnd"/>
      <w:r w:rsidRPr="00F7716C">
        <w:t xml:space="preserve">, A. R. (2014). Investigation and control of anthrax outbreak at the human–animal interface, Bhutan, 2010. </w:t>
      </w:r>
      <w:r w:rsidRPr="00F7716C">
        <w:rPr>
          <w:i/>
        </w:rPr>
        <w:t xml:space="preserve">Emerging </w:t>
      </w:r>
      <w:r w:rsidR="00A36D99" w:rsidRPr="00F7716C">
        <w:rPr>
          <w:i/>
        </w:rPr>
        <w:t>I</w:t>
      </w:r>
      <w:r w:rsidRPr="00F7716C">
        <w:rPr>
          <w:i/>
        </w:rPr>
        <w:t xml:space="preserve">nfectious </w:t>
      </w:r>
      <w:r w:rsidR="00A36D99" w:rsidRPr="00F7716C">
        <w:rPr>
          <w:i/>
        </w:rPr>
        <w:t>D</w:t>
      </w:r>
      <w:r w:rsidRPr="00F7716C">
        <w:rPr>
          <w:i/>
        </w:rPr>
        <w:t>iseases</w:t>
      </w:r>
      <w:r w:rsidRPr="00F7716C">
        <w:t xml:space="preserve">, </w:t>
      </w:r>
      <w:r w:rsidRPr="00F7716C">
        <w:rPr>
          <w:i/>
        </w:rPr>
        <w:t>20</w:t>
      </w:r>
      <w:r w:rsidRPr="00F7716C">
        <w:t>(9), 1524.</w:t>
      </w:r>
    </w:p>
    <w:p w14:paraId="6591036A" w14:textId="77777777" w:rsidR="00AD170D" w:rsidRPr="00F7716C" w:rsidRDefault="00B654AC" w:rsidP="00E06571">
      <w:pPr>
        <w:ind w:left="720" w:hanging="720"/>
      </w:pPr>
      <w:proofErr w:type="spellStart"/>
      <w:r w:rsidRPr="00F7716C">
        <w:t>Thavaselvam</w:t>
      </w:r>
      <w:proofErr w:type="spellEnd"/>
      <w:r w:rsidRPr="00F7716C">
        <w:t xml:space="preserve"> D., </w:t>
      </w:r>
      <w:proofErr w:type="spellStart"/>
      <w:r w:rsidRPr="00F7716C">
        <w:t>Vijayaraghavan</w:t>
      </w:r>
      <w:proofErr w:type="spellEnd"/>
      <w:r w:rsidRPr="00F7716C">
        <w:t xml:space="preserve"> R., (2010). Biological warfare agents. </w:t>
      </w:r>
      <w:r w:rsidRPr="00F7716C">
        <w:rPr>
          <w:i/>
        </w:rPr>
        <w:t xml:space="preserve">Journal of Pharmacy and </w:t>
      </w:r>
      <w:proofErr w:type="spellStart"/>
      <w:r w:rsidRPr="00F7716C">
        <w:rPr>
          <w:i/>
        </w:rPr>
        <w:t>Bioallied</w:t>
      </w:r>
      <w:proofErr w:type="spellEnd"/>
      <w:r w:rsidRPr="00F7716C">
        <w:rPr>
          <w:i/>
        </w:rPr>
        <w:t xml:space="preserve"> Sciences, </w:t>
      </w:r>
      <w:r w:rsidRPr="00F7716C">
        <w:t>2, 179.</w:t>
      </w:r>
    </w:p>
    <w:p w14:paraId="073CF285" w14:textId="666C6893" w:rsidR="00AD170D" w:rsidRPr="00F7716C" w:rsidRDefault="00B654AC" w:rsidP="00E06571">
      <w:pPr>
        <w:ind w:left="720" w:hanging="720"/>
      </w:pPr>
      <w:r w:rsidRPr="00F7716C">
        <w:t xml:space="preserve">Turnbull, P. C. B., Hugh‐Jones, M. E., &amp; </w:t>
      </w:r>
      <w:proofErr w:type="spellStart"/>
      <w:r w:rsidRPr="00F7716C">
        <w:t>Cosivi</w:t>
      </w:r>
      <w:proofErr w:type="spellEnd"/>
      <w:r w:rsidRPr="00F7716C">
        <w:t xml:space="preserve">, O. (1999). World Health Organization activities on anthrax surveillance and control. </w:t>
      </w:r>
      <w:r w:rsidRPr="00F7716C">
        <w:rPr>
          <w:i/>
        </w:rPr>
        <w:t xml:space="preserve">Journal of </w:t>
      </w:r>
      <w:r w:rsidR="00ED5811" w:rsidRPr="00F7716C">
        <w:rPr>
          <w:i/>
        </w:rPr>
        <w:t>A</w:t>
      </w:r>
      <w:r w:rsidRPr="00F7716C">
        <w:rPr>
          <w:i/>
        </w:rPr>
        <w:t xml:space="preserve">pplied </w:t>
      </w:r>
      <w:r w:rsidR="00ED5811" w:rsidRPr="00F7716C">
        <w:rPr>
          <w:i/>
        </w:rPr>
        <w:t>M</w:t>
      </w:r>
      <w:r w:rsidRPr="00F7716C">
        <w:rPr>
          <w:i/>
        </w:rPr>
        <w:t>icrobiology</w:t>
      </w:r>
      <w:r w:rsidRPr="00F7716C">
        <w:t xml:space="preserve">, </w:t>
      </w:r>
      <w:r w:rsidRPr="00F7716C">
        <w:rPr>
          <w:i/>
        </w:rPr>
        <w:t>87</w:t>
      </w:r>
      <w:r w:rsidRPr="00F7716C">
        <w:t>(2), 318-320.</w:t>
      </w:r>
    </w:p>
    <w:p w14:paraId="48309934" w14:textId="2065CEEA" w:rsidR="00AD170D" w:rsidRPr="00F7716C" w:rsidRDefault="00B654AC" w:rsidP="00E06571">
      <w:pPr>
        <w:ind w:left="720" w:hanging="720"/>
      </w:pPr>
      <w:r w:rsidRPr="00F7716C">
        <w:lastRenderedPageBreak/>
        <w:t xml:space="preserve">Turner, A. J., Galvin, J. W., </w:t>
      </w:r>
      <w:proofErr w:type="spellStart"/>
      <w:r w:rsidRPr="00F7716C">
        <w:t>Rubira</w:t>
      </w:r>
      <w:proofErr w:type="spellEnd"/>
      <w:r w:rsidRPr="00F7716C">
        <w:t xml:space="preserve">, R. J., Condron, R. J., &amp; Bradley, T. (1999). Experiences with vaccination and epidemiological investigations on an anthrax outbreak in Australia in 1997. </w:t>
      </w:r>
      <w:r w:rsidRPr="00F7716C">
        <w:rPr>
          <w:i/>
        </w:rPr>
        <w:t xml:space="preserve">Journal of </w:t>
      </w:r>
      <w:r w:rsidR="00ED5811" w:rsidRPr="00F7716C">
        <w:rPr>
          <w:i/>
        </w:rPr>
        <w:t>A</w:t>
      </w:r>
      <w:r w:rsidRPr="00F7716C">
        <w:rPr>
          <w:i/>
        </w:rPr>
        <w:t xml:space="preserve">pplied </w:t>
      </w:r>
      <w:r w:rsidR="00ED5811" w:rsidRPr="00F7716C">
        <w:rPr>
          <w:i/>
        </w:rPr>
        <w:t>M</w:t>
      </w:r>
      <w:r w:rsidRPr="00F7716C">
        <w:rPr>
          <w:i/>
        </w:rPr>
        <w:t>icrobiology</w:t>
      </w:r>
      <w:r w:rsidRPr="00F7716C">
        <w:t xml:space="preserve">, </w:t>
      </w:r>
      <w:r w:rsidRPr="00F7716C">
        <w:rPr>
          <w:i/>
        </w:rPr>
        <w:t>87</w:t>
      </w:r>
      <w:r w:rsidRPr="00F7716C">
        <w:t>(2), 294-297.</w:t>
      </w:r>
    </w:p>
    <w:p w14:paraId="0B724546" w14:textId="77777777" w:rsidR="00AD170D" w:rsidRPr="00F7716C" w:rsidRDefault="00B654AC" w:rsidP="00E06571">
      <w:pPr>
        <w:ind w:left="720" w:hanging="720"/>
      </w:pPr>
      <w:r w:rsidRPr="00F7716C">
        <w:t xml:space="preserve">Turner, M. (1980). Anthrax in humans in Zimbabwe. </w:t>
      </w:r>
      <w:r w:rsidRPr="00F7716C">
        <w:rPr>
          <w:i/>
        </w:rPr>
        <w:t>Central African Journal of Medicine</w:t>
      </w:r>
      <w:r w:rsidRPr="00F7716C">
        <w:t xml:space="preserve">, </w:t>
      </w:r>
      <w:r w:rsidRPr="00F7716C">
        <w:rPr>
          <w:i/>
        </w:rPr>
        <w:t>26</w:t>
      </w:r>
      <w:r w:rsidRPr="00F7716C">
        <w:t>(7), 160-161.</w:t>
      </w:r>
    </w:p>
    <w:p w14:paraId="39D838B1" w14:textId="4B21C254" w:rsidR="00AD170D" w:rsidRPr="00F7716C" w:rsidRDefault="00B654AC" w:rsidP="00E06571">
      <w:pPr>
        <w:ind w:left="720" w:hanging="720"/>
      </w:pPr>
      <w:proofErr w:type="gramStart"/>
      <w:r w:rsidRPr="00F7716C">
        <w:t>WHO.</w:t>
      </w:r>
      <w:proofErr w:type="gramEnd"/>
      <w:r w:rsidRPr="00F7716C">
        <w:t xml:space="preserve"> (2008). Anthrax in humans and animals. 4</w:t>
      </w:r>
      <w:r w:rsidRPr="00F7716C">
        <w:rPr>
          <w:vertAlign w:val="superscript"/>
        </w:rPr>
        <w:t>th</w:t>
      </w:r>
      <w:r w:rsidRPr="00F7716C">
        <w:t xml:space="preserve"> Edition. Retri</w:t>
      </w:r>
      <w:r w:rsidR="00E06571" w:rsidRPr="00F7716C">
        <w:t>e</w:t>
      </w:r>
      <w:r w:rsidRPr="00F7716C">
        <w:t>ved from:</w:t>
      </w:r>
      <w:hyperlink r:id="rId12">
        <w:r w:rsidRPr="00F7716C">
          <w:rPr>
            <w:u w:val="single"/>
          </w:rPr>
          <w:t xml:space="preserve"> </w:t>
        </w:r>
      </w:hyperlink>
      <w:hyperlink r:id="rId13">
        <w:r w:rsidRPr="00F7716C">
          <w:rPr>
            <w:u w:val="single"/>
          </w:rPr>
          <w:t>https://apps.who.int/iris/bitstream/handle/10665/97503/9789241547536_eng.pdf</w:t>
        </w:r>
      </w:hyperlink>
    </w:p>
    <w:p w14:paraId="3703A2DC" w14:textId="77777777" w:rsidR="00AD170D" w:rsidRPr="00F7716C" w:rsidRDefault="00B654AC" w:rsidP="00E06571">
      <w:pPr>
        <w:ind w:left="720" w:hanging="720"/>
      </w:pPr>
      <w:proofErr w:type="spellStart"/>
      <w:r w:rsidRPr="00F7716C">
        <w:t>Wiesen</w:t>
      </w:r>
      <w:proofErr w:type="spellEnd"/>
      <w:r w:rsidRPr="00F7716C">
        <w:t xml:space="preserve">, A. R., &amp; </w:t>
      </w:r>
      <w:proofErr w:type="spellStart"/>
      <w:r w:rsidRPr="00F7716C">
        <w:t>Littell</w:t>
      </w:r>
      <w:proofErr w:type="spellEnd"/>
      <w:r w:rsidRPr="00F7716C">
        <w:t xml:space="preserve">, C. T. (2002). Relationship between </w:t>
      </w:r>
      <w:proofErr w:type="spellStart"/>
      <w:r w:rsidRPr="00F7716C">
        <w:t>prepregnancy</w:t>
      </w:r>
      <w:proofErr w:type="spellEnd"/>
      <w:r w:rsidRPr="00F7716C">
        <w:t xml:space="preserve"> anthrax vaccination and pregnancy and birth outcomes among US Army women. </w:t>
      </w:r>
      <w:r w:rsidRPr="00F7716C">
        <w:rPr>
          <w:i/>
        </w:rPr>
        <w:t>Jama</w:t>
      </w:r>
      <w:r w:rsidRPr="00F7716C">
        <w:t xml:space="preserve">, </w:t>
      </w:r>
      <w:r w:rsidRPr="00F7716C">
        <w:rPr>
          <w:i/>
        </w:rPr>
        <w:t>287</w:t>
      </w:r>
      <w:r w:rsidRPr="00F7716C">
        <w:t>(12), 1556-1560.</w:t>
      </w:r>
    </w:p>
    <w:p w14:paraId="218BB37B" w14:textId="332750DB" w:rsidR="00AD170D" w:rsidRPr="00F7716C" w:rsidRDefault="00B654AC" w:rsidP="00E06571">
      <w:pPr>
        <w:ind w:left="720" w:hanging="720"/>
      </w:pPr>
      <w:r w:rsidRPr="00F7716C">
        <w:t xml:space="preserve">World Health Organization. (1993). </w:t>
      </w:r>
      <w:r w:rsidRPr="00F7716C">
        <w:rPr>
          <w:i/>
        </w:rPr>
        <w:t xml:space="preserve">WHO Working Group Meeting on Anthrax Control and Research, with Special Reference to National </w:t>
      </w:r>
      <w:proofErr w:type="spellStart"/>
      <w:r w:rsidRPr="00F7716C">
        <w:rPr>
          <w:i/>
        </w:rPr>
        <w:t>Programme</w:t>
      </w:r>
      <w:proofErr w:type="spellEnd"/>
      <w:r w:rsidRPr="00F7716C">
        <w:rPr>
          <w:i/>
        </w:rPr>
        <w:t xml:space="preserve"> Development in Africa, </w:t>
      </w:r>
      <w:proofErr w:type="spellStart"/>
      <w:r w:rsidRPr="00F7716C">
        <w:rPr>
          <w:i/>
        </w:rPr>
        <w:t>Mongu</w:t>
      </w:r>
      <w:proofErr w:type="spellEnd"/>
      <w:r w:rsidRPr="00F7716C">
        <w:rPr>
          <w:i/>
        </w:rPr>
        <w:t>, Zambia, 22-28 September 1992</w:t>
      </w:r>
      <w:r w:rsidRPr="00F7716C">
        <w:t xml:space="preserve"> (No. WHO/CDS/VPH/93.117. Unpublished).</w:t>
      </w:r>
    </w:p>
    <w:p w14:paraId="07713C32" w14:textId="0282C87A" w:rsidR="00AD170D" w:rsidRPr="00F7716C" w:rsidRDefault="00B654AC" w:rsidP="00E06571">
      <w:pPr>
        <w:ind w:left="720" w:hanging="720"/>
      </w:pPr>
      <w:r w:rsidRPr="00F7716C">
        <w:t xml:space="preserve">World Health Organization. (1998). </w:t>
      </w:r>
      <w:r w:rsidRPr="00F7716C">
        <w:rPr>
          <w:i/>
        </w:rPr>
        <w:t>Guidelines for the surveillance and control of anthrax in humans and animals</w:t>
      </w:r>
      <w:r w:rsidRPr="00F7716C">
        <w:t xml:space="preserve"> (No. WHO/EMC/ZDI/98.6).</w:t>
      </w:r>
    </w:p>
    <w:p w14:paraId="5A70EC3B" w14:textId="50E2DB85" w:rsidR="00AD170D" w:rsidRPr="00F7716C" w:rsidRDefault="00B654AC" w:rsidP="004E2D2C">
      <w:r w:rsidRPr="00F7716C">
        <w:br w:type="page"/>
      </w:r>
    </w:p>
    <w:p w14:paraId="609BDA8F" w14:textId="6E28291A" w:rsidR="00AD170D" w:rsidRPr="00F7716C" w:rsidRDefault="00B654AC" w:rsidP="00E06571">
      <w:pPr>
        <w:rPr>
          <w:bCs/>
        </w:rPr>
      </w:pPr>
      <w:r w:rsidRPr="00F7716C">
        <w:rPr>
          <w:bCs/>
        </w:rPr>
        <w:lastRenderedPageBreak/>
        <w:t>Table 1</w:t>
      </w:r>
      <w:r w:rsidR="004E2D2C" w:rsidRPr="00F7716C">
        <w:rPr>
          <w:bCs/>
        </w:rPr>
        <w:t>.</w:t>
      </w:r>
      <w:r w:rsidRPr="00F7716C">
        <w:rPr>
          <w:bCs/>
        </w:rPr>
        <w:t xml:space="preserve"> Structure of Monitoring and Evaluation Committee</w:t>
      </w:r>
    </w:p>
    <w:tbl>
      <w:tblPr>
        <w:tblStyle w:val="a3"/>
        <w:tblW w:w="8487"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27"/>
        <w:gridCol w:w="4869"/>
        <w:gridCol w:w="2691"/>
      </w:tblGrid>
      <w:tr w:rsidR="00F7716C" w:rsidRPr="00F7716C" w14:paraId="526E365F" w14:textId="77777777" w:rsidTr="00E06571">
        <w:tc>
          <w:tcPr>
            <w:tcW w:w="927" w:type="dxa"/>
          </w:tcPr>
          <w:p w14:paraId="561C9AFB" w14:textId="77777777" w:rsidR="00AD170D" w:rsidRPr="00F7716C" w:rsidRDefault="00B654AC" w:rsidP="00E06571">
            <w:proofErr w:type="spellStart"/>
            <w:r w:rsidRPr="00F7716C">
              <w:t>Sl</w:t>
            </w:r>
            <w:proofErr w:type="spellEnd"/>
            <w:r w:rsidRPr="00F7716C">
              <w:t xml:space="preserve"> no.</w:t>
            </w:r>
          </w:p>
        </w:tc>
        <w:tc>
          <w:tcPr>
            <w:tcW w:w="4869" w:type="dxa"/>
          </w:tcPr>
          <w:p w14:paraId="227272C4" w14:textId="77777777" w:rsidR="00AD170D" w:rsidRPr="00F7716C" w:rsidRDefault="00B654AC" w:rsidP="00E06571">
            <w:r w:rsidRPr="00F7716C">
              <w:t xml:space="preserve">Monitoring &amp; Evaluation Committee </w:t>
            </w:r>
          </w:p>
        </w:tc>
        <w:tc>
          <w:tcPr>
            <w:tcW w:w="2691" w:type="dxa"/>
          </w:tcPr>
          <w:p w14:paraId="1BA98C0B" w14:textId="77777777" w:rsidR="00AD170D" w:rsidRPr="00F7716C" w:rsidRDefault="00B654AC" w:rsidP="00E06571">
            <w:r w:rsidRPr="00F7716C">
              <w:t>Responsibility</w:t>
            </w:r>
          </w:p>
        </w:tc>
      </w:tr>
      <w:tr w:rsidR="00F7716C" w:rsidRPr="00F7716C" w14:paraId="56FBBDE9" w14:textId="77777777" w:rsidTr="00E06571">
        <w:tc>
          <w:tcPr>
            <w:tcW w:w="927" w:type="dxa"/>
          </w:tcPr>
          <w:p w14:paraId="6928B313" w14:textId="77777777" w:rsidR="00AD170D" w:rsidRPr="00F7716C" w:rsidRDefault="00B654AC" w:rsidP="00E06571">
            <w:r w:rsidRPr="00F7716C">
              <w:t>1</w:t>
            </w:r>
          </w:p>
        </w:tc>
        <w:tc>
          <w:tcPr>
            <w:tcW w:w="4869" w:type="dxa"/>
          </w:tcPr>
          <w:p w14:paraId="596AD491" w14:textId="77777777" w:rsidR="00AD170D" w:rsidRPr="00F7716C" w:rsidRDefault="00B654AC" w:rsidP="00E06571">
            <w:proofErr w:type="spellStart"/>
            <w:r w:rsidRPr="00F7716C">
              <w:t>Upazila</w:t>
            </w:r>
            <w:proofErr w:type="spellEnd"/>
            <w:r w:rsidRPr="00F7716C">
              <w:t xml:space="preserve"> Livestock Officer</w:t>
            </w:r>
          </w:p>
        </w:tc>
        <w:tc>
          <w:tcPr>
            <w:tcW w:w="2691" w:type="dxa"/>
          </w:tcPr>
          <w:p w14:paraId="72699165" w14:textId="77777777" w:rsidR="00AD170D" w:rsidRPr="00F7716C" w:rsidRDefault="00B654AC" w:rsidP="00E06571">
            <w:r w:rsidRPr="00F7716C">
              <w:t>Chairperson</w:t>
            </w:r>
          </w:p>
        </w:tc>
      </w:tr>
      <w:tr w:rsidR="00F7716C" w:rsidRPr="00F7716C" w14:paraId="2830934D" w14:textId="77777777" w:rsidTr="00E06571">
        <w:tc>
          <w:tcPr>
            <w:tcW w:w="927" w:type="dxa"/>
          </w:tcPr>
          <w:p w14:paraId="12B174FB" w14:textId="77777777" w:rsidR="00AD170D" w:rsidRPr="00F7716C" w:rsidRDefault="00B654AC" w:rsidP="00E06571">
            <w:r w:rsidRPr="00F7716C">
              <w:t>2</w:t>
            </w:r>
          </w:p>
        </w:tc>
        <w:tc>
          <w:tcPr>
            <w:tcW w:w="4869" w:type="dxa"/>
          </w:tcPr>
          <w:p w14:paraId="3CE172C9" w14:textId="77777777" w:rsidR="00AD170D" w:rsidRPr="00F7716C" w:rsidRDefault="00B654AC" w:rsidP="00E06571">
            <w:r w:rsidRPr="00F7716C">
              <w:t xml:space="preserve">Representative of </w:t>
            </w:r>
            <w:proofErr w:type="spellStart"/>
            <w:r w:rsidRPr="00F7716C">
              <w:t>Upazila</w:t>
            </w:r>
            <w:proofErr w:type="spellEnd"/>
            <w:r w:rsidRPr="00F7716C">
              <w:t xml:space="preserve"> Parishad</w:t>
            </w:r>
          </w:p>
        </w:tc>
        <w:tc>
          <w:tcPr>
            <w:tcW w:w="2691" w:type="dxa"/>
          </w:tcPr>
          <w:p w14:paraId="2FFD6C4D" w14:textId="77777777" w:rsidR="00AD170D" w:rsidRPr="00F7716C" w:rsidRDefault="00B654AC" w:rsidP="00E06571">
            <w:r w:rsidRPr="00F7716C">
              <w:t>Member</w:t>
            </w:r>
          </w:p>
        </w:tc>
      </w:tr>
      <w:tr w:rsidR="00F7716C" w:rsidRPr="00F7716C" w14:paraId="0F66F8E4" w14:textId="77777777" w:rsidTr="00E06571">
        <w:tc>
          <w:tcPr>
            <w:tcW w:w="927" w:type="dxa"/>
          </w:tcPr>
          <w:p w14:paraId="6A8FB5D4" w14:textId="77777777" w:rsidR="00AD170D" w:rsidRPr="00F7716C" w:rsidRDefault="00B654AC" w:rsidP="00E06571">
            <w:r w:rsidRPr="00F7716C">
              <w:t>3</w:t>
            </w:r>
          </w:p>
        </w:tc>
        <w:tc>
          <w:tcPr>
            <w:tcW w:w="4869" w:type="dxa"/>
          </w:tcPr>
          <w:p w14:paraId="263F8373" w14:textId="77777777" w:rsidR="00AD170D" w:rsidRPr="00F7716C" w:rsidRDefault="00B654AC" w:rsidP="00E06571">
            <w:r w:rsidRPr="00F7716C">
              <w:t>Representative of Bangladesh Police</w:t>
            </w:r>
          </w:p>
        </w:tc>
        <w:tc>
          <w:tcPr>
            <w:tcW w:w="2691" w:type="dxa"/>
          </w:tcPr>
          <w:p w14:paraId="6DA288CC" w14:textId="77777777" w:rsidR="00AD170D" w:rsidRPr="00F7716C" w:rsidRDefault="00B654AC" w:rsidP="00E06571">
            <w:r w:rsidRPr="00F7716C">
              <w:t>Member</w:t>
            </w:r>
          </w:p>
        </w:tc>
      </w:tr>
      <w:tr w:rsidR="00F7716C" w:rsidRPr="00F7716C" w14:paraId="16329DBE" w14:textId="77777777" w:rsidTr="00E06571">
        <w:tc>
          <w:tcPr>
            <w:tcW w:w="927" w:type="dxa"/>
          </w:tcPr>
          <w:p w14:paraId="7C670330" w14:textId="77777777" w:rsidR="00AD170D" w:rsidRPr="00F7716C" w:rsidRDefault="00B654AC" w:rsidP="00E06571">
            <w:r w:rsidRPr="00F7716C">
              <w:t>4</w:t>
            </w:r>
          </w:p>
        </w:tc>
        <w:tc>
          <w:tcPr>
            <w:tcW w:w="4869" w:type="dxa"/>
          </w:tcPr>
          <w:p w14:paraId="16F249C4" w14:textId="77777777" w:rsidR="00AD170D" w:rsidRPr="00F7716C" w:rsidRDefault="00B654AC" w:rsidP="00E06571">
            <w:r w:rsidRPr="00F7716C">
              <w:t>Chairman of Union Parishad</w:t>
            </w:r>
          </w:p>
        </w:tc>
        <w:tc>
          <w:tcPr>
            <w:tcW w:w="2691" w:type="dxa"/>
          </w:tcPr>
          <w:p w14:paraId="6804AB75" w14:textId="77777777" w:rsidR="00AD170D" w:rsidRPr="00F7716C" w:rsidRDefault="00B654AC" w:rsidP="00E06571">
            <w:r w:rsidRPr="00F7716C">
              <w:t>Member</w:t>
            </w:r>
          </w:p>
        </w:tc>
      </w:tr>
      <w:tr w:rsidR="00F7716C" w:rsidRPr="00F7716C" w14:paraId="78B92863" w14:textId="77777777" w:rsidTr="00E06571">
        <w:tc>
          <w:tcPr>
            <w:tcW w:w="927" w:type="dxa"/>
          </w:tcPr>
          <w:p w14:paraId="2EDA4DA1" w14:textId="77777777" w:rsidR="00AD170D" w:rsidRPr="00F7716C" w:rsidRDefault="00B654AC" w:rsidP="00E06571">
            <w:r w:rsidRPr="00F7716C">
              <w:t>5</w:t>
            </w:r>
          </w:p>
        </w:tc>
        <w:tc>
          <w:tcPr>
            <w:tcW w:w="4869" w:type="dxa"/>
          </w:tcPr>
          <w:p w14:paraId="07E0D788" w14:textId="77777777" w:rsidR="00AD170D" w:rsidRPr="00F7716C" w:rsidRDefault="00B654AC" w:rsidP="00E06571">
            <w:r w:rsidRPr="00F7716C">
              <w:t>Ward Member of Union Parishad</w:t>
            </w:r>
          </w:p>
        </w:tc>
        <w:tc>
          <w:tcPr>
            <w:tcW w:w="2691" w:type="dxa"/>
          </w:tcPr>
          <w:p w14:paraId="57B93F2B" w14:textId="77777777" w:rsidR="00AD170D" w:rsidRPr="00F7716C" w:rsidRDefault="00B654AC" w:rsidP="00E06571">
            <w:r w:rsidRPr="00F7716C">
              <w:t>Member</w:t>
            </w:r>
          </w:p>
        </w:tc>
      </w:tr>
      <w:tr w:rsidR="00F7716C" w:rsidRPr="00F7716C" w14:paraId="2059DBE9" w14:textId="77777777" w:rsidTr="00E06571">
        <w:tc>
          <w:tcPr>
            <w:tcW w:w="927" w:type="dxa"/>
          </w:tcPr>
          <w:p w14:paraId="724F6103" w14:textId="77777777" w:rsidR="00AD170D" w:rsidRPr="00F7716C" w:rsidRDefault="00B654AC" w:rsidP="00E06571">
            <w:r w:rsidRPr="00F7716C">
              <w:t>6</w:t>
            </w:r>
          </w:p>
        </w:tc>
        <w:tc>
          <w:tcPr>
            <w:tcW w:w="4869" w:type="dxa"/>
          </w:tcPr>
          <w:p w14:paraId="6A49A474" w14:textId="77777777" w:rsidR="00AD170D" w:rsidRPr="00F7716C" w:rsidRDefault="00B654AC" w:rsidP="00E06571">
            <w:r w:rsidRPr="00F7716C">
              <w:t>Head teacher of Primary school</w:t>
            </w:r>
          </w:p>
        </w:tc>
        <w:tc>
          <w:tcPr>
            <w:tcW w:w="2691" w:type="dxa"/>
          </w:tcPr>
          <w:p w14:paraId="2636D36E" w14:textId="77777777" w:rsidR="00AD170D" w:rsidRPr="00F7716C" w:rsidRDefault="00B654AC" w:rsidP="00E06571">
            <w:r w:rsidRPr="00F7716C">
              <w:t>Member</w:t>
            </w:r>
          </w:p>
        </w:tc>
      </w:tr>
      <w:tr w:rsidR="00F7716C" w:rsidRPr="00F7716C" w14:paraId="18D0DA13" w14:textId="77777777" w:rsidTr="00E06571">
        <w:tc>
          <w:tcPr>
            <w:tcW w:w="927" w:type="dxa"/>
          </w:tcPr>
          <w:p w14:paraId="32562EEB" w14:textId="77777777" w:rsidR="00AD170D" w:rsidRPr="00F7716C" w:rsidRDefault="00B654AC" w:rsidP="00E06571">
            <w:r w:rsidRPr="00F7716C">
              <w:t>7</w:t>
            </w:r>
          </w:p>
        </w:tc>
        <w:tc>
          <w:tcPr>
            <w:tcW w:w="4869" w:type="dxa"/>
          </w:tcPr>
          <w:p w14:paraId="2F52CCD5" w14:textId="77777777" w:rsidR="00AD170D" w:rsidRPr="00F7716C" w:rsidRDefault="00B654AC" w:rsidP="00E06571">
            <w:r w:rsidRPr="00F7716C">
              <w:t>Imam of Mosque</w:t>
            </w:r>
          </w:p>
        </w:tc>
        <w:tc>
          <w:tcPr>
            <w:tcW w:w="2691" w:type="dxa"/>
          </w:tcPr>
          <w:p w14:paraId="1688CA98" w14:textId="77777777" w:rsidR="00AD170D" w:rsidRPr="00F7716C" w:rsidRDefault="00B654AC" w:rsidP="00E06571">
            <w:r w:rsidRPr="00F7716C">
              <w:t>Member</w:t>
            </w:r>
          </w:p>
        </w:tc>
      </w:tr>
      <w:tr w:rsidR="00F7716C" w:rsidRPr="00F7716C" w14:paraId="22E6A81B" w14:textId="77777777" w:rsidTr="00E06571">
        <w:tc>
          <w:tcPr>
            <w:tcW w:w="927" w:type="dxa"/>
          </w:tcPr>
          <w:p w14:paraId="1F4ACEDD" w14:textId="77777777" w:rsidR="00AD170D" w:rsidRPr="00F7716C" w:rsidRDefault="00B654AC" w:rsidP="00E06571">
            <w:r w:rsidRPr="00F7716C">
              <w:t>8</w:t>
            </w:r>
          </w:p>
        </w:tc>
        <w:tc>
          <w:tcPr>
            <w:tcW w:w="4869" w:type="dxa"/>
          </w:tcPr>
          <w:p w14:paraId="13EEC476" w14:textId="77777777" w:rsidR="00AD170D" w:rsidRPr="00F7716C" w:rsidRDefault="00B654AC" w:rsidP="00E06571">
            <w:r w:rsidRPr="00F7716C">
              <w:t xml:space="preserve">Representative of Meat seller </w:t>
            </w:r>
          </w:p>
        </w:tc>
        <w:tc>
          <w:tcPr>
            <w:tcW w:w="2691" w:type="dxa"/>
          </w:tcPr>
          <w:p w14:paraId="49F3A3FB" w14:textId="77777777" w:rsidR="00AD170D" w:rsidRPr="00F7716C" w:rsidRDefault="00B654AC" w:rsidP="00E06571">
            <w:r w:rsidRPr="00F7716C">
              <w:t>Member</w:t>
            </w:r>
          </w:p>
        </w:tc>
      </w:tr>
      <w:tr w:rsidR="00F7716C" w:rsidRPr="00F7716C" w14:paraId="36CA5585" w14:textId="77777777" w:rsidTr="00E06571">
        <w:tc>
          <w:tcPr>
            <w:tcW w:w="927" w:type="dxa"/>
          </w:tcPr>
          <w:p w14:paraId="05CBD812" w14:textId="77777777" w:rsidR="00AD170D" w:rsidRPr="00F7716C" w:rsidRDefault="00B654AC" w:rsidP="00E06571">
            <w:r w:rsidRPr="00F7716C">
              <w:t>9</w:t>
            </w:r>
          </w:p>
        </w:tc>
        <w:tc>
          <w:tcPr>
            <w:tcW w:w="4869" w:type="dxa"/>
          </w:tcPr>
          <w:p w14:paraId="782CF038" w14:textId="77777777" w:rsidR="00AD170D" w:rsidRPr="00F7716C" w:rsidRDefault="00B654AC" w:rsidP="00E06571">
            <w:r w:rsidRPr="00F7716C">
              <w:t>Representative of Hat committee</w:t>
            </w:r>
          </w:p>
        </w:tc>
        <w:tc>
          <w:tcPr>
            <w:tcW w:w="2691" w:type="dxa"/>
          </w:tcPr>
          <w:p w14:paraId="6F0891B2" w14:textId="77777777" w:rsidR="00AD170D" w:rsidRPr="00F7716C" w:rsidRDefault="00B654AC" w:rsidP="00E06571">
            <w:r w:rsidRPr="00F7716C">
              <w:t>Member</w:t>
            </w:r>
          </w:p>
        </w:tc>
      </w:tr>
      <w:tr w:rsidR="00AD170D" w:rsidRPr="00F7716C" w14:paraId="434B83BE" w14:textId="77777777" w:rsidTr="00E06571">
        <w:tc>
          <w:tcPr>
            <w:tcW w:w="927" w:type="dxa"/>
          </w:tcPr>
          <w:p w14:paraId="0B3FB2E6" w14:textId="77777777" w:rsidR="00AD170D" w:rsidRPr="00F7716C" w:rsidRDefault="00B654AC" w:rsidP="00E06571">
            <w:r w:rsidRPr="00F7716C">
              <w:t>10</w:t>
            </w:r>
          </w:p>
        </w:tc>
        <w:tc>
          <w:tcPr>
            <w:tcW w:w="4869" w:type="dxa"/>
          </w:tcPr>
          <w:p w14:paraId="25BEE465" w14:textId="77777777" w:rsidR="00AD170D" w:rsidRPr="00F7716C" w:rsidRDefault="00B654AC" w:rsidP="00E06571">
            <w:r w:rsidRPr="00F7716C">
              <w:t>Representative of Cattle farmers</w:t>
            </w:r>
          </w:p>
        </w:tc>
        <w:tc>
          <w:tcPr>
            <w:tcW w:w="2691" w:type="dxa"/>
          </w:tcPr>
          <w:p w14:paraId="274CAB11" w14:textId="77777777" w:rsidR="00AD170D" w:rsidRPr="00F7716C" w:rsidRDefault="00B654AC" w:rsidP="00E06571">
            <w:r w:rsidRPr="00F7716C">
              <w:t>Member</w:t>
            </w:r>
          </w:p>
        </w:tc>
      </w:tr>
    </w:tbl>
    <w:p w14:paraId="4309DE53" w14:textId="77777777" w:rsidR="00AD170D" w:rsidRPr="00F7716C" w:rsidRDefault="00AD170D" w:rsidP="00E06571">
      <w:pPr>
        <w:pBdr>
          <w:top w:val="nil"/>
          <w:left w:val="nil"/>
          <w:bottom w:val="nil"/>
          <w:right w:val="nil"/>
          <w:between w:val="nil"/>
        </w:pBdr>
        <w:ind w:left="360"/>
        <w:rPr>
          <w:b/>
        </w:rPr>
      </w:pPr>
    </w:p>
    <w:p w14:paraId="6CA2E8DF" w14:textId="77777777" w:rsidR="00AD170D" w:rsidRPr="00F7716C" w:rsidRDefault="00AD170D" w:rsidP="00E06571">
      <w:pPr>
        <w:ind w:left="720" w:hanging="720"/>
      </w:pPr>
    </w:p>
    <w:p w14:paraId="51F522E8" w14:textId="77777777" w:rsidR="00E06571" w:rsidRPr="00F7716C" w:rsidRDefault="00E06571" w:rsidP="00E06571">
      <w:r w:rsidRPr="00F7716C">
        <w:br w:type="page"/>
      </w:r>
    </w:p>
    <w:p w14:paraId="3DE5782B" w14:textId="37B3A293" w:rsidR="00AD170D" w:rsidRPr="00F7716C" w:rsidRDefault="00B654AC" w:rsidP="004E2D2C">
      <w:pPr>
        <w:rPr>
          <w:bCs/>
        </w:rPr>
      </w:pPr>
      <w:r w:rsidRPr="00F7716C">
        <w:rPr>
          <w:bCs/>
        </w:rPr>
        <w:lastRenderedPageBreak/>
        <w:t>Table 2</w:t>
      </w:r>
      <w:r w:rsidR="004E2D2C" w:rsidRPr="00F7716C">
        <w:rPr>
          <w:bCs/>
        </w:rPr>
        <w:t>.</w:t>
      </w:r>
      <w:r w:rsidRPr="00F7716C">
        <w:rPr>
          <w:bCs/>
        </w:rPr>
        <w:t xml:space="preserve"> List of activities done during the study period (July 2017 to December 2020)</w:t>
      </w:r>
    </w:p>
    <w:tbl>
      <w:tblPr>
        <w:tblStyle w:val="a5"/>
        <w:tblW w:w="855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20"/>
        <w:gridCol w:w="5805"/>
        <w:gridCol w:w="2034"/>
      </w:tblGrid>
      <w:tr w:rsidR="00F7716C" w:rsidRPr="00F7716C" w14:paraId="25F25675" w14:textId="77777777" w:rsidTr="00E06571">
        <w:tc>
          <w:tcPr>
            <w:tcW w:w="720" w:type="dxa"/>
          </w:tcPr>
          <w:p w14:paraId="273FECE7" w14:textId="77777777" w:rsidR="00AD170D" w:rsidRPr="00F7716C" w:rsidRDefault="00B654AC" w:rsidP="00E06571">
            <w:pPr>
              <w:rPr>
                <w:bCs/>
              </w:rPr>
            </w:pPr>
            <w:proofErr w:type="spellStart"/>
            <w:r w:rsidRPr="00F7716C">
              <w:rPr>
                <w:bCs/>
              </w:rPr>
              <w:t>Sl</w:t>
            </w:r>
            <w:proofErr w:type="spellEnd"/>
            <w:r w:rsidRPr="00F7716C">
              <w:rPr>
                <w:bCs/>
              </w:rPr>
              <w:t xml:space="preserve"> no.</w:t>
            </w:r>
          </w:p>
        </w:tc>
        <w:tc>
          <w:tcPr>
            <w:tcW w:w="5805" w:type="dxa"/>
          </w:tcPr>
          <w:p w14:paraId="5A70273E" w14:textId="77777777" w:rsidR="00AD170D" w:rsidRPr="00F7716C" w:rsidRDefault="00B654AC" w:rsidP="00E06571">
            <w:pPr>
              <w:rPr>
                <w:bCs/>
              </w:rPr>
            </w:pPr>
            <w:r w:rsidRPr="00F7716C">
              <w:rPr>
                <w:bCs/>
              </w:rPr>
              <w:t>Name of activities</w:t>
            </w:r>
          </w:p>
        </w:tc>
        <w:tc>
          <w:tcPr>
            <w:tcW w:w="2034" w:type="dxa"/>
          </w:tcPr>
          <w:p w14:paraId="1B9E60C0" w14:textId="77777777" w:rsidR="00AD170D" w:rsidRPr="00F7716C" w:rsidRDefault="00B654AC" w:rsidP="00E06571">
            <w:pPr>
              <w:rPr>
                <w:bCs/>
              </w:rPr>
            </w:pPr>
            <w:r w:rsidRPr="00F7716C">
              <w:rPr>
                <w:bCs/>
              </w:rPr>
              <w:t>Number of Achievement</w:t>
            </w:r>
          </w:p>
        </w:tc>
      </w:tr>
      <w:tr w:rsidR="00F7716C" w:rsidRPr="00F7716C" w14:paraId="5C165C65" w14:textId="77777777" w:rsidTr="00E06571">
        <w:tc>
          <w:tcPr>
            <w:tcW w:w="720" w:type="dxa"/>
          </w:tcPr>
          <w:p w14:paraId="5CEB7C87" w14:textId="77777777" w:rsidR="00AD170D" w:rsidRPr="00F7716C" w:rsidRDefault="00B654AC" w:rsidP="00E06571">
            <w:r w:rsidRPr="00F7716C">
              <w:t>1</w:t>
            </w:r>
          </w:p>
        </w:tc>
        <w:tc>
          <w:tcPr>
            <w:tcW w:w="5805" w:type="dxa"/>
          </w:tcPr>
          <w:p w14:paraId="51151F75" w14:textId="77777777" w:rsidR="00AD170D" w:rsidRPr="00F7716C" w:rsidRDefault="00B654AC" w:rsidP="00E06571">
            <w:r w:rsidRPr="00F7716C">
              <w:t>Livestock census</w:t>
            </w:r>
          </w:p>
        </w:tc>
        <w:tc>
          <w:tcPr>
            <w:tcW w:w="2034" w:type="dxa"/>
          </w:tcPr>
          <w:p w14:paraId="3264B23B" w14:textId="77777777" w:rsidR="00AD170D" w:rsidRPr="00F7716C" w:rsidRDefault="00B654AC" w:rsidP="00E06571">
            <w:r w:rsidRPr="00F7716C">
              <w:t>6 (after each vaccination program)</w:t>
            </w:r>
          </w:p>
        </w:tc>
      </w:tr>
      <w:tr w:rsidR="00F7716C" w:rsidRPr="00F7716C" w14:paraId="4C7A9B61" w14:textId="77777777" w:rsidTr="00E06571">
        <w:tc>
          <w:tcPr>
            <w:tcW w:w="720" w:type="dxa"/>
          </w:tcPr>
          <w:p w14:paraId="60E37C29" w14:textId="77777777" w:rsidR="00AD170D" w:rsidRPr="00F7716C" w:rsidRDefault="00B654AC" w:rsidP="00E06571">
            <w:r w:rsidRPr="00F7716C">
              <w:t>2</w:t>
            </w:r>
          </w:p>
        </w:tc>
        <w:tc>
          <w:tcPr>
            <w:tcW w:w="5805" w:type="dxa"/>
          </w:tcPr>
          <w:p w14:paraId="121F1933" w14:textId="39FB6263" w:rsidR="00AD170D" w:rsidRPr="00F7716C" w:rsidRDefault="00B654AC" w:rsidP="00E06571">
            <w:r w:rsidRPr="00F7716C">
              <w:t xml:space="preserve">Situation assessment and project end survey for assessment of </w:t>
            </w:r>
            <w:r w:rsidR="00E06571" w:rsidRPr="00F7716C">
              <w:t>k</w:t>
            </w:r>
            <w:r w:rsidRPr="00F7716C">
              <w:t>nowledge, attitude</w:t>
            </w:r>
            <w:r w:rsidR="00E06571" w:rsidRPr="00F7716C">
              <w:t>,</w:t>
            </w:r>
            <w:r w:rsidRPr="00F7716C">
              <w:t xml:space="preserve"> and practice regarding anthrax a</w:t>
            </w:r>
            <w:r w:rsidR="00E06571" w:rsidRPr="00F7716C">
              <w:t>nd</w:t>
            </w:r>
            <w:r w:rsidRPr="00F7716C">
              <w:t xml:space="preserve"> common husbandry practice of livestock.</w:t>
            </w:r>
          </w:p>
        </w:tc>
        <w:tc>
          <w:tcPr>
            <w:tcW w:w="2034" w:type="dxa"/>
          </w:tcPr>
          <w:p w14:paraId="4E166702" w14:textId="77777777" w:rsidR="00AD170D" w:rsidRPr="00F7716C" w:rsidRDefault="00B654AC" w:rsidP="00E06571">
            <w:r w:rsidRPr="00F7716C">
              <w:t>2</w:t>
            </w:r>
          </w:p>
        </w:tc>
      </w:tr>
      <w:tr w:rsidR="00F7716C" w:rsidRPr="00F7716C" w14:paraId="57E4B26A" w14:textId="77777777" w:rsidTr="00E06571">
        <w:tc>
          <w:tcPr>
            <w:tcW w:w="720" w:type="dxa"/>
          </w:tcPr>
          <w:p w14:paraId="16A7C869" w14:textId="77777777" w:rsidR="00AD170D" w:rsidRPr="00F7716C" w:rsidRDefault="00B654AC" w:rsidP="00E06571">
            <w:r w:rsidRPr="00F7716C">
              <w:t>3</w:t>
            </w:r>
          </w:p>
        </w:tc>
        <w:tc>
          <w:tcPr>
            <w:tcW w:w="5805" w:type="dxa"/>
          </w:tcPr>
          <w:p w14:paraId="3DC01466" w14:textId="77777777" w:rsidR="00AD170D" w:rsidRPr="00F7716C" w:rsidRDefault="00B654AC" w:rsidP="00E06571">
            <w:r w:rsidRPr="00F7716C">
              <w:t>Anthrax vaccination program</w:t>
            </w:r>
          </w:p>
        </w:tc>
        <w:tc>
          <w:tcPr>
            <w:tcW w:w="2034" w:type="dxa"/>
          </w:tcPr>
          <w:p w14:paraId="0CDB65FF" w14:textId="77777777" w:rsidR="00AD170D" w:rsidRPr="00F7716C" w:rsidRDefault="00B654AC" w:rsidP="00E06571">
            <w:r w:rsidRPr="00F7716C">
              <w:t>6 (every 6 months interval)</w:t>
            </w:r>
          </w:p>
        </w:tc>
      </w:tr>
      <w:tr w:rsidR="00F7716C" w:rsidRPr="00F7716C" w14:paraId="13E54022" w14:textId="77777777" w:rsidTr="00E06571">
        <w:trPr>
          <w:trHeight w:val="938"/>
        </w:trPr>
        <w:tc>
          <w:tcPr>
            <w:tcW w:w="720" w:type="dxa"/>
          </w:tcPr>
          <w:p w14:paraId="7B9D70FC" w14:textId="77777777" w:rsidR="00AD170D" w:rsidRPr="00F7716C" w:rsidRDefault="00B654AC" w:rsidP="00E06571">
            <w:r w:rsidRPr="00F7716C">
              <w:t>4</w:t>
            </w:r>
          </w:p>
        </w:tc>
        <w:tc>
          <w:tcPr>
            <w:tcW w:w="5805" w:type="dxa"/>
          </w:tcPr>
          <w:p w14:paraId="620463A3" w14:textId="77777777" w:rsidR="00AD170D" w:rsidRPr="00F7716C" w:rsidRDefault="00B654AC" w:rsidP="00E06571">
            <w:r w:rsidRPr="00F7716C">
              <w:t>Serum collection for Vaccine efficacy test</w:t>
            </w:r>
          </w:p>
        </w:tc>
        <w:tc>
          <w:tcPr>
            <w:tcW w:w="2034" w:type="dxa"/>
          </w:tcPr>
          <w:p w14:paraId="5D6F5A3A" w14:textId="3ACB62C9" w:rsidR="00AD170D" w:rsidRPr="00F7716C" w:rsidRDefault="00B654AC" w:rsidP="00E06571">
            <w:r w:rsidRPr="00F7716C">
              <w:t>At least 25 cow</w:t>
            </w:r>
            <w:r w:rsidR="00E06571" w:rsidRPr="00F7716C">
              <w:t>s</w:t>
            </w:r>
            <w:r w:rsidRPr="00F7716C">
              <w:t xml:space="preserve"> in every 3 months interval</w:t>
            </w:r>
          </w:p>
        </w:tc>
      </w:tr>
      <w:tr w:rsidR="00F7716C" w:rsidRPr="00F7716C" w14:paraId="20A0F4CA" w14:textId="77777777" w:rsidTr="00E06571">
        <w:tc>
          <w:tcPr>
            <w:tcW w:w="720" w:type="dxa"/>
          </w:tcPr>
          <w:p w14:paraId="5CDA22C1" w14:textId="77777777" w:rsidR="00AD170D" w:rsidRPr="00F7716C" w:rsidRDefault="00B654AC" w:rsidP="00E06571">
            <w:r w:rsidRPr="00F7716C">
              <w:t>5</w:t>
            </w:r>
          </w:p>
        </w:tc>
        <w:tc>
          <w:tcPr>
            <w:tcW w:w="5805" w:type="dxa"/>
          </w:tcPr>
          <w:p w14:paraId="37742E1D" w14:textId="1B35128C" w:rsidR="00AD170D" w:rsidRPr="00F7716C" w:rsidRDefault="00B654AC" w:rsidP="00E06571">
            <w:r w:rsidRPr="00F7716C">
              <w:t>Suspected tissue sample collection, processing</w:t>
            </w:r>
            <w:r w:rsidR="00E06571" w:rsidRPr="00F7716C">
              <w:t>,</w:t>
            </w:r>
            <w:r w:rsidRPr="00F7716C">
              <w:t xml:space="preserve"> and PCR based laboratory diagnosis</w:t>
            </w:r>
          </w:p>
        </w:tc>
        <w:tc>
          <w:tcPr>
            <w:tcW w:w="2034" w:type="dxa"/>
          </w:tcPr>
          <w:p w14:paraId="7F19ECDE" w14:textId="77777777" w:rsidR="00AD170D" w:rsidRPr="00F7716C" w:rsidRDefault="00B654AC" w:rsidP="00E06571">
            <w:r w:rsidRPr="00F7716C">
              <w:t>09</w:t>
            </w:r>
          </w:p>
        </w:tc>
      </w:tr>
      <w:tr w:rsidR="00F7716C" w:rsidRPr="00F7716C" w14:paraId="5ECEE4AC" w14:textId="77777777" w:rsidTr="00E06571">
        <w:tc>
          <w:tcPr>
            <w:tcW w:w="720" w:type="dxa"/>
          </w:tcPr>
          <w:p w14:paraId="59DBB1D6" w14:textId="77777777" w:rsidR="00AD170D" w:rsidRPr="00F7716C" w:rsidRDefault="00B654AC" w:rsidP="00E06571">
            <w:r w:rsidRPr="00F7716C">
              <w:t>6</w:t>
            </w:r>
          </w:p>
        </w:tc>
        <w:tc>
          <w:tcPr>
            <w:tcW w:w="5805" w:type="dxa"/>
          </w:tcPr>
          <w:p w14:paraId="5C425162" w14:textId="19005CA1" w:rsidR="00AD170D" w:rsidRPr="00F7716C" w:rsidRDefault="00B654AC" w:rsidP="00E06571">
            <w:r w:rsidRPr="00F7716C">
              <w:t>Soil sample collection, processing</w:t>
            </w:r>
            <w:r w:rsidR="00E06571" w:rsidRPr="00F7716C">
              <w:t>,</w:t>
            </w:r>
            <w:r w:rsidRPr="00F7716C">
              <w:t xml:space="preserve"> and PCR based laboratory diagnosis</w:t>
            </w:r>
          </w:p>
        </w:tc>
        <w:tc>
          <w:tcPr>
            <w:tcW w:w="2034" w:type="dxa"/>
          </w:tcPr>
          <w:p w14:paraId="7738F2FE" w14:textId="77777777" w:rsidR="00AD170D" w:rsidRPr="00F7716C" w:rsidRDefault="00B654AC" w:rsidP="00E06571">
            <w:r w:rsidRPr="00F7716C">
              <w:t>50</w:t>
            </w:r>
          </w:p>
        </w:tc>
      </w:tr>
      <w:tr w:rsidR="00F7716C" w:rsidRPr="00F7716C" w14:paraId="418111FF" w14:textId="77777777" w:rsidTr="00E06571">
        <w:tc>
          <w:tcPr>
            <w:tcW w:w="720" w:type="dxa"/>
          </w:tcPr>
          <w:p w14:paraId="422771A0" w14:textId="77777777" w:rsidR="00AD170D" w:rsidRPr="00F7716C" w:rsidRDefault="00B654AC" w:rsidP="00E06571">
            <w:r w:rsidRPr="00F7716C">
              <w:t>7</w:t>
            </w:r>
          </w:p>
        </w:tc>
        <w:tc>
          <w:tcPr>
            <w:tcW w:w="5805" w:type="dxa"/>
          </w:tcPr>
          <w:p w14:paraId="7E3EEA7A" w14:textId="77777777" w:rsidR="00AD170D" w:rsidRPr="00F7716C" w:rsidRDefault="00B654AC" w:rsidP="00E06571">
            <w:r w:rsidRPr="00F7716C">
              <w:t>Vaccination record card distribution</w:t>
            </w:r>
          </w:p>
        </w:tc>
        <w:tc>
          <w:tcPr>
            <w:tcW w:w="2034" w:type="dxa"/>
          </w:tcPr>
          <w:p w14:paraId="4EB644FA" w14:textId="77777777" w:rsidR="00AD170D" w:rsidRPr="00F7716C" w:rsidRDefault="00B654AC" w:rsidP="00E06571">
            <w:r w:rsidRPr="00F7716C">
              <w:t>All farmers having cattle</w:t>
            </w:r>
          </w:p>
        </w:tc>
      </w:tr>
      <w:tr w:rsidR="00F7716C" w:rsidRPr="00F7716C" w14:paraId="60FEDB80" w14:textId="77777777" w:rsidTr="00E06571">
        <w:tc>
          <w:tcPr>
            <w:tcW w:w="720" w:type="dxa"/>
          </w:tcPr>
          <w:p w14:paraId="0F9C420D" w14:textId="77777777" w:rsidR="00AD170D" w:rsidRPr="00F7716C" w:rsidRDefault="00B654AC" w:rsidP="00E06571">
            <w:r w:rsidRPr="00F7716C">
              <w:t>8</w:t>
            </w:r>
          </w:p>
        </w:tc>
        <w:tc>
          <w:tcPr>
            <w:tcW w:w="5805" w:type="dxa"/>
          </w:tcPr>
          <w:p w14:paraId="789E9B1A" w14:textId="47BFB9A8" w:rsidR="00AD170D" w:rsidRPr="00F7716C" w:rsidRDefault="00B654AC" w:rsidP="00E06571">
            <w:r w:rsidRPr="00F7716C">
              <w:t>Secondary data collection f</w:t>
            </w:r>
            <w:r w:rsidR="00E06571" w:rsidRPr="00F7716C">
              <w:t>ro</w:t>
            </w:r>
            <w:r w:rsidRPr="00F7716C">
              <w:t xml:space="preserve">m </w:t>
            </w:r>
            <w:proofErr w:type="spellStart"/>
            <w:r w:rsidRPr="00F7716C">
              <w:t>Upazila</w:t>
            </w:r>
            <w:proofErr w:type="spellEnd"/>
            <w:r w:rsidRPr="00F7716C">
              <w:t xml:space="preserve"> livestock department and </w:t>
            </w:r>
            <w:proofErr w:type="spellStart"/>
            <w:r w:rsidRPr="00F7716C">
              <w:t>Upazila</w:t>
            </w:r>
            <w:proofErr w:type="spellEnd"/>
            <w:r w:rsidRPr="00F7716C">
              <w:t xml:space="preserve"> Health complex</w:t>
            </w:r>
          </w:p>
        </w:tc>
        <w:tc>
          <w:tcPr>
            <w:tcW w:w="2034" w:type="dxa"/>
          </w:tcPr>
          <w:p w14:paraId="77B11EFE" w14:textId="77777777" w:rsidR="00AD170D" w:rsidRPr="00F7716C" w:rsidRDefault="00B654AC" w:rsidP="00E06571">
            <w:r w:rsidRPr="00F7716C">
              <w:t>03 times</w:t>
            </w:r>
          </w:p>
        </w:tc>
      </w:tr>
      <w:tr w:rsidR="00F7716C" w:rsidRPr="00F7716C" w14:paraId="130411BE" w14:textId="77777777" w:rsidTr="00E06571">
        <w:tc>
          <w:tcPr>
            <w:tcW w:w="720" w:type="dxa"/>
          </w:tcPr>
          <w:p w14:paraId="2C37A6A0" w14:textId="77777777" w:rsidR="00AD170D" w:rsidRPr="00F7716C" w:rsidRDefault="00B654AC" w:rsidP="00E06571">
            <w:r w:rsidRPr="00F7716C">
              <w:t>9</w:t>
            </w:r>
          </w:p>
        </w:tc>
        <w:tc>
          <w:tcPr>
            <w:tcW w:w="5805" w:type="dxa"/>
          </w:tcPr>
          <w:p w14:paraId="6E001BE4" w14:textId="77777777" w:rsidR="00AD170D" w:rsidRPr="00F7716C" w:rsidRDefault="00B654AC" w:rsidP="00E06571">
            <w:r w:rsidRPr="00F7716C">
              <w:t xml:space="preserve">Sensitization workshop with </w:t>
            </w:r>
            <w:proofErr w:type="spellStart"/>
            <w:r w:rsidRPr="00F7716C">
              <w:t>Upazila</w:t>
            </w:r>
            <w:proofErr w:type="spellEnd"/>
            <w:r w:rsidRPr="00F7716C">
              <w:t xml:space="preserve"> administration</w:t>
            </w:r>
          </w:p>
        </w:tc>
        <w:tc>
          <w:tcPr>
            <w:tcW w:w="2034" w:type="dxa"/>
          </w:tcPr>
          <w:p w14:paraId="153AFCE1" w14:textId="77777777" w:rsidR="00AD170D" w:rsidRPr="00F7716C" w:rsidRDefault="00B654AC" w:rsidP="00E06571">
            <w:r w:rsidRPr="00F7716C">
              <w:t>01</w:t>
            </w:r>
          </w:p>
        </w:tc>
      </w:tr>
      <w:tr w:rsidR="00F7716C" w:rsidRPr="00F7716C" w14:paraId="13D2143A" w14:textId="77777777" w:rsidTr="00E06571">
        <w:tc>
          <w:tcPr>
            <w:tcW w:w="720" w:type="dxa"/>
          </w:tcPr>
          <w:p w14:paraId="1E295CE0" w14:textId="77777777" w:rsidR="00AD170D" w:rsidRPr="00F7716C" w:rsidRDefault="00B654AC" w:rsidP="00E06571">
            <w:r w:rsidRPr="00F7716C">
              <w:t>10</w:t>
            </w:r>
          </w:p>
        </w:tc>
        <w:tc>
          <w:tcPr>
            <w:tcW w:w="5805" w:type="dxa"/>
          </w:tcPr>
          <w:p w14:paraId="33DCAF5A" w14:textId="77777777" w:rsidR="00AD170D" w:rsidRPr="00F7716C" w:rsidRDefault="00B654AC" w:rsidP="00E06571">
            <w:r w:rsidRPr="00F7716C">
              <w:t>Farmer’s awareness training</w:t>
            </w:r>
          </w:p>
        </w:tc>
        <w:tc>
          <w:tcPr>
            <w:tcW w:w="2034" w:type="dxa"/>
          </w:tcPr>
          <w:p w14:paraId="343FEF74" w14:textId="77777777" w:rsidR="00AD170D" w:rsidRPr="00F7716C" w:rsidRDefault="00B654AC" w:rsidP="00E06571">
            <w:r w:rsidRPr="00F7716C">
              <w:t>03</w:t>
            </w:r>
          </w:p>
        </w:tc>
      </w:tr>
      <w:tr w:rsidR="00F7716C" w:rsidRPr="00F7716C" w14:paraId="07B74A52" w14:textId="77777777" w:rsidTr="00E06571">
        <w:tc>
          <w:tcPr>
            <w:tcW w:w="720" w:type="dxa"/>
          </w:tcPr>
          <w:p w14:paraId="7D5EBBCD" w14:textId="77777777" w:rsidR="00AD170D" w:rsidRPr="00F7716C" w:rsidRDefault="00B654AC" w:rsidP="00E06571">
            <w:r w:rsidRPr="00F7716C">
              <w:t>11</w:t>
            </w:r>
          </w:p>
        </w:tc>
        <w:tc>
          <w:tcPr>
            <w:tcW w:w="5805" w:type="dxa"/>
          </w:tcPr>
          <w:p w14:paraId="3657934C" w14:textId="77777777" w:rsidR="00AD170D" w:rsidRPr="00F7716C" w:rsidRDefault="00B654AC" w:rsidP="00E06571">
            <w:r w:rsidRPr="00F7716C">
              <w:t>Student’s awareness training</w:t>
            </w:r>
          </w:p>
        </w:tc>
        <w:tc>
          <w:tcPr>
            <w:tcW w:w="2034" w:type="dxa"/>
          </w:tcPr>
          <w:p w14:paraId="58BA8CC5" w14:textId="77777777" w:rsidR="00AD170D" w:rsidRPr="00F7716C" w:rsidRDefault="00B654AC" w:rsidP="00E06571">
            <w:r w:rsidRPr="00F7716C">
              <w:t>09</w:t>
            </w:r>
          </w:p>
        </w:tc>
      </w:tr>
      <w:tr w:rsidR="00F7716C" w:rsidRPr="00F7716C" w14:paraId="2DDA1109" w14:textId="77777777" w:rsidTr="00E06571">
        <w:tc>
          <w:tcPr>
            <w:tcW w:w="720" w:type="dxa"/>
          </w:tcPr>
          <w:p w14:paraId="1DAADCB8" w14:textId="77777777" w:rsidR="00AD170D" w:rsidRPr="00F7716C" w:rsidRDefault="00B654AC" w:rsidP="00E06571">
            <w:r w:rsidRPr="00F7716C">
              <w:t>12</w:t>
            </w:r>
          </w:p>
        </w:tc>
        <w:tc>
          <w:tcPr>
            <w:tcW w:w="5805" w:type="dxa"/>
          </w:tcPr>
          <w:p w14:paraId="3EE249C6" w14:textId="77777777" w:rsidR="00AD170D" w:rsidRPr="00F7716C" w:rsidRDefault="00B654AC" w:rsidP="00E06571">
            <w:r w:rsidRPr="00F7716C">
              <w:t>Workshop with Meat sellers</w:t>
            </w:r>
          </w:p>
        </w:tc>
        <w:tc>
          <w:tcPr>
            <w:tcW w:w="2034" w:type="dxa"/>
          </w:tcPr>
          <w:p w14:paraId="0A34FCFC" w14:textId="77777777" w:rsidR="00AD170D" w:rsidRPr="00F7716C" w:rsidRDefault="00B654AC" w:rsidP="00E06571">
            <w:r w:rsidRPr="00F7716C">
              <w:t>01</w:t>
            </w:r>
          </w:p>
        </w:tc>
      </w:tr>
      <w:tr w:rsidR="00F7716C" w:rsidRPr="00F7716C" w14:paraId="11C5829A" w14:textId="77777777" w:rsidTr="00E06571">
        <w:tc>
          <w:tcPr>
            <w:tcW w:w="720" w:type="dxa"/>
          </w:tcPr>
          <w:p w14:paraId="21CC56AB" w14:textId="77777777" w:rsidR="00AD170D" w:rsidRPr="00F7716C" w:rsidRDefault="00B654AC" w:rsidP="00E06571">
            <w:r w:rsidRPr="00F7716C">
              <w:t>13</w:t>
            </w:r>
          </w:p>
        </w:tc>
        <w:tc>
          <w:tcPr>
            <w:tcW w:w="5805" w:type="dxa"/>
          </w:tcPr>
          <w:p w14:paraId="3725B424" w14:textId="77777777" w:rsidR="00AD170D" w:rsidRPr="00F7716C" w:rsidRDefault="00B654AC" w:rsidP="00E06571">
            <w:r w:rsidRPr="00F7716C">
              <w:t>Local elite's awareness training</w:t>
            </w:r>
          </w:p>
        </w:tc>
        <w:tc>
          <w:tcPr>
            <w:tcW w:w="2034" w:type="dxa"/>
          </w:tcPr>
          <w:p w14:paraId="3C7C90A3" w14:textId="77777777" w:rsidR="00AD170D" w:rsidRPr="00F7716C" w:rsidRDefault="00B654AC" w:rsidP="00E06571">
            <w:r w:rsidRPr="00F7716C">
              <w:t>02</w:t>
            </w:r>
          </w:p>
        </w:tc>
      </w:tr>
      <w:tr w:rsidR="00F7716C" w:rsidRPr="00F7716C" w14:paraId="49A59764" w14:textId="77777777" w:rsidTr="00E06571">
        <w:tc>
          <w:tcPr>
            <w:tcW w:w="720" w:type="dxa"/>
          </w:tcPr>
          <w:p w14:paraId="61300910" w14:textId="77777777" w:rsidR="00AD170D" w:rsidRPr="00F7716C" w:rsidRDefault="00B654AC" w:rsidP="00E06571">
            <w:r w:rsidRPr="00F7716C">
              <w:t>14</w:t>
            </w:r>
          </w:p>
        </w:tc>
        <w:tc>
          <w:tcPr>
            <w:tcW w:w="5805" w:type="dxa"/>
          </w:tcPr>
          <w:p w14:paraId="0AD890B8" w14:textId="77777777" w:rsidR="00AD170D" w:rsidRPr="00F7716C" w:rsidRDefault="00B654AC" w:rsidP="00E06571">
            <w:r w:rsidRPr="00F7716C">
              <w:t xml:space="preserve">Advisory committee formation with </w:t>
            </w:r>
            <w:proofErr w:type="spellStart"/>
            <w:r w:rsidRPr="00F7716C">
              <w:t>Upazila</w:t>
            </w:r>
            <w:proofErr w:type="spellEnd"/>
            <w:r w:rsidRPr="00F7716C">
              <w:t xml:space="preserve"> administration, law enforcing agencies, livestock department and health department</w:t>
            </w:r>
          </w:p>
        </w:tc>
        <w:tc>
          <w:tcPr>
            <w:tcW w:w="2034" w:type="dxa"/>
          </w:tcPr>
          <w:p w14:paraId="31349785" w14:textId="77777777" w:rsidR="00AD170D" w:rsidRPr="00F7716C" w:rsidRDefault="00B654AC" w:rsidP="00E06571">
            <w:r w:rsidRPr="00F7716C">
              <w:t>01</w:t>
            </w:r>
          </w:p>
        </w:tc>
      </w:tr>
      <w:tr w:rsidR="00F7716C" w:rsidRPr="00F7716C" w14:paraId="0D8F856D" w14:textId="77777777" w:rsidTr="00E06571">
        <w:tc>
          <w:tcPr>
            <w:tcW w:w="720" w:type="dxa"/>
          </w:tcPr>
          <w:p w14:paraId="70ADBB81" w14:textId="77777777" w:rsidR="00AD170D" w:rsidRPr="00F7716C" w:rsidRDefault="00B654AC" w:rsidP="00E06571">
            <w:r w:rsidRPr="00F7716C">
              <w:t>15</w:t>
            </w:r>
          </w:p>
        </w:tc>
        <w:tc>
          <w:tcPr>
            <w:tcW w:w="5805" w:type="dxa"/>
          </w:tcPr>
          <w:p w14:paraId="53FF3E72" w14:textId="77777777" w:rsidR="00AD170D" w:rsidRPr="00F7716C" w:rsidRDefault="00B654AC" w:rsidP="00E06571">
            <w:r w:rsidRPr="00F7716C">
              <w:t>Pictorial Billboard set up</w:t>
            </w:r>
          </w:p>
        </w:tc>
        <w:tc>
          <w:tcPr>
            <w:tcW w:w="2034" w:type="dxa"/>
          </w:tcPr>
          <w:p w14:paraId="020B7B8D" w14:textId="77777777" w:rsidR="00AD170D" w:rsidRPr="00F7716C" w:rsidRDefault="00B654AC" w:rsidP="00E06571">
            <w:r w:rsidRPr="00F7716C">
              <w:t>4</w:t>
            </w:r>
          </w:p>
        </w:tc>
      </w:tr>
      <w:tr w:rsidR="00F7716C" w:rsidRPr="00F7716C" w14:paraId="5F402EC1" w14:textId="77777777" w:rsidTr="00E06571">
        <w:tc>
          <w:tcPr>
            <w:tcW w:w="720" w:type="dxa"/>
          </w:tcPr>
          <w:p w14:paraId="55FE58BA" w14:textId="77777777" w:rsidR="00AD170D" w:rsidRPr="00F7716C" w:rsidRDefault="00B654AC" w:rsidP="00E06571">
            <w:r w:rsidRPr="00F7716C">
              <w:t>16</w:t>
            </w:r>
          </w:p>
        </w:tc>
        <w:tc>
          <w:tcPr>
            <w:tcW w:w="5805" w:type="dxa"/>
          </w:tcPr>
          <w:p w14:paraId="199EB5E8" w14:textId="77777777" w:rsidR="00AD170D" w:rsidRPr="00F7716C" w:rsidRDefault="00B654AC" w:rsidP="00E06571">
            <w:r w:rsidRPr="00F7716C">
              <w:t>Anthrax information placard distribution</w:t>
            </w:r>
          </w:p>
        </w:tc>
        <w:tc>
          <w:tcPr>
            <w:tcW w:w="2034" w:type="dxa"/>
          </w:tcPr>
          <w:p w14:paraId="78B5530E" w14:textId="77777777" w:rsidR="00AD170D" w:rsidRPr="00F7716C" w:rsidRDefault="00B654AC" w:rsidP="00E06571">
            <w:r w:rsidRPr="00F7716C">
              <w:t>60</w:t>
            </w:r>
          </w:p>
        </w:tc>
      </w:tr>
      <w:tr w:rsidR="00F7716C" w:rsidRPr="00F7716C" w14:paraId="502E04F8" w14:textId="77777777" w:rsidTr="00E06571">
        <w:tc>
          <w:tcPr>
            <w:tcW w:w="720" w:type="dxa"/>
          </w:tcPr>
          <w:p w14:paraId="3C4E86E4" w14:textId="77777777" w:rsidR="00AD170D" w:rsidRPr="00F7716C" w:rsidRDefault="00B654AC" w:rsidP="00E06571">
            <w:r w:rsidRPr="00F7716C">
              <w:t>17</w:t>
            </w:r>
          </w:p>
        </w:tc>
        <w:tc>
          <w:tcPr>
            <w:tcW w:w="5805" w:type="dxa"/>
          </w:tcPr>
          <w:p w14:paraId="2B99BE6F" w14:textId="77777777" w:rsidR="00AD170D" w:rsidRPr="00F7716C" w:rsidRDefault="00B654AC" w:rsidP="00E06571">
            <w:r w:rsidRPr="00F7716C">
              <w:t>Anthrax related poster and leaflet distribution</w:t>
            </w:r>
          </w:p>
        </w:tc>
        <w:tc>
          <w:tcPr>
            <w:tcW w:w="2034" w:type="dxa"/>
          </w:tcPr>
          <w:p w14:paraId="442B677D" w14:textId="77777777" w:rsidR="00AD170D" w:rsidRPr="00F7716C" w:rsidRDefault="00B654AC" w:rsidP="00E06571">
            <w:r w:rsidRPr="00F7716C">
              <w:t>800 pcs</w:t>
            </w:r>
          </w:p>
        </w:tc>
      </w:tr>
      <w:tr w:rsidR="00F7716C" w:rsidRPr="00F7716C" w14:paraId="61914331" w14:textId="77777777" w:rsidTr="00E06571">
        <w:tc>
          <w:tcPr>
            <w:tcW w:w="720" w:type="dxa"/>
          </w:tcPr>
          <w:p w14:paraId="108180C7" w14:textId="77777777" w:rsidR="00AD170D" w:rsidRPr="00F7716C" w:rsidRDefault="00B654AC" w:rsidP="00E06571">
            <w:r w:rsidRPr="00F7716C">
              <w:t>18</w:t>
            </w:r>
          </w:p>
        </w:tc>
        <w:tc>
          <w:tcPr>
            <w:tcW w:w="5805" w:type="dxa"/>
          </w:tcPr>
          <w:p w14:paraId="53360E3C" w14:textId="77777777" w:rsidR="00AD170D" w:rsidRPr="00F7716C" w:rsidRDefault="00B654AC" w:rsidP="00E06571">
            <w:r w:rsidRPr="00F7716C">
              <w:t>Publicity of existing law on animal slaughtering and other needful information on anthrax disease control through miking</w:t>
            </w:r>
          </w:p>
        </w:tc>
        <w:tc>
          <w:tcPr>
            <w:tcW w:w="2034" w:type="dxa"/>
          </w:tcPr>
          <w:p w14:paraId="5BCCF9A0" w14:textId="77777777" w:rsidR="00AD170D" w:rsidRPr="00F7716C" w:rsidRDefault="00B654AC" w:rsidP="00E06571">
            <w:r w:rsidRPr="00F7716C">
              <w:t>3</w:t>
            </w:r>
          </w:p>
        </w:tc>
      </w:tr>
      <w:tr w:rsidR="00F7716C" w:rsidRPr="00F7716C" w14:paraId="004B79F1" w14:textId="77777777" w:rsidTr="00E06571">
        <w:tc>
          <w:tcPr>
            <w:tcW w:w="720" w:type="dxa"/>
          </w:tcPr>
          <w:p w14:paraId="1CCBA75D" w14:textId="77777777" w:rsidR="00AD170D" w:rsidRPr="00F7716C" w:rsidRDefault="00B654AC" w:rsidP="00E06571">
            <w:r w:rsidRPr="00F7716C">
              <w:t>19</w:t>
            </w:r>
          </w:p>
        </w:tc>
        <w:tc>
          <w:tcPr>
            <w:tcW w:w="5805" w:type="dxa"/>
          </w:tcPr>
          <w:p w14:paraId="4BE0583A" w14:textId="63567169" w:rsidR="00AD170D" w:rsidRPr="00F7716C" w:rsidRDefault="00B654AC" w:rsidP="00E06571">
            <w:r w:rsidRPr="00F7716C">
              <w:t xml:space="preserve">Scientific field visit with </w:t>
            </w:r>
            <w:r w:rsidR="00E06571" w:rsidRPr="00F7716C">
              <w:t xml:space="preserve">the </w:t>
            </w:r>
            <w:r w:rsidRPr="00F7716C">
              <w:t>research team</w:t>
            </w:r>
          </w:p>
        </w:tc>
        <w:tc>
          <w:tcPr>
            <w:tcW w:w="2034" w:type="dxa"/>
          </w:tcPr>
          <w:p w14:paraId="78A580CF" w14:textId="77777777" w:rsidR="00AD170D" w:rsidRPr="00F7716C" w:rsidRDefault="00B654AC" w:rsidP="00E06571">
            <w:r w:rsidRPr="00F7716C">
              <w:t>02</w:t>
            </w:r>
          </w:p>
        </w:tc>
      </w:tr>
      <w:tr w:rsidR="00F7716C" w:rsidRPr="00F7716C" w14:paraId="5BA878FB" w14:textId="77777777" w:rsidTr="00E06571">
        <w:tc>
          <w:tcPr>
            <w:tcW w:w="720" w:type="dxa"/>
          </w:tcPr>
          <w:p w14:paraId="6A91C606" w14:textId="77777777" w:rsidR="00AD170D" w:rsidRPr="00F7716C" w:rsidRDefault="00B654AC" w:rsidP="00E06571">
            <w:r w:rsidRPr="00F7716C">
              <w:t>20</w:t>
            </w:r>
          </w:p>
        </w:tc>
        <w:tc>
          <w:tcPr>
            <w:tcW w:w="5805" w:type="dxa"/>
          </w:tcPr>
          <w:p w14:paraId="7566CC37" w14:textId="040E057B" w:rsidR="00AD170D" w:rsidRPr="00F7716C" w:rsidRDefault="00B654AC" w:rsidP="00E06571">
            <w:r w:rsidRPr="00F7716C">
              <w:t xml:space="preserve">Attend an </w:t>
            </w:r>
            <w:proofErr w:type="spellStart"/>
            <w:r w:rsidR="00E06571" w:rsidRPr="00F7716C">
              <w:t>U</w:t>
            </w:r>
            <w:r w:rsidRPr="00F7716C">
              <w:t>pazila</w:t>
            </w:r>
            <w:proofErr w:type="spellEnd"/>
            <w:r w:rsidRPr="00F7716C">
              <w:t xml:space="preserve"> coordination meeting and raise an issue on a slaughterhouse setup.</w:t>
            </w:r>
          </w:p>
        </w:tc>
        <w:tc>
          <w:tcPr>
            <w:tcW w:w="2034" w:type="dxa"/>
          </w:tcPr>
          <w:p w14:paraId="03B541C3" w14:textId="77777777" w:rsidR="00AD170D" w:rsidRPr="00F7716C" w:rsidRDefault="00B654AC" w:rsidP="00E06571">
            <w:r w:rsidRPr="00F7716C">
              <w:t>03</w:t>
            </w:r>
          </w:p>
        </w:tc>
      </w:tr>
      <w:tr w:rsidR="00F7716C" w:rsidRPr="00F7716C" w14:paraId="09D49A64" w14:textId="77777777" w:rsidTr="00E06571">
        <w:tc>
          <w:tcPr>
            <w:tcW w:w="720" w:type="dxa"/>
          </w:tcPr>
          <w:p w14:paraId="6936164A" w14:textId="77777777" w:rsidR="00AD170D" w:rsidRPr="00F7716C" w:rsidRDefault="00B654AC" w:rsidP="00E06571">
            <w:r w:rsidRPr="00F7716C">
              <w:t>21</w:t>
            </w:r>
          </w:p>
        </w:tc>
        <w:tc>
          <w:tcPr>
            <w:tcW w:w="5805" w:type="dxa"/>
          </w:tcPr>
          <w:p w14:paraId="5B01FE4E" w14:textId="77777777" w:rsidR="00AD170D" w:rsidRPr="00F7716C" w:rsidRDefault="00B654AC" w:rsidP="00E06571">
            <w:r w:rsidRPr="00F7716C">
              <w:t>Seminar participation &amp; presentation National (Ministry of Science and Technology)-1 and international (Tamil Nadu Veterinary and Animal Sciences University)-1</w:t>
            </w:r>
          </w:p>
        </w:tc>
        <w:tc>
          <w:tcPr>
            <w:tcW w:w="2034" w:type="dxa"/>
          </w:tcPr>
          <w:p w14:paraId="7685E5FA" w14:textId="77777777" w:rsidR="00AD170D" w:rsidRPr="00F7716C" w:rsidRDefault="00B654AC" w:rsidP="00E06571">
            <w:r w:rsidRPr="00F7716C">
              <w:t>02</w:t>
            </w:r>
          </w:p>
        </w:tc>
      </w:tr>
      <w:tr w:rsidR="00AD170D" w:rsidRPr="00F7716C" w14:paraId="173F18A5" w14:textId="77777777" w:rsidTr="00E06571">
        <w:tc>
          <w:tcPr>
            <w:tcW w:w="720" w:type="dxa"/>
          </w:tcPr>
          <w:p w14:paraId="3C339777" w14:textId="77777777" w:rsidR="00AD170D" w:rsidRPr="00F7716C" w:rsidRDefault="00B654AC" w:rsidP="00E06571">
            <w:r w:rsidRPr="00F7716C">
              <w:t>22</w:t>
            </w:r>
          </w:p>
        </w:tc>
        <w:tc>
          <w:tcPr>
            <w:tcW w:w="5805" w:type="dxa"/>
          </w:tcPr>
          <w:p w14:paraId="22467F5B" w14:textId="77777777" w:rsidR="00AD170D" w:rsidRPr="00F7716C" w:rsidRDefault="00B654AC" w:rsidP="00E06571">
            <w:r w:rsidRPr="00F7716C">
              <w:t>Progress poster presentation (Annual Workshop on BAU research progress 2018–2019)</w:t>
            </w:r>
          </w:p>
        </w:tc>
        <w:tc>
          <w:tcPr>
            <w:tcW w:w="2034" w:type="dxa"/>
          </w:tcPr>
          <w:p w14:paraId="059098B5" w14:textId="77777777" w:rsidR="00AD170D" w:rsidRPr="00F7716C" w:rsidRDefault="00B654AC" w:rsidP="00E06571">
            <w:r w:rsidRPr="00F7716C">
              <w:t>01</w:t>
            </w:r>
          </w:p>
        </w:tc>
      </w:tr>
    </w:tbl>
    <w:p w14:paraId="6AA130F4" w14:textId="77777777" w:rsidR="00AD170D" w:rsidRPr="00F7716C" w:rsidRDefault="00AD170D" w:rsidP="00E06571">
      <w:pPr>
        <w:rPr>
          <w:b/>
        </w:rPr>
      </w:pPr>
    </w:p>
    <w:p w14:paraId="1BD4F28B" w14:textId="4920B287" w:rsidR="00E06571" w:rsidRPr="00F7716C" w:rsidRDefault="00E06571" w:rsidP="00E06571"/>
    <w:p w14:paraId="066DC614" w14:textId="2F18BB40" w:rsidR="004E2D2C" w:rsidRPr="00F7716C" w:rsidRDefault="004E2D2C" w:rsidP="00E06571"/>
    <w:p w14:paraId="62D45B25" w14:textId="588CC68F" w:rsidR="004E2D2C" w:rsidRPr="00F7716C" w:rsidRDefault="004E2D2C" w:rsidP="00E06571"/>
    <w:p w14:paraId="2BAA386A" w14:textId="77777777" w:rsidR="004E2D2C" w:rsidRPr="00F7716C" w:rsidRDefault="004E2D2C" w:rsidP="00E06571"/>
    <w:p w14:paraId="27A7CDEB" w14:textId="4A74DD68" w:rsidR="00AD170D" w:rsidRPr="00F7716C" w:rsidRDefault="00B654AC" w:rsidP="00E06571">
      <w:pPr>
        <w:tabs>
          <w:tab w:val="left" w:pos="7463"/>
        </w:tabs>
        <w:rPr>
          <w:bCs/>
        </w:rPr>
      </w:pPr>
      <w:r w:rsidRPr="00F7716C">
        <w:rPr>
          <w:bCs/>
        </w:rPr>
        <w:lastRenderedPageBreak/>
        <w:t>Table 3</w:t>
      </w:r>
      <w:r w:rsidR="004E2D2C" w:rsidRPr="00F7716C">
        <w:rPr>
          <w:bCs/>
        </w:rPr>
        <w:t>.</w:t>
      </w:r>
      <w:r w:rsidRPr="00F7716C">
        <w:rPr>
          <w:bCs/>
        </w:rPr>
        <w:t xml:space="preserve"> Anthropological and epidemiological finding</w:t>
      </w:r>
      <w:r w:rsidR="00E06571" w:rsidRPr="00F7716C">
        <w:rPr>
          <w:bCs/>
        </w:rPr>
        <w:t>s</w:t>
      </w:r>
      <w:r w:rsidRPr="00F7716C">
        <w:rPr>
          <w:bCs/>
        </w:rPr>
        <w:t xml:space="preserve"> of </w:t>
      </w:r>
      <w:r w:rsidR="004E2D2C" w:rsidRPr="00F7716C">
        <w:rPr>
          <w:bCs/>
        </w:rPr>
        <w:t>m</w:t>
      </w:r>
      <w:r w:rsidRPr="00F7716C">
        <w:rPr>
          <w:bCs/>
        </w:rPr>
        <w:t>odel area</w:t>
      </w:r>
      <w:r w:rsidRPr="00F7716C">
        <w:rPr>
          <w:bCs/>
        </w:rPr>
        <w:tab/>
      </w:r>
    </w:p>
    <w:tbl>
      <w:tblPr>
        <w:tblStyle w:val="a6"/>
        <w:tblW w:w="854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51"/>
        <w:gridCol w:w="5589"/>
      </w:tblGrid>
      <w:tr w:rsidR="00F7716C" w:rsidRPr="00F7716C" w14:paraId="4309377B" w14:textId="77777777" w:rsidTr="00E06571">
        <w:trPr>
          <w:trHeight w:val="265"/>
        </w:trPr>
        <w:tc>
          <w:tcPr>
            <w:tcW w:w="2951" w:type="dxa"/>
            <w:vAlign w:val="center"/>
          </w:tcPr>
          <w:p w14:paraId="6B9376E0" w14:textId="77777777" w:rsidR="00AD170D" w:rsidRPr="00F7716C" w:rsidRDefault="00B654AC" w:rsidP="00E06571">
            <w:r w:rsidRPr="00F7716C">
              <w:t>Geological information</w:t>
            </w:r>
          </w:p>
        </w:tc>
        <w:tc>
          <w:tcPr>
            <w:tcW w:w="5589" w:type="dxa"/>
          </w:tcPr>
          <w:p w14:paraId="13446CA8" w14:textId="4D4F9E36" w:rsidR="00AD170D" w:rsidRPr="00F7716C" w:rsidRDefault="00B654AC" w:rsidP="00E06571">
            <w:proofErr w:type="spellStart"/>
            <w:r w:rsidRPr="00F7716C">
              <w:t>Jamtoil</w:t>
            </w:r>
            <w:proofErr w:type="spellEnd"/>
            <w:r w:rsidRPr="00F7716C">
              <w:t xml:space="preserve"> is one of the dense cattle populated villages, located in between 24°34' and 24°36' north latitudes and in between 89°64' and 89°68' east longitudes. The total area 4.68 sq. kilometer</w:t>
            </w:r>
            <w:r w:rsidR="00E06571" w:rsidRPr="00F7716C">
              <w:t>s</w:t>
            </w:r>
          </w:p>
        </w:tc>
      </w:tr>
      <w:tr w:rsidR="00F7716C" w:rsidRPr="00F7716C" w14:paraId="7E172322" w14:textId="77777777" w:rsidTr="00E06571">
        <w:trPr>
          <w:trHeight w:val="252"/>
        </w:trPr>
        <w:tc>
          <w:tcPr>
            <w:tcW w:w="2951" w:type="dxa"/>
            <w:vAlign w:val="center"/>
          </w:tcPr>
          <w:p w14:paraId="53A24A57" w14:textId="77777777" w:rsidR="00AD170D" w:rsidRPr="00F7716C" w:rsidRDefault="00B654AC" w:rsidP="00E06571">
            <w:r w:rsidRPr="00F7716C">
              <w:t>Household information</w:t>
            </w:r>
          </w:p>
        </w:tc>
        <w:tc>
          <w:tcPr>
            <w:tcW w:w="5589" w:type="dxa"/>
          </w:tcPr>
          <w:p w14:paraId="140AD196" w14:textId="77777777" w:rsidR="00AD170D" w:rsidRPr="00F7716C" w:rsidRDefault="00B654AC" w:rsidP="00E06571">
            <w:r w:rsidRPr="00F7716C">
              <w:t>1189 Households</w:t>
            </w:r>
          </w:p>
        </w:tc>
      </w:tr>
      <w:tr w:rsidR="00F7716C" w:rsidRPr="00F7716C" w14:paraId="1B9B886B" w14:textId="77777777" w:rsidTr="00E06571">
        <w:trPr>
          <w:trHeight w:val="265"/>
        </w:trPr>
        <w:tc>
          <w:tcPr>
            <w:tcW w:w="2951" w:type="dxa"/>
            <w:vAlign w:val="center"/>
          </w:tcPr>
          <w:p w14:paraId="58ABBFAB" w14:textId="77777777" w:rsidR="00AD170D" w:rsidRPr="00F7716C" w:rsidRDefault="00B654AC" w:rsidP="00E06571">
            <w:r w:rsidRPr="00F7716C">
              <w:t xml:space="preserve">Occupation </w:t>
            </w:r>
          </w:p>
        </w:tc>
        <w:tc>
          <w:tcPr>
            <w:tcW w:w="5589" w:type="dxa"/>
          </w:tcPr>
          <w:p w14:paraId="4FE4E7C0" w14:textId="77777777" w:rsidR="00AD170D" w:rsidRPr="00F7716C" w:rsidRDefault="00B654AC" w:rsidP="00E06571">
            <w:r w:rsidRPr="00F7716C">
              <w:t xml:space="preserve">Main occupation was Agriculture 47.06%, non-agricultural </w:t>
            </w:r>
            <w:proofErr w:type="spellStart"/>
            <w:r w:rsidRPr="00F7716C">
              <w:t>labourer</w:t>
            </w:r>
            <w:proofErr w:type="spellEnd"/>
            <w:r w:rsidRPr="00F7716C">
              <w:t xml:space="preserve"> 4%, industry 1.14%, commerce 16.57%, transport and communication 3.87%, service 8.70%, construction 0.87%, religious service 0.27%, rent and remittance 0.26% and others 17.26%.</w:t>
            </w:r>
          </w:p>
        </w:tc>
      </w:tr>
      <w:tr w:rsidR="00F7716C" w:rsidRPr="00F7716C" w14:paraId="1DD36298" w14:textId="77777777" w:rsidTr="00E06571">
        <w:trPr>
          <w:trHeight w:val="265"/>
        </w:trPr>
        <w:tc>
          <w:tcPr>
            <w:tcW w:w="2951" w:type="dxa"/>
            <w:vAlign w:val="center"/>
          </w:tcPr>
          <w:p w14:paraId="38CD3847" w14:textId="77777777" w:rsidR="00AD170D" w:rsidRPr="00F7716C" w:rsidRDefault="00B654AC" w:rsidP="00E06571">
            <w:r w:rsidRPr="00F7716C">
              <w:t>Soil topography information</w:t>
            </w:r>
          </w:p>
        </w:tc>
        <w:tc>
          <w:tcPr>
            <w:tcW w:w="5589" w:type="dxa"/>
          </w:tcPr>
          <w:p w14:paraId="33F4D99B" w14:textId="77777777" w:rsidR="00AD170D" w:rsidRPr="00F7716C" w:rsidRDefault="00B654AC" w:rsidP="00E06571">
            <w:r w:rsidRPr="00F7716C">
              <w:t xml:space="preserve">Land type: Medium low land </w:t>
            </w:r>
          </w:p>
          <w:p w14:paraId="534CD2AB" w14:textId="582FF82E" w:rsidR="00AD170D" w:rsidRPr="00F7716C" w:rsidRDefault="00B654AC" w:rsidP="00E06571">
            <w:r w:rsidRPr="00F7716C">
              <w:t>Soil type: Sandy, loamy</w:t>
            </w:r>
            <w:r w:rsidR="00E06571" w:rsidRPr="00F7716C">
              <w:t>,</w:t>
            </w:r>
            <w:r w:rsidRPr="00F7716C">
              <w:t xml:space="preserve"> and clay type soil</w:t>
            </w:r>
          </w:p>
          <w:p w14:paraId="453ACF46" w14:textId="77777777" w:rsidR="00AD170D" w:rsidRPr="00F7716C" w:rsidRDefault="00B654AC" w:rsidP="00E06571">
            <w:r w:rsidRPr="00F7716C">
              <w:t>Moisture content: 17.04± 2.45</w:t>
            </w:r>
          </w:p>
          <w:p w14:paraId="7C2E9282" w14:textId="77777777" w:rsidR="00AD170D" w:rsidRPr="00F7716C" w:rsidRDefault="00B654AC" w:rsidP="00E06571">
            <w:r w:rsidRPr="00F7716C">
              <w:t>Ca (PPM): 782.60±45.90</w:t>
            </w:r>
          </w:p>
          <w:p w14:paraId="21B77C84" w14:textId="77777777" w:rsidR="00AD170D" w:rsidRPr="00F7716C" w:rsidRDefault="00B654AC" w:rsidP="00E06571">
            <w:r w:rsidRPr="00F7716C">
              <w:t>Organic carbon (%): 0.82±0.12</w:t>
            </w:r>
          </w:p>
          <w:p w14:paraId="17308E06" w14:textId="77777777" w:rsidR="00AD170D" w:rsidRPr="00F7716C" w:rsidRDefault="00B654AC" w:rsidP="00E06571">
            <w:r w:rsidRPr="00F7716C">
              <w:t>Total N (%):0.05</w:t>
            </w:r>
          </w:p>
          <w:p w14:paraId="3CC54D41" w14:textId="77777777" w:rsidR="00AD170D" w:rsidRPr="00F7716C" w:rsidRDefault="00B654AC" w:rsidP="00E06571">
            <w:r w:rsidRPr="00F7716C">
              <w:t>P (PPM): 12.7</w:t>
            </w:r>
          </w:p>
          <w:p w14:paraId="78317E9E" w14:textId="77777777" w:rsidR="00AD170D" w:rsidRPr="00F7716C" w:rsidRDefault="00B654AC" w:rsidP="00E06571">
            <w:r w:rsidRPr="00F7716C">
              <w:t>K (PPM):0.32</w:t>
            </w:r>
          </w:p>
        </w:tc>
      </w:tr>
      <w:tr w:rsidR="00F7716C" w:rsidRPr="00F7716C" w14:paraId="30E1AF95" w14:textId="77777777" w:rsidTr="00E06571">
        <w:trPr>
          <w:trHeight w:val="265"/>
        </w:trPr>
        <w:tc>
          <w:tcPr>
            <w:tcW w:w="2951" w:type="dxa"/>
            <w:vAlign w:val="center"/>
          </w:tcPr>
          <w:p w14:paraId="517A29F9" w14:textId="77777777" w:rsidR="00AD170D" w:rsidRPr="00F7716C" w:rsidRDefault="00B654AC" w:rsidP="00E06571">
            <w:r w:rsidRPr="00F7716C">
              <w:t>Water lodging and Flood information</w:t>
            </w:r>
          </w:p>
        </w:tc>
        <w:tc>
          <w:tcPr>
            <w:tcW w:w="5589" w:type="dxa"/>
          </w:tcPr>
          <w:p w14:paraId="56A91D9B" w14:textId="7BACA31C" w:rsidR="00AD170D" w:rsidRPr="00F7716C" w:rsidRDefault="00B654AC" w:rsidP="00E06571">
            <w:r w:rsidRPr="00F7716C">
              <w:t xml:space="preserve">Floods occur almost every year, and most of the area's roaming land </w:t>
            </w:r>
            <w:r w:rsidR="00E06571" w:rsidRPr="00F7716C">
              <w:t>i</w:t>
            </w:r>
            <w:r w:rsidRPr="00F7716C">
              <w:t xml:space="preserve">s submerged at a significant time of year. </w:t>
            </w:r>
          </w:p>
        </w:tc>
      </w:tr>
      <w:tr w:rsidR="00F7716C" w:rsidRPr="00F7716C" w14:paraId="750ED97E" w14:textId="77777777" w:rsidTr="00E06571">
        <w:trPr>
          <w:trHeight w:val="265"/>
        </w:trPr>
        <w:tc>
          <w:tcPr>
            <w:tcW w:w="2951" w:type="dxa"/>
            <w:vAlign w:val="center"/>
          </w:tcPr>
          <w:p w14:paraId="5D19ACA9" w14:textId="77777777" w:rsidR="00AD170D" w:rsidRPr="00F7716C" w:rsidRDefault="00B654AC" w:rsidP="00E06571">
            <w:r w:rsidRPr="00F7716C">
              <w:t>Information about cattle population</w:t>
            </w:r>
          </w:p>
        </w:tc>
        <w:tc>
          <w:tcPr>
            <w:tcW w:w="5589" w:type="dxa"/>
          </w:tcPr>
          <w:p w14:paraId="3D01BED0" w14:textId="37524EE2" w:rsidR="00AD170D" w:rsidRPr="00F7716C" w:rsidRDefault="00B654AC" w:rsidP="00E06571">
            <w:r w:rsidRPr="00F7716C">
              <w:t>About 90 percent of the people are involved in cattle rearing. In addition, there are many families involved in the cattle trade who regularly bought cows from different parts of the country and kept them at home for a few days</w:t>
            </w:r>
            <w:r w:rsidR="00E06571" w:rsidRPr="00F7716C">
              <w:t>,</w:t>
            </w:r>
            <w:r w:rsidRPr="00F7716C">
              <w:t xml:space="preserve"> and then sold them at various markets. Among the farmers, small and marginal farms (1-5 cows) were 50%. Medium farms (8-10 cows) were 20%, large farms (10 upstairs) were 10%</w:t>
            </w:r>
            <w:r w:rsidR="00E06571" w:rsidRPr="00F7716C">
              <w:t>,</w:t>
            </w:r>
            <w:r w:rsidRPr="00F7716C">
              <w:t xml:space="preserve"> and the remaining 20% </w:t>
            </w:r>
            <w:r w:rsidR="00E06571" w:rsidRPr="00F7716C">
              <w:t xml:space="preserve">of </w:t>
            </w:r>
            <w:r w:rsidRPr="00F7716C">
              <w:t>cows belonged to the traders. For this reason, it was difficult to calculate the number of cattle accurately, but during the census</w:t>
            </w:r>
            <w:r w:rsidR="00E06571" w:rsidRPr="00F7716C">
              <w:t>,</w:t>
            </w:r>
            <w:r w:rsidRPr="00F7716C">
              <w:t xml:space="preserve"> it was found that.</w:t>
            </w:r>
          </w:p>
          <w:p w14:paraId="07020F3A" w14:textId="4433B210" w:rsidR="00AD170D" w:rsidRPr="00F7716C" w:rsidRDefault="00B654AC" w:rsidP="00E06571">
            <w:r w:rsidRPr="00F7716C">
              <w:t>There were 2753 cattle. Among them</w:t>
            </w:r>
            <w:r w:rsidR="00E06571" w:rsidRPr="00F7716C">
              <w:t>,</w:t>
            </w:r>
            <w:r w:rsidRPr="00F7716C">
              <w:t xml:space="preserve"> 334 were calves, 782 were pregnant cows, bulls were 1202</w:t>
            </w:r>
            <w:r w:rsidR="00E06571" w:rsidRPr="00F7716C">
              <w:t>,</w:t>
            </w:r>
            <w:r w:rsidRPr="00F7716C">
              <w:t xml:space="preserve"> and the rest were milch and dry cows.</w:t>
            </w:r>
          </w:p>
        </w:tc>
      </w:tr>
      <w:tr w:rsidR="00F7716C" w:rsidRPr="00F7716C" w14:paraId="4600F69B" w14:textId="77777777" w:rsidTr="00E06571">
        <w:trPr>
          <w:trHeight w:val="265"/>
        </w:trPr>
        <w:tc>
          <w:tcPr>
            <w:tcW w:w="2951" w:type="dxa"/>
            <w:vAlign w:val="center"/>
          </w:tcPr>
          <w:p w14:paraId="55BAA42B" w14:textId="77777777" w:rsidR="00AD170D" w:rsidRPr="00F7716C" w:rsidRDefault="00B654AC" w:rsidP="00E06571">
            <w:r w:rsidRPr="00F7716C">
              <w:t>Information about farmhouse</w:t>
            </w:r>
          </w:p>
        </w:tc>
        <w:tc>
          <w:tcPr>
            <w:tcW w:w="5589" w:type="dxa"/>
          </w:tcPr>
          <w:p w14:paraId="7438E6F3" w14:textId="09282210" w:rsidR="00AD170D" w:rsidRPr="00F7716C" w:rsidRDefault="00B654AC" w:rsidP="00E06571">
            <w:r w:rsidRPr="00F7716C">
              <w:t>Usually</w:t>
            </w:r>
            <w:r w:rsidR="00E06571" w:rsidRPr="00F7716C">
              <w:t>,</w:t>
            </w:r>
            <w:r w:rsidRPr="00F7716C">
              <w:t xml:space="preserve"> farmers (more than 60%) used to keep cattle in a semi-intensive system. Some farmers (less than 20%) </w:t>
            </w:r>
            <w:r w:rsidR="00E06571" w:rsidRPr="00F7716C">
              <w:t>maintained</w:t>
            </w:r>
            <w:r w:rsidRPr="00F7716C">
              <w:t xml:space="preserve"> their cattle day and night in sheds, especially bulls. They would take out the cattle just for bathing</w:t>
            </w:r>
            <w:r w:rsidR="00E06571" w:rsidRPr="00F7716C">
              <w:t>,</w:t>
            </w:r>
            <w:r w:rsidRPr="00F7716C">
              <w:t xml:space="preserve"> and the rest of the time</w:t>
            </w:r>
            <w:r w:rsidR="00E06571" w:rsidRPr="00F7716C">
              <w:t>,</w:t>
            </w:r>
            <w:r w:rsidRPr="00F7716C">
              <w:t xml:space="preserve"> they would be tied up in a sleeping place. Most of the farmers (more than 75%) tied their cattle in the yard during the day and in the surrounding pastures and kept them in the barn at night. The cowsheds were semi-paved, with most bricks on the floor attached to their bedrooms.</w:t>
            </w:r>
          </w:p>
        </w:tc>
      </w:tr>
      <w:tr w:rsidR="00F7716C" w:rsidRPr="00F7716C" w14:paraId="11CC2CB8" w14:textId="77777777" w:rsidTr="00E06571">
        <w:trPr>
          <w:trHeight w:val="265"/>
        </w:trPr>
        <w:tc>
          <w:tcPr>
            <w:tcW w:w="2951" w:type="dxa"/>
            <w:vAlign w:val="center"/>
          </w:tcPr>
          <w:p w14:paraId="2E017BBD" w14:textId="77777777" w:rsidR="00AD170D" w:rsidRPr="00F7716C" w:rsidRDefault="00B654AC" w:rsidP="00E06571">
            <w:r w:rsidRPr="00F7716C">
              <w:t>Information on Livestock husbandry</w:t>
            </w:r>
          </w:p>
        </w:tc>
        <w:tc>
          <w:tcPr>
            <w:tcW w:w="5589" w:type="dxa"/>
          </w:tcPr>
          <w:p w14:paraId="09F4DCED" w14:textId="0C800196" w:rsidR="00AD170D" w:rsidRPr="00F7716C" w:rsidRDefault="00B654AC" w:rsidP="00E06571">
            <w:r w:rsidRPr="00F7716C">
              <w:t xml:space="preserve">Traditionally, this area was inhabited by cattle. For a long time, the people of this area were involved in cattle rearing. People used to cultivate improved varieties of fodder such as </w:t>
            </w:r>
            <w:r w:rsidR="00E06571" w:rsidRPr="00F7716C">
              <w:t>N</w:t>
            </w:r>
            <w:r w:rsidRPr="00F7716C">
              <w:t>apier, maize</w:t>
            </w:r>
            <w:r w:rsidR="00E06571" w:rsidRPr="00F7716C">
              <w:t>,</w:t>
            </w:r>
            <w:r w:rsidRPr="00F7716C">
              <w:t xml:space="preserve"> and jumbo. </w:t>
            </w:r>
            <w:r w:rsidRPr="00F7716C">
              <w:lastRenderedPageBreak/>
              <w:t>Those who had cultivable land used to cultivate their land. Those who did not have their cultivable land cultivated these fodders on the side of the road and on the slope of the railway line. The sale of grass was a regular business here. The farmer would come in the morning to sell milk</w:t>
            </w:r>
            <w:r w:rsidR="00E06571" w:rsidRPr="00F7716C">
              <w:t>,</w:t>
            </w:r>
            <w:r w:rsidRPr="00F7716C">
              <w:t xml:space="preserve"> and when he left, he would buy fodder and granular food for the cows. Some low-income farmers and their families regularly mown grass from the aisles and fallow lands to feed their cattle. The average farmer </w:t>
            </w:r>
            <w:r w:rsidR="00E06571" w:rsidRPr="00F7716C">
              <w:t>ga</w:t>
            </w:r>
            <w:r w:rsidRPr="00F7716C">
              <w:t>ve 5 to 10 kg of concentrate feed to a cow.</w:t>
            </w:r>
          </w:p>
        </w:tc>
      </w:tr>
      <w:tr w:rsidR="00F7716C" w:rsidRPr="00F7716C" w14:paraId="737BFE35" w14:textId="77777777" w:rsidTr="00E06571">
        <w:trPr>
          <w:trHeight w:val="350"/>
        </w:trPr>
        <w:tc>
          <w:tcPr>
            <w:tcW w:w="2951" w:type="dxa"/>
            <w:vAlign w:val="center"/>
          </w:tcPr>
          <w:p w14:paraId="60DC404B" w14:textId="77777777" w:rsidR="00AD170D" w:rsidRPr="00F7716C" w:rsidRDefault="00B654AC" w:rsidP="00E06571">
            <w:r w:rsidRPr="00F7716C">
              <w:lastRenderedPageBreak/>
              <w:t>Market and meat sales information</w:t>
            </w:r>
          </w:p>
        </w:tc>
        <w:tc>
          <w:tcPr>
            <w:tcW w:w="5589" w:type="dxa"/>
          </w:tcPr>
          <w:p w14:paraId="7C9B78F3" w14:textId="3B3C242E" w:rsidR="00AD170D" w:rsidRPr="00F7716C" w:rsidRDefault="00B654AC" w:rsidP="00E06571">
            <w:r w:rsidRPr="00F7716C">
              <w:t>There was a Hat in the area</w:t>
            </w:r>
            <w:r w:rsidR="00E06571" w:rsidRPr="00F7716C">
              <w:t>,</w:t>
            </w:r>
            <w:r w:rsidRPr="00F7716C">
              <w:t xml:space="preserve"> which was open two days a week</w:t>
            </w:r>
            <w:r w:rsidR="00E06571" w:rsidRPr="00F7716C">
              <w:t>,</w:t>
            </w:r>
            <w:r w:rsidRPr="00F7716C">
              <w:t xml:space="preserve"> and a bazaar. The bazaar was the largest marketplace in the </w:t>
            </w:r>
            <w:proofErr w:type="spellStart"/>
            <w:r w:rsidR="00E06571" w:rsidRPr="00F7716C">
              <w:t>U</w:t>
            </w:r>
            <w:r w:rsidRPr="00F7716C">
              <w:t>pazila</w:t>
            </w:r>
            <w:proofErr w:type="spellEnd"/>
            <w:r w:rsidR="00E06571" w:rsidRPr="00F7716C">
              <w:t>,</w:t>
            </w:r>
            <w:r w:rsidRPr="00F7716C">
              <w:t xml:space="preserve"> which was open from morning till noon every day. Cows were regularly slaughtered in these Hat and Bazar</w:t>
            </w:r>
            <w:r w:rsidR="00E06571" w:rsidRPr="00F7716C">
              <w:t>, and a</w:t>
            </w:r>
            <w:r w:rsidRPr="00F7716C">
              <w:t>bout 20 butchers were regularly involved in selling meat.</w:t>
            </w:r>
          </w:p>
        </w:tc>
      </w:tr>
      <w:tr w:rsidR="00F7716C" w:rsidRPr="00F7716C" w14:paraId="697C382B" w14:textId="77777777" w:rsidTr="00E06571">
        <w:trPr>
          <w:trHeight w:val="350"/>
        </w:trPr>
        <w:tc>
          <w:tcPr>
            <w:tcW w:w="2951" w:type="dxa"/>
            <w:vAlign w:val="center"/>
          </w:tcPr>
          <w:p w14:paraId="76D421E0" w14:textId="77777777" w:rsidR="00AD170D" w:rsidRPr="00F7716C" w:rsidRDefault="00B654AC" w:rsidP="00E06571">
            <w:r w:rsidRPr="00F7716C">
              <w:t>Information about animal slaughterhouses</w:t>
            </w:r>
          </w:p>
        </w:tc>
        <w:tc>
          <w:tcPr>
            <w:tcW w:w="5589" w:type="dxa"/>
          </w:tcPr>
          <w:p w14:paraId="43247A7F" w14:textId="50ECC8C6" w:rsidR="00AD170D" w:rsidRPr="00F7716C" w:rsidRDefault="00B654AC" w:rsidP="00E06571">
            <w:r w:rsidRPr="00F7716C">
              <w:t>There was no specific place in the area for slaughtering cows</w:t>
            </w:r>
            <w:r w:rsidR="00E06571" w:rsidRPr="00F7716C">
              <w:t>, and t</w:t>
            </w:r>
            <w:r w:rsidRPr="00F7716C">
              <w:t xml:space="preserve">he meat was slaughtered for sale next to the filthy piles of rubbish next to the hats and markets. Besides, animals were slaughtered in the </w:t>
            </w:r>
            <w:r w:rsidR="00E06571" w:rsidRPr="00F7716C">
              <w:t>house's yard</w:t>
            </w:r>
            <w:r w:rsidRPr="00F7716C">
              <w:t xml:space="preserve"> in various social ceremonies.</w:t>
            </w:r>
          </w:p>
        </w:tc>
      </w:tr>
      <w:tr w:rsidR="00F7716C" w:rsidRPr="00F7716C" w14:paraId="35F51AD7" w14:textId="77777777" w:rsidTr="00E06571">
        <w:trPr>
          <w:trHeight w:val="530"/>
        </w:trPr>
        <w:tc>
          <w:tcPr>
            <w:tcW w:w="2951" w:type="dxa"/>
            <w:vAlign w:val="center"/>
          </w:tcPr>
          <w:p w14:paraId="5D83C840" w14:textId="77777777" w:rsidR="00AD170D" w:rsidRPr="00F7716C" w:rsidRDefault="00B654AC" w:rsidP="00E06571">
            <w:r w:rsidRPr="00F7716C">
              <w:t>Information on animal import and export from outsides</w:t>
            </w:r>
          </w:p>
        </w:tc>
        <w:tc>
          <w:tcPr>
            <w:tcW w:w="5589" w:type="dxa"/>
          </w:tcPr>
          <w:p w14:paraId="23A6180B" w14:textId="7C2510DD" w:rsidR="00AD170D" w:rsidRPr="00F7716C" w:rsidRDefault="00B654AC" w:rsidP="00E06571">
            <w:r w:rsidRPr="00F7716C">
              <w:t xml:space="preserve">Cows were imported from the </w:t>
            </w:r>
            <w:r w:rsidR="00E06571" w:rsidRPr="00F7716C">
              <w:t>country's northern districts</w:t>
            </w:r>
            <w:r w:rsidRPr="00F7716C">
              <w:t xml:space="preserve"> almost every day in the area. The cows were located in the village and were gradually sold to traders in the surrounding hats and other districts. In this case, the area was used as a hub for importing and exporting cattle.</w:t>
            </w:r>
          </w:p>
        </w:tc>
      </w:tr>
      <w:tr w:rsidR="00F7716C" w:rsidRPr="00F7716C" w14:paraId="089B4450" w14:textId="77777777" w:rsidTr="00E06571">
        <w:trPr>
          <w:trHeight w:val="350"/>
        </w:trPr>
        <w:tc>
          <w:tcPr>
            <w:tcW w:w="2951" w:type="dxa"/>
            <w:vAlign w:val="center"/>
          </w:tcPr>
          <w:p w14:paraId="17137077" w14:textId="77777777" w:rsidR="00AD170D" w:rsidRPr="00F7716C" w:rsidRDefault="00B654AC" w:rsidP="00E06571">
            <w:r w:rsidRPr="00F7716C">
              <w:t>Animal burial information</w:t>
            </w:r>
          </w:p>
        </w:tc>
        <w:tc>
          <w:tcPr>
            <w:tcW w:w="5589" w:type="dxa"/>
          </w:tcPr>
          <w:p w14:paraId="5FCE4E36" w14:textId="1582BFC3" w:rsidR="00AD170D" w:rsidRPr="00F7716C" w:rsidRDefault="00B654AC" w:rsidP="00E06571">
            <w:r w:rsidRPr="00F7716C">
              <w:t>The people of the area do not follow any rules regarding the burial of dead animals. Usually</w:t>
            </w:r>
            <w:r w:rsidR="00E06571" w:rsidRPr="00F7716C">
              <w:t>,</w:t>
            </w:r>
            <w:r w:rsidRPr="00F7716C">
              <w:t xml:space="preserve"> where there were facilities such as bushes on the side of the house, pasture, submerged land</w:t>
            </w:r>
            <w:r w:rsidR="00E06571" w:rsidRPr="00F7716C">
              <w:t>,</w:t>
            </w:r>
            <w:r w:rsidRPr="00F7716C">
              <w:t xml:space="preserve"> or the road or rail line along</w:t>
            </w:r>
            <w:r w:rsidR="00E06571" w:rsidRPr="00F7716C">
              <w:t>,</w:t>
            </w:r>
            <w:r w:rsidRPr="00F7716C">
              <w:t xml:space="preserve"> the dead animals were thrown. The butcher would take the skins of these dead animals</w:t>
            </w:r>
            <w:r w:rsidR="00E06571" w:rsidRPr="00F7716C">
              <w:t>,</w:t>
            </w:r>
            <w:r w:rsidRPr="00F7716C">
              <w:t xml:space="preserve"> and the dead animals would be exposed to foxes, dogs</w:t>
            </w:r>
            <w:r w:rsidR="00E06571" w:rsidRPr="00F7716C">
              <w:t>,</w:t>
            </w:r>
            <w:r w:rsidRPr="00F7716C">
              <w:t xml:space="preserve"> and wild birds. </w:t>
            </w:r>
            <w:r w:rsidR="00E06571" w:rsidRPr="00F7716C">
              <w:t>Some conscious farmers</w:t>
            </w:r>
            <w:r w:rsidRPr="00F7716C">
              <w:t xml:space="preserve"> buried the dead animal</w:t>
            </w:r>
            <w:r w:rsidR="00E06571" w:rsidRPr="00F7716C">
              <w:t>,</w:t>
            </w:r>
            <w:r w:rsidRPr="00F7716C">
              <w:t xml:space="preserve"> but their number was </w:t>
            </w:r>
            <w:r w:rsidR="00E06571" w:rsidRPr="00F7716C">
              <w:t>minima</w:t>
            </w:r>
            <w:r w:rsidRPr="00F7716C">
              <w:t>l (less than 10%).</w:t>
            </w:r>
          </w:p>
        </w:tc>
      </w:tr>
      <w:tr w:rsidR="00F7716C" w:rsidRPr="00F7716C" w14:paraId="27F2E05F" w14:textId="77777777" w:rsidTr="00E06571">
        <w:trPr>
          <w:trHeight w:val="440"/>
        </w:trPr>
        <w:tc>
          <w:tcPr>
            <w:tcW w:w="2951" w:type="dxa"/>
            <w:vAlign w:val="center"/>
          </w:tcPr>
          <w:p w14:paraId="47986A9B" w14:textId="77777777" w:rsidR="00AD170D" w:rsidRPr="00F7716C" w:rsidRDefault="00B654AC" w:rsidP="00E06571">
            <w:r w:rsidRPr="00F7716C">
              <w:t>Knowledge of the people of the area about anthrax</w:t>
            </w:r>
          </w:p>
        </w:tc>
        <w:tc>
          <w:tcPr>
            <w:tcW w:w="5589" w:type="dxa"/>
          </w:tcPr>
          <w:p w14:paraId="3D3EA954" w14:textId="181DCD4F" w:rsidR="00AD170D" w:rsidRPr="00F7716C" w:rsidRDefault="00B654AC" w:rsidP="00E06571">
            <w:r w:rsidRPr="00F7716C">
              <w:t>Although there was repeated anthrax in this area, a baseline survey reported that the anthrax knowledge in the community was</w:t>
            </w:r>
            <w:r w:rsidR="00E06571" w:rsidRPr="00F7716C">
              <w:t xml:space="preserve"> </w:t>
            </w:r>
            <w:r w:rsidRPr="00F7716C">
              <w:t>found to be very</w:t>
            </w:r>
            <w:r w:rsidR="00E06571" w:rsidRPr="00F7716C">
              <w:t xml:space="preserve"> </w:t>
            </w:r>
            <w:r w:rsidRPr="00F7716C">
              <w:t xml:space="preserve">low; 87% of the people did not have the </w:t>
            </w:r>
            <w:r w:rsidR="00E06571" w:rsidRPr="00F7716C">
              <w:t>proper</w:t>
            </w:r>
            <w:r w:rsidRPr="00F7716C">
              <w:t xml:space="preserve"> </w:t>
            </w:r>
            <w:r w:rsidR="00E06571" w:rsidRPr="00F7716C">
              <w:t>understanding</w:t>
            </w:r>
            <w:r w:rsidRPr="00F7716C">
              <w:t xml:space="preserve"> about anthrax.</w:t>
            </w:r>
          </w:p>
        </w:tc>
      </w:tr>
      <w:tr w:rsidR="00F7716C" w:rsidRPr="00F7716C" w14:paraId="576D8C2F" w14:textId="77777777" w:rsidTr="00E06571">
        <w:trPr>
          <w:trHeight w:val="440"/>
        </w:trPr>
        <w:tc>
          <w:tcPr>
            <w:tcW w:w="2951" w:type="dxa"/>
            <w:vAlign w:val="center"/>
          </w:tcPr>
          <w:p w14:paraId="2B9662B9" w14:textId="77777777" w:rsidR="00AD170D" w:rsidRPr="00F7716C" w:rsidRDefault="00B654AC" w:rsidP="00E06571">
            <w:r w:rsidRPr="00F7716C">
              <w:t>People's perceptions about veterinary service</w:t>
            </w:r>
          </w:p>
        </w:tc>
        <w:tc>
          <w:tcPr>
            <w:tcW w:w="5589" w:type="dxa"/>
          </w:tcPr>
          <w:p w14:paraId="43560E40" w14:textId="2536FE5C" w:rsidR="00AD170D" w:rsidRPr="00F7716C" w:rsidRDefault="00B654AC" w:rsidP="00E06571">
            <w:r w:rsidRPr="00F7716C">
              <w:t>The people of the area were reluctant to involve the livestock department in the treatment of cattle</w:t>
            </w:r>
            <w:r w:rsidR="00E06571" w:rsidRPr="00F7716C">
              <w:t>, and t</w:t>
            </w:r>
            <w:r w:rsidRPr="00F7716C">
              <w:t>hey were usually more receptive to rural para</w:t>
            </w:r>
            <w:r w:rsidR="00E06571" w:rsidRPr="00F7716C">
              <w:t xml:space="preserve"> </w:t>
            </w:r>
            <w:r w:rsidRPr="00F7716C">
              <w:t>vet doctors. In cases where the treatment of para</w:t>
            </w:r>
            <w:r w:rsidR="00E06571" w:rsidRPr="00F7716C">
              <w:t xml:space="preserve"> </w:t>
            </w:r>
            <w:r w:rsidRPr="00F7716C">
              <w:t xml:space="preserve">vets was not </w:t>
            </w:r>
            <w:r w:rsidR="00E06571" w:rsidRPr="00F7716C">
              <w:t>practical</w:t>
            </w:r>
            <w:r w:rsidRPr="00F7716C">
              <w:t>, he only contacted the livestock department. He also provided necessary advice on veterinary medicine shops and treatment in the area. If the treatment of animals w</w:t>
            </w:r>
            <w:r w:rsidR="00E06571" w:rsidRPr="00F7716C">
              <w:t>ere</w:t>
            </w:r>
            <w:r w:rsidRPr="00F7716C">
              <w:t xml:space="preserve"> not effective, people would </w:t>
            </w:r>
            <w:r w:rsidRPr="00F7716C">
              <w:lastRenderedPageBreak/>
              <w:t>sell the animals to the butchers at low prices. In case of sudden death, the owners of the animals were usually afraid of harassment</w:t>
            </w:r>
            <w:r w:rsidR="00E06571" w:rsidRPr="00F7716C">
              <w:t>,</w:t>
            </w:r>
            <w:r w:rsidRPr="00F7716C">
              <w:t xml:space="preserve"> and the Animal Resources Office did not even inform their neighbors.</w:t>
            </w:r>
          </w:p>
        </w:tc>
      </w:tr>
      <w:tr w:rsidR="00F7716C" w:rsidRPr="00F7716C" w14:paraId="691524D6" w14:textId="77777777" w:rsidTr="00E06571">
        <w:trPr>
          <w:trHeight w:val="440"/>
        </w:trPr>
        <w:tc>
          <w:tcPr>
            <w:tcW w:w="2951" w:type="dxa"/>
            <w:vAlign w:val="center"/>
          </w:tcPr>
          <w:p w14:paraId="20A7C63C" w14:textId="77777777" w:rsidR="00AD170D" w:rsidRPr="00F7716C" w:rsidRDefault="00B654AC" w:rsidP="00E06571">
            <w:r w:rsidRPr="00F7716C">
              <w:lastRenderedPageBreak/>
              <w:t>Public perceptions about the livestock department</w:t>
            </w:r>
          </w:p>
        </w:tc>
        <w:tc>
          <w:tcPr>
            <w:tcW w:w="5589" w:type="dxa"/>
          </w:tcPr>
          <w:p w14:paraId="5F6CB97F" w14:textId="647014BA" w:rsidR="00AD170D" w:rsidRPr="00F7716C" w:rsidRDefault="00B654AC" w:rsidP="00E06571">
            <w:r w:rsidRPr="00F7716C">
              <w:t xml:space="preserve">The idea of ​​the people's livestock department was that there </w:t>
            </w:r>
            <w:r w:rsidR="00E06571" w:rsidRPr="00F7716C">
              <w:t>we</w:t>
            </w:r>
            <w:r w:rsidRPr="00F7716C">
              <w:t xml:space="preserve">re usually </w:t>
            </w:r>
            <w:r w:rsidR="00E06571" w:rsidRPr="00F7716C">
              <w:t>prominent</w:t>
            </w:r>
            <w:r w:rsidRPr="00F7716C">
              <w:t xml:space="preserve"> doctors sitting </w:t>
            </w:r>
            <w:r w:rsidR="00E06571" w:rsidRPr="00F7716C">
              <w:t>t</w:t>
            </w:r>
            <w:r w:rsidRPr="00F7716C">
              <w:t xml:space="preserve">here, they </w:t>
            </w:r>
            <w:r w:rsidR="00E06571" w:rsidRPr="00F7716C">
              <w:t>we</w:t>
            </w:r>
            <w:r w:rsidRPr="00F7716C">
              <w:t>re all skilled</w:t>
            </w:r>
            <w:r w:rsidR="00E06571" w:rsidRPr="00F7716C">
              <w:t>,</w:t>
            </w:r>
            <w:r w:rsidRPr="00F7716C">
              <w:t xml:space="preserve"> but they wanted a lot more money when they went home. Many said they gave very little time. </w:t>
            </w:r>
          </w:p>
        </w:tc>
      </w:tr>
      <w:tr w:rsidR="00F7716C" w:rsidRPr="00F7716C" w14:paraId="67BDF424" w14:textId="77777777" w:rsidTr="00E06571">
        <w:trPr>
          <w:trHeight w:val="440"/>
        </w:trPr>
        <w:tc>
          <w:tcPr>
            <w:tcW w:w="2951" w:type="dxa"/>
            <w:vAlign w:val="center"/>
          </w:tcPr>
          <w:p w14:paraId="6B330E91" w14:textId="77777777" w:rsidR="00AD170D" w:rsidRPr="00F7716C" w:rsidRDefault="00B654AC" w:rsidP="00E06571">
            <w:r w:rsidRPr="00F7716C">
              <w:t>Public opinion about anthrax vaccination</w:t>
            </w:r>
          </w:p>
        </w:tc>
        <w:tc>
          <w:tcPr>
            <w:tcW w:w="5589" w:type="dxa"/>
          </w:tcPr>
          <w:p w14:paraId="20C2AEF0" w14:textId="2C3880CD" w:rsidR="00AD170D" w:rsidRPr="00F7716C" w:rsidRDefault="00B654AC" w:rsidP="00E06571">
            <w:r w:rsidRPr="00F7716C">
              <w:t xml:space="preserve">Due to repeated anthrax outbreaks, a sporadic anthrax vaccination program was implemented by the Livestock Department and the </w:t>
            </w:r>
            <w:proofErr w:type="spellStart"/>
            <w:r w:rsidRPr="00F7716C">
              <w:t>Upazila</w:t>
            </w:r>
            <w:proofErr w:type="spellEnd"/>
            <w:r w:rsidRPr="00F7716C">
              <w:t xml:space="preserve"> Administration</w:t>
            </w:r>
            <w:r w:rsidR="00E06571" w:rsidRPr="00F7716C">
              <w:t>. A</w:t>
            </w:r>
            <w:r w:rsidRPr="00F7716C">
              <w:t>lthough their coverage was less than 40</w:t>
            </w:r>
            <w:r w:rsidR="00E06571" w:rsidRPr="00F7716C">
              <w:t>%</w:t>
            </w:r>
            <w:r w:rsidRPr="00F7716C">
              <w:t xml:space="preserve"> the people of the area believed that if the vaccine w</w:t>
            </w:r>
            <w:r w:rsidR="00E06571" w:rsidRPr="00F7716C">
              <w:t>ere</w:t>
            </w:r>
            <w:r w:rsidRPr="00F7716C">
              <w:t xml:space="preserve"> used in all animals, it would be possible to prevent anthrax.</w:t>
            </w:r>
          </w:p>
        </w:tc>
      </w:tr>
      <w:tr w:rsidR="00F7716C" w:rsidRPr="00F7716C" w14:paraId="3206E3B7" w14:textId="77777777" w:rsidTr="00E06571">
        <w:trPr>
          <w:trHeight w:val="252"/>
        </w:trPr>
        <w:tc>
          <w:tcPr>
            <w:tcW w:w="2951" w:type="dxa"/>
            <w:vAlign w:val="center"/>
          </w:tcPr>
          <w:p w14:paraId="7D4C09CD" w14:textId="77777777" w:rsidR="00AD170D" w:rsidRPr="00F7716C" w:rsidRDefault="00B654AC" w:rsidP="00E06571">
            <w:r w:rsidRPr="00F7716C">
              <w:t>Animal vaccination rate</w:t>
            </w:r>
          </w:p>
        </w:tc>
        <w:tc>
          <w:tcPr>
            <w:tcW w:w="5589" w:type="dxa"/>
          </w:tcPr>
          <w:p w14:paraId="6920FFEC" w14:textId="411107CF" w:rsidR="00AD170D" w:rsidRPr="00F7716C" w:rsidRDefault="00B654AC" w:rsidP="00E06571">
            <w:r w:rsidRPr="00F7716C">
              <w:t>Less than 40% of the cattle population was conducted once a year.</w:t>
            </w:r>
          </w:p>
        </w:tc>
      </w:tr>
      <w:tr w:rsidR="00F7716C" w:rsidRPr="00F7716C" w14:paraId="48999135" w14:textId="77777777" w:rsidTr="00E06571">
        <w:trPr>
          <w:trHeight w:val="252"/>
        </w:trPr>
        <w:tc>
          <w:tcPr>
            <w:tcW w:w="2951" w:type="dxa"/>
            <w:vAlign w:val="center"/>
          </w:tcPr>
          <w:p w14:paraId="4D5ABB4C" w14:textId="77777777" w:rsidR="00AD170D" w:rsidRPr="00F7716C" w:rsidRDefault="00B654AC" w:rsidP="00E06571">
            <w:r w:rsidRPr="00F7716C">
              <w:t>Sick Animal Information Informing the Livestock Department</w:t>
            </w:r>
          </w:p>
        </w:tc>
        <w:tc>
          <w:tcPr>
            <w:tcW w:w="5589" w:type="dxa"/>
          </w:tcPr>
          <w:p w14:paraId="2CD027F4" w14:textId="30C67168" w:rsidR="00AD170D" w:rsidRPr="00F7716C" w:rsidRDefault="00B654AC" w:rsidP="00E06571">
            <w:r w:rsidRPr="00F7716C">
              <w:t>In the case of long-term illness, if the para</w:t>
            </w:r>
            <w:r w:rsidR="00E06571" w:rsidRPr="00F7716C">
              <w:t xml:space="preserve"> </w:t>
            </w:r>
            <w:r w:rsidRPr="00F7716C">
              <w:t>vet w</w:t>
            </w:r>
            <w:r w:rsidR="00E06571" w:rsidRPr="00F7716C">
              <w:t>ere</w:t>
            </w:r>
            <w:r w:rsidRPr="00F7716C">
              <w:t xml:space="preserve"> not treated effectively, only then would the livestock department be informed or the doctors there be contacted. Information was usually withheld in sudden or accidental animal death. Many </w:t>
            </w:r>
            <w:proofErr w:type="gramStart"/>
            <w:r w:rsidRPr="00F7716C">
              <w:t>times</w:t>
            </w:r>
            <w:proofErr w:type="gramEnd"/>
            <w:r w:rsidRPr="00F7716C">
              <w:t xml:space="preserve"> sick animals were slaughtered and sold in the meat market. The situation assessment also revealed that people in the area buy meat at a relatively low price by slaughtering sick animals in the area.</w:t>
            </w:r>
          </w:p>
        </w:tc>
      </w:tr>
      <w:tr w:rsidR="00F7716C" w:rsidRPr="00F7716C" w14:paraId="7A586371" w14:textId="77777777" w:rsidTr="00E06571">
        <w:trPr>
          <w:trHeight w:val="1585"/>
        </w:trPr>
        <w:tc>
          <w:tcPr>
            <w:tcW w:w="2951" w:type="dxa"/>
            <w:vAlign w:val="center"/>
          </w:tcPr>
          <w:p w14:paraId="466488BA" w14:textId="77777777" w:rsidR="00AD170D" w:rsidRPr="00F7716C" w:rsidRDefault="00B654AC" w:rsidP="00E06571">
            <w:r w:rsidRPr="00F7716C">
              <w:t>Public perceptions about government vaccine and vaccination program</w:t>
            </w:r>
          </w:p>
        </w:tc>
        <w:tc>
          <w:tcPr>
            <w:tcW w:w="5589" w:type="dxa"/>
          </w:tcPr>
          <w:p w14:paraId="19DE25AF" w14:textId="1911336F" w:rsidR="00AD170D" w:rsidRPr="00F7716C" w:rsidRDefault="00B654AC" w:rsidP="00E06571">
            <w:r w:rsidRPr="00F7716C">
              <w:t xml:space="preserve">Although people were satisfied with their medical care, many had mixed reactions to vaccine preservation and delivery methods. Many of them felt that the livestock department needed to </w:t>
            </w:r>
            <w:r w:rsidR="00E06571" w:rsidRPr="00F7716C">
              <w:t>improve further</w:t>
            </w:r>
            <w:r w:rsidRPr="00F7716C">
              <w:t xml:space="preserve"> the </w:t>
            </w:r>
            <w:r w:rsidR="00E06571" w:rsidRPr="00F7716C">
              <w:t>technique</w:t>
            </w:r>
            <w:r w:rsidRPr="00F7716C">
              <w:t xml:space="preserve"> of preserving and providing vaccines. In some cases, their critici</w:t>
            </w:r>
            <w:r w:rsidR="00E06571" w:rsidRPr="00F7716C">
              <w:t>ze</w:t>
            </w:r>
            <w:r w:rsidRPr="00F7716C">
              <w:t xml:space="preserve"> the quality of the vaccine.</w:t>
            </w:r>
          </w:p>
        </w:tc>
      </w:tr>
      <w:tr w:rsidR="00F7716C" w:rsidRPr="00F7716C" w14:paraId="51948832" w14:textId="77777777" w:rsidTr="00E06571">
        <w:trPr>
          <w:trHeight w:val="370"/>
        </w:trPr>
        <w:tc>
          <w:tcPr>
            <w:tcW w:w="2951" w:type="dxa"/>
            <w:vAlign w:val="center"/>
          </w:tcPr>
          <w:p w14:paraId="2BEBE116" w14:textId="77777777" w:rsidR="00AD170D" w:rsidRPr="00F7716C" w:rsidRDefault="00B654AC" w:rsidP="00E06571">
            <w:r w:rsidRPr="00F7716C">
              <w:t>Public perceptions of animal slaughter law</w:t>
            </w:r>
          </w:p>
        </w:tc>
        <w:tc>
          <w:tcPr>
            <w:tcW w:w="5589" w:type="dxa"/>
          </w:tcPr>
          <w:p w14:paraId="1326C65D" w14:textId="77777777" w:rsidR="00AD170D" w:rsidRPr="00F7716C" w:rsidRDefault="00B654AC" w:rsidP="00E06571">
            <w:r w:rsidRPr="00F7716C">
              <w:t>The general public did not know any law related to animal slaughter in Bangladesh, not even the butchers involved in animal slaughter.</w:t>
            </w:r>
          </w:p>
        </w:tc>
      </w:tr>
      <w:tr w:rsidR="00F7716C" w:rsidRPr="00F7716C" w14:paraId="4EB78160" w14:textId="77777777" w:rsidTr="00E06571">
        <w:trPr>
          <w:trHeight w:val="370"/>
        </w:trPr>
        <w:tc>
          <w:tcPr>
            <w:tcW w:w="2951" w:type="dxa"/>
            <w:vAlign w:val="center"/>
          </w:tcPr>
          <w:p w14:paraId="4A39B8A9" w14:textId="77777777" w:rsidR="00AD170D" w:rsidRPr="00F7716C" w:rsidRDefault="00B654AC" w:rsidP="00E06571">
            <w:r w:rsidRPr="00F7716C">
              <w:t>Administration's approach to preventing anthrax</w:t>
            </w:r>
          </w:p>
        </w:tc>
        <w:tc>
          <w:tcPr>
            <w:tcW w:w="5589" w:type="dxa"/>
          </w:tcPr>
          <w:p w14:paraId="236E04B6" w14:textId="77777777" w:rsidR="00AD170D" w:rsidRPr="00F7716C" w:rsidRDefault="00B654AC" w:rsidP="00E06571">
            <w:r w:rsidRPr="00F7716C">
              <w:t>There were no reportable initiatives of the local administration regarding anthrax prevention.</w:t>
            </w:r>
          </w:p>
        </w:tc>
      </w:tr>
      <w:tr w:rsidR="00F7716C" w:rsidRPr="00F7716C" w14:paraId="085BD52E" w14:textId="77777777" w:rsidTr="00E06571">
        <w:trPr>
          <w:trHeight w:val="370"/>
        </w:trPr>
        <w:tc>
          <w:tcPr>
            <w:tcW w:w="2951" w:type="dxa"/>
            <w:vAlign w:val="center"/>
          </w:tcPr>
          <w:p w14:paraId="70EB0FBF" w14:textId="77777777" w:rsidR="00AD170D" w:rsidRPr="00F7716C" w:rsidRDefault="00B654AC" w:rsidP="00E06571">
            <w:r w:rsidRPr="00F7716C">
              <w:t>Status of all departments against anthrax prevention</w:t>
            </w:r>
          </w:p>
        </w:tc>
        <w:tc>
          <w:tcPr>
            <w:tcW w:w="5589" w:type="dxa"/>
          </w:tcPr>
          <w:p w14:paraId="04C8045B" w14:textId="193B86AA" w:rsidR="00AD170D" w:rsidRPr="00F7716C" w:rsidRDefault="00B654AC" w:rsidP="00E06571">
            <w:r w:rsidRPr="00F7716C">
              <w:t xml:space="preserve">Had no coordination between the </w:t>
            </w:r>
            <w:r w:rsidR="00E06571" w:rsidRPr="00F7716C">
              <w:t>l</w:t>
            </w:r>
            <w:r w:rsidRPr="00F7716C">
              <w:t>ivestock and health department. Everyone worked from their respective positions</w:t>
            </w:r>
          </w:p>
        </w:tc>
      </w:tr>
      <w:tr w:rsidR="00F7716C" w:rsidRPr="00F7716C" w14:paraId="6572B511" w14:textId="77777777" w:rsidTr="00E06571">
        <w:trPr>
          <w:trHeight w:val="370"/>
        </w:trPr>
        <w:tc>
          <w:tcPr>
            <w:tcW w:w="2951" w:type="dxa"/>
            <w:vAlign w:val="center"/>
          </w:tcPr>
          <w:p w14:paraId="460DE914" w14:textId="77777777" w:rsidR="00AD170D" w:rsidRPr="00F7716C" w:rsidRDefault="00B654AC" w:rsidP="00E06571">
            <w:r w:rsidRPr="00F7716C">
              <w:t>Civic awareness</w:t>
            </w:r>
          </w:p>
        </w:tc>
        <w:tc>
          <w:tcPr>
            <w:tcW w:w="5589" w:type="dxa"/>
          </w:tcPr>
          <w:p w14:paraId="1EB373EB" w14:textId="52852312" w:rsidR="00AD170D" w:rsidRPr="00F7716C" w:rsidRDefault="00E06571" w:rsidP="00E06571">
            <w:r w:rsidRPr="00F7716C">
              <w:t>There was not enough information to prevent this disease even among the conscious citizens</w:t>
            </w:r>
            <w:r w:rsidR="00B654AC" w:rsidRPr="00F7716C">
              <w:t>. Some of them knew or got information from different media</w:t>
            </w:r>
            <w:r w:rsidRPr="00F7716C">
              <w:t>,</w:t>
            </w:r>
            <w:r w:rsidR="00B654AC" w:rsidRPr="00F7716C">
              <w:t xml:space="preserve"> but their number was </w:t>
            </w:r>
            <w:r w:rsidRPr="00F7716C">
              <w:t>deficient</w:t>
            </w:r>
            <w:r w:rsidR="00B654AC" w:rsidRPr="00F7716C">
              <w:t>.</w:t>
            </w:r>
          </w:p>
        </w:tc>
      </w:tr>
      <w:tr w:rsidR="00F7716C" w:rsidRPr="00F7716C" w14:paraId="3C08B58F" w14:textId="77777777" w:rsidTr="00E06571">
        <w:trPr>
          <w:trHeight w:val="370"/>
        </w:trPr>
        <w:tc>
          <w:tcPr>
            <w:tcW w:w="2951" w:type="dxa"/>
            <w:vAlign w:val="center"/>
          </w:tcPr>
          <w:p w14:paraId="7C993DF1" w14:textId="77777777" w:rsidR="00AD170D" w:rsidRPr="00F7716C" w:rsidRDefault="00B654AC" w:rsidP="00E06571">
            <w:r w:rsidRPr="00F7716C">
              <w:t>Knowledge of butchers, animal traders on anthrax disease</w:t>
            </w:r>
          </w:p>
        </w:tc>
        <w:tc>
          <w:tcPr>
            <w:tcW w:w="5589" w:type="dxa"/>
          </w:tcPr>
          <w:p w14:paraId="1DEA2E8E" w14:textId="307F6EF3" w:rsidR="00AD170D" w:rsidRPr="00F7716C" w:rsidRDefault="00B654AC" w:rsidP="00E06571">
            <w:r w:rsidRPr="00F7716C">
              <w:t xml:space="preserve">Meat sellers and animal traders had no clear idea about anthrax. They only knew that the disease was transmitted to humans from an unhealthy animal, but 95% of people had no idea why, by which germ, how the germ invaded the animal, what the symptoms were, and how it came to humans. In addition to the </w:t>
            </w:r>
            <w:r w:rsidRPr="00F7716C">
              <w:lastRenderedPageBreak/>
              <w:t xml:space="preserve">dormancy of the disease, what to do to prevent the disease or to prevent people from becoming infected, or what to do and what to do if the disease </w:t>
            </w:r>
            <w:proofErr w:type="gramStart"/>
            <w:r w:rsidRPr="00F7716C">
              <w:t>occurs</w:t>
            </w:r>
            <w:proofErr w:type="gramEnd"/>
            <w:r w:rsidRPr="00F7716C">
              <w:t xml:space="preserve"> they were very unclear.</w:t>
            </w:r>
          </w:p>
        </w:tc>
      </w:tr>
      <w:tr w:rsidR="00F7716C" w:rsidRPr="00F7716C" w14:paraId="42BFFD14" w14:textId="77777777" w:rsidTr="00E06571">
        <w:trPr>
          <w:trHeight w:val="370"/>
        </w:trPr>
        <w:tc>
          <w:tcPr>
            <w:tcW w:w="2951" w:type="dxa"/>
            <w:vAlign w:val="center"/>
          </w:tcPr>
          <w:p w14:paraId="3529FCBA" w14:textId="77777777" w:rsidR="00AD170D" w:rsidRPr="00F7716C" w:rsidRDefault="00B654AC" w:rsidP="00E06571">
            <w:r w:rsidRPr="00F7716C">
              <w:lastRenderedPageBreak/>
              <w:t>Anthrax history</w:t>
            </w:r>
          </w:p>
        </w:tc>
        <w:tc>
          <w:tcPr>
            <w:tcW w:w="5589" w:type="dxa"/>
          </w:tcPr>
          <w:p w14:paraId="26D133E1" w14:textId="610B4BC3" w:rsidR="00AD170D" w:rsidRPr="00F7716C" w:rsidRDefault="00B654AC" w:rsidP="00E06571">
            <w:r w:rsidRPr="00F7716C">
              <w:t xml:space="preserve">There were reports of repeated anthrax in the </w:t>
            </w:r>
            <w:proofErr w:type="spellStart"/>
            <w:r w:rsidRPr="00F7716C">
              <w:t>Jamtoil</w:t>
            </w:r>
            <w:proofErr w:type="spellEnd"/>
            <w:r w:rsidRPr="00F7716C">
              <w:t xml:space="preserve"> village</w:t>
            </w:r>
            <w:r w:rsidR="00E06571" w:rsidRPr="00F7716C">
              <w:t>;</w:t>
            </w:r>
            <w:r w:rsidRPr="00F7716C">
              <w:t xml:space="preserve"> according to the print media and IEDCR, Bangladesh it was in 2010, 2011, 2014</w:t>
            </w:r>
            <w:r w:rsidR="00E06571" w:rsidRPr="00F7716C">
              <w:t>,</w:t>
            </w:r>
            <w:r w:rsidRPr="00F7716C">
              <w:t xml:space="preserve"> and 2016. Both human and animal cases were reported here.</w:t>
            </w:r>
          </w:p>
        </w:tc>
      </w:tr>
      <w:tr w:rsidR="00F7716C" w:rsidRPr="00F7716C" w14:paraId="46054249" w14:textId="77777777" w:rsidTr="00E06571">
        <w:trPr>
          <w:trHeight w:val="370"/>
        </w:trPr>
        <w:tc>
          <w:tcPr>
            <w:tcW w:w="2951" w:type="dxa"/>
            <w:vAlign w:val="center"/>
          </w:tcPr>
          <w:p w14:paraId="5A5CC6E6" w14:textId="77777777" w:rsidR="00AD170D" w:rsidRPr="00F7716C" w:rsidRDefault="00B654AC" w:rsidP="00E06571">
            <w:r w:rsidRPr="00F7716C">
              <w:t>Major challenges</w:t>
            </w:r>
          </w:p>
        </w:tc>
        <w:tc>
          <w:tcPr>
            <w:tcW w:w="5589" w:type="dxa"/>
          </w:tcPr>
          <w:p w14:paraId="34474F34" w14:textId="18DCCEE5" w:rsidR="00AD170D" w:rsidRPr="00F7716C" w:rsidRDefault="00B654AC" w:rsidP="00E06571">
            <w:r w:rsidRPr="00F7716C">
              <w:t xml:space="preserve">Low Awareness level (only 13% </w:t>
            </w:r>
            <w:r w:rsidR="00E06571" w:rsidRPr="00F7716C">
              <w:t xml:space="preserve">of </w:t>
            </w:r>
            <w:r w:rsidRPr="00F7716C">
              <w:t>people were known about the anthrax disease)</w:t>
            </w:r>
          </w:p>
          <w:p w14:paraId="2EB65C14" w14:textId="77777777" w:rsidR="00AD170D" w:rsidRPr="00F7716C" w:rsidRDefault="00B654AC" w:rsidP="00E06571">
            <w:r w:rsidRPr="00F7716C">
              <w:t>Had no scientific disposal method of carcass.</w:t>
            </w:r>
          </w:p>
          <w:p w14:paraId="24F72B1B" w14:textId="77777777" w:rsidR="00AD170D" w:rsidRPr="00F7716C" w:rsidRDefault="00B654AC" w:rsidP="00E06571">
            <w:r w:rsidRPr="00F7716C">
              <w:t>Poor vaccination rate (less than 40%)</w:t>
            </w:r>
          </w:p>
          <w:p w14:paraId="393D7B5B" w14:textId="77777777" w:rsidR="00AD170D" w:rsidRPr="00F7716C" w:rsidRDefault="00B654AC" w:rsidP="00E06571">
            <w:r w:rsidRPr="00F7716C">
              <w:t>Had no slaughterhouse for animals.</w:t>
            </w:r>
          </w:p>
          <w:p w14:paraId="06B23604" w14:textId="3B5EB86B" w:rsidR="00AD170D" w:rsidRPr="00F7716C" w:rsidRDefault="00B654AC" w:rsidP="00E06571">
            <w:r w:rsidRPr="00F7716C">
              <w:t>Only very few people know that a certificate was ne</w:t>
            </w:r>
            <w:r w:rsidR="00E06571" w:rsidRPr="00F7716C">
              <w:t>ed</w:t>
            </w:r>
            <w:r w:rsidRPr="00F7716C">
              <w:t>ed before slaughter the animal (less than 5%)</w:t>
            </w:r>
          </w:p>
          <w:p w14:paraId="7DCEF6C4" w14:textId="131E0CDA" w:rsidR="00AD170D" w:rsidRPr="00F7716C" w:rsidRDefault="00B654AC" w:rsidP="00E06571">
            <w:r w:rsidRPr="00F7716C">
              <w:t xml:space="preserve">People were not aware </w:t>
            </w:r>
            <w:r w:rsidR="00E06571" w:rsidRPr="00F7716C">
              <w:t>of</w:t>
            </w:r>
            <w:r w:rsidRPr="00F7716C">
              <w:t xml:space="preserve"> existing law</w:t>
            </w:r>
            <w:r w:rsidR="00E06571" w:rsidRPr="00F7716C">
              <w:t>s</w:t>
            </w:r>
            <w:r w:rsidRPr="00F7716C">
              <w:t xml:space="preserve"> regarding animal slaughter (98%)</w:t>
            </w:r>
          </w:p>
          <w:p w14:paraId="07DDA9B4" w14:textId="4E41487B" w:rsidR="00AD170D" w:rsidRPr="00F7716C" w:rsidRDefault="00B654AC" w:rsidP="00E06571">
            <w:r w:rsidRPr="00F7716C">
              <w:t xml:space="preserve">No collaboration with different departments to prevent anthrax </w:t>
            </w:r>
            <w:r w:rsidR="00E06571" w:rsidRPr="00F7716C">
              <w:t>e</w:t>
            </w:r>
            <w:r w:rsidRPr="00F7716C">
              <w:t>specially Health and Livestock department</w:t>
            </w:r>
          </w:p>
          <w:p w14:paraId="5DC41277" w14:textId="77777777" w:rsidR="00AD170D" w:rsidRPr="00F7716C" w:rsidRDefault="00B654AC" w:rsidP="00E06571">
            <w:r w:rsidRPr="00F7716C">
              <w:t>No steering committee for market monitoring</w:t>
            </w:r>
          </w:p>
        </w:tc>
      </w:tr>
      <w:tr w:rsidR="00AD170D" w:rsidRPr="00F7716C" w14:paraId="6F159EC7" w14:textId="77777777" w:rsidTr="00E06571">
        <w:trPr>
          <w:trHeight w:val="370"/>
        </w:trPr>
        <w:tc>
          <w:tcPr>
            <w:tcW w:w="2951" w:type="dxa"/>
            <w:vAlign w:val="center"/>
          </w:tcPr>
          <w:p w14:paraId="52CCC94E" w14:textId="77777777" w:rsidR="00AD170D" w:rsidRPr="00F7716C" w:rsidRDefault="00B654AC" w:rsidP="00E06571">
            <w:r w:rsidRPr="00F7716C">
              <w:t>Strengths</w:t>
            </w:r>
          </w:p>
        </w:tc>
        <w:tc>
          <w:tcPr>
            <w:tcW w:w="5589" w:type="dxa"/>
          </w:tcPr>
          <w:p w14:paraId="15538690" w14:textId="4C34071E" w:rsidR="00AD170D" w:rsidRPr="00F7716C" w:rsidRDefault="00B654AC" w:rsidP="00E06571">
            <w:proofErr w:type="spellStart"/>
            <w:r w:rsidRPr="00F7716C">
              <w:t>Upazila</w:t>
            </w:r>
            <w:proofErr w:type="spellEnd"/>
            <w:r w:rsidRPr="00F7716C">
              <w:t xml:space="preserve"> Livestock Department, </w:t>
            </w:r>
            <w:proofErr w:type="spellStart"/>
            <w:r w:rsidRPr="00F7716C">
              <w:t>Kamarkhand</w:t>
            </w:r>
            <w:proofErr w:type="spellEnd"/>
            <w:r w:rsidRPr="00F7716C">
              <w:t>, Sirajganj</w:t>
            </w:r>
            <w:r w:rsidR="00E06571" w:rsidRPr="00F7716C">
              <w:t>,</w:t>
            </w:r>
            <w:r w:rsidRPr="00F7716C">
              <w:t xml:space="preserve"> and </w:t>
            </w:r>
            <w:proofErr w:type="spellStart"/>
            <w:r w:rsidRPr="00F7716C">
              <w:t>Upazila</w:t>
            </w:r>
            <w:proofErr w:type="spellEnd"/>
            <w:r w:rsidRPr="00F7716C">
              <w:t xml:space="preserve"> administration were very sincere in preventing anthrax. They showed great sincerity when the research team visited the area. And promised to co-operate in all of our research work.</w:t>
            </w:r>
          </w:p>
          <w:p w14:paraId="405DF1E4" w14:textId="7FE45423" w:rsidR="00AD170D" w:rsidRPr="00F7716C" w:rsidRDefault="00B654AC" w:rsidP="00E06571">
            <w:r w:rsidRPr="00F7716C">
              <w:t>Besides</w:t>
            </w:r>
            <w:r w:rsidR="00E06571" w:rsidRPr="00F7716C">
              <w:t>,</w:t>
            </w:r>
            <w:r w:rsidRPr="00F7716C">
              <w:t xml:space="preserve"> the elected political personalities of the area</w:t>
            </w:r>
            <w:r w:rsidR="00E06571" w:rsidRPr="00F7716C">
              <w:t>,</w:t>
            </w:r>
            <w:r w:rsidRPr="00F7716C">
              <w:t xml:space="preserve"> especially the Union Parishad Chairman, </w:t>
            </w:r>
            <w:proofErr w:type="spellStart"/>
            <w:r w:rsidRPr="00F7716C">
              <w:t>Upazila</w:t>
            </w:r>
            <w:proofErr w:type="spellEnd"/>
            <w:r w:rsidRPr="00F7716C">
              <w:t xml:space="preserve"> Chairman</w:t>
            </w:r>
            <w:r w:rsidR="00E06571" w:rsidRPr="00F7716C">
              <w:t>,</w:t>
            </w:r>
            <w:r w:rsidRPr="00F7716C">
              <w:t xml:space="preserve"> were very sincere</w:t>
            </w:r>
            <w:r w:rsidR="00E06571" w:rsidRPr="00F7716C">
              <w:t>;</w:t>
            </w:r>
            <w:r w:rsidRPr="00F7716C">
              <w:t xml:space="preserve"> they also assured us of cooperation in all our work.</w:t>
            </w:r>
          </w:p>
        </w:tc>
      </w:tr>
    </w:tbl>
    <w:p w14:paraId="2B79282A" w14:textId="77777777" w:rsidR="00AD170D" w:rsidRPr="00F7716C" w:rsidRDefault="00AD170D" w:rsidP="00E06571"/>
    <w:p w14:paraId="62068E13" w14:textId="77777777" w:rsidR="00AD170D" w:rsidRPr="00F7716C" w:rsidRDefault="00AD170D" w:rsidP="00E06571"/>
    <w:p w14:paraId="537A62E2" w14:textId="77777777" w:rsidR="00E06571" w:rsidRPr="00F7716C" w:rsidRDefault="00E06571" w:rsidP="00E06571">
      <w:r w:rsidRPr="00F7716C">
        <w:br w:type="page"/>
      </w:r>
    </w:p>
    <w:p w14:paraId="07A5ABC6" w14:textId="5AE24BF0" w:rsidR="00AD170D" w:rsidRPr="00F7716C" w:rsidRDefault="00B654AC" w:rsidP="00E06571">
      <w:pPr>
        <w:rPr>
          <w:bCs/>
        </w:rPr>
      </w:pPr>
      <w:r w:rsidRPr="00F7716C">
        <w:rPr>
          <w:bCs/>
        </w:rPr>
        <w:lastRenderedPageBreak/>
        <w:t>Table 4</w:t>
      </w:r>
      <w:r w:rsidR="004E2D2C" w:rsidRPr="00F7716C">
        <w:rPr>
          <w:bCs/>
        </w:rPr>
        <w:t>.</w:t>
      </w:r>
      <w:r w:rsidRPr="00F7716C">
        <w:rPr>
          <w:bCs/>
        </w:rPr>
        <w:t xml:space="preserve"> Indicators and their obtained score over time</w:t>
      </w:r>
    </w:p>
    <w:tbl>
      <w:tblPr>
        <w:tblStyle w:val="a8"/>
        <w:tblW w:w="8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50"/>
        <w:gridCol w:w="686"/>
        <w:gridCol w:w="980"/>
        <w:gridCol w:w="913"/>
        <w:gridCol w:w="913"/>
        <w:gridCol w:w="913"/>
        <w:gridCol w:w="913"/>
        <w:gridCol w:w="913"/>
        <w:gridCol w:w="916"/>
      </w:tblGrid>
      <w:tr w:rsidR="00F7716C" w:rsidRPr="00F7716C" w14:paraId="798F5F9C" w14:textId="77777777" w:rsidTr="00E06571">
        <w:trPr>
          <w:trHeight w:val="20"/>
        </w:trPr>
        <w:tc>
          <w:tcPr>
            <w:tcW w:w="1450" w:type="dxa"/>
            <w:vMerge w:val="restart"/>
            <w:vAlign w:val="center"/>
          </w:tcPr>
          <w:p w14:paraId="79BB7124" w14:textId="77777777" w:rsidR="00AD170D" w:rsidRPr="00F7716C" w:rsidRDefault="00B654AC" w:rsidP="00E06571">
            <w:r w:rsidRPr="00F7716C">
              <w:t>Indicator</w:t>
            </w:r>
          </w:p>
        </w:tc>
        <w:tc>
          <w:tcPr>
            <w:tcW w:w="686" w:type="dxa"/>
            <w:vMerge w:val="restart"/>
            <w:vAlign w:val="center"/>
          </w:tcPr>
          <w:p w14:paraId="26F06458" w14:textId="77777777" w:rsidR="00AD170D" w:rsidRPr="00F7716C" w:rsidRDefault="00B654AC" w:rsidP="00E06571">
            <w:r w:rsidRPr="00F7716C">
              <w:t>Total score</w:t>
            </w:r>
          </w:p>
        </w:tc>
        <w:tc>
          <w:tcPr>
            <w:tcW w:w="6461" w:type="dxa"/>
            <w:gridSpan w:val="7"/>
          </w:tcPr>
          <w:p w14:paraId="6F465DF4" w14:textId="77777777" w:rsidR="00AD170D" w:rsidRPr="00F7716C" w:rsidRDefault="00B654AC" w:rsidP="00E06571">
            <w:r w:rsidRPr="00F7716C">
              <w:t>Score obtained by the committee</w:t>
            </w:r>
          </w:p>
        </w:tc>
      </w:tr>
      <w:tr w:rsidR="00F7716C" w:rsidRPr="00F7716C" w14:paraId="6DC8B792" w14:textId="77777777" w:rsidTr="00E06571">
        <w:trPr>
          <w:trHeight w:val="20"/>
        </w:trPr>
        <w:tc>
          <w:tcPr>
            <w:tcW w:w="1450" w:type="dxa"/>
            <w:vMerge/>
            <w:vAlign w:val="center"/>
          </w:tcPr>
          <w:p w14:paraId="0C53DB30" w14:textId="77777777" w:rsidR="00AD170D" w:rsidRPr="00F7716C" w:rsidRDefault="00AD170D" w:rsidP="00E06571">
            <w:pPr>
              <w:widowControl w:val="0"/>
              <w:pBdr>
                <w:top w:val="nil"/>
                <w:left w:val="nil"/>
                <w:bottom w:val="nil"/>
                <w:right w:val="nil"/>
                <w:between w:val="nil"/>
              </w:pBdr>
            </w:pPr>
          </w:p>
        </w:tc>
        <w:tc>
          <w:tcPr>
            <w:tcW w:w="686" w:type="dxa"/>
            <w:vMerge/>
            <w:vAlign w:val="center"/>
          </w:tcPr>
          <w:p w14:paraId="080C6921" w14:textId="77777777" w:rsidR="00AD170D" w:rsidRPr="00F7716C" w:rsidRDefault="00AD170D" w:rsidP="00E06571">
            <w:pPr>
              <w:widowControl w:val="0"/>
              <w:pBdr>
                <w:top w:val="nil"/>
                <w:left w:val="nil"/>
                <w:bottom w:val="nil"/>
                <w:right w:val="nil"/>
                <w:between w:val="nil"/>
              </w:pBdr>
            </w:pPr>
          </w:p>
        </w:tc>
        <w:tc>
          <w:tcPr>
            <w:tcW w:w="980" w:type="dxa"/>
          </w:tcPr>
          <w:p w14:paraId="5F29BC4D" w14:textId="77777777" w:rsidR="00AD170D" w:rsidRPr="00F7716C" w:rsidRDefault="00B654AC" w:rsidP="00E06571">
            <w:r w:rsidRPr="00F7716C">
              <w:t>Baseline</w:t>
            </w:r>
          </w:p>
        </w:tc>
        <w:tc>
          <w:tcPr>
            <w:tcW w:w="913" w:type="dxa"/>
          </w:tcPr>
          <w:p w14:paraId="5F29C158" w14:textId="77777777" w:rsidR="00AD170D" w:rsidRPr="00F7716C" w:rsidRDefault="00B654AC" w:rsidP="00E06571">
            <w:r w:rsidRPr="00F7716C">
              <w:t>After 6 months</w:t>
            </w:r>
          </w:p>
        </w:tc>
        <w:tc>
          <w:tcPr>
            <w:tcW w:w="913" w:type="dxa"/>
          </w:tcPr>
          <w:p w14:paraId="5FEB31F8" w14:textId="77777777" w:rsidR="00AD170D" w:rsidRPr="00F7716C" w:rsidRDefault="00B654AC" w:rsidP="00E06571">
            <w:r w:rsidRPr="00F7716C">
              <w:t>After 12 months</w:t>
            </w:r>
          </w:p>
        </w:tc>
        <w:tc>
          <w:tcPr>
            <w:tcW w:w="913" w:type="dxa"/>
          </w:tcPr>
          <w:p w14:paraId="5CE8F19A" w14:textId="77777777" w:rsidR="00AD170D" w:rsidRPr="00F7716C" w:rsidRDefault="00B654AC" w:rsidP="00E06571">
            <w:r w:rsidRPr="00F7716C">
              <w:t>After 18 months</w:t>
            </w:r>
          </w:p>
        </w:tc>
        <w:tc>
          <w:tcPr>
            <w:tcW w:w="913" w:type="dxa"/>
          </w:tcPr>
          <w:p w14:paraId="6F897A1B" w14:textId="77777777" w:rsidR="00AD170D" w:rsidRPr="00F7716C" w:rsidRDefault="00B654AC" w:rsidP="00E06571">
            <w:r w:rsidRPr="00F7716C">
              <w:t>After 24 months</w:t>
            </w:r>
          </w:p>
        </w:tc>
        <w:tc>
          <w:tcPr>
            <w:tcW w:w="913" w:type="dxa"/>
          </w:tcPr>
          <w:p w14:paraId="081E63DC" w14:textId="77777777" w:rsidR="00AD170D" w:rsidRPr="00F7716C" w:rsidRDefault="00B654AC" w:rsidP="00E06571">
            <w:r w:rsidRPr="00F7716C">
              <w:t>After 30 months</w:t>
            </w:r>
          </w:p>
        </w:tc>
        <w:tc>
          <w:tcPr>
            <w:tcW w:w="916" w:type="dxa"/>
          </w:tcPr>
          <w:p w14:paraId="10E9A0C1" w14:textId="77777777" w:rsidR="00AD170D" w:rsidRPr="00F7716C" w:rsidRDefault="00B654AC" w:rsidP="00E06571">
            <w:r w:rsidRPr="00F7716C">
              <w:t>After 36 months</w:t>
            </w:r>
          </w:p>
        </w:tc>
      </w:tr>
      <w:tr w:rsidR="00F7716C" w:rsidRPr="00F7716C" w14:paraId="111193B6" w14:textId="77777777" w:rsidTr="00E06571">
        <w:trPr>
          <w:trHeight w:val="20"/>
        </w:trPr>
        <w:tc>
          <w:tcPr>
            <w:tcW w:w="1450" w:type="dxa"/>
          </w:tcPr>
          <w:p w14:paraId="4837435D" w14:textId="77777777" w:rsidR="00AD170D" w:rsidRPr="00F7716C" w:rsidRDefault="00B654AC" w:rsidP="00E06571">
            <w:r w:rsidRPr="00F7716C">
              <w:t>Community awareness</w:t>
            </w:r>
          </w:p>
        </w:tc>
        <w:tc>
          <w:tcPr>
            <w:tcW w:w="686" w:type="dxa"/>
          </w:tcPr>
          <w:p w14:paraId="0B203336" w14:textId="77777777" w:rsidR="00AD170D" w:rsidRPr="00F7716C" w:rsidRDefault="00B654AC" w:rsidP="00E06571">
            <w:r w:rsidRPr="00F7716C">
              <w:t>20</w:t>
            </w:r>
          </w:p>
        </w:tc>
        <w:tc>
          <w:tcPr>
            <w:tcW w:w="980" w:type="dxa"/>
          </w:tcPr>
          <w:p w14:paraId="6D594BB9" w14:textId="77777777" w:rsidR="00AD170D" w:rsidRPr="00F7716C" w:rsidRDefault="00B654AC" w:rsidP="00E06571">
            <w:r w:rsidRPr="00F7716C">
              <w:t>3</w:t>
            </w:r>
          </w:p>
        </w:tc>
        <w:tc>
          <w:tcPr>
            <w:tcW w:w="913" w:type="dxa"/>
          </w:tcPr>
          <w:p w14:paraId="15BADF63" w14:textId="77777777" w:rsidR="00AD170D" w:rsidRPr="00F7716C" w:rsidRDefault="00B654AC" w:rsidP="00E06571">
            <w:r w:rsidRPr="00F7716C">
              <w:t>6</w:t>
            </w:r>
          </w:p>
        </w:tc>
        <w:tc>
          <w:tcPr>
            <w:tcW w:w="913" w:type="dxa"/>
          </w:tcPr>
          <w:p w14:paraId="3D189116" w14:textId="77777777" w:rsidR="00AD170D" w:rsidRPr="00F7716C" w:rsidRDefault="00B654AC" w:rsidP="00E06571">
            <w:r w:rsidRPr="00F7716C">
              <w:t>9</w:t>
            </w:r>
          </w:p>
        </w:tc>
        <w:tc>
          <w:tcPr>
            <w:tcW w:w="913" w:type="dxa"/>
          </w:tcPr>
          <w:p w14:paraId="7282D4B4" w14:textId="77777777" w:rsidR="00AD170D" w:rsidRPr="00F7716C" w:rsidRDefault="00B654AC" w:rsidP="00E06571">
            <w:r w:rsidRPr="00F7716C">
              <w:t>12</w:t>
            </w:r>
          </w:p>
        </w:tc>
        <w:tc>
          <w:tcPr>
            <w:tcW w:w="913" w:type="dxa"/>
          </w:tcPr>
          <w:p w14:paraId="2026E3D2" w14:textId="77777777" w:rsidR="00AD170D" w:rsidRPr="00F7716C" w:rsidRDefault="00B654AC" w:rsidP="00E06571">
            <w:r w:rsidRPr="00F7716C">
              <w:t>15</w:t>
            </w:r>
          </w:p>
        </w:tc>
        <w:tc>
          <w:tcPr>
            <w:tcW w:w="913" w:type="dxa"/>
          </w:tcPr>
          <w:p w14:paraId="0EFEAE75" w14:textId="77777777" w:rsidR="00AD170D" w:rsidRPr="00F7716C" w:rsidRDefault="00B654AC" w:rsidP="00E06571">
            <w:r w:rsidRPr="00F7716C">
              <w:t>18</w:t>
            </w:r>
          </w:p>
        </w:tc>
        <w:tc>
          <w:tcPr>
            <w:tcW w:w="916" w:type="dxa"/>
          </w:tcPr>
          <w:p w14:paraId="5B7776B3" w14:textId="77777777" w:rsidR="00AD170D" w:rsidRPr="00F7716C" w:rsidRDefault="00B654AC" w:rsidP="00E06571">
            <w:r w:rsidRPr="00F7716C">
              <w:t>20</w:t>
            </w:r>
          </w:p>
        </w:tc>
      </w:tr>
      <w:tr w:rsidR="00F7716C" w:rsidRPr="00F7716C" w14:paraId="314A80ED" w14:textId="77777777" w:rsidTr="00E06571">
        <w:trPr>
          <w:trHeight w:val="20"/>
        </w:trPr>
        <w:tc>
          <w:tcPr>
            <w:tcW w:w="1450" w:type="dxa"/>
          </w:tcPr>
          <w:p w14:paraId="6A5C690F" w14:textId="77777777" w:rsidR="00AD170D" w:rsidRPr="00F7716C" w:rsidRDefault="00B654AC" w:rsidP="00E06571">
            <w:r w:rsidRPr="00F7716C">
              <w:t>Farmer's KAP on Livestock management</w:t>
            </w:r>
          </w:p>
        </w:tc>
        <w:tc>
          <w:tcPr>
            <w:tcW w:w="686" w:type="dxa"/>
          </w:tcPr>
          <w:p w14:paraId="76374A46" w14:textId="77777777" w:rsidR="00AD170D" w:rsidRPr="00F7716C" w:rsidRDefault="00B654AC" w:rsidP="00E06571">
            <w:r w:rsidRPr="00F7716C">
              <w:t>20</w:t>
            </w:r>
          </w:p>
        </w:tc>
        <w:tc>
          <w:tcPr>
            <w:tcW w:w="980" w:type="dxa"/>
          </w:tcPr>
          <w:p w14:paraId="422959DD" w14:textId="77777777" w:rsidR="00AD170D" w:rsidRPr="00F7716C" w:rsidRDefault="00B654AC" w:rsidP="00E06571">
            <w:r w:rsidRPr="00F7716C">
              <w:t>1</w:t>
            </w:r>
          </w:p>
        </w:tc>
        <w:tc>
          <w:tcPr>
            <w:tcW w:w="913" w:type="dxa"/>
          </w:tcPr>
          <w:p w14:paraId="476945A2" w14:textId="77777777" w:rsidR="00AD170D" w:rsidRPr="00F7716C" w:rsidRDefault="00B654AC" w:rsidP="00E06571">
            <w:r w:rsidRPr="00F7716C">
              <w:t>3</w:t>
            </w:r>
          </w:p>
        </w:tc>
        <w:tc>
          <w:tcPr>
            <w:tcW w:w="913" w:type="dxa"/>
          </w:tcPr>
          <w:p w14:paraId="2CA1233B" w14:textId="77777777" w:rsidR="00AD170D" w:rsidRPr="00F7716C" w:rsidRDefault="00B654AC" w:rsidP="00E06571">
            <w:r w:rsidRPr="00F7716C">
              <w:t>5</w:t>
            </w:r>
          </w:p>
        </w:tc>
        <w:tc>
          <w:tcPr>
            <w:tcW w:w="913" w:type="dxa"/>
          </w:tcPr>
          <w:p w14:paraId="3CD15DEF" w14:textId="77777777" w:rsidR="00AD170D" w:rsidRPr="00F7716C" w:rsidRDefault="00B654AC" w:rsidP="00E06571">
            <w:r w:rsidRPr="00F7716C">
              <w:t>7</w:t>
            </w:r>
          </w:p>
        </w:tc>
        <w:tc>
          <w:tcPr>
            <w:tcW w:w="913" w:type="dxa"/>
          </w:tcPr>
          <w:p w14:paraId="470D68F3" w14:textId="77777777" w:rsidR="00AD170D" w:rsidRPr="00F7716C" w:rsidRDefault="00B654AC" w:rsidP="00E06571">
            <w:r w:rsidRPr="00F7716C">
              <w:t>11</w:t>
            </w:r>
          </w:p>
        </w:tc>
        <w:tc>
          <w:tcPr>
            <w:tcW w:w="913" w:type="dxa"/>
          </w:tcPr>
          <w:p w14:paraId="688004EC" w14:textId="77777777" w:rsidR="00AD170D" w:rsidRPr="00F7716C" w:rsidRDefault="00B654AC" w:rsidP="00E06571">
            <w:r w:rsidRPr="00F7716C">
              <w:t>13</w:t>
            </w:r>
          </w:p>
        </w:tc>
        <w:tc>
          <w:tcPr>
            <w:tcW w:w="916" w:type="dxa"/>
          </w:tcPr>
          <w:p w14:paraId="1249B8FD" w14:textId="77777777" w:rsidR="00AD170D" w:rsidRPr="00F7716C" w:rsidRDefault="00B654AC" w:rsidP="00E06571">
            <w:r w:rsidRPr="00F7716C">
              <w:t>15</w:t>
            </w:r>
          </w:p>
        </w:tc>
      </w:tr>
      <w:tr w:rsidR="00F7716C" w:rsidRPr="00F7716C" w14:paraId="4E45F463" w14:textId="77777777" w:rsidTr="00E06571">
        <w:trPr>
          <w:trHeight w:val="20"/>
        </w:trPr>
        <w:tc>
          <w:tcPr>
            <w:tcW w:w="1450" w:type="dxa"/>
          </w:tcPr>
          <w:p w14:paraId="1240D4B9" w14:textId="77777777" w:rsidR="00AD170D" w:rsidRPr="00F7716C" w:rsidRDefault="00B654AC" w:rsidP="00E06571">
            <w:r w:rsidRPr="00F7716C">
              <w:t>Mass animal vaccination</w:t>
            </w:r>
          </w:p>
        </w:tc>
        <w:tc>
          <w:tcPr>
            <w:tcW w:w="686" w:type="dxa"/>
          </w:tcPr>
          <w:p w14:paraId="5C2D81C4" w14:textId="77777777" w:rsidR="00AD170D" w:rsidRPr="00F7716C" w:rsidRDefault="00B654AC" w:rsidP="00E06571">
            <w:r w:rsidRPr="00F7716C">
              <w:t>35</w:t>
            </w:r>
          </w:p>
        </w:tc>
        <w:tc>
          <w:tcPr>
            <w:tcW w:w="980" w:type="dxa"/>
          </w:tcPr>
          <w:p w14:paraId="58D81DC2" w14:textId="77777777" w:rsidR="00AD170D" w:rsidRPr="00F7716C" w:rsidRDefault="00B654AC" w:rsidP="00E06571">
            <w:r w:rsidRPr="00F7716C">
              <w:t>12</w:t>
            </w:r>
          </w:p>
        </w:tc>
        <w:tc>
          <w:tcPr>
            <w:tcW w:w="913" w:type="dxa"/>
          </w:tcPr>
          <w:p w14:paraId="75FA8858" w14:textId="77777777" w:rsidR="00AD170D" w:rsidRPr="00F7716C" w:rsidRDefault="00B654AC" w:rsidP="00E06571">
            <w:r w:rsidRPr="00F7716C">
              <w:t>24</w:t>
            </w:r>
          </w:p>
        </w:tc>
        <w:tc>
          <w:tcPr>
            <w:tcW w:w="913" w:type="dxa"/>
          </w:tcPr>
          <w:p w14:paraId="274D9540" w14:textId="77777777" w:rsidR="00AD170D" w:rsidRPr="00F7716C" w:rsidRDefault="00B654AC" w:rsidP="00E06571">
            <w:r w:rsidRPr="00F7716C">
              <w:t>25</w:t>
            </w:r>
          </w:p>
        </w:tc>
        <w:tc>
          <w:tcPr>
            <w:tcW w:w="913" w:type="dxa"/>
          </w:tcPr>
          <w:p w14:paraId="666386B3" w14:textId="77777777" w:rsidR="00AD170D" w:rsidRPr="00F7716C" w:rsidRDefault="00B654AC" w:rsidP="00E06571">
            <w:r w:rsidRPr="00F7716C">
              <w:t>26</w:t>
            </w:r>
          </w:p>
        </w:tc>
        <w:tc>
          <w:tcPr>
            <w:tcW w:w="913" w:type="dxa"/>
          </w:tcPr>
          <w:p w14:paraId="133361B0" w14:textId="77777777" w:rsidR="00AD170D" w:rsidRPr="00F7716C" w:rsidRDefault="00B654AC" w:rsidP="00E06571">
            <w:r w:rsidRPr="00F7716C">
              <w:t>27</w:t>
            </w:r>
          </w:p>
        </w:tc>
        <w:tc>
          <w:tcPr>
            <w:tcW w:w="913" w:type="dxa"/>
          </w:tcPr>
          <w:p w14:paraId="35375C8D" w14:textId="77777777" w:rsidR="00AD170D" w:rsidRPr="00F7716C" w:rsidRDefault="00B654AC" w:rsidP="00E06571">
            <w:r w:rsidRPr="00F7716C">
              <w:t>28</w:t>
            </w:r>
          </w:p>
        </w:tc>
        <w:tc>
          <w:tcPr>
            <w:tcW w:w="916" w:type="dxa"/>
          </w:tcPr>
          <w:p w14:paraId="27E66F3B" w14:textId="77777777" w:rsidR="00AD170D" w:rsidRPr="00F7716C" w:rsidRDefault="00B654AC" w:rsidP="00E06571">
            <w:r w:rsidRPr="00F7716C">
              <w:t>30</w:t>
            </w:r>
          </w:p>
        </w:tc>
      </w:tr>
      <w:tr w:rsidR="00F7716C" w:rsidRPr="00F7716C" w14:paraId="5C244C89" w14:textId="77777777" w:rsidTr="00E06571">
        <w:trPr>
          <w:trHeight w:val="20"/>
        </w:trPr>
        <w:tc>
          <w:tcPr>
            <w:tcW w:w="1450" w:type="dxa"/>
          </w:tcPr>
          <w:p w14:paraId="6CBD5E84" w14:textId="77777777" w:rsidR="00AD170D" w:rsidRPr="00F7716C" w:rsidRDefault="00B654AC" w:rsidP="00E06571">
            <w:r w:rsidRPr="00F7716C">
              <w:t>Active and passive surveillance</w:t>
            </w:r>
          </w:p>
        </w:tc>
        <w:tc>
          <w:tcPr>
            <w:tcW w:w="686" w:type="dxa"/>
          </w:tcPr>
          <w:p w14:paraId="37DFE504" w14:textId="77777777" w:rsidR="00AD170D" w:rsidRPr="00F7716C" w:rsidRDefault="00B654AC" w:rsidP="00E06571">
            <w:r w:rsidRPr="00F7716C">
              <w:t>10</w:t>
            </w:r>
          </w:p>
        </w:tc>
        <w:tc>
          <w:tcPr>
            <w:tcW w:w="980" w:type="dxa"/>
          </w:tcPr>
          <w:p w14:paraId="2361960F" w14:textId="77777777" w:rsidR="00AD170D" w:rsidRPr="00F7716C" w:rsidRDefault="00B654AC" w:rsidP="00E06571">
            <w:r w:rsidRPr="00F7716C">
              <w:t>0</w:t>
            </w:r>
          </w:p>
        </w:tc>
        <w:tc>
          <w:tcPr>
            <w:tcW w:w="913" w:type="dxa"/>
          </w:tcPr>
          <w:p w14:paraId="71C67B7D" w14:textId="77777777" w:rsidR="00AD170D" w:rsidRPr="00F7716C" w:rsidRDefault="00B654AC" w:rsidP="00E06571">
            <w:r w:rsidRPr="00F7716C">
              <w:t>2</w:t>
            </w:r>
          </w:p>
        </w:tc>
        <w:tc>
          <w:tcPr>
            <w:tcW w:w="913" w:type="dxa"/>
          </w:tcPr>
          <w:p w14:paraId="667C5388" w14:textId="77777777" w:rsidR="00AD170D" w:rsidRPr="00F7716C" w:rsidRDefault="00B654AC" w:rsidP="00E06571">
            <w:r w:rsidRPr="00F7716C">
              <w:t>5</w:t>
            </w:r>
          </w:p>
        </w:tc>
        <w:tc>
          <w:tcPr>
            <w:tcW w:w="913" w:type="dxa"/>
          </w:tcPr>
          <w:p w14:paraId="4A9D829D" w14:textId="77777777" w:rsidR="00AD170D" w:rsidRPr="00F7716C" w:rsidRDefault="00B654AC" w:rsidP="00E06571">
            <w:r w:rsidRPr="00F7716C">
              <w:t>7</w:t>
            </w:r>
          </w:p>
        </w:tc>
        <w:tc>
          <w:tcPr>
            <w:tcW w:w="913" w:type="dxa"/>
          </w:tcPr>
          <w:p w14:paraId="17A8A4B1" w14:textId="77777777" w:rsidR="00AD170D" w:rsidRPr="00F7716C" w:rsidRDefault="00B654AC" w:rsidP="00E06571">
            <w:r w:rsidRPr="00F7716C">
              <w:t>10</w:t>
            </w:r>
          </w:p>
        </w:tc>
        <w:tc>
          <w:tcPr>
            <w:tcW w:w="913" w:type="dxa"/>
          </w:tcPr>
          <w:p w14:paraId="3BC2E41B" w14:textId="77777777" w:rsidR="00AD170D" w:rsidRPr="00F7716C" w:rsidRDefault="00B654AC" w:rsidP="00E06571">
            <w:r w:rsidRPr="00F7716C">
              <w:t>10</w:t>
            </w:r>
          </w:p>
        </w:tc>
        <w:tc>
          <w:tcPr>
            <w:tcW w:w="916" w:type="dxa"/>
          </w:tcPr>
          <w:p w14:paraId="3EB5B66D" w14:textId="77777777" w:rsidR="00AD170D" w:rsidRPr="00F7716C" w:rsidRDefault="00B654AC" w:rsidP="00E06571">
            <w:r w:rsidRPr="00F7716C">
              <w:t>10</w:t>
            </w:r>
          </w:p>
        </w:tc>
      </w:tr>
      <w:tr w:rsidR="00F7716C" w:rsidRPr="00F7716C" w14:paraId="22C87F08" w14:textId="77777777" w:rsidTr="00E06571">
        <w:trPr>
          <w:trHeight w:val="20"/>
        </w:trPr>
        <w:tc>
          <w:tcPr>
            <w:tcW w:w="1450" w:type="dxa"/>
          </w:tcPr>
          <w:p w14:paraId="779914E8" w14:textId="77777777" w:rsidR="00AD170D" w:rsidRPr="00F7716C" w:rsidRDefault="00B654AC" w:rsidP="00E06571">
            <w:r w:rsidRPr="00F7716C">
              <w:t>Preparation for Emergency response</w:t>
            </w:r>
          </w:p>
        </w:tc>
        <w:tc>
          <w:tcPr>
            <w:tcW w:w="686" w:type="dxa"/>
          </w:tcPr>
          <w:p w14:paraId="46C41320" w14:textId="77777777" w:rsidR="00AD170D" w:rsidRPr="00F7716C" w:rsidRDefault="00B654AC" w:rsidP="00E06571">
            <w:r w:rsidRPr="00F7716C">
              <w:t>5</w:t>
            </w:r>
          </w:p>
        </w:tc>
        <w:tc>
          <w:tcPr>
            <w:tcW w:w="980" w:type="dxa"/>
          </w:tcPr>
          <w:p w14:paraId="6B1E7C6D" w14:textId="77777777" w:rsidR="00AD170D" w:rsidRPr="00F7716C" w:rsidRDefault="00B654AC" w:rsidP="00E06571">
            <w:r w:rsidRPr="00F7716C">
              <w:t>1</w:t>
            </w:r>
          </w:p>
        </w:tc>
        <w:tc>
          <w:tcPr>
            <w:tcW w:w="913" w:type="dxa"/>
          </w:tcPr>
          <w:p w14:paraId="0B985E95" w14:textId="77777777" w:rsidR="00AD170D" w:rsidRPr="00F7716C" w:rsidRDefault="00B654AC" w:rsidP="00E06571">
            <w:r w:rsidRPr="00F7716C">
              <w:t>2</w:t>
            </w:r>
          </w:p>
        </w:tc>
        <w:tc>
          <w:tcPr>
            <w:tcW w:w="913" w:type="dxa"/>
          </w:tcPr>
          <w:p w14:paraId="6F712CB4" w14:textId="77777777" w:rsidR="00AD170D" w:rsidRPr="00F7716C" w:rsidRDefault="00B654AC" w:rsidP="00E06571">
            <w:r w:rsidRPr="00F7716C">
              <w:t>3</w:t>
            </w:r>
          </w:p>
        </w:tc>
        <w:tc>
          <w:tcPr>
            <w:tcW w:w="913" w:type="dxa"/>
          </w:tcPr>
          <w:p w14:paraId="63CCE688" w14:textId="77777777" w:rsidR="00AD170D" w:rsidRPr="00F7716C" w:rsidRDefault="00B654AC" w:rsidP="00E06571">
            <w:r w:rsidRPr="00F7716C">
              <w:t>4</w:t>
            </w:r>
          </w:p>
        </w:tc>
        <w:tc>
          <w:tcPr>
            <w:tcW w:w="913" w:type="dxa"/>
          </w:tcPr>
          <w:p w14:paraId="46B4D409" w14:textId="77777777" w:rsidR="00AD170D" w:rsidRPr="00F7716C" w:rsidRDefault="00B654AC" w:rsidP="00E06571">
            <w:r w:rsidRPr="00F7716C">
              <w:t>5</w:t>
            </w:r>
          </w:p>
        </w:tc>
        <w:tc>
          <w:tcPr>
            <w:tcW w:w="913" w:type="dxa"/>
          </w:tcPr>
          <w:p w14:paraId="223734F0" w14:textId="77777777" w:rsidR="00AD170D" w:rsidRPr="00F7716C" w:rsidRDefault="00B654AC" w:rsidP="00E06571">
            <w:r w:rsidRPr="00F7716C">
              <w:t>5</w:t>
            </w:r>
          </w:p>
        </w:tc>
        <w:tc>
          <w:tcPr>
            <w:tcW w:w="916" w:type="dxa"/>
          </w:tcPr>
          <w:p w14:paraId="3AF6A298" w14:textId="77777777" w:rsidR="00AD170D" w:rsidRPr="00F7716C" w:rsidRDefault="00B654AC" w:rsidP="00E06571">
            <w:r w:rsidRPr="00F7716C">
              <w:t>5</w:t>
            </w:r>
          </w:p>
        </w:tc>
      </w:tr>
      <w:tr w:rsidR="00F7716C" w:rsidRPr="00F7716C" w14:paraId="34A4113D" w14:textId="77777777" w:rsidTr="00E06571">
        <w:trPr>
          <w:trHeight w:val="20"/>
        </w:trPr>
        <w:tc>
          <w:tcPr>
            <w:tcW w:w="1450" w:type="dxa"/>
          </w:tcPr>
          <w:p w14:paraId="00BE1945" w14:textId="77777777" w:rsidR="00AD170D" w:rsidRPr="00F7716C" w:rsidRDefault="00B654AC" w:rsidP="00E06571">
            <w:r w:rsidRPr="00F7716C">
              <w:t>Disposal of carcass</w:t>
            </w:r>
          </w:p>
        </w:tc>
        <w:tc>
          <w:tcPr>
            <w:tcW w:w="686" w:type="dxa"/>
          </w:tcPr>
          <w:p w14:paraId="17DC2ADC" w14:textId="77777777" w:rsidR="00AD170D" w:rsidRPr="00F7716C" w:rsidRDefault="00B654AC" w:rsidP="00E06571">
            <w:r w:rsidRPr="00F7716C">
              <w:t>15</w:t>
            </w:r>
          </w:p>
        </w:tc>
        <w:tc>
          <w:tcPr>
            <w:tcW w:w="980" w:type="dxa"/>
          </w:tcPr>
          <w:p w14:paraId="7464F5A3" w14:textId="77777777" w:rsidR="00AD170D" w:rsidRPr="00F7716C" w:rsidRDefault="00B654AC" w:rsidP="00E06571">
            <w:r w:rsidRPr="00F7716C">
              <w:t>1</w:t>
            </w:r>
          </w:p>
        </w:tc>
        <w:tc>
          <w:tcPr>
            <w:tcW w:w="913" w:type="dxa"/>
          </w:tcPr>
          <w:p w14:paraId="60307100" w14:textId="77777777" w:rsidR="00AD170D" w:rsidRPr="00F7716C" w:rsidRDefault="00B654AC" w:rsidP="00E06571">
            <w:r w:rsidRPr="00F7716C">
              <w:t>1</w:t>
            </w:r>
          </w:p>
        </w:tc>
        <w:tc>
          <w:tcPr>
            <w:tcW w:w="913" w:type="dxa"/>
          </w:tcPr>
          <w:p w14:paraId="3D6BFC1E" w14:textId="77777777" w:rsidR="00AD170D" w:rsidRPr="00F7716C" w:rsidRDefault="00B654AC" w:rsidP="00E06571">
            <w:r w:rsidRPr="00F7716C">
              <w:t>1</w:t>
            </w:r>
          </w:p>
        </w:tc>
        <w:tc>
          <w:tcPr>
            <w:tcW w:w="913" w:type="dxa"/>
          </w:tcPr>
          <w:p w14:paraId="72B3F30C" w14:textId="77777777" w:rsidR="00AD170D" w:rsidRPr="00F7716C" w:rsidRDefault="00B654AC" w:rsidP="00E06571">
            <w:r w:rsidRPr="00F7716C">
              <w:t>6</w:t>
            </w:r>
          </w:p>
        </w:tc>
        <w:tc>
          <w:tcPr>
            <w:tcW w:w="913" w:type="dxa"/>
          </w:tcPr>
          <w:p w14:paraId="7C7FFFA1" w14:textId="77777777" w:rsidR="00AD170D" w:rsidRPr="00F7716C" w:rsidRDefault="00B654AC" w:rsidP="00E06571">
            <w:r w:rsidRPr="00F7716C">
              <w:t>6</w:t>
            </w:r>
          </w:p>
        </w:tc>
        <w:tc>
          <w:tcPr>
            <w:tcW w:w="913" w:type="dxa"/>
          </w:tcPr>
          <w:p w14:paraId="557EAF75" w14:textId="77777777" w:rsidR="00AD170D" w:rsidRPr="00F7716C" w:rsidRDefault="00B654AC" w:rsidP="00E06571">
            <w:r w:rsidRPr="00F7716C">
              <w:t>8</w:t>
            </w:r>
          </w:p>
        </w:tc>
        <w:tc>
          <w:tcPr>
            <w:tcW w:w="916" w:type="dxa"/>
          </w:tcPr>
          <w:p w14:paraId="781E11F6" w14:textId="77777777" w:rsidR="00AD170D" w:rsidRPr="00F7716C" w:rsidRDefault="00B654AC" w:rsidP="00E06571">
            <w:r w:rsidRPr="00F7716C">
              <w:t>10</w:t>
            </w:r>
          </w:p>
        </w:tc>
      </w:tr>
      <w:tr w:rsidR="00AD170D" w:rsidRPr="00F7716C" w14:paraId="7616C8AB" w14:textId="77777777" w:rsidTr="00E06571">
        <w:trPr>
          <w:trHeight w:val="20"/>
        </w:trPr>
        <w:tc>
          <w:tcPr>
            <w:tcW w:w="1450" w:type="dxa"/>
          </w:tcPr>
          <w:p w14:paraId="15362934" w14:textId="77777777" w:rsidR="00AD170D" w:rsidRPr="00F7716C" w:rsidRDefault="00B654AC" w:rsidP="00E06571">
            <w:r w:rsidRPr="00F7716C">
              <w:t>Certification of slaughtering animal</w:t>
            </w:r>
          </w:p>
        </w:tc>
        <w:tc>
          <w:tcPr>
            <w:tcW w:w="686" w:type="dxa"/>
          </w:tcPr>
          <w:p w14:paraId="59D773C6" w14:textId="77777777" w:rsidR="00AD170D" w:rsidRPr="00F7716C" w:rsidRDefault="00B654AC" w:rsidP="00E06571">
            <w:r w:rsidRPr="00F7716C">
              <w:t>15</w:t>
            </w:r>
          </w:p>
        </w:tc>
        <w:tc>
          <w:tcPr>
            <w:tcW w:w="980" w:type="dxa"/>
          </w:tcPr>
          <w:p w14:paraId="39816280" w14:textId="77777777" w:rsidR="00AD170D" w:rsidRPr="00F7716C" w:rsidRDefault="00B654AC" w:rsidP="00E06571">
            <w:r w:rsidRPr="00F7716C">
              <w:t>0</w:t>
            </w:r>
          </w:p>
        </w:tc>
        <w:tc>
          <w:tcPr>
            <w:tcW w:w="913" w:type="dxa"/>
          </w:tcPr>
          <w:p w14:paraId="33AC8DBC" w14:textId="77777777" w:rsidR="00AD170D" w:rsidRPr="00F7716C" w:rsidRDefault="00B654AC" w:rsidP="00E06571">
            <w:r w:rsidRPr="00F7716C">
              <w:t>0</w:t>
            </w:r>
          </w:p>
        </w:tc>
        <w:tc>
          <w:tcPr>
            <w:tcW w:w="913" w:type="dxa"/>
          </w:tcPr>
          <w:p w14:paraId="7DC638D7" w14:textId="77777777" w:rsidR="00AD170D" w:rsidRPr="00F7716C" w:rsidRDefault="00B654AC" w:rsidP="00E06571">
            <w:r w:rsidRPr="00F7716C">
              <w:t>0</w:t>
            </w:r>
          </w:p>
        </w:tc>
        <w:tc>
          <w:tcPr>
            <w:tcW w:w="913" w:type="dxa"/>
          </w:tcPr>
          <w:p w14:paraId="387F7E40" w14:textId="77777777" w:rsidR="00AD170D" w:rsidRPr="00F7716C" w:rsidRDefault="00B654AC" w:rsidP="00E06571">
            <w:r w:rsidRPr="00F7716C">
              <w:t>5</w:t>
            </w:r>
          </w:p>
        </w:tc>
        <w:tc>
          <w:tcPr>
            <w:tcW w:w="913" w:type="dxa"/>
          </w:tcPr>
          <w:p w14:paraId="0E1B37B1" w14:textId="77777777" w:rsidR="00AD170D" w:rsidRPr="00F7716C" w:rsidRDefault="00B654AC" w:rsidP="00E06571">
            <w:r w:rsidRPr="00F7716C">
              <w:t>8</w:t>
            </w:r>
          </w:p>
        </w:tc>
        <w:tc>
          <w:tcPr>
            <w:tcW w:w="913" w:type="dxa"/>
          </w:tcPr>
          <w:p w14:paraId="45343DFE" w14:textId="77777777" w:rsidR="00AD170D" w:rsidRPr="00F7716C" w:rsidRDefault="00B654AC" w:rsidP="00E06571">
            <w:r w:rsidRPr="00F7716C">
              <w:t>10</w:t>
            </w:r>
          </w:p>
        </w:tc>
        <w:tc>
          <w:tcPr>
            <w:tcW w:w="916" w:type="dxa"/>
          </w:tcPr>
          <w:p w14:paraId="003B1810" w14:textId="77777777" w:rsidR="00AD170D" w:rsidRPr="00F7716C" w:rsidRDefault="00B654AC" w:rsidP="00E06571">
            <w:r w:rsidRPr="00F7716C">
              <w:t>10</w:t>
            </w:r>
          </w:p>
        </w:tc>
      </w:tr>
    </w:tbl>
    <w:p w14:paraId="631D446D" w14:textId="77777777" w:rsidR="00AD170D" w:rsidRPr="00F7716C" w:rsidRDefault="00AD170D" w:rsidP="00E06571"/>
    <w:p w14:paraId="74D6FF02" w14:textId="77777777" w:rsidR="00AD170D" w:rsidRPr="00F7716C" w:rsidRDefault="00AD170D" w:rsidP="00E06571"/>
    <w:p w14:paraId="7701E1C4" w14:textId="438F24FB" w:rsidR="00C37148" w:rsidRPr="00F7716C" w:rsidRDefault="00C37148">
      <w:r w:rsidRPr="00F7716C">
        <w:br w:type="page"/>
      </w:r>
    </w:p>
    <w:p w14:paraId="4ADEF09F" w14:textId="77777777" w:rsidR="00C37148" w:rsidRPr="00F7716C" w:rsidRDefault="00C37148" w:rsidP="00C37148">
      <w:r w:rsidRPr="00F7716C">
        <w:rPr>
          <w:b/>
          <w:noProof/>
        </w:rPr>
        <w:lastRenderedPageBreak/>
        <w:drawing>
          <wp:inline distT="0" distB="0" distL="0" distR="0" wp14:anchorId="28548EF9" wp14:editId="4EFDAD0A">
            <wp:extent cx="5437589" cy="3880857"/>
            <wp:effectExtent l="0" t="0" r="0" b="0"/>
            <wp:docPr id="9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437589" cy="3880857"/>
                    </a:xfrm>
                    <a:prstGeom prst="rect">
                      <a:avLst/>
                    </a:prstGeom>
                    <a:ln/>
                  </pic:spPr>
                </pic:pic>
              </a:graphicData>
            </a:graphic>
          </wp:inline>
        </w:drawing>
      </w:r>
    </w:p>
    <w:p w14:paraId="65C1DA01" w14:textId="57500CF6" w:rsidR="00C37148" w:rsidRPr="00F7716C" w:rsidRDefault="00C37148" w:rsidP="00C37148">
      <w:pPr>
        <w:rPr>
          <w:bCs/>
        </w:rPr>
      </w:pPr>
      <w:r w:rsidRPr="00F7716C">
        <w:rPr>
          <w:bCs/>
        </w:rPr>
        <w:t>Figure 1. Map of Bangladesh and location of our model area</w:t>
      </w:r>
    </w:p>
    <w:p w14:paraId="350E1D06" w14:textId="77777777" w:rsidR="00C37148" w:rsidRPr="00F7716C" w:rsidRDefault="00C37148">
      <w:pPr>
        <w:rPr>
          <w:bCs/>
        </w:rPr>
      </w:pPr>
      <w:r w:rsidRPr="00F7716C">
        <w:rPr>
          <w:bCs/>
        </w:rPr>
        <w:br w:type="page"/>
      </w:r>
    </w:p>
    <w:p w14:paraId="22028FB6" w14:textId="77777777" w:rsidR="00C37148" w:rsidRPr="00F7716C" w:rsidRDefault="00C37148" w:rsidP="00C37148">
      <w:pPr>
        <w:rPr>
          <w:bCs/>
        </w:rPr>
      </w:pPr>
    </w:p>
    <w:p w14:paraId="58D534D3" w14:textId="77777777" w:rsidR="00C37148" w:rsidRPr="00F7716C" w:rsidRDefault="00C37148" w:rsidP="00C37148">
      <w:r w:rsidRPr="00F7716C">
        <w:rPr>
          <w:noProof/>
        </w:rPr>
        <w:drawing>
          <wp:inline distT="114300" distB="114300" distL="114300" distR="114300" wp14:anchorId="74E44204" wp14:editId="73C592D4">
            <wp:extent cx="5402270" cy="3615897"/>
            <wp:effectExtent l="0" t="0" r="0" b="0"/>
            <wp:docPr id="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402270" cy="3615897"/>
                    </a:xfrm>
                    <a:prstGeom prst="rect">
                      <a:avLst/>
                    </a:prstGeom>
                    <a:ln/>
                  </pic:spPr>
                </pic:pic>
              </a:graphicData>
            </a:graphic>
          </wp:inline>
        </w:drawing>
      </w:r>
    </w:p>
    <w:p w14:paraId="0658620A" w14:textId="77777777" w:rsidR="00C37148" w:rsidRPr="00F7716C" w:rsidRDefault="00C37148" w:rsidP="00C37148">
      <w:pPr>
        <w:rPr>
          <w:bCs/>
        </w:rPr>
      </w:pPr>
      <w:r w:rsidRPr="00F7716C">
        <w:rPr>
          <w:bCs/>
        </w:rPr>
        <w:t>Figure 2. Integrated approaches for anthrax free model area development.</w:t>
      </w:r>
    </w:p>
    <w:p w14:paraId="07B5D5E1" w14:textId="77777777" w:rsidR="00C37148" w:rsidRPr="00F7716C" w:rsidRDefault="00C37148" w:rsidP="00C37148">
      <w:pPr>
        <w:tabs>
          <w:tab w:val="left" w:pos="2380"/>
        </w:tabs>
        <w:rPr>
          <w:b/>
        </w:rPr>
      </w:pPr>
      <w:r w:rsidRPr="00F7716C">
        <w:rPr>
          <w:b/>
          <w:noProof/>
        </w:rPr>
        <w:lastRenderedPageBreak/>
        <w:drawing>
          <wp:inline distT="0" distB="0" distL="0" distR="0" wp14:anchorId="7D9EC71F" wp14:editId="4F49F70F">
            <wp:extent cx="4476903" cy="5135887"/>
            <wp:effectExtent l="0" t="0" r="0" b="7620"/>
            <wp:docPr id="40" name="Picture 39">
              <a:extLst xmlns:a="http://schemas.openxmlformats.org/drawingml/2006/main">
                <a:ext uri="{FF2B5EF4-FFF2-40B4-BE49-F238E27FC236}">
                  <a16:creationId xmlns:a16="http://schemas.microsoft.com/office/drawing/2014/main" id="{2C675E2D-BFBD-4203-9FA9-25017119C6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39">
                      <a:extLst>
                        <a:ext uri="{FF2B5EF4-FFF2-40B4-BE49-F238E27FC236}">
                          <a16:creationId xmlns:a16="http://schemas.microsoft.com/office/drawing/2014/main" id="{2C675E2D-BFBD-4203-9FA9-25017119C6C4}"/>
                        </a:ext>
                      </a:extLst>
                    </pic:cNvPr>
                    <pic:cNvPicPr>
                      <a:picLocks noChangeAspect="1"/>
                    </pic:cNvPicPr>
                  </pic:nvPicPr>
                  <pic:blipFill>
                    <a:blip r:embed="rId16"/>
                    <a:stretch>
                      <a:fillRect/>
                    </a:stretch>
                  </pic:blipFill>
                  <pic:spPr>
                    <a:xfrm>
                      <a:off x="0" y="0"/>
                      <a:ext cx="4483047" cy="5142936"/>
                    </a:xfrm>
                    <a:prstGeom prst="rect">
                      <a:avLst/>
                    </a:prstGeom>
                  </pic:spPr>
                </pic:pic>
              </a:graphicData>
            </a:graphic>
          </wp:inline>
        </w:drawing>
      </w:r>
    </w:p>
    <w:p w14:paraId="65DACDB6" w14:textId="77777777" w:rsidR="00C37148" w:rsidRPr="00F7716C" w:rsidRDefault="00C37148" w:rsidP="00C37148">
      <w:pPr>
        <w:tabs>
          <w:tab w:val="left" w:pos="2380"/>
        </w:tabs>
        <w:rPr>
          <w:b/>
        </w:rPr>
      </w:pPr>
    </w:p>
    <w:p w14:paraId="1612A912" w14:textId="0E33DAE6" w:rsidR="00C37148" w:rsidRPr="00F7716C" w:rsidRDefault="00C37148" w:rsidP="00C37148">
      <w:pPr>
        <w:tabs>
          <w:tab w:val="left" w:pos="2380"/>
        </w:tabs>
        <w:rPr>
          <w:bCs/>
        </w:rPr>
      </w:pPr>
      <w:r w:rsidRPr="00F7716C">
        <w:rPr>
          <w:bCs/>
        </w:rPr>
        <w:t>Figure 3. Active surveillance network in the model area.</w:t>
      </w:r>
    </w:p>
    <w:p w14:paraId="64ECC4DE" w14:textId="77777777" w:rsidR="00C37148" w:rsidRPr="00F7716C" w:rsidRDefault="00C37148" w:rsidP="00C37148">
      <w:r w:rsidRPr="00F7716C">
        <w:rPr>
          <w:noProof/>
        </w:rPr>
        <w:lastRenderedPageBreak/>
        <w:drawing>
          <wp:inline distT="0" distB="0" distL="0" distR="0" wp14:anchorId="6397CB98" wp14:editId="516A7B8E">
            <wp:extent cx="5394960" cy="3657600"/>
            <wp:effectExtent l="0" t="0" r="0" b="0"/>
            <wp:docPr id="85" name="Chart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A4974BA" w14:textId="5A24205C" w:rsidR="00C37148" w:rsidRPr="00F7716C" w:rsidRDefault="00C37148" w:rsidP="00C37148">
      <w:pPr>
        <w:rPr>
          <w:bCs/>
        </w:rPr>
      </w:pPr>
      <w:r w:rsidRPr="00F7716C">
        <w:rPr>
          <w:bCs/>
        </w:rPr>
        <w:t>Figure 4. Score of interventions for calculating overall progressive.</w:t>
      </w:r>
    </w:p>
    <w:p w14:paraId="36FA4A88" w14:textId="77777777" w:rsidR="00C37148" w:rsidRPr="00F7716C" w:rsidRDefault="00C37148">
      <w:pPr>
        <w:rPr>
          <w:bCs/>
        </w:rPr>
      </w:pPr>
      <w:r w:rsidRPr="00F7716C">
        <w:rPr>
          <w:bCs/>
        </w:rPr>
        <w:br w:type="page"/>
      </w:r>
    </w:p>
    <w:p w14:paraId="5ECC2E96" w14:textId="77777777" w:rsidR="00C37148" w:rsidRPr="00F7716C" w:rsidRDefault="00C37148" w:rsidP="00C37148">
      <w:pPr>
        <w:rPr>
          <w:bCs/>
        </w:rPr>
      </w:pPr>
    </w:p>
    <w:p w14:paraId="1F0FFBFB" w14:textId="77777777" w:rsidR="00C37148" w:rsidRPr="00F7716C" w:rsidRDefault="00C37148" w:rsidP="00C37148">
      <w:r w:rsidRPr="00F7716C">
        <w:rPr>
          <w:noProof/>
        </w:rPr>
        <w:drawing>
          <wp:inline distT="0" distB="0" distL="0" distR="0" wp14:anchorId="7D12E1A8" wp14:editId="1EE6E60F">
            <wp:extent cx="5399314" cy="3200400"/>
            <wp:effectExtent l="0" t="0" r="0" b="0"/>
            <wp:docPr id="87" name="Chart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342A20D" w14:textId="2FE4ADA1" w:rsidR="00C37148" w:rsidRPr="00F7716C" w:rsidRDefault="00C37148" w:rsidP="00C37148">
      <w:pPr>
        <w:rPr>
          <w:bCs/>
        </w:rPr>
      </w:pPr>
      <w:r w:rsidRPr="00F7716C">
        <w:rPr>
          <w:bCs/>
        </w:rPr>
        <w:t>Figure 5. Cumulative index score of model area.</w:t>
      </w:r>
    </w:p>
    <w:p w14:paraId="72DC4160" w14:textId="77777777" w:rsidR="00C37148" w:rsidRPr="00F7716C" w:rsidRDefault="00C37148">
      <w:pPr>
        <w:rPr>
          <w:bCs/>
        </w:rPr>
      </w:pPr>
      <w:r w:rsidRPr="00F7716C">
        <w:rPr>
          <w:bCs/>
        </w:rPr>
        <w:br w:type="page"/>
      </w:r>
    </w:p>
    <w:p w14:paraId="18DE7B03" w14:textId="77777777" w:rsidR="00C37148" w:rsidRPr="00F7716C" w:rsidRDefault="00C37148" w:rsidP="00C37148">
      <w:pPr>
        <w:rPr>
          <w:bCs/>
        </w:rPr>
      </w:pPr>
    </w:p>
    <w:p w14:paraId="6E4FACB4" w14:textId="77777777" w:rsidR="00C37148" w:rsidRPr="00F7716C" w:rsidRDefault="00C37148" w:rsidP="00C37148">
      <w:r w:rsidRPr="00F7716C">
        <w:rPr>
          <w:noProof/>
        </w:rPr>
        <w:drawing>
          <wp:inline distT="0" distB="0" distL="0" distR="0" wp14:anchorId="2310CE4F" wp14:editId="56C7845D">
            <wp:extent cx="5394960" cy="4114800"/>
            <wp:effectExtent l="0" t="0" r="0" b="0"/>
            <wp:docPr id="86" name="Chart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F7716C">
        <w:rPr>
          <w:noProof/>
        </w:rPr>
        <mc:AlternateContent>
          <mc:Choice Requires="wpg">
            <w:drawing>
              <wp:anchor distT="0" distB="0" distL="114300" distR="114300" simplePos="0" relativeHeight="251661824" behindDoc="0" locked="0" layoutInCell="1" hidden="0" allowOverlap="1" wp14:anchorId="3F2DD18E" wp14:editId="5BCD1265">
                <wp:simplePos x="0" y="0"/>
                <wp:positionH relativeFrom="column">
                  <wp:posOffset>3987800</wp:posOffset>
                </wp:positionH>
                <wp:positionV relativeFrom="paragraph">
                  <wp:posOffset>2590800</wp:posOffset>
                </wp:positionV>
                <wp:extent cx="1280160" cy="520065"/>
                <wp:effectExtent l="0" t="0" r="0" b="0"/>
                <wp:wrapNone/>
                <wp:docPr id="88" name="Group 88"/>
                <wp:cNvGraphicFramePr/>
                <a:graphic xmlns:a="http://schemas.openxmlformats.org/drawingml/2006/main">
                  <a:graphicData uri="http://schemas.microsoft.com/office/word/2010/wordprocessingGroup">
                    <wpg:wgp>
                      <wpg:cNvGrpSpPr/>
                      <wpg:grpSpPr>
                        <a:xfrm>
                          <a:off x="0" y="0"/>
                          <a:ext cx="1280160" cy="520065"/>
                          <a:chOff x="4705920" y="3519968"/>
                          <a:chExt cx="1280160" cy="520064"/>
                        </a:xfrm>
                      </wpg:grpSpPr>
                      <wpg:grpSp>
                        <wpg:cNvPr id="1" name="Group 1"/>
                        <wpg:cNvGrpSpPr/>
                        <wpg:grpSpPr>
                          <a:xfrm>
                            <a:off x="4705920" y="3519968"/>
                            <a:ext cx="1280160" cy="520064"/>
                            <a:chOff x="0" y="0"/>
                            <a:chExt cx="1280160" cy="520064"/>
                          </a:xfrm>
                        </wpg:grpSpPr>
                        <wps:wsp>
                          <wps:cNvPr id="2" name="Rectangle 2"/>
                          <wps:cNvSpPr/>
                          <wps:spPr>
                            <a:xfrm>
                              <a:off x="0" y="0"/>
                              <a:ext cx="1280150" cy="520050"/>
                            </a:xfrm>
                            <a:prstGeom prst="rect">
                              <a:avLst/>
                            </a:prstGeom>
                            <a:noFill/>
                            <a:ln>
                              <a:noFill/>
                            </a:ln>
                          </wps:spPr>
                          <wps:txbx>
                            <w:txbxContent>
                              <w:p w14:paraId="31DF59B2" w14:textId="77777777" w:rsidR="00C37148" w:rsidRDefault="00C37148" w:rsidP="00C37148">
                                <w:pPr>
                                  <w:textDirection w:val="btLr"/>
                                </w:pPr>
                              </w:p>
                            </w:txbxContent>
                          </wps:txbx>
                          <wps:bodyPr spcFirstLastPara="1" wrap="square" lIns="91425" tIns="91425" rIns="91425" bIns="91425" anchor="ctr" anchorCtr="0">
                            <a:noAutofit/>
                          </wps:bodyPr>
                        </wps:wsp>
                        <wps:wsp>
                          <wps:cNvPr id="3" name="Freeform: Shape 3"/>
                          <wps:cNvSpPr/>
                          <wps:spPr>
                            <a:xfrm>
                              <a:off x="0" y="337247"/>
                              <a:ext cx="1280160" cy="182817"/>
                            </a:xfrm>
                            <a:custGeom>
                              <a:avLst/>
                              <a:gdLst/>
                              <a:ahLst/>
                              <a:cxnLst/>
                              <a:rect l="l" t="t" r="r" b="b"/>
                              <a:pathLst>
                                <a:path w="1280160" h="182817" extrusionOk="0">
                                  <a:moveTo>
                                    <a:pt x="0" y="91408"/>
                                  </a:moveTo>
                                  <a:lnTo>
                                    <a:pt x="256032" y="182817"/>
                                  </a:lnTo>
                                  <a:lnTo>
                                    <a:pt x="256032" y="137112"/>
                                  </a:lnTo>
                                  <a:lnTo>
                                    <a:pt x="1024128" y="137112"/>
                                  </a:lnTo>
                                  <a:lnTo>
                                    <a:pt x="1024128" y="182817"/>
                                  </a:lnTo>
                                  <a:lnTo>
                                    <a:pt x="1280160" y="91408"/>
                                  </a:lnTo>
                                  <a:lnTo>
                                    <a:pt x="1024128" y="0"/>
                                  </a:lnTo>
                                  <a:lnTo>
                                    <a:pt x="1024128" y="45704"/>
                                  </a:lnTo>
                                  <a:lnTo>
                                    <a:pt x="256032" y="45704"/>
                                  </a:lnTo>
                                  <a:lnTo>
                                    <a:pt x="256032" y="0"/>
                                  </a:lnTo>
                                  <a:close/>
                                </a:path>
                              </a:pathLst>
                            </a:custGeom>
                            <a:solidFill>
                              <a:srgbClr val="4F81BD"/>
                            </a:solidFill>
                            <a:ln w="25400" cap="flat" cmpd="sng">
                              <a:solidFill>
                                <a:srgbClr val="243F60"/>
                              </a:solidFill>
                              <a:prstDash val="solid"/>
                              <a:miter lim="8000"/>
                              <a:headEnd type="none" w="sm" len="sm"/>
                              <a:tailEnd type="none" w="sm" len="sm"/>
                            </a:ln>
                          </wps:spPr>
                          <wps:bodyPr spcFirstLastPara="1" wrap="square" lIns="91425" tIns="91425" rIns="91425" bIns="91425" anchor="ctr" anchorCtr="0">
                            <a:noAutofit/>
                          </wps:bodyPr>
                        </wps:wsp>
                        <wps:wsp>
                          <wps:cNvPr id="4" name="Freeform: Shape 4"/>
                          <wps:cNvSpPr/>
                          <wps:spPr>
                            <a:xfrm>
                              <a:off x="43502" y="0"/>
                              <a:ext cx="1204056" cy="319855"/>
                            </a:xfrm>
                            <a:custGeom>
                              <a:avLst/>
                              <a:gdLst/>
                              <a:ahLst/>
                              <a:cxnLst/>
                              <a:rect l="l" t="t" r="r" b="b"/>
                              <a:pathLst>
                                <a:path w="1204056" h="319855" extrusionOk="0">
                                  <a:moveTo>
                                    <a:pt x="0" y="0"/>
                                  </a:moveTo>
                                  <a:lnTo>
                                    <a:pt x="0" y="319855"/>
                                  </a:lnTo>
                                  <a:lnTo>
                                    <a:pt x="1204056" y="319855"/>
                                  </a:lnTo>
                                  <a:lnTo>
                                    <a:pt x="1204056" y="0"/>
                                  </a:lnTo>
                                  <a:close/>
                                </a:path>
                              </a:pathLst>
                            </a:custGeom>
                            <a:noFill/>
                            <a:ln>
                              <a:noFill/>
                            </a:ln>
                          </wps:spPr>
                          <wps:txbx>
                            <w:txbxContent>
                              <w:p w14:paraId="6080DE59" w14:textId="77777777" w:rsidR="00C37148" w:rsidRDefault="00C37148" w:rsidP="00C37148">
                                <w:pPr>
                                  <w:jc w:val="center"/>
                                  <w:textDirection w:val="btLr"/>
                                </w:pPr>
                                <w:r>
                                  <w:rPr>
                                    <w:rFonts w:ascii="Book Antiqua" w:eastAsia="Book Antiqua" w:hAnsi="Book Antiqua" w:cs="Book Antiqua"/>
                                    <w:color w:val="000000"/>
                                  </w:rPr>
                                  <w:t>No anthrax</w:t>
                                </w:r>
                              </w:p>
                            </w:txbxContent>
                          </wps:txbx>
                          <wps:bodyPr spcFirstLastPara="1" wrap="square" lIns="88900" tIns="38100" rIns="88900" bIns="38100" anchor="t" anchorCtr="0">
                            <a:noAutofit/>
                          </wps:bodyPr>
                        </wps:wsp>
                      </wpg:grpSp>
                    </wpg:wgp>
                  </a:graphicData>
                </a:graphic>
              </wp:anchor>
            </w:drawing>
          </mc:Choice>
          <mc:Fallback>
            <w:pict>
              <v:group w14:anchorId="3F2DD18E" id="Group 88" o:spid="_x0000_s1026" style="position:absolute;margin-left:314pt;margin-top:204pt;width:100.8pt;height:40.95pt;z-index:251661824" coordorigin="47059,35199" coordsize="12801,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">
                <v:group id="Group 1" o:spid="_x0000_s1027" style="position:absolute;left:47059;top:35199;width:12801;height:5201" coordsize="12801,5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12801;height:5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1DF59B2" w14:textId="77777777" w:rsidR="00C37148" w:rsidRDefault="00C37148" w:rsidP="00C37148">
                          <w:pPr>
                            <w:textDirection w:val="btLr"/>
                          </w:pPr>
                        </w:p>
                      </w:txbxContent>
                    </v:textbox>
                  </v:rect>
                  <v:shape id="Freeform: Shape 3" o:spid="_x0000_s1029" style="position:absolute;top:3372;width:12801;height:1828;visibility:visible;mso-wrap-style:square;v-text-anchor:middle" coordsize="1280160,182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" path="m,91408r256032,91409l256032,137112r768096,l1024128,182817,1280160,91408,1024128,r,45704l256032,45704,256032,,,91408xe" fillcolor="#4f81bd" strokecolor="#243f60" strokeweight="2pt">
                    <v:stroke startarrowwidth="narrow" startarrowlength="short" endarrowwidth="narrow" endarrowlength="short" miterlimit="5243f" joinstyle="miter"/>
                    <v:path arrowok="t" o:extrusionok="f"/>
                  </v:shape>
                  <v:shape id="Freeform: Shape 4" o:spid="_x0000_s1030" style="position:absolute;left:435;width:12040;height:3198;visibility:visible;mso-wrap-style:square;v-text-anchor:top" coordsize="1204056,3198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" adj="-11796480,,5400" path="m,l,319855r1204056,l1204056,,,xe" filled="f" stroked="f">
                    <v:stroke joinstyle="miter"/>
                    <v:formulas/>
                    <v:path arrowok="t" o:extrusionok="f" o:connecttype="custom" textboxrect="0,0,1204056,319855"/>
                    <v:textbox inset="7pt,3pt,7pt,3pt">
                      <w:txbxContent>
                        <w:p w14:paraId="6080DE59" w14:textId="77777777" w:rsidR="00C37148" w:rsidRDefault="00C37148" w:rsidP="00C37148">
                          <w:pPr>
                            <w:jc w:val="center"/>
                            <w:textDirection w:val="btLr"/>
                          </w:pPr>
                          <w:r>
                            <w:rPr>
                              <w:rFonts w:ascii="Book Antiqua" w:eastAsia="Book Antiqua" w:hAnsi="Book Antiqua" w:cs="Book Antiqua"/>
                              <w:color w:val="000000"/>
                            </w:rPr>
                            <w:t>No anthrax</w:t>
                          </w:r>
                        </w:p>
                      </w:txbxContent>
                    </v:textbox>
                  </v:shape>
                </v:group>
              </v:group>
            </w:pict>
          </mc:Fallback>
        </mc:AlternateContent>
      </w:r>
    </w:p>
    <w:p w14:paraId="01A16962" w14:textId="3957E20D" w:rsidR="00C37148" w:rsidRPr="00F7716C" w:rsidRDefault="00C37148" w:rsidP="00C37148">
      <w:pPr>
        <w:rPr>
          <w:bCs/>
        </w:rPr>
      </w:pPr>
      <w:r w:rsidRPr="00F7716C">
        <w:rPr>
          <w:bCs/>
        </w:rPr>
        <w:t>Figure 6. Anthrax outbreaks in model area from 2010 to 2020.</w:t>
      </w:r>
    </w:p>
    <w:p w14:paraId="658A9BBB" w14:textId="77777777" w:rsidR="00AD170D" w:rsidRPr="00F7716C" w:rsidRDefault="00AD170D" w:rsidP="00E06571"/>
    <w:sectPr w:rsidR="00AD170D" w:rsidRPr="00F7716C" w:rsidSect="006C362B">
      <w:footerReference w:type="default" r:id="rId20"/>
      <w:pgSz w:w="11909" w:h="16834"/>
      <w:pgMar w:top="1411" w:right="1411" w:bottom="1411" w:left="1987"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AA909" w14:textId="77777777" w:rsidR="0014128D" w:rsidRDefault="0014128D">
      <w:r>
        <w:separator/>
      </w:r>
    </w:p>
  </w:endnote>
  <w:endnote w:type="continuationSeparator" w:id="0">
    <w:p w14:paraId="6C9E57E4" w14:textId="77777777" w:rsidR="0014128D" w:rsidRDefault="0014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yriad Pro">
    <w:panose1 w:val="00000000000000000000"/>
    <w:charset w:val="00"/>
    <w:family w:val="roman"/>
    <w:notTrueType/>
    <w:pitch w:val="default"/>
  </w:font>
  <w:font w:name="Frutiger LT Std 45 Light">
    <w:panose1 w:val="00000000000000000000"/>
    <w:charset w:val="00"/>
    <w:family w:val="roman"/>
    <w:notTrueType/>
    <w:pitch w:val="default"/>
  </w:font>
  <w:font w:name="Arno Pro">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E183" w14:textId="77777777" w:rsidR="00AD170D" w:rsidRDefault="00B654AC">
    <w:pPr>
      <w:pBdr>
        <w:top w:val="nil"/>
        <w:left w:val="nil"/>
        <w:bottom w:val="nil"/>
        <w:right w:val="nil"/>
        <w:between w:val="nil"/>
      </w:pBdr>
      <w:tabs>
        <w:tab w:val="center" w:pos="4680"/>
        <w:tab w:val="right" w:pos="9360"/>
      </w:tabs>
      <w:jc w:val="center"/>
      <w:rPr>
        <w:rFonts w:ascii="Book Antiqua" w:eastAsia="Book Antiqua" w:hAnsi="Book Antiqua" w:cs="Book Antiqua"/>
        <w:color w:val="000000"/>
      </w:rPr>
    </w:pPr>
    <w:r>
      <w:rPr>
        <w:rFonts w:ascii="Book Antiqua" w:eastAsia="Book Antiqua" w:hAnsi="Book Antiqua" w:cs="Book Antiqua"/>
        <w:color w:val="000000"/>
      </w:rPr>
      <w:fldChar w:fldCharType="begin"/>
    </w:r>
    <w:r>
      <w:rPr>
        <w:rFonts w:ascii="Book Antiqua" w:eastAsia="Book Antiqua" w:hAnsi="Book Antiqua" w:cs="Book Antiqua"/>
        <w:color w:val="000000"/>
      </w:rPr>
      <w:instrText>PAGE</w:instrText>
    </w:r>
    <w:r>
      <w:rPr>
        <w:rFonts w:ascii="Book Antiqua" w:eastAsia="Book Antiqua" w:hAnsi="Book Antiqua" w:cs="Book Antiqua"/>
        <w:color w:val="000000"/>
      </w:rPr>
      <w:fldChar w:fldCharType="separate"/>
    </w:r>
    <w:r w:rsidR="00BA35F9">
      <w:rPr>
        <w:rFonts w:ascii="Book Antiqua" w:eastAsia="Book Antiqua" w:hAnsi="Book Antiqua" w:cs="Book Antiqua"/>
        <w:noProof/>
        <w:color w:val="000000"/>
      </w:rPr>
      <w:t>1</w:t>
    </w:r>
    <w:r>
      <w:rPr>
        <w:rFonts w:ascii="Book Antiqua" w:eastAsia="Book Antiqua" w:hAnsi="Book Antiqua" w:cs="Book Antiqua"/>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90061" w14:textId="77777777" w:rsidR="0014128D" w:rsidRDefault="0014128D">
      <w:r>
        <w:separator/>
      </w:r>
    </w:p>
  </w:footnote>
  <w:footnote w:type="continuationSeparator" w:id="0">
    <w:p w14:paraId="5CA5605D" w14:textId="77777777" w:rsidR="0014128D" w:rsidRDefault="001412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01EA1"/>
    <w:multiLevelType w:val="multilevel"/>
    <w:tmpl w:val="66425F0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ED02016"/>
    <w:multiLevelType w:val="hybridMultilevel"/>
    <w:tmpl w:val="5972C9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0F7EA9"/>
    <w:multiLevelType w:val="multilevel"/>
    <w:tmpl w:val="B98A71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E24C6C"/>
    <w:multiLevelType w:val="multilevel"/>
    <w:tmpl w:val="21AE858E"/>
    <w:lvl w:ilvl="0">
      <w:start w:val="1"/>
      <w:numFmt w:val="decimal"/>
      <w:pStyle w:val="MDPI71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3450373">
    <w:abstractNumId w:val="2"/>
  </w:num>
  <w:num w:numId="2" w16cid:durableId="974944025">
    <w:abstractNumId w:val="0"/>
  </w:num>
  <w:num w:numId="3" w16cid:durableId="288979464">
    <w:abstractNumId w:val="3"/>
  </w:num>
  <w:num w:numId="4" w16cid:durableId="2056853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ysDC3NLAwM7AwsrRU0lEKTi0uzszPAykwqgUATAFpPywAAAA="/>
  </w:docVars>
  <w:rsids>
    <w:rsidRoot w:val="00AD170D"/>
    <w:rsid w:val="00025E09"/>
    <w:rsid w:val="0014128D"/>
    <w:rsid w:val="00170F0A"/>
    <w:rsid w:val="00190B86"/>
    <w:rsid w:val="003201F2"/>
    <w:rsid w:val="003313A5"/>
    <w:rsid w:val="003A4724"/>
    <w:rsid w:val="003E7651"/>
    <w:rsid w:val="004E1CBD"/>
    <w:rsid w:val="004E2D2C"/>
    <w:rsid w:val="004E7740"/>
    <w:rsid w:val="00513CAF"/>
    <w:rsid w:val="00514163"/>
    <w:rsid w:val="005656A5"/>
    <w:rsid w:val="00572602"/>
    <w:rsid w:val="0057318E"/>
    <w:rsid w:val="005A1EBE"/>
    <w:rsid w:val="006463F7"/>
    <w:rsid w:val="006C362B"/>
    <w:rsid w:val="006D6B6D"/>
    <w:rsid w:val="00802C03"/>
    <w:rsid w:val="00862D2C"/>
    <w:rsid w:val="008C5055"/>
    <w:rsid w:val="00902DE1"/>
    <w:rsid w:val="00912BA2"/>
    <w:rsid w:val="00986418"/>
    <w:rsid w:val="00A36D99"/>
    <w:rsid w:val="00A75DA5"/>
    <w:rsid w:val="00AB3AE1"/>
    <w:rsid w:val="00AD170D"/>
    <w:rsid w:val="00B654AC"/>
    <w:rsid w:val="00BA35F9"/>
    <w:rsid w:val="00C37148"/>
    <w:rsid w:val="00CD0CD0"/>
    <w:rsid w:val="00D12732"/>
    <w:rsid w:val="00DC5840"/>
    <w:rsid w:val="00E06571"/>
    <w:rsid w:val="00E66D25"/>
    <w:rsid w:val="00E814F1"/>
    <w:rsid w:val="00ED5811"/>
    <w:rsid w:val="00F5719A"/>
    <w:rsid w:val="00F7716C"/>
    <w:rsid w:val="00FC0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B2713C6"/>
  <w15:docId w15:val="{45E50631-BB50-427F-BC63-AFDE56B3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FE7"/>
  </w:style>
  <w:style w:type="paragraph" w:styleId="Heading1">
    <w:name w:val="heading 1"/>
    <w:basedOn w:val="Normal"/>
    <w:next w:val="Normal"/>
    <w:link w:val="Heading1Char"/>
    <w:uiPriority w:val="9"/>
    <w:qFormat/>
    <w:rsid w:val="00DF0B9D"/>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DF0B9D"/>
    <w:pPr>
      <w:keepNext/>
      <w:keepLines/>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DF0B9D"/>
    <w:pPr>
      <w:keepNext/>
      <w:keepLines/>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iPriority w:val="9"/>
    <w:semiHidden/>
    <w:unhideWhenUsed/>
    <w:qFormat/>
    <w:rsid w:val="00DF0B9D"/>
    <w:pPr>
      <w:keepNext/>
      <w:spacing w:before="240" w:after="60" w:line="276" w:lineRule="auto"/>
      <w:outlineLvl w:val="3"/>
    </w:pPr>
    <w:rPr>
      <w:b/>
      <w:bCs/>
      <w:sz w:val="28"/>
      <w:szCs w:val="28"/>
    </w:rPr>
  </w:style>
  <w:style w:type="paragraph" w:styleId="Heading5">
    <w:name w:val="heading 5"/>
    <w:basedOn w:val="Normal"/>
    <w:next w:val="Normal"/>
    <w:link w:val="Heading5Char"/>
    <w:uiPriority w:val="9"/>
    <w:semiHidden/>
    <w:unhideWhenUsed/>
    <w:qFormat/>
    <w:rsid w:val="00DF0B9D"/>
    <w:pPr>
      <w:keepNext/>
      <w:keepLines/>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DF0B9D"/>
    <w:pPr>
      <w:spacing w:line="271" w:lineRule="auto"/>
      <w:outlineLvl w:val="5"/>
    </w:pPr>
    <w:rPr>
      <w:rFonts w:ascii="Cambria" w:hAnsi="Cambria"/>
      <w:b/>
      <w:bCs/>
      <w:i/>
      <w:iCs/>
      <w:color w:val="7F7F7F"/>
      <w:sz w:val="22"/>
      <w:szCs w:val="22"/>
      <w:lang w:bidi="en-US"/>
    </w:rPr>
  </w:style>
  <w:style w:type="paragraph" w:styleId="Heading7">
    <w:name w:val="heading 7"/>
    <w:basedOn w:val="Normal"/>
    <w:next w:val="Normal"/>
    <w:link w:val="Heading7Char"/>
    <w:uiPriority w:val="9"/>
    <w:semiHidden/>
    <w:unhideWhenUsed/>
    <w:qFormat/>
    <w:rsid w:val="00DF0B9D"/>
    <w:pPr>
      <w:spacing w:line="276" w:lineRule="auto"/>
      <w:outlineLvl w:val="6"/>
    </w:pPr>
    <w:rPr>
      <w:rFonts w:ascii="Cambria" w:hAnsi="Cambria"/>
      <w:i/>
      <w:iCs/>
      <w:sz w:val="22"/>
      <w:szCs w:val="22"/>
      <w:lang w:bidi="en-US"/>
    </w:rPr>
  </w:style>
  <w:style w:type="paragraph" w:styleId="Heading8">
    <w:name w:val="heading 8"/>
    <w:basedOn w:val="Normal"/>
    <w:next w:val="Normal"/>
    <w:link w:val="Heading8Char"/>
    <w:uiPriority w:val="9"/>
    <w:semiHidden/>
    <w:unhideWhenUsed/>
    <w:qFormat/>
    <w:rsid w:val="00DF0B9D"/>
    <w:pPr>
      <w:spacing w:line="276" w:lineRule="auto"/>
      <w:outlineLvl w:val="7"/>
    </w:pPr>
    <w:rPr>
      <w:rFonts w:ascii="Cambria" w:hAnsi="Cambria"/>
      <w:sz w:val="20"/>
      <w:szCs w:val="20"/>
      <w:lang w:bidi="en-US"/>
    </w:rPr>
  </w:style>
  <w:style w:type="paragraph" w:styleId="Heading9">
    <w:name w:val="heading 9"/>
    <w:basedOn w:val="Normal"/>
    <w:next w:val="Normal"/>
    <w:link w:val="Heading9Char"/>
    <w:uiPriority w:val="9"/>
    <w:semiHidden/>
    <w:unhideWhenUsed/>
    <w:qFormat/>
    <w:rsid w:val="00DF0B9D"/>
    <w:pPr>
      <w:spacing w:line="276" w:lineRule="auto"/>
      <w:outlineLvl w:val="8"/>
    </w:pPr>
    <w:rPr>
      <w:rFonts w:ascii="Cambria" w:hAnsi="Cambria"/>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0B9D"/>
    <w:pPr>
      <w:pBdr>
        <w:bottom w:val="single" w:sz="4" w:space="1" w:color="auto"/>
      </w:pBdr>
      <w:spacing w:after="200"/>
      <w:contextualSpacing/>
    </w:pPr>
    <w:rPr>
      <w:rFonts w:ascii="Cambria" w:hAnsi="Cambria"/>
      <w:spacing w:val="5"/>
      <w:sz w:val="52"/>
      <w:szCs w:val="52"/>
      <w:lang w:bidi="en-US"/>
    </w:rPr>
  </w:style>
  <w:style w:type="character" w:customStyle="1" w:styleId="Heading1Char">
    <w:name w:val="Heading 1 Char"/>
    <w:link w:val="Heading1"/>
    <w:uiPriority w:val="9"/>
    <w:rsid w:val="00DF0B9D"/>
    <w:rPr>
      <w:rFonts w:ascii="Cambria" w:hAnsi="Cambria"/>
      <w:b/>
      <w:bCs/>
      <w:color w:val="365F91"/>
      <w:sz w:val="28"/>
      <w:szCs w:val="28"/>
    </w:rPr>
  </w:style>
  <w:style w:type="character" w:customStyle="1" w:styleId="Heading2Char">
    <w:name w:val="Heading 2 Char"/>
    <w:link w:val="Heading2"/>
    <w:rsid w:val="00DF0B9D"/>
    <w:rPr>
      <w:rFonts w:ascii="Cambria" w:hAnsi="Cambria"/>
      <w:b/>
      <w:bCs/>
      <w:color w:val="4F81BD"/>
      <w:sz w:val="26"/>
      <w:szCs w:val="26"/>
    </w:rPr>
  </w:style>
  <w:style w:type="character" w:customStyle="1" w:styleId="Heading3Char">
    <w:name w:val="Heading 3 Char"/>
    <w:link w:val="Heading3"/>
    <w:uiPriority w:val="9"/>
    <w:rsid w:val="00DF0B9D"/>
    <w:rPr>
      <w:rFonts w:ascii="Cambria" w:hAnsi="Cambria"/>
      <w:b/>
      <w:bCs/>
      <w:color w:val="4F81BD"/>
      <w:sz w:val="22"/>
      <w:szCs w:val="22"/>
    </w:rPr>
  </w:style>
  <w:style w:type="character" w:customStyle="1" w:styleId="Heading4Char">
    <w:name w:val="Heading 4 Char"/>
    <w:link w:val="Heading4"/>
    <w:rsid w:val="00DF0B9D"/>
    <w:rPr>
      <w:b/>
      <w:bCs/>
      <w:sz w:val="28"/>
      <w:szCs w:val="28"/>
    </w:rPr>
  </w:style>
  <w:style w:type="character" w:customStyle="1" w:styleId="Heading5Char">
    <w:name w:val="Heading 5 Char"/>
    <w:link w:val="Heading5"/>
    <w:rsid w:val="00DF0B9D"/>
    <w:rPr>
      <w:rFonts w:ascii="Cambria" w:hAnsi="Cambria"/>
      <w:color w:val="243F60"/>
      <w:sz w:val="22"/>
      <w:szCs w:val="22"/>
    </w:rPr>
  </w:style>
  <w:style w:type="character" w:customStyle="1" w:styleId="Heading6Char">
    <w:name w:val="Heading 6 Char"/>
    <w:link w:val="Heading6"/>
    <w:rsid w:val="00DF0B9D"/>
    <w:rPr>
      <w:rFonts w:ascii="Cambria" w:hAnsi="Cambria"/>
      <w:b/>
      <w:bCs/>
      <w:i/>
      <w:iCs/>
      <w:color w:val="7F7F7F"/>
      <w:sz w:val="22"/>
      <w:szCs w:val="22"/>
      <w:lang w:bidi="en-US"/>
    </w:rPr>
  </w:style>
  <w:style w:type="character" w:customStyle="1" w:styleId="Heading7Char">
    <w:name w:val="Heading 7 Char"/>
    <w:link w:val="Heading7"/>
    <w:uiPriority w:val="9"/>
    <w:semiHidden/>
    <w:rsid w:val="00DF0B9D"/>
    <w:rPr>
      <w:rFonts w:ascii="Cambria" w:hAnsi="Cambria"/>
      <w:i/>
      <w:iCs/>
      <w:sz w:val="22"/>
      <w:szCs w:val="22"/>
      <w:lang w:bidi="en-US"/>
    </w:rPr>
  </w:style>
  <w:style w:type="character" w:customStyle="1" w:styleId="Heading8Char">
    <w:name w:val="Heading 8 Char"/>
    <w:link w:val="Heading8"/>
    <w:uiPriority w:val="9"/>
    <w:semiHidden/>
    <w:rsid w:val="00DF0B9D"/>
    <w:rPr>
      <w:rFonts w:ascii="Cambria" w:hAnsi="Cambria"/>
      <w:lang w:bidi="en-US"/>
    </w:rPr>
  </w:style>
  <w:style w:type="character" w:customStyle="1" w:styleId="Heading9Char">
    <w:name w:val="Heading 9 Char"/>
    <w:link w:val="Heading9"/>
    <w:uiPriority w:val="9"/>
    <w:semiHidden/>
    <w:rsid w:val="00DF0B9D"/>
    <w:rPr>
      <w:rFonts w:ascii="Cambria" w:hAnsi="Cambria"/>
      <w:i/>
      <w:iCs/>
      <w:spacing w:val="5"/>
      <w:lang w:bidi="en-US"/>
    </w:rPr>
  </w:style>
  <w:style w:type="paragraph" w:styleId="ListParagraph">
    <w:name w:val="List Paragraph"/>
    <w:basedOn w:val="Normal"/>
    <w:uiPriority w:val="34"/>
    <w:qFormat/>
    <w:rsid w:val="00DF0B9D"/>
    <w:pPr>
      <w:spacing w:after="200" w:line="276" w:lineRule="auto"/>
      <w:ind w:left="720"/>
      <w:contextualSpacing/>
    </w:pPr>
    <w:rPr>
      <w:rFonts w:ascii="Calibri" w:hAnsi="Calibri"/>
      <w:sz w:val="22"/>
      <w:szCs w:val="22"/>
    </w:rPr>
  </w:style>
  <w:style w:type="table" w:styleId="TableGrid">
    <w:name w:val="Table Grid"/>
    <w:basedOn w:val="TableNormal"/>
    <w:uiPriority w:val="39"/>
    <w:rsid w:val="00DF0B9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DF0B9D"/>
    <w:pPr>
      <w:spacing w:before="100" w:beforeAutospacing="1" w:after="100" w:afterAutospacing="1"/>
    </w:pPr>
  </w:style>
  <w:style w:type="paragraph" w:customStyle="1" w:styleId="authornames">
    <w:name w:val="authornames"/>
    <w:basedOn w:val="Normal"/>
    <w:uiPriority w:val="99"/>
    <w:rsid w:val="00DF0B9D"/>
    <w:pPr>
      <w:spacing w:before="100" w:beforeAutospacing="1" w:after="100" w:afterAutospacing="1"/>
    </w:pPr>
    <w:rPr>
      <w:rFonts w:ascii="Arial Unicode MS" w:eastAsia="Calibri" w:hAnsi="Arial Unicode MS" w:cs="Arial Unicode MS"/>
      <w:b/>
      <w:bCs/>
      <w:color w:val="000000"/>
    </w:rPr>
  </w:style>
  <w:style w:type="character" w:customStyle="1" w:styleId="i3">
    <w:name w:val="i3"/>
    <w:uiPriority w:val="99"/>
    <w:rsid w:val="00DF0B9D"/>
    <w:rPr>
      <w:rFonts w:ascii="Arial" w:hAnsi="Arial" w:cs="Arial"/>
      <w:i/>
      <w:iCs/>
      <w:color w:val="333333"/>
      <w:sz w:val="18"/>
      <w:szCs w:val="18"/>
    </w:rPr>
  </w:style>
  <w:style w:type="character" w:customStyle="1" w:styleId="name1">
    <w:name w:val="name1"/>
    <w:uiPriority w:val="99"/>
    <w:rsid w:val="00DF0B9D"/>
    <w:rPr>
      <w:rFonts w:ascii="Arial" w:hAnsi="Arial" w:cs="Arial"/>
      <w:color w:val="333333"/>
      <w:sz w:val="18"/>
      <w:szCs w:val="18"/>
    </w:rPr>
  </w:style>
  <w:style w:type="paragraph" w:styleId="BodyTextIndent">
    <w:name w:val="Body Text Indent"/>
    <w:basedOn w:val="Normal"/>
    <w:link w:val="BodyTextIndentChar"/>
    <w:uiPriority w:val="99"/>
    <w:rsid w:val="00DF0B9D"/>
    <w:pPr>
      <w:spacing w:after="120"/>
      <w:ind w:left="360"/>
    </w:pPr>
  </w:style>
  <w:style w:type="character" w:customStyle="1" w:styleId="BodyTextIndentChar">
    <w:name w:val="Body Text Indent Char"/>
    <w:link w:val="BodyTextIndent"/>
    <w:uiPriority w:val="99"/>
    <w:rsid w:val="00DF0B9D"/>
    <w:rPr>
      <w:sz w:val="24"/>
      <w:szCs w:val="24"/>
    </w:rPr>
  </w:style>
  <w:style w:type="character" w:styleId="Emphasis">
    <w:name w:val="Emphasis"/>
    <w:uiPriority w:val="20"/>
    <w:qFormat/>
    <w:rsid w:val="00DF0B9D"/>
    <w:rPr>
      <w:rFonts w:cs="Times New Roman"/>
      <w:i/>
      <w:iCs/>
    </w:rPr>
  </w:style>
  <w:style w:type="character" w:styleId="Strong">
    <w:name w:val="Strong"/>
    <w:uiPriority w:val="22"/>
    <w:qFormat/>
    <w:rsid w:val="00DF0B9D"/>
    <w:rPr>
      <w:rFonts w:cs="Times New Roman"/>
      <w:b/>
      <w:bCs/>
    </w:rPr>
  </w:style>
  <w:style w:type="paragraph" w:customStyle="1" w:styleId="Default">
    <w:name w:val="Default"/>
    <w:rsid w:val="00DF0B9D"/>
    <w:pPr>
      <w:autoSpaceDE w:val="0"/>
      <w:autoSpaceDN w:val="0"/>
      <w:adjustRightInd w:val="0"/>
    </w:pPr>
    <w:rPr>
      <w:color w:val="000000"/>
    </w:rPr>
  </w:style>
  <w:style w:type="character" w:styleId="Hyperlink">
    <w:name w:val="Hyperlink"/>
    <w:uiPriority w:val="99"/>
    <w:rsid w:val="00DF0B9D"/>
    <w:rPr>
      <w:rFonts w:cs="Times New Roman"/>
      <w:color w:val="2200CC"/>
      <w:u w:val="single"/>
    </w:rPr>
  </w:style>
  <w:style w:type="paragraph" w:styleId="PlainText">
    <w:name w:val="Plain Text"/>
    <w:basedOn w:val="Normal"/>
    <w:link w:val="PlainTextChar"/>
    <w:uiPriority w:val="99"/>
    <w:rsid w:val="00DF0B9D"/>
    <w:pPr>
      <w:spacing w:before="120" w:after="120" w:line="276" w:lineRule="auto"/>
      <w:jc w:val="both"/>
    </w:pPr>
    <w:rPr>
      <w:rFonts w:ascii="Courier New" w:eastAsia="Calibri" w:hAnsi="Courier New"/>
      <w:sz w:val="20"/>
      <w:szCs w:val="20"/>
      <w:lang w:val="en-GB"/>
    </w:rPr>
  </w:style>
  <w:style w:type="character" w:customStyle="1" w:styleId="PlainTextChar">
    <w:name w:val="Plain Text Char"/>
    <w:link w:val="PlainText"/>
    <w:uiPriority w:val="99"/>
    <w:rsid w:val="00DF0B9D"/>
    <w:rPr>
      <w:rFonts w:ascii="Courier New" w:eastAsia="Calibri" w:hAnsi="Courier New" w:cs="Courier New"/>
      <w:lang w:val="en-GB"/>
    </w:rPr>
  </w:style>
  <w:style w:type="paragraph" w:styleId="BalloonText">
    <w:name w:val="Balloon Text"/>
    <w:basedOn w:val="Normal"/>
    <w:link w:val="BalloonTextChar"/>
    <w:uiPriority w:val="99"/>
    <w:rsid w:val="00DF0B9D"/>
    <w:rPr>
      <w:rFonts w:ascii="Tahoma" w:hAnsi="Tahoma"/>
      <w:sz w:val="16"/>
      <w:szCs w:val="16"/>
    </w:rPr>
  </w:style>
  <w:style w:type="character" w:customStyle="1" w:styleId="BalloonTextChar">
    <w:name w:val="Balloon Text Char"/>
    <w:link w:val="BalloonText"/>
    <w:uiPriority w:val="99"/>
    <w:rsid w:val="00DF0B9D"/>
    <w:rPr>
      <w:rFonts w:ascii="Tahoma" w:hAnsi="Tahoma" w:cs="Tahoma"/>
      <w:sz w:val="16"/>
      <w:szCs w:val="16"/>
    </w:rPr>
  </w:style>
  <w:style w:type="paragraph" w:styleId="BodyText2">
    <w:name w:val="Body Text 2"/>
    <w:basedOn w:val="Normal"/>
    <w:link w:val="BodyText2Char"/>
    <w:uiPriority w:val="99"/>
    <w:rsid w:val="00DF0B9D"/>
    <w:pPr>
      <w:spacing w:after="120" w:line="480" w:lineRule="auto"/>
    </w:pPr>
    <w:rPr>
      <w:rFonts w:ascii="Calibri" w:hAnsi="Calibri"/>
      <w:sz w:val="22"/>
      <w:szCs w:val="22"/>
    </w:rPr>
  </w:style>
  <w:style w:type="character" w:customStyle="1" w:styleId="BodyText2Char">
    <w:name w:val="Body Text 2 Char"/>
    <w:link w:val="BodyText2"/>
    <w:uiPriority w:val="99"/>
    <w:rsid w:val="00DF0B9D"/>
    <w:rPr>
      <w:rFonts w:ascii="Calibri" w:hAnsi="Calibri"/>
      <w:sz w:val="22"/>
      <w:szCs w:val="22"/>
    </w:rPr>
  </w:style>
  <w:style w:type="paragraph" w:styleId="BodyText">
    <w:name w:val="Body Text"/>
    <w:basedOn w:val="Normal"/>
    <w:link w:val="BodyTextChar"/>
    <w:uiPriority w:val="99"/>
    <w:rsid w:val="00DF0B9D"/>
    <w:pPr>
      <w:spacing w:after="120" w:line="276" w:lineRule="auto"/>
    </w:pPr>
    <w:rPr>
      <w:rFonts w:ascii="Calibri" w:hAnsi="Calibri"/>
      <w:sz w:val="22"/>
      <w:szCs w:val="22"/>
    </w:rPr>
  </w:style>
  <w:style w:type="character" w:customStyle="1" w:styleId="BodyTextChar">
    <w:name w:val="Body Text Char"/>
    <w:link w:val="BodyText"/>
    <w:uiPriority w:val="99"/>
    <w:rsid w:val="00DF0B9D"/>
    <w:rPr>
      <w:rFonts w:ascii="Calibri" w:hAnsi="Calibri"/>
      <w:sz w:val="22"/>
      <w:szCs w:val="22"/>
    </w:rPr>
  </w:style>
  <w:style w:type="paragraph" w:styleId="Header">
    <w:name w:val="header"/>
    <w:basedOn w:val="Normal"/>
    <w:link w:val="HeaderChar"/>
    <w:uiPriority w:val="99"/>
    <w:rsid w:val="00DF0B9D"/>
    <w:pPr>
      <w:tabs>
        <w:tab w:val="center" w:pos="4680"/>
        <w:tab w:val="right" w:pos="9360"/>
      </w:tabs>
    </w:pPr>
    <w:rPr>
      <w:rFonts w:ascii="Calibri" w:hAnsi="Calibri"/>
      <w:sz w:val="22"/>
      <w:szCs w:val="22"/>
    </w:rPr>
  </w:style>
  <w:style w:type="character" w:customStyle="1" w:styleId="HeaderChar">
    <w:name w:val="Header Char"/>
    <w:link w:val="Header"/>
    <w:uiPriority w:val="99"/>
    <w:rsid w:val="00DF0B9D"/>
    <w:rPr>
      <w:rFonts w:ascii="Calibri" w:hAnsi="Calibri"/>
      <w:sz w:val="22"/>
      <w:szCs w:val="22"/>
    </w:rPr>
  </w:style>
  <w:style w:type="paragraph" w:styleId="Footer">
    <w:name w:val="footer"/>
    <w:basedOn w:val="Normal"/>
    <w:link w:val="FooterChar"/>
    <w:uiPriority w:val="99"/>
    <w:rsid w:val="00DF0B9D"/>
    <w:pPr>
      <w:tabs>
        <w:tab w:val="center" w:pos="4680"/>
        <w:tab w:val="right" w:pos="9360"/>
      </w:tabs>
    </w:pPr>
    <w:rPr>
      <w:rFonts w:ascii="Calibri" w:hAnsi="Calibri"/>
      <w:sz w:val="22"/>
      <w:szCs w:val="22"/>
    </w:rPr>
  </w:style>
  <w:style w:type="character" w:customStyle="1" w:styleId="FooterChar">
    <w:name w:val="Footer Char"/>
    <w:link w:val="Footer"/>
    <w:uiPriority w:val="99"/>
    <w:rsid w:val="00DF0B9D"/>
    <w:rPr>
      <w:rFonts w:ascii="Calibri" w:hAnsi="Calibri"/>
      <w:sz w:val="22"/>
      <w:szCs w:val="22"/>
    </w:rPr>
  </w:style>
  <w:style w:type="character" w:styleId="CommentReference">
    <w:name w:val="annotation reference"/>
    <w:uiPriority w:val="99"/>
    <w:semiHidden/>
    <w:rsid w:val="00DF0B9D"/>
    <w:rPr>
      <w:rFonts w:cs="Times New Roman"/>
      <w:sz w:val="16"/>
      <w:szCs w:val="16"/>
    </w:rPr>
  </w:style>
  <w:style w:type="paragraph" w:styleId="CommentText">
    <w:name w:val="annotation text"/>
    <w:basedOn w:val="Normal"/>
    <w:link w:val="CommentTextChar"/>
    <w:uiPriority w:val="99"/>
    <w:rsid w:val="00DF0B9D"/>
    <w:pPr>
      <w:spacing w:after="200"/>
    </w:pPr>
    <w:rPr>
      <w:rFonts w:ascii="Calibri" w:hAnsi="Calibri"/>
      <w:sz w:val="20"/>
      <w:szCs w:val="20"/>
    </w:rPr>
  </w:style>
  <w:style w:type="character" w:customStyle="1" w:styleId="CommentTextChar">
    <w:name w:val="Comment Text Char"/>
    <w:link w:val="CommentText"/>
    <w:uiPriority w:val="99"/>
    <w:rsid w:val="00DF0B9D"/>
    <w:rPr>
      <w:rFonts w:ascii="Calibri" w:hAnsi="Calibri"/>
    </w:rPr>
  </w:style>
  <w:style w:type="paragraph" w:styleId="CommentSubject">
    <w:name w:val="annotation subject"/>
    <w:basedOn w:val="CommentText"/>
    <w:next w:val="CommentText"/>
    <w:link w:val="CommentSubjectChar"/>
    <w:uiPriority w:val="99"/>
    <w:semiHidden/>
    <w:rsid w:val="00DF0B9D"/>
    <w:rPr>
      <w:b/>
      <w:bCs/>
    </w:rPr>
  </w:style>
  <w:style w:type="character" w:customStyle="1" w:styleId="CommentSubjectChar">
    <w:name w:val="Comment Subject Char"/>
    <w:link w:val="CommentSubject"/>
    <w:uiPriority w:val="99"/>
    <w:semiHidden/>
    <w:rsid w:val="00DF0B9D"/>
    <w:rPr>
      <w:rFonts w:ascii="Calibri" w:hAnsi="Calibri"/>
      <w:b/>
      <w:bCs/>
    </w:rPr>
  </w:style>
  <w:style w:type="paragraph" w:styleId="Revision">
    <w:name w:val="Revision"/>
    <w:hidden/>
    <w:uiPriority w:val="99"/>
    <w:rsid w:val="00DF0B9D"/>
    <w:rPr>
      <w:rFonts w:ascii="Calibri" w:hAnsi="Calibri"/>
      <w:sz w:val="22"/>
      <w:szCs w:val="22"/>
    </w:rPr>
  </w:style>
  <w:style w:type="paragraph" w:styleId="Caption">
    <w:name w:val="caption"/>
    <w:basedOn w:val="Normal"/>
    <w:next w:val="Normal"/>
    <w:uiPriority w:val="35"/>
    <w:qFormat/>
    <w:rsid w:val="00DF0B9D"/>
    <w:pPr>
      <w:spacing w:before="120" w:after="120"/>
    </w:pPr>
    <w:rPr>
      <w:b/>
      <w:bCs/>
      <w:sz w:val="20"/>
      <w:szCs w:val="20"/>
    </w:rPr>
  </w:style>
  <w:style w:type="character" w:customStyle="1" w:styleId="hit">
    <w:name w:val="hit"/>
    <w:uiPriority w:val="99"/>
    <w:rsid w:val="00DF0B9D"/>
    <w:rPr>
      <w:rFonts w:cs="Times New Roman"/>
      <w:sz w:val="24"/>
      <w:szCs w:val="24"/>
      <w:bdr w:val="none" w:sz="0" w:space="0" w:color="auto" w:frame="1"/>
      <w:shd w:val="clear" w:color="auto" w:fill="FFFFDD"/>
      <w:vertAlign w:val="baseline"/>
    </w:rPr>
  </w:style>
  <w:style w:type="character" w:styleId="FollowedHyperlink">
    <w:name w:val="FollowedHyperlink"/>
    <w:uiPriority w:val="99"/>
    <w:semiHidden/>
    <w:rsid w:val="00DF0B9D"/>
    <w:rPr>
      <w:rFonts w:cs="Times New Roman"/>
      <w:color w:val="800080"/>
      <w:u w:val="single"/>
    </w:rPr>
  </w:style>
  <w:style w:type="character" w:styleId="HTMLCite">
    <w:name w:val="HTML Cite"/>
    <w:uiPriority w:val="99"/>
    <w:semiHidden/>
    <w:rsid w:val="00DF0B9D"/>
    <w:rPr>
      <w:rFonts w:cs="Times New Roman"/>
      <w:i/>
      <w:iCs/>
    </w:rPr>
  </w:style>
  <w:style w:type="character" w:customStyle="1" w:styleId="author">
    <w:name w:val="author"/>
    <w:rsid w:val="00DF0B9D"/>
    <w:rPr>
      <w:rFonts w:cs="Times New Roman"/>
    </w:rPr>
  </w:style>
  <w:style w:type="character" w:customStyle="1" w:styleId="pubyear">
    <w:name w:val="pubyear"/>
    <w:rsid w:val="00DF0B9D"/>
    <w:rPr>
      <w:rFonts w:cs="Times New Roman"/>
    </w:rPr>
  </w:style>
  <w:style w:type="character" w:customStyle="1" w:styleId="articletitle">
    <w:name w:val="articletitle"/>
    <w:rsid w:val="00DF0B9D"/>
    <w:rPr>
      <w:rFonts w:cs="Times New Roman"/>
    </w:rPr>
  </w:style>
  <w:style w:type="character" w:customStyle="1" w:styleId="journaltitle3">
    <w:name w:val="journaltitle3"/>
    <w:uiPriority w:val="99"/>
    <w:rsid w:val="00DF0B9D"/>
    <w:rPr>
      <w:rFonts w:cs="Times New Roman"/>
      <w:i/>
      <w:iCs/>
    </w:rPr>
  </w:style>
  <w:style w:type="character" w:customStyle="1" w:styleId="vol3">
    <w:name w:val="vol3"/>
    <w:uiPriority w:val="99"/>
    <w:rsid w:val="00DF0B9D"/>
    <w:rPr>
      <w:rFonts w:cs="Times New Roman"/>
      <w:b/>
      <w:bCs/>
    </w:rPr>
  </w:style>
  <w:style w:type="character" w:customStyle="1" w:styleId="pagefirst">
    <w:name w:val="pagefirst"/>
    <w:rsid w:val="00DF0B9D"/>
    <w:rPr>
      <w:rFonts w:cs="Times New Roman"/>
    </w:rPr>
  </w:style>
  <w:style w:type="character" w:customStyle="1" w:styleId="pagelast">
    <w:name w:val="pagelast"/>
    <w:rsid w:val="00DF0B9D"/>
    <w:rPr>
      <w:rFonts w:cs="Times New Roman"/>
    </w:rPr>
  </w:style>
  <w:style w:type="character" w:customStyle="1" w:styleId="citation-abbreviation">
    <w:name w:val="citation-abbreviation"/>
    <w:uiPriority w:val="99"/>
    <w:rsid w:val="00DF0B9D"/>
    <w:rPr>
      <w:rFonts w:cs="Times New Roman"/>
    </w:rPr>
  </w:style>
  <w:style w:type="character" w:customStyle="1" w:styleId="citation-volume">
    <w:name w:val="citation-volume"/>
    <w:uiPriority w:val="99"/>
    <w:rsid w:val="00DF0B9D"/>
    <w:rPr>
      <w:rFonts w:cs="Times New Roman"/>
    </w:rPr>
  </w:style>
  <w:style w:type="character" w:customStyle="1" w:styleId="citation-issue">
    <w:name w:val="citation-issue"/>
    <w:uiPriority w:val="99"/>
    <w:rsid w:val="00DF0B9D"/>
    <w:rPr>
      <w:rFonts w:cs="Times New Roman"/>
    </w:rPr>
  </w:style>
  <w:style w:type="character" w:customStyle="1" w:styleId="citation-flpages">
    <w:name w:val="citation-flpages"/>
    <w:uiPriority w:val="99"/>
    <w:rsid w:val="00DF0B9D"/>
    <w:rPr>
      <w:rFonts w:cs="Times New Roman"/>
    </w:rPr>
  </w:style>
  <w:style w:type="paragraph" w:styleId="NoSpacing">
    <w:name w:val="No Spacing"/>
    <w:uiPriority w:val="1"/>
    <w:qFormat/>
    <w:rsid w:val="00DF0B9D"/>
    <w:rPr>
      <w:rFonts w:ascii="Calibri" w:eastAsia="Calibri" w:hAnsi="Calibri"/>
      <w:sz w:val="22"/>
      <w:szCs w:val="22"/>
    </w:rPr>
  </w:style>
  <w:style w:type="paragraph" w:customStyle="1" w:styleId="Pa1">
    <w:name w:val="Pa1"/>
    <w:basedOn w:val="Normal"/>
    <w:next w:val="Normal"/>
    <w:uiPriority w:val="99"/>
    <w:rsid w:val="00DF0B9D"/>
    <w:pPr>
      <w:autoSpaceDE w:val="0"/>
      <w:autoSpaceDN w:val="0"/>
      <w:adjustRightInd w:val="0"/>
      <w:spacing w:line="241" w:lineRule="atLeast"/>
    </w:pPr>
  </w:style>
  <w:style w:type="character" w:customStyle="1" w:styleId="A9">
    <w:name w:val="A9"/>
    <w:uiPriority w:val="99"/>
    <w:rsid w:val="00DF0B9D"/>
    <w:rPr>
      <w:color w:val="000000"/>
      <w:sz w:val="14"/>
    </w:rPr>
  </w:style>
  <w:style w:type="paragraph" w:customStyle="1" w:styleId="Disclaimerleft">
    <w:name w:val="Disclaimer left"/>
    <w:basedOn w:val="Normal"/>
    <w:next w:val="Normal"/>
    <w:uiPriority w:val="99"/>
    <w:rsid w:val="00DF0B9D"/>
    <w:pPr>
      <w:autoSpaceDE w:val="0"/>
      <w:autoSpaceDN w:val="0"/>
      <w:adjustRightInd w:val="0"/>
    </w:pPr>
    <w:rPr>
      <w:rFonts w:ascii="Arial" w:hAnsi="Arial" w:cs="Arial"/>
    </w:rPr>
  </w:style>
  <w:style w:type="character" w:customStyle="1" w:styleId="citation">
    <w:name w:val="citation"/>
    <w:uiPriority w:val="99"/>
    <w:rsid w:val="00DF0B9D"/>
    <w:rPr>
      <w:rFonts w:cs="Times New Roman"/>
    </w:rPr>
  </w:style>
  <w:style w:type="character" w:customStyle="1" w:styleId="heading">
    <w:name w:val="heading"/>
    <w:uiPriority w:val="99"/>
    <w:rsid w:val="00DF0B9D"/>
    <w:rPr>
      <w:rFonts w:cs="Times New Roman"/>
    </w:rPr>
  </w:style>
  <w:style w:type="character" w:customStyle="1" w:styleId="CommentReference1">
    <w:name w:val="Comment Reference1"/>
    <w:uiPriority w:val="99"/>
    <w:rsid w:val="00DF0B9D"/>
    <w:rPr>
      <w:rFonts w:cs="Times New Roman"/>
    </w:rPr>
  </w:style>
  <w:style w:type="paragraph" w:customStyle="1" w:styleId="Heading0">
    <w:name w:val="Heading"/>
    <w:basedOn w:val="Normal"/>
    <w:next w:val="BodyText"/>
    <w:uiPriority w:val="99"/>
    <w:rsid w:val="00DF0B9D"/>
    <w:pPr>
      <w:keepNext/>
      <w:suppressAutoHyphens/>
      <w:spacing w:before="240" w:after="120" w:line="100" w:lineRule="atLeast"/>
    </w:pPr>
    <w:rPr>
      <w:rFonts w:ascii="Arial" w:eastAsia="SimSun" w:hAnsi="Arial" w:cs="Tahoma"/>
      <w:color w:val="000000"/>
      <w:kern w:val="1"/>
      <w:sz w:val="28"/>
      <w:szCs w:val="28"/>
      <w:lang w:eastAsia="ar-SA"/>
    </w:rPr>
  </w:style>
  <w:style w:type="paragraph" w:styleId="List">
    <w:name w:val="List"/>
    <w:basedOn w:val="BodyText"/>
    <w:uiPriority w:val="99"/>
    <w:rsid w:val="00DF0B9D"/>
    <w:pPr>
      <w:suppressAutoHyphens/>
      <w:spacing w:line="100" w:lineRule="atLeast"/>
    </w:pPr>
    <w:rPr>
      <w:rFonts w:ascii="Times New Roman" w:eastAsia="SimSun" w:hAnsi="Times New Roman" w:cs="Tahoma"/>
      <w:color w:val="000000"/>
      <w:kern w:val="1"/>
      <w:sz w:val="24"/>
      <w:szCs w:val="24"/>
      <w:lang w:eastAsia="ar-SA"/>
    </w:rPr>
  </w:style>
  <w:style w:type="paragraph" w:customStyle="1" w:styleId="Index">
    <w:name w:val="Index"/>
    <w:basedOn w:val="Normal"/>
    <w:uiPriority w:val="99"/>
    <w:rsid w:val="00DF0B9D"/>
    <w:pPr>
      <w:suppressLineNumbers/>
      <w:suppressAutoHyphens/>
      <w:spacing w:line="100" w:lineRule="atLeast"/>
    </w:pPr>
    <w:rPr>
      <w:rFonts w:eastAsia="SimSun" w:cs="Tahoma"/>
      <w:color w:val="000000"/>
      <w:kern w:val="1"/>
      <w:lang w:eastAsia="ar-SA"/>
    </w:rPr>
  </w:style>
  <w:style w:type="paragraph" w:customStyle="1" w:styleId="CommentText1">
    <w:name w:val="Comment Text1"/>
    <w:basedOn w:val="Normal"/>
    <w:uiPriority w:val="99"/>
    <w:rsid w:val="00DF0B9D"/>
    <w:pPr>
      <w:suppressAutoHyphens/>
      <w:spacing w:line="100" w:lineRule="atLeast"/>
    </w:pPr>
    <w:rPr>
      <w:rFonts w:eastAsia="SimSun"/>
      <w:color w:val="000000"/>
      <w:kern w:val="1"/>
      <w:lang w:eastAsia="ar-SA"/>
    </w:rPr>
  </w:style>
  <w:style w:type="paragraph" w:customStyle="1" w:styleId="CommentSubject1">
    <w:name w:val="Comment Subject1"/>
    <w:basedOn w:val="CommentText1"/>
    <w:uiPriority w:val="99"/>
    <w:rsid w:val="00DF0B9D"/>
  </w:style>
  <w:style w:type="paragraph" w:customStyle="1" w:styleId="yiv1554839556msonormal">
    <w:name w:val="yiv1554839556msonormal"/>
    <w:basedOn w:val="Normal"/>
    <w:uiPriority w:val="99"/>
    <w:rsid w:val="00DF0B9D"/>
    <w:pPr>
      <w:spacing w:before="100" w:beforeAutospacing="1" w:after="100" w:afterAutospacing="1"/>
    </w:pPr>
  </w:style>
  <w:style w:type="paragraph" w:styleId="BodyText3">
    <w:name w:val="Body Text 3"/>
    <w:basedOn w:val="Normal"/>
    <w:link w:val="BodyText3Char"/>
    <w:uiPriority w:val="99"/>
    <w:rsid w:val="00DF0B9D"/>
    <w:pPr>
      <w:suppressAutoHyphens/>
      <w:spacing w:after="120" w:line="100" w:lineRule="atLeast"/>
    </w:pPr>
    <w:rPr>
      <w:rFonts w:eastAsia="SimSun"/>
      <w:color w:val="000000"/>
      <w:kern w:val="1"/>
      <w:sz w:val="16"/>
      <w:szCs w:val="16"/>
      <w:lang w:eastAsia="ar-SA"/>
    </w:rPr>
  </w:style>
  <w:style w:type="character" w:customStyle="1" w:styleId="BodyText3Char">
    <w:name w:val="Body Text 3 Char"/>
    <w:link w:val="BodyText3"/>
    <w:uiPriority w:val="99"/>
    <w:rsid w:val="00DF0B9D"/>
    <w:rPr>
      <w:rFonts w:eastAsia="SimSun"/>
      <w:color w:val="000000"/>
      <w:kern w:val="1"/>
      <w:sz w:val="16"/>
      <w:szCs w:val="16"/>
      <w:lang w:eastAsia="ar-SA"/>
    </w:rPr>
  </w:style>
  <w:style w:type="character" w:styleId="PlaceholderText">
    <w:name w:val="Placeholder Text"/>
    <w:uiPriority w:val="99"/>
    <w:semiHidden/>
    <w:rsid w:val="00DF0B9D"/>
    <w:rPr>
      <w:rFonts w:cs="Times New Roman"/>
      <w:color w:val="808080"/>
    </w:rPr>
  </w:style>
  <w:style w:type="paragraph" w:customStyle="1" w:styleId="Pa19">
    <w:name w:val="Pa19"/>
    <w:basedOn w:val="Default"/>
    <w:next w:val="Default"/>
    <w:uiPriority w:val="99"/>
    <w:rsid w:val="00DF0B9D"/>
    <w:pPr>
      <w:spacing w:line="181" w:lineRule="atLeast"/>
    </w:pPr>
    <w:rPr>
      <w:color w:val="auto"/>
    </w:rPr>
  </w:style>
  <w:style w:type="character" w:customStyle="1" w:styleId="A13">
    <w:name w:val="A13"/>
    <w:uiPriority w:val="99"/>
    <w:rsid w:val="00DF0B9D"/>
    <w:rPr>
      <w:color w:val="000000"/>
      <w:sz w:val="22"/>
    </w:rPr>
  </w:style>
  <w:style w:type="character" w:customStyle="1" w:styleId="A14">
    <w:name w:val="A14"/>
    <w:uiPriority w:val="99"/>
    <w:rsid w:val="00DF0B9D"/>
    <w:rPr>
      <w:i/>
      <w:color w:val="000000"/>
      <w:sz w:val="22"/>
    </w:rPr>
  </w:style>
  <w:style w:type="character" w:customStyle="1" w:styleId="st">
    <w:name w:val="st"/>
    <w:rsid w:val="00DF0B9D"/>
    <w:rPr>
      <w:rFonts w:cs="Times New Roman"/>
    </w:rPr>
  </w:style>
  <w:style w:type="character" w:customStyle="1" w:styleId="A7">
    <w:name w:val="A7"/>
    <w:uiPriority w:val="99"/>
    <w:rsid w:val="00DF0B9D"/>
    <w:rPr>
      <w:color w:val="000000"/>
      <w:sz w:val="12"/>
    </w:rPr>
  </w:style>
  <w:style w:type="character" w:customStyle="1" w:styleId="A1">
    <w:name w:val="A1"/>
    <w:uiPriority w:val="99"/>
    <w:rsid w:val="00DF0B9D"/>
    <w:rPr>
      <w:color w:val="000000"/>
      <w:sz w:val="16"/>
    </w:rPr>
  </w:style>
  <w:style w:type="character" w:customStyle="1" w:styleId="A4">
    <w:name w:val="A4"/>
    <w:uiPriority w:val="99"/>
    <w:rsid w:val="00DF0B9D"/>
    <w:rPr>
      <w:color w:val="000000"/>
      <w:sz w:val="12"/>
    </w:rPr>
  </w:style>
  <w:style w:type="paragraph" w:customStyle="1" w:styleId="Pa13">
    <w:name w:val="Pa13"/>
    <w:basedOn w:val="Default"/>
    <w:next w:val="Default"/>
    <w:uiPriority w:val="99"/>
    <w:rsid w:val="00DF0B9D"/>
    <w:pPr>
      <w:spacing w:line="211" w:lineRule="atLeast"/>
      <w:ind w:left="576" w:hanging="576"/>
      <w:jc w:val="both"/>
    </w:pPr>
    <w:rPr>
      <w:rFonts w:ascii="Myriad Pro" w:hAnsi="Myriad Pro"/>
      <w:color w:val="auto"/>
    </w:rPr>
  </w:style>
  <w:style w:type="character" w:customStyle="1" w:styleId="A26">
    <w:name w:val="A26"/>
    <w:uiPriority w:val="99"/>
    <w:rsid w:val="00DF0B9D"/>
    <w:rPr>
      <w:i/>
      <w:color w:val="000000"/>
      <w:sz w:val="10"/>
    </w:rPr>
  </w:style>
  <w:style w:type="character" w:customStyle="1" w:styleId="A16">
    <w:name w:val="A16"/>
    <w:uiPriority w:val="99"/>
    <w:rsid w:val="00DF0B9D"/>
    <w:rPr>
      <w:color w:val="000000"/>
      <w:sz w:val="12"/>
    </w:rPr>
  </w:style>
  <w:style w:type="character" w:customStyle="1" w:styleId="ndesc">
    <w:name w:val="ndesc"/>
    <w:uiPriority w:val="99"/>
    <w:rsid w:val="00DF0B9D"/>
    <w:rPr>
      <w:rFonts w:cs="Times New Roman"/>
    </w:rPr>
  </w:style>
  <w:style w:type="character" w:customStyle="1" w:styleId="cit">
    <w:name w:val="cit"/>
    <w:uiPriority w:val="99"/>
    <w:rsid w:val="00DF0B9D"/>
    <w:rPr>
      <w:rFonts w:cs="Times New Roman"/>
    </w:rPr>
  </w:style>
  <w:style w:type="character" w:customStyle="1" w:styleId="font2">
    <w:name w:val="font2"/>
    <w:uiPriority w:val="99"/>
    <w:rsid w:val="00DF0B9D"/>
    <w:rPr>
      <w:rFonts w:cs="Times New Roman"/>
    </w:rPr>
  </w:style>
  <w:style w:type="paragraph" w:styleId="z-TopofForm">
    <w:name w:val="HTML Top of Form"/>
    <w:basedOn w:val="Normal"/>
    <w:next w:val="Normal"/>
    <w:link w:val="z-TopofFormChar"/>
    <w:hidden/>
    <w:uiPriority w:val="99"/>
    <w:semiHidden/>
    <w:rsid w:val="00DF0B9D"/>
    <w:pPr>
      <w:pBdr>
        <w:bottom w:val="single" w:sz="6" w:space="1" w:color="auto"/>
      </w:pBdr>
      <w:ind w:left="576" w:hanging="576"/>
      <w:jc w:val="center"/>
    </w:pPr>
    <w:rPr>
      <w:rFonts w:ascii="Arial" w:hAnsi="Arial"/>
      <w:vanish/>
      <w:sz w:val="16"/>
      <w:szCs w:val="16"/>
    </w:rPr>
  </w:style>
  <w:style w:type="character" w:customStyle="1" w:styleId="z-TopofFormChar">
    <w:name w:val="z-Top of Form Char"/>
    <w:link w:val="z-TopofForm"/>
    <w:uiPriority w:val="99"/>
    <w:semiHidden/>
    <w:rsid w:val="00DF0B9D"/>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DF0B9D"/>
    <w:pPr>
      <w:pBdr>
        <w:top w:val="single" w:sz="6" w:space="1" w:color="auto"/>
      </w:pBdr>
      <w:ind w:left="576" w:hanging="576"/>
      <w:jc w:val="center"/>
    </w:pPr>
    <w:rPr>
      <w:rFonts w:ascii="Arial" w:hAnsi="Arial"/>
      <w:vanish/>
      <w:sz w:val="16"/>
      <w:szCs w:val="16"/>
    </w:rPr>
  </w:style>
  <w:style w:type="character" w:customStyle="1" w:styleId="z-BottomofFormChar">
    <w:name w:val="z-Bottom of Form Char"/>
    <w:link w:val="z-BottomofForm"/>
    <w:uiPriority w:val="99"/>
    <w:semiHidden/>
    <w:rsid w:val="00DF0B9D"/>
    <w:rPr>
      <w:rFonts w:ascii="Arial" w:hAnsi="Arial" w:cs="Arial"/>
      <w:vanish/>
      <w:sz w:val="16"/>
      <w:szCs w:val="16"/>
    </w:rPr>
  </w:style>
  <w:style w:type="paragraph" w:customStyle="1" w:styleId="Pa5">
    <w:name w:val="Pa5"/>
    <w:basedOn w:val="Default"/>
    <w:next w:val="Default"/>
    <w:uiPriority w:val="99"/>
    <w:rsid w:val="00DF0B9D"/>
    <w:pPr>
      <w:spacing w:line="181" w:lineRule="atLeast"/>
    </w:pPr>
    <w:rPr>
      <w:rFonts w:ascii="Frutiger LT Std 45 Light" w:hAnsi="Frutiger LT Std 45 Light"/>
      <w:color w:val="auto"/>
    </w:rPr>
  </w:style>
  <w:style w:type="paragraph" w:customStyle="1" w:styleId="Pa28">
    <w:name w:val="Pa28"/>
    <w:basedOn w:val="Default"/>
    <w:next w:val="Default"/>
    <w:uiPriority w:val="99"/>
    <w:rsid w:val="00DF0B9D"/>
    <w:pPr>
      <w:spacing w:line="171" w:lineRule="atLeast"/>
    </w:pPr>
    <w:rPr>
      <w:rFonts w:ascii="Frutiger LT Std 45 Light" w:hAnsi="Frutiger LT Std 45 Light"/>
      <w:color w:val="auto"/>
    </w:rPr>
  </w:style>
  <w:style w:type="character" w:customStyle="1" w:styleId="tgc">
    <w:name w:val="_tgc"/>
    <w:uiPriority w:val="99"/>
    <w:rsid w:val="00DF0B9D"/>
    <w:rPr>
      <w:rFonts w:cs="Times New Roman"/>
    </w:rPr>
  </w:style>
  <w:style w:type="paragraph" w:customStyle="1" w:styleId="DecimalAligned">
    <w:name w:val="Decimal Aligned"/>
    <w:basedOn w:val="Normal"/>
    <w:uiPriority w:val="99"/>
    <w:rsid w:val="00DF0B9D"/>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rsid w:val="00DF0B9D"/>
    <w:rPr>
      <w:rFonts w:ascii="Calibri" w:hAnsi="Calibri"/>
      <w:sz w:val="20"/>
      <w:szCs w:val="20"/>
    </w:rPr>
  </w:style>
  <w:style w:type="character" w:customStyle="1" w:styleId="FootnoteTextChar">
    <w:name w:val="Footnote Text Char"/>
    <w:link w:val="FootnoteText"/>
    <w:uiPriority w:val="99"/>
    <w:rsid w:val="00DF0B9D"/>
    <w:rPr>
      <w:rFonts w:ascii="Calibri" w:hAnsi="Calibri"/>
    </w:rPr>
  </w:style>
  <w:style w:type="character" w:styleId="SubtleEmphasis">
    <w:name w:val="Subtle Emphasis"/>
    <w:uiPriority w:val="19"/>
    <w:qFormat/>
    <w:rsid w:val="00DF0B9D"/>
    <w:rPr>
      <w:rFonts w:eastAsia="Times New Roman" w:cs="Times New Roman"/>
      <w:i/>
      <w:iCs/>
      <w:color w:val="808080"/>
      <w:sz w:val="22"/>
      <w:szCs w:val="22"/>
      <w:lang w:val="en-US"/>
    </w:rPr>
  </w:style>
  <w:style w:type="table" w:styleId="MediumShading2-Accent5">
    <w:name w:val="Medium Shading 2 Accent 5"/>
    <w:basedOn w:val="TableNormal"/>
    <w:uiPriority w:val="99"/>
    <w:rsid w:val="00DF0B9D"/>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customStyle="1" w:styleId="booktitle">
    <w:name w:val="booktitle"/>
    <w:rsid w:val="00DF0B9D"/>
    <w:rPr>
      <w:rFonts w:cs="Times New Roman"/>
    </w:rPr>
  </w:style>
  <w:style w:type="character" w:customStyle="1" w:styleId="groupname">
    <w:name w:val="groupname"/>
    <w:rsid w:val="00DF0B9D"/>
    <w:rPr>
      <w:rFonts w:cs="Times New Roman"/>
    </w:rPr>
  </w:style>
  <w:style w:type="character" w:customStyle="1" w:styleId="othertitle">
    <w:name w:val="othertitle"/>
    <w:rsid w:val="00DF0B9D"/>
    <w:rPr>
      <w:rFonts w:cs="Times New Roman"/>
    </w:rPr>
  </w:style>
  <w:style w:type="character" w:customStyle="1" w:styleId="editor">
    <w:name w:val="editor"/>
    <w:rsid w:val="00DF0B9D"/>
    <w:rPr>
      <w:rFonts w:cs="Times New Roman"/>
    </w:rPr>
  </w:style>
  <w:style w:type="character" w:customStyle="1" w:styleId="journaltitle">
    <w:name w:val="journaltitle"/>
    <w:uiPriority w:val="99"/>
    <w:rsid w:val="00DF0B9D"/>
    <w:rPr>
      <w:rFonts w:cs="Times New Roman"/>
    </w:rPr>
  </w:style>
  <w:style w:type="character" w:customStyle="1" w:styleId="vol">
    <w:name w:val="vol"/>
    <w:rsid w:val="00DF0B9D"/>
    <w:rPr>
      <w:rFonts w:cs="Times New Roman"/>
    </w:rPr>
  </w:style>
  <w:style w:type="character" w:customStyle="1" w:styleId="a">
    <w:name w:val="a"/>
    <w:rsid w:val="00DF0B9D"/>
    <w:rPr>
      <w:rFonts w:cs="Times New Roman"/>
    </w:rPr>
  </w:style>
  <w:style w:type="character" w:customStyle="1" w:styleId="mixed-citation">
    <w:name w:val="mixed-citation"/>
    <w:uiPriority w:val="99"/>
    <w:rsid w:val="00DF0B9D"/>
    <w:rPr>
      <w:rFonts w:cs="Times New Roman"/>
    </w:rPr>
  </w:style>
  <w:style w:type="character" w:customStyle="1" w:styleId="ref-journal">
    <w:name w:val="ref-journal"/>
    <w:rsid w:val="00DF0B9D"/>
    <w:rPr>
      <w:rFonts w:cs="Times New Roman"/>
    </w:rPr>
  </w:style>
  <w:style w:type="character" w:customStyle="1" w:styleId="ref-vol">
    <w:name w:val="ref-vol"/>
    <w:rsid w:val="00DF0B9D"/>
    <w:rPr>
      <w:rFonts w:cs="Times New Roman"/>
    </w:rPr>
  </w:style>
  <w:style w:type="character" w:customStyle="1" w:styleId="name">
    <w:name w:val="name"/>
    <w:basedOn w:val="DefaultParagraphFont"/>
    <w:rsid w:val="00DF0B9D"/>
  </w:style>
  <w:style w:type="character" w:customStyle="1" w:styleId="jahr">
    <w:name w:val="jahr"/>
    <w:basedOn w:val="DefaultParagraphFont"/>
    <w:rsid w:val="00DF0B9D"/>
  </w:style>
  <w:style w:type="paragraph" w:customStyle="1" w:styleId="standard">
    <w:name w:val="standard"/>
    <w:basedOn w:val="Normal"/>
    <w:rsid w:val="00DF0B9D"/>
    <w:pPr>
      <w:spacing w:before="100" w:beforeAutospacing="1" w:after="100" w:afterAutospacing="1"/>
    </w:pPr>
  </w:style>
  <w:style w:type="character" w:customStyle="1" w:styleId="label">
    <w:name w:val="label"/>
    <w:basedOn w:val="DefaultParagraphFont"/>
    <w:rsid w:val="00DF0B9D"/>
  </w:style>
  <w:style w:type="paragraph" w:customStyle="1" w:styleId="CM72">
    <w:name w:val="CM72"/>
    <w:basedOn w:val="Default"/>
    <w:next w:val="Default"/>
    <w:uiPriority w:val="99"/>
    <w:rsid w:val="00DF0B9D"/>
    <w:pPr>
      <w:widowControl w:val="0"/>
    </w:pPr>
    <w:rPr>
      <w:rFonts w:ascii="Arno Pro" w:hAnsi="Arno Pro"/>
      <w:color w:val="auto"/>
    </w:rPr>
  </w:style>
  <w:style w:type="paragraph" w:customStyle="1" w:styleId="CM75">
    <w:name w:val="CM75"/>
    <w:basedOn w:val="Default"/>
    <w:next w:val="Default"/>
    <w:uiPriority w:val="99"/>
    <w:rsid w:val="00DF0B9D"/>
    <w:pPr>
      <w:widowControl w:val="0"/>
    </w:pPr>
    <w:rPr>
      <w:rFonts w:ascii="Arno Pro" w:hAnsi="Arno Pro"/>
      <w:color w:val="auto"/>
    </w:rPr>
  </w:style>
  <w:style w:type="paragraph" w:customStyle="1" w:styleId="CM77">
    <w:name w:val="CM77"/>
    <w:basedOn w:val="Default"/>
    <w:next w:val="Default"/>
    <w:uiPriority w:val="99"/>
    <w:rsid w:val="00DF0B9D"/>
    <w:pPr>
      <w:widowControl w:val="0"/>
    </w:pPr>
    <w:rPr>
      <w:rFonts w:ascii="Arno Pro" w:hAnsi="Arno Pro"/>
      <w:color w:val="auto"/>
    </w:rPr>
  </w:style>
  <w:style w:type="paragraph" w:customStyle="1" w:styleId="CM81">
    <w:name w:val="CM81"/>
    <w:basedOn w:val="Default"/>
    <w:next w:val="Default"/>
    <w:uiPriority w:val="99"/>
    <w:rsid w:val="00DF0B9D"/>
    <w:pPr>
      <w:widowControl w:val="0"/>
    </w:pPr>
    <w:rPr>
      <w:rFonts w:ascii="Arno Pro" w:hAnsi="Arno Pro"/>
      <w:color w:val="auto"/>
    </w:rPr>
  </w:style>
  <w:style w:type="paragraph" w:customStyle="1" w:styleId="CM11">
    <w:name w:val="CM11"/>
    <w:basedOn w:val="Default"/>
    <w:next w:val="Default"/>
    <w:uiPriority w:val="99"/>
    <w:rsid w:val="00DF0B9D"/>
    <w:pPr>
      <w:widowControl w:val="0"/>
      <w:spacing w:line="553" w:lineRule="atLeast"/>
    </w:pPr>
    <w:rPr>
      <w:rFonts w:ascii="Arno Pro" w:hAnsi="Arno Pro"/>
      <w:color w:val="auto"/>
    </w:rPr>
  </w:style>
  <w:style w:type="paragraph" w:customStyle="1" w:styleId="CM12">
    <w:name w:val="CM12"/>
    <w:basedOn w:val="Default"/>
    <w:next w:val="Default"/>
    <w:uiPriority w:val="99"/>
    <w:rsid w:val="00DF0B9D"/>
    <w:pPr>
      <w:widowControl w:val="0"/>
      <w:spacing w:line="556" w:lineRule="atLeast"/>
    </w:pPr>
    <w:rPr>
      <w:rFonts w:ascii="Arno Pro" w:hAnsi="Arno Pro"/>
      <w:color w:val="auto"/>
    </w:rPr>
  </w:style>
  <w:style w:type="paragraph" w:customStyle="1" w:styleId="CM94">
    <w:name w:val="CM94"/>
    <w:basedOn w:val="Default"/>
    <w:next w:val="Default"/>
    <w:uiPriority w:val="99"/>
    <w:rsid w:val="00DF0B9D"/>
    <w:pPr>
      <w:widowControl w:val="0"/>
    </w:pPr>
    <w:rPr>
      <w:rFonts w:ascii="Arno Pro" w:hAnsi="Arno Pro"/>
      <w:color w:val="auto"/>
    </w:rPr>
  </w:style>
  <w:style w:type="paragraph" w:customStyle="1" w:styleId="CM95">
    <w:name w:val="CM95"/>
    <w:basedOn w:val="Default"/>
    <w:next w:val="Default"/>
    <w:uiPriority w:val="99"/>
    <w:rsid w:val="00DF0B9D"/>
    <w:pPr>
      <w:widowControl w:val="0"/>
    </w:pPr>
    <w:rPr>
      <w:rFonts w:ascii="Arno Pro" w:hAnsi="Arno Pro"/>
      <w:color w:val="auto"/>
    </w:rPr>
  </w:style>
  <w:style w:type="paragraph" w:customStyle="1" w:styleId="CM21">
    <w:name w:val="CM21"/>
    <w:basedOn w:val="Default"/>
    <w:next w:val="Default"/>
    <w:uiPriority w:val="99"/>
    <w:rsid w:val="00DF0B9D"/>
    <w:pPr>
      <w:widowControl w:val="0"/>
      <w:spacing w:line="578" w:lineRule="atLeast"/>
    </w:pPr>
    <w:rPr>
      <w:rFonts w:ascii="Arno Pro" w:hAnsi="Arno Pro"/>
      <w:color w:val="auto"/>
    </w:rPr>
  </w:style>
  <w:style w:type="paragraph" w:customStyle="1" w:styleId="CM22">
    <w:name w:val="CM22"/>
    <w:basedOn w:val="Default"/>
    <w:next w:val="Default"/>
    <w:uiPriority w:val="99"/>
    <w:rsid w:val="00DF0B9D"/>
    <w:pPr>
      <w:widowControl w:val="0"/>
      <w:spacing w:line="416" w:lineRule="atLeast"/>
    </w:pPr>
    <w:rPr>
      <w:rFonts w:ascii="Arno Pro" w:hAnsi="Arno Pro"/>
      <w:color w:val="auto"/>
    </w:rPr>
  </w:style>
  <w:style w:type="paragraph" w:customStyle="1" w:styleId="CM96">
    <w:name w:val="CM96"/>
    <w:basedOn w:val="Default"/>
    <w:next w:val="Default"/>
    <w:uiPriority w:val="99"/>
    <w:rsid w:val="00DF0B9D"/>
    <w:pPr>
      <w:widowControl w:val="0"/>
    </w:pPr>
    <w:rPr>
      <w:rFonts w:ascii="Arno Pro" w:hAnsi="Arno Pro"/>
      <w:color w:val="auto"/>
    </w:rPr>
  </w:style>
  <w:style w:type="character" w:customStyle="1" w:styleId="cit-auth">
    <w:name w:val="cit-auth"/>
    <w:basedOn w:val="DefaultParagraphFont"/>
    <w:rsid w:val="00DF0B9D"/>
  </w:style>
  <w:style w:type="character" w:customStyle="1" w:styleId="cit-name-surname">
    <w:name w:val="cit-name-surname"/>
    <w:basedOn w:val="DefaultParagraphFont"/>
    <w:rsid w:val="00DF0B9D"/>
  </w:style>
  <w:style w:type="character" w:customStyle="1" w:styleId="cit-name-given-names">
    <w:name w:val="cit-name-given-names"/>
    <w:basedOn w:val="DefaultParagraphFont"/>
    <w:rsid w:val="00DF0B9D"/>
  </w:style>
  <w:style w:type="character" w:customStyle="1" w:styleId="cit-pub-date">
    <w:name w:val="cit-pub-date"/>
    <w:basedOn w:val="DefaultParagraphFont"/>
    <w:rsid w:val="00DF0B9D"/>
  </w:style>
  <w:style w:type="character" w:customStyle="1" w:styleId="cit-article-title">
    <w:name w:val="cit-article-title"/>
    <w:basedOn w:val="DefaultParagraphFont"/>
    <w:rsid w:val="00DF0B9D"/>
  </w:style>
  <w:style w:type="character" w:customStyle="1" w:styleId="cit-vol">
    <w:name w:val="cit-vol"/>
    <w:basedOn w:val="DefaultParagraphFont"/>
    <w:rsid w:val="00DF0B9D"/>
  </w:style>
  <w:style w:type="character" w:customStyle="1" w:styleId="cit-fpage">
    <w:name w:val="cit-fpage"/>
    <w:basedOn w:val="DefaultParagraphFont"/>
    <w:rsid w:val="00DF0B9D"/>
  </w:style>
  <w:style w:type="character" w:customStyle="1" w:styleId="cit-lpage">
    <w:name w:val="cit-lpage"/>
    <w:basedOn w:val="DefaultParagraphFont"/>
    <w:rsid w:val="00DF0B9D"/>
  </w:style>
  <w:style w:type="character" w:customStyle="1" w:styleId="cit-reflinks-abstract">
    <w:name w:val="cit-reflinks-abstract"/>
    <w:basedOn w:val="DefaultParagraphFont"/>
    <w:rsid w:val="00DF0B9D"/>
  </w:style>
  <w:style w:type="character" w:customStyle="1" w:styleId="cit-sep">
    <w:name w:val="cit-sep"/>
    <w:basedOn w:val="DefaultParagraphFont"/>
    <w:rsid w:val="00DF0B9D"/>
  </w:style>
  <w:style w:type="character" w:customStyle="1" w:styleId="cit-reflinks-full-text">
    <w:name w:val="cit-reflinks-full-text"/>
    <w:basedOn w:val="DefaultParagraphFont"/>
    <w:rsid w:val="00DF0B9D"/>
  </w:style>
  <w:style w:type="character" w:customStyle="1" w:styleId="free-full-text">
    <w:name w:val="free-full-text"/>
    <w:basedOn w:val="DefaultParagraphFont"/>
    <w:rsid w:val="00DF0B9D"/>
  </w:style>
  <w:style w:type="character" w:customStyle="1" w:styleId="l6">
    <w:name w:val="l6"/>
    <w:basedOn w:val="DefaultParagraphFont"/>
    <w:rsid w:val="00DF0B9D"/>
  </w:style>
  <w:style w:type="character" w:customStyle="1" w:styleId="l7">
    <w:name w:val="l7"/>
    <w:basedOn w:val="DefaultParagraphFont"/>
    <w:rsid w:val="00DF0B9D"/>
  </w:style>
  <w:style w:type="character" w:customStyle="1" w:styleId="l8">
    <w:name w:val="l8"/>
    <w:basedOn w:val="DefaultParagraphFont"/>
    <w:rsid w:val="00DF0B9D"/>
  </w:style>
  <w:style w:type="character" w:customStyle="1" w:styleId="TitleChar">
    <w:name w:val="Title Char"/>
    <w:link w:val="Title"/>
    <w:rsid w:val="00DF0B9D"/>
    <w:rPr>
      <w:rFonts w:ascii="Cambria" w:hAnsi="Cambria"/>
      <w:spacing w:val="5"/>
      <w:sz w:val="52"/>
      <w:szCs w:val="52"/>
      <w:lang w:bidi="en-US"/>
    </w:rPr>
  </w:style>
  <w:style w:type="paragraph" w:styleId="Subtitle">
    <w:name w:val="Subtitle"/>
    <w:basedOn w:val="Normal"/>
    <w:next w:val="Normal"/>
    <w:link w:val="SubtitleChar"/>
    <w:uiPriority w:val="11"/>
    <w:qFormat/>
    <w:pPr>
      <w:spacing w:after="600" w:line="276" w:lineRule="auto"/>
    </w:pPr>
    <w:rPr>
      <w:rFonts w:ascii="Cambria" w:eastAsia="Cambria" w:hAnsi="Cambria" w:cs="Cambria"/>
      <w:i/>
    </w:rPr>
  </w:style>
  <w:style w:type="character" w:customStyle="1" w:styleId="SubtitleChar">
    <w:name w:val="Subtitle Char"/>
    <w:link w:val="Subtitle"/>
    <w:rsid w:val="00DF0B9D"/>
    <w:rPr>
      <w:rFonts w:ascii="Cambria" w:hAnsi="Cambria"/>
      <w:i/>
      <w:iCs/>
      <w:spacing w:val="13"/>
      <w:sz w:val="24"/>
      <w:szCs w:val="24"/>
      <w:lang w:bidi="en-US"/>
    </w:rPr>
  </w:style>
  <w:style w:type="paragraph" w:styleId="Quote">
    <w:name w:val="Quote"/>
    <w:basedOn w:val="Normal"/>
    <w:next w:val="Normal"/>
    <w:link w:val="QuoteChar"/>
    <w:uiPriority w:val="29"/>
    <w:qFormat/>
    <w:rsid w:val="00DF0B9D"/>
    <w:pPr>
      <w:spacing w:before="200" w:line="276" w:lineRule="auto"/>
      <w:ind w:left="360" w:right="360"/>
    </w:pPr>
    <w:rPr>
      <w:rFonts w:ascii="Calibri" w:hAnsi="Calibri"/>
      <w:i/>
      <w:iCs/>
      <w:sz w:val="22"/>
      <w:szCs w:val="22"/>
      <w:lang w:bidi="en-US"/>
    </w:rPr>
  </w:style>
  <w:style w:type="character" w:customStyle="1" w:styleId="QuoteChar">
    <w:name w:val="Quote Char"/>
    <w:link w:val="Quote"/>
    <w:uiPriority w:val="29"/>
    <w:rsid w:val="00DF0B9D"/>
    <w:rPr>
      <w:rFonts w:ascii="Calibri" w:hAnsi="Calibri"/>
      <w:i/>
      <w:iCs/>
      <w:sz w:val="22"/>
      <w:szCs w:val="22"/>
      <w:lang w:bidi="en-US"/>
    </w:rPr>
  </w:style>
  <w:style w:type="paragraph" w:styleId="IntenseQuote">
    <w:name w:val="Intense Quote"/>
    <w:basedOn w:val="Normal"/>
    <w:next w:val="Normal"/>
    <w:link w:val="IntenseQuoteChar"/>
    <w:uiPriority w:val="30"/>
    <w:qFormat/>
    <w:rsid w:val="00DF0B9D"/>
    <w:pPr>
      <w:pBdr>
        <w:bottom w:val="single" w:sz="4" w:space="1" w:color="auto"/>
      </w:pBdr>
      <w:spacing w:before="200" w:after="280" w:line="276" w:lineRule="auto"/>
      <w:ind w:left="1008" w:right="1152"/>
      <w:jc w:val="both"/>
    </w:pPr>
    <w:rPr>
      <w:rFonts w:ascii="Calibri" w:hAnsi="Calibri"/>
      <w:b/>
      <w:bCs/>
      <w:i/>
      <w:iCs/>
      <w:sz w:val="22"/>
      <w:szCs w:val="22"/>
      <w:lang w:bidi="en-US"/>
    </w:rPr>
  </w:style>
  <w:style w:type="character" w:customStyle="1" w:styleId="IntenseQuoteChar">
    <w:name w:val="Intense Quote Char"/>
    <w:link w:val="IntenseQuote"/>
    <w:uiPriority w:val="30"/>
    <w:rsid w:val="00DF0B9D"/>
    <w:rPr>
      <w:rFonts w:ascii="Calibri" w:hAnsi="Calibri"/>
      <w:b/>
      <w:bCs/>
      <w:i/>
      <w:iCs/>
      <w:sz w:val="22"/>
      <w:szCs w:val="22"/>
      <w:lang w:bidi="en-US"/>
    </w:rPr>
  </w:style>
  <w:style w:type="character" w:styleId="IntenseEmphasis">
    <w:name w:val="Intense Emphasis"/>
    <w:uiPriority w:val="21"/>
    <w:qFormat/>
    <w:rsid w:val="00DF0B9D"/>
    <w:rPr>
      <w:b/>
      <w:bCs/>
    </w:rPr>
  </w:style>
  <w:style w:type="character" w:styleId="SubtleReference">
    <w:name w:val="Subtle Reference"/>
    <w:uiPriority w:val="31"/>
    <w:qFormat/>
    <w:rsid w:val="00DF0B9D"/>
    <w:rPr>
      <w:smallCaps/>
    </w:rPr>
  </w:style>
  <w:style w:type="character" w:styleId="IntenseReference">
    <w:name w:val="Intense Reference"/>
    <w:uiPriority w:val="32"/>
    <w:qFormat/>
    <w:rsid w:val="00DF0B9D"/>
    <w:rPr>
      <w:smallCaps/>
      <w:spacing w:val="5"/>
      <w:u w:val="single"/>
    </w:rPr>
  </w:style>
  <w:style w:type="character" w:styleId="BookTitle0">
    <w:name w:val="Book Title"/>
    <w:uiPriority w:val="33"/>
    <w:qFormat/>
    <w:rsid w:val="00DF0B9D"/>
    <w:rPr>
      <w:i/>
      <w:iCs/>
      <w:smallCaps/>
      <w:spacing w:val="5"/>
    </w:rPr>
  </w:style>
  <w:style w:type="paragraph" w:styleId="TOCHeading">
    <w:name w:val="TOC Heading"/>
    <w:basedOn w:val="Heading1"/>
    <w:next w:val="Normal"/>
    <w:uiPriority w:val="39"/>
    <w:semiHidden/>
    <w:unhideWhenUsed/>
    <w:qFormat/>
    <w:rsid w:val="00DF0B9D"/>
    <w:pPr>
      <w:keepNext w:val="0"/>
      <w:keepLines w:val="0"/>
      <w:contextualSpacing/>
      <w:outlineLvl w:val="9"/>
    </w:pPr>
    <w:rPr>
      <w:color w:val="auto"/>
      <w:lang w:bidi="en-US"/>
    </w:rPr>
  </w:style>
  <w:style w:type="character" w:customStyle="1" w:styleId="fs8">
    <w:name w:val="fs8"/>
    <w:basedOn w:val="DefaultParagraphFont"/>
    <w:rsid w:val="00DF0B9D"/>
  </w:style>
  <w:style w:type="character" w:customStyle="1" w:styleId="ls15">
    <w:name w:val="ls15"/>
    <w:basedOn w:val="DefaultParagraphFont"/>
    <w:rsid w:val="00DF0B9D"/>
  </w:style>
  <w:style w:type="character" w:customStyle="1" w:styleId="fs7">
    <w:name w:val="fs7"/>
    <w:basedOn w:val="DefaultParagraphFont"/>
    <w:rsid w:val="00DF0B9D"/>
  </w:style>
  <w:style w:type="character" w:customStyle="1" w:styleId="a0">
    <w:name w:val="_"/>
    <w:basedOn w:val="DefaultParagraphFont"/>
    <w:rsid w:val="00DF0B9D"/>
  </w:style>
  <w:style w:type="character" w:customStyle="1" w:styleId="ls2a">
    <w:name w:val="ls2a"/>
    <w:basedOn w:val="DefaultParagraphFont"/>
    <w:rsid w:val="00DF0B9D"/>
  </w:style>
  <w:style w:type="character" w:customStyle="1" w:styleId="ls11">
    <w:name w:val="ls11"/>
    <w:basedOn w:val="DefaultParagraphFont"/>
    <w:rsid w:val="00DF0B9D"/>
  </w:style>
  <w:style w:type="character" w:customStyle="1" w:styleId="lse">
    <w:name w:val="lse"/>
    <w:basedOn w:val="DefaultParagraphFont"/>
    <w:rsid w:val="00DF0B9D"/>
  </w:style>
  <w:style w:type="character" w:customStyle="1" w:styleId="ls1a">
    <w:name w:val="ls1a"/>
    <w:basedOn w:val="DefaultParagraphFont"/>
    <w:rsid w:val="00DF0B9D"/>
  </w:style>
  <w:style w:type="paragraph" w:customStyle="1" w:styleId="Style2">
    <w:name w:val="Style 2"/>
    <w:uiPriority w:val="99"/>
    <w:rsid w:val="00DF0B9D"/>
    <w:pPr>
      <w:widowControl w:val="0"/>
      <w:autoSpaceDE w:val="0"/>
      <w:autoSpaceDN w:val="0"/>
      <w:adjustRightInd w:val="0"/>
    </w:pPr>
    <w:rPr>
      <w:color w:val="000000"/>
      <w:sz w:val="12"/>
      <w:szCs w:val="12"/>
    </w:rPr>
  </w:style>
  <w:style w:type="paragraph" w:customStyle="1" w:styleId="Style1">
    <w:name w:val="Style 1"/>
    <w:uiPriority w:val="99"/>
    <w:rsid w:val="00DF0B9D"/>
    <w:pPr>
      <w:widowControl w:val="0"/>
      <w:autoSpaceDE w:val="0"/>
      <w:autoSpaceDN w:val="0"/>
      <w:adjustRightInd w:val="0"/>
    </w:pPr>
  </w:style>
  <w:style w:type="character" w:customStyle="1" w:styleId="CharacterStyle1">
    <w:name w:val="Character Style 1"/>
    <w:uiPriority w:val="99"/>
    <w:rsid w:val="00DF0B9D"/>
    <w:rPr>
      <w:color w:val="000000"/>
      <w:sz w:val="12"/>
      <w:szCs w:val="12"/>
    </w:rPr>
  </w:style>
  <w:style w:type="character" w:customStyle="1" w:styleId="litverweis">
    <w:name w:val="litverweis"/>
    <w:basedOn w:val="DefaultParagraphFont"/>
    <w:rsid w:val="00DF0B9D"/>
  </w:style>
  <w:style w:type="paragraph" w:customStyle="1" w:styleId="standard2">
    <w:name w:val="standard2"/>
    <w:basedOn w:val="Normal"/>
    <w:uiPriority w:val="99"/>
    <w:rsid w:val="00DF0B9D"/>
    <w:pPr>
      <w:spacing w:before="100" w:beforeAutospacing="1" w:after="100" w:afterAutospacing="1"/>
    </w:pPr>
  </w:style>
  <w:style w:type="paragraph" w:customStyle="1" w:styleId="Style3">
    <w:name w:val="Style 3"/>
    <w:uiPriority w:val="99"/>
    <w:rsid w:val="00DF0B9D"/>
    <w:pPr>
      <w:widowControl w:val="0"/>
      <w:autoSpaceDE w:val="0"/>
      <w:autoSpaceDN w:val="0"/>
      <w:spacing w:line="309" w:lineRule="auto"/>
      <w:ind w:left="1008"/>
    </w:pPr>
    <w:rPr>
      <w:rFonts w:ascii="Courier New" w:hAnsi="Courier New" w:cs="Courier New"/>
      <w:sz w:val="14"/>
      <w:szCs w:val="14"/>
    </w:rPr>
  </w:style>
  <w:style w:type="paragraph" w:customStyle="1" w:styleId="Style4">
    <w:name w:val="Style 4"/>
    <w:uiPriority w:val="99"/>
    <w:rsid w:val="00DF0B9D"/>
    <w:pPr>
      <w:widowControl w:val="0"/>
      <w:autoSpaceDE w:val="0"/>
      <w:autoSpaceDN w:val="0"/>
      <w:spacing w:line="480" w:lineRule="auto"/>
      <w:ind w:left="432" w:right="720" w:firstLine="504"/>
      <w:jc w:val="both"/>
    </w:pPr>
    <w:rPr>
      <w:rFonts w:ascii="Courier New" w:hAnsi="Courier New" w:cs="Courier New"/>
      <w:sz w:val="14"/>
      <w:szCs w:val="14"/>
    </w:rPr>
  </w:style>
  <w:style w:type="character" w:customStyle="1" w:styleId="normaltext">
    <w:name w:val="normaltext"/>
    <w:basedOn w:val="DefaultParagraphFont"/>
    <w:rsid w:val="00DF0B9D"/>
  </w:style>
  <w:style w:type="character" w:customStyle="1" w:styleId="element-citation">
    <w:name w:val="element-citation"/>
    <w:basedOn w:val="DefaultParagraphFont"/>
    <w:rsid w:val="00DF0B9D"/>
  </w:style>
  <w:style w:type="paragraph" w:customStyle="1" w:styleId="CM9">
    <w:name w:val="CM9"/>
    <w:basedOn w:val="Default"/>
    <w:next w:val="Default"/>
    <w:uiPriority w:val="99"/>
    <w:rsid w:val="00DF0B9D"/>
    <w:pPr>
      <w:widowControl w:val="0"/>
    </w:pPr>
    <w:rPr>
      <w:color w:val="auto"/>
    </w:rPr>
  </w:style>
  <w:style w:type="paragraph" w:customStyle="1" w:styleId="CM2">
    <w:name w:val="CM2"/>
    <w:basedOn w:val="Default"/>
    <w:next w:val="Default"/>
    <w:uiPriority w:val="99"/>
    <w:rsid w:val="00DF0B9D"/>
    <w:pPr>
      <w:widowControl w:val="0"/>
    </w:pPr>
    <w:rPr>
      <w:color w:val="auto"/>
    </w:rPr>
  </w:style>
  <w:style w:type="paragraph" w:customStyle="1" w:styleId="CM3">
    <w:name w:val="CM3"/>
    <w:basedOn w:val="Default"/>
    <w:next w:val="Default"/>
    <w:uiPriority w:val="99"/>
    <w:rsid w:val="00DF0B9D"/>
    <w:pPr>
      <w:widowControl w:val="0"/>
      <w:spacing w:line="206" w:lineRule="atLeast"/>
    </w:pPr>
    <w:rPr>
      <w:color w:val="auto"/>
    </w:rPr>
  </w:style>
  <w:style w:type="paragraph" w:customStyle="1" w:styleId="CM7">
    <w:name w:val="CM7"/>
    <w:basedOn w:val="Default"/>
    <w:next w:val="Default"/>
    <w:uiPriority w:val="99"/>
    <w:rsid w:val="00DF0B9D"/>
    <w:pPr>
      <w:widowControl w:val="0"/>
    </w:pPr>
    <w:rPr>
      <w:color w:val="auto"/>
    </w:rPr>
  </w:style>
  <w:style w:type="paragraph" w:customStyle="1" w:styleId="Style5">
    <w:name w:val="Style 5"/>
    <w:uiPriority w:val="99"/>
    <w:rsid w:val="00DF0B9D"/>
    <w:pPr>
      <w:widowControl w:val="0"/>
      <w:autoSpaceDE w:val="0"/>
      <w:autoSpaceDN w:val="0"/>
      <w:spacing w:line="290" w:lineRule="auto"/>
      <w:ind w:left="288" w:hanging="288"/>
      <w:jc w:val="both"/>
    </w:pPr>
    <w:rPr>
      <w:rFonts w:ascii="Arial" w:hAnsi="Arial" w:cs="Arial"/>
      <w:sz w:val="16"/>
      <w:szCs w:val="16"/>
    </w:rPr>
  </w:style>
  <w:style w:type="character" w:customStyle="1" w:styleId="ff5">
    <w:name w:val="ff5"/>
    <w:basedOn w:val="DefaultParagraphFont"/>
    <w:rsid w:val="00DF0B9D"/>
  </w:style>
  <w:style w:type="character" w:customStyle="1" w:styleId="ls2b">
    <w:name w:val="ls2b"/>
    <w:basedOn w:val="DefaultParagraphFont"/>
    <w:rsid w:val="00DF0B9D"/>
  </w:style>
  <w:style w:type="character" w:customStyle="1" w:styleId="span-citation">
    <w:name w:val="span-citation"/>
    <w:basedOn w:val="DefaultParagraphFont"/>
    <w:rsid w:val="00DF0B9D"/>
  </w:style>
  <w:style w:type="character" w:customStyle="1" w:styleId="ff6">
    <w:name w:val="ff6"/>
    <w:basedOn w:val="DefaultParagraphFont"/>
    <w:rsid w:val="00DF0B9D"/>
  </w:style>
  <w:style w:type="character" w:customStyle="1" w:styleId="ws4">
    <w:name w:val="ws4"/>
    <w:basedOn w:val="DefaultParagraphFont"/>
    <w:rsid w:val="00DF0B9D"/>
  </w:style>
  <w:style w:type="character" w:customStyle="1" w:styleId="ff1">
    <w:name w:val="ff1"/>
    <w:basedOn w:val="DefaultParagraphFont"/>
    <w:rsid w:val="00DF0B9D"/>
  </w:style>
  <w:style w:type="character" w:customStyle="1" w:styleId="hlfld-contribauthor">
    <w:name w:val="hlfld-contribauthor"/>
    <w:basedOn w:val="DefaultParagraphFont"/>
    <w:rsid w:val="00DF0B9D"/>
  </w:style>
  <w:style w:type="character" w:customStyle="1" w:styleId="nlmgiven-names">
    <w:name w:val="nlm_given-names"/>
    <w:basedOn w:val="DefaultParagraphFont"/>
    <w:rsid w:val="00DF0B9D"/>
  </w:style>
  <w:style w:type="character" w:customStyle="1" w:styleId="nlmyear">
    <w:name w:val="nlm_year"/>
    <w:basedOn w:val="DefaultParagraphFont"/>
    <w:rsid w:val="00DF0B9D"/>
  </w:style>
  <w:style w:type="character" w:customStyle="1" w:styleId="nlmarticle-title">
    <w:name w:val="nlm_article-title"/>
    <w:basedOn w:val="DefaultParagraphFont"/>
    <w:rsid w:val="00DF0B9D"/>
  </w:style>
  <w:style w:type="character" w:customStyle="1" w:styleId="nlmfpage">
    <w:name w:val="nlm_fpage"/>
    <w:basedOn w:val="DefaultParagraphFont"/>
    <w:rsid w:val="00DF0B9D"/>
  </w:style>
  <w:style w:type="character" w:customStyle="1" w:styleId="nlmlpage">
    <w:name w:val="nlm_lpage"/>
    <w:basedOn w:val="DefaultParagraphFont"/>
    <w:rsid w:val="00DF0B9D"/>
  </w:style>
  <w:style w:type="character" w:customStyle="1" w:styleId="ff4">
    <w:name w:val="ff4"/>
    <w:basedOn w:val="DefaultParagraphFont"/>
    <w:rsid w:val="00DF0B9D"/>
  </w:style>
  <w:style w:type="character" w:customStyle="1" w:styleId="ws5e">
    <w:name w:val="ws5e"/>
    <w:basedOn w:val="DefaultParagraphFont"/>
    <w:rsid w:val="00DF0B9D"/>
  </w:style>
  <w:style w:type="character" w:customStyle="1" w:styleId="edition">
    <w:name w:val="edition"/>
    <w:basedOn w:val="DefaultParagraphFont"/>
    <w:rsid w:val="00DF0B9D"/>
  </w:style>
  <w:style w:type="character" w:customStyle="1" w:styleId="ff2">
    <w:name w:val="ff2"/>
    <w:basedOn w:val="DefaultParagraphFont"/>
    <w:rsid w:val="00DF0B9D"/>
  </w:style>
  <w:style w:type="character" w:customStyle="1" w:styleId="ff3">
    <w:name w:val="ff3"/>
    <w:basedOn w:val="DefaultParagraphFont"/>
    <w:rsid w:val="00DF0B9D"/>
  </w:style>
  <w:style w:type="character" w:customStyle="1" w:styleId="reference">
    <w:name w:val="reference"/>
    <w:basedOn w:val="DefaultParagraphFont"/>
    <w:rsid w:val="00DF0B9D"/>
  </w:style>
  <w:style w:type="character" w:customStyle="1" w:styleId="refauthors">
    <w:name w:val="refauthors"/>
    <w:basedOn w:val="DefaultParagraphFont"/>
    <w:rsid w:val="00DF0B9D"/>
  </w:style>
  <w:style w:type="character" w:customStyle="1" w:styleId="reftitle">
    <w:name w:val="reftitle"/>
    <w:basedOn w:val="DefaultParagraphFont"/>
    <w:rsid w:val="00DF0B9D"/>
  </w:style>
  <w:style w:type="character" w:customStyle="1" w:styleId="refseriestitle">
    <w:name w:val="refseriestitle"/>
    <w:basedOn w:val="DefaultParagraphFont"/>
    <w:rsid w:val="00DF0B9D"/>
  </w:style>
  <w:style w:type="character" w:customStyle="1" w:styleId="refseriesvolume">
    <w:name w:val="refseriesvolume"/>
    <w:basedOn w:val="DefaultParagraphFont"/>
    <w:rsid w:val="00DF0B9D"/>
  </w:style>
  <w:style w:type="character" w:customStyle="1" w:styleId="refpages">
    <w:name w:val="refpages"/>
    <w:basedOn w:val="DefaultParagraphFont"/>
    <w:rsid w:val="00DF0B9D"/>
  </w:style>
  <w:style w:type="character" w:customStyle="1" w:styleId="CharacterStyle2">
    <w:name w:val="Character Style 2"/>
    <w:rsid w:val="00DF0B9D"/>
    <w:rPr>
      <w:rFonts w:ascii="Bookman Old Style" w:hAnsi="Bookman Old Style" w:cs="Bookman Old Style" w:hint="default"/>
      <w:sz w:val="12"/>
      <w:szCs w:val="12"/>
    </w:rPr>
  </w:style>
  <w:style w:type="character" w:customStyle="1" w:styleId="y0nh2b">
    <w:name w:val="y0nh2b"/>
    <w:basedOn w:val="DefaultParagraphFont"/>
    <w:rsid w:val="00DF0B9D"/>
  </w:style>
  <w:style w:type="character" w:customStyle="1" w:styleId="A2">
    <w:name w:val="A2"/>
    <w:uiPriority w:val="99"/>
    <w:rsid w:val="00C72522"/>
    <w:rPr>
      <w:color w:val="000000"/>
      <w:sz w:val="22"/>
      <w:szCs w:val="22"/>
    </w:rPr>
  </w:style>
  <w:style w:type="character" w:customStyle="1" w:styleId="jlqj4b">
    <w:name w:val="jlqj4b"/>
    <w:basedOn w:val="DefaultParagraphFont"/>
    <w:rsid w:val="00C72522"/>
  </w:style>
  <w:style w:type="character" w:customStyle="1" w:styleId="italic">
    <w:name w:val="italic"/>
    <w:basedOn w:val="DefaultParagraphFont"/>
    <w:rsid w:val="00C72522"/>
  </w:style>
  <w:style w:type="character" w:customStyle="1" w:styleId="jp-italic">
    <w:name w:val="jp-italic"/>
    <w:basedOn w:val="DefaultParagraphFont"/>
    <w:rsid w:val="00C72522"/>
  </w:style>
  <w:style w:type="character" w:customStyle="1" w:styleId="inline-l2-heading">
    <w:name w:val="inline-l2-heading"/>
    <w:basedOn w:val="DefaultParagraphFont"/>
    <w:rsid w:val="00C72522"/>
  </w:style>
  <w:style w:type="character" w:customStyle="1" w:styleId="tlid-translation">
    <w:name w:val="tlid-translation"/>
    <w:basedOn w:val="DefaultParagraphFont"/>
    <w:rsid w:val="006073D0"/>
  </w:style>
  <w:style w:type="character" w:customStyle="1" w:styleId="texhtml">
    <w:name w:val="texhtml"/>
    <w:basedOn w:val="DefaultParagraphFont"/>
    <w:rsid w:val="006073D0"/>
  </w:style>
  <w:style w:type="character" w:customStyle="1" w:styleId="ft33">
    <w:name w:val="ft33"/>
    <w:basedOn w:val="DefaultParagraphFont"/>
    <w:rsid w:val="006073D0"/>
  </w:style>
  <w:style w:type="character" w:customStyle="1" w:styleId="ft34">
    <w:name w:val="ft34"/>
    <w:basedOn w:val="DefaultParagraphFont"/>
    <w:rsid w:val="006073D0"/>
  </w:style>
  <w:style w:type="character" w:customStyle="1" w:styleId="ft35">
    <w:name w:val="ft35"/>
    <w:basedOn w:val="DefaultParagraphFont"/>
    <w:rsid w:val="006073D0"/>
  </w:style>
  <w:style w:type="paragraph" w:customStyle="1" w:styleId="halfrhythm">
    <w:name w:val="half_rhythm"/>
    <w:basedOn w:val="Normal"/>
    <w:rsid w:val="006073D0"/>
    <w:pPr>
      <w:spacing w:before="100" w:beforeAutospacing="1" w:after="100" w:afterAutospacing="1"/>
    </w:pPr>
  </w:style>
  <w:style w:type="character" w:customStyle="1" w:styleId="word-formet">
    <w:name w:val="word-formet"/>
    <w:basedOn w:val="DefaultParagraphFont"/>
    <w:rsid w:val="006073D0"/>
  </w:style>
  <w:style w:type="paragraph" w:customStyle="1" w:styleId="Style6">
    <w:name w:val="Style 6"/>
    <w:uiPriority w:val="99"/>
    <w:rsid w:val="006073D0"/>
    <w:pPr>
      <w:widowControl w:val="0"/>
      <w:autoSpaceDE w:val="0"/>
      <w:autoSpaceDN w:val="0"/>
      <w:adjustRightInd w:val="0"/>
    </w:pPr>
  </w:style>
  <w:style w:type="paragraph" w:customStyle="1" w:styleId="EndNoteBibliography">
    <w:name w:val="EndNote Bibliography"/>
    <w:basedOn w:val="Normal"/>
    <w:link w:val="EndNoteBibliographyChar"/>
    <w:rsid w:val="00DC0193"/>
    <w:pPr>
      <w:spacing w:after="160"/>
    </w:pPr>
    <w:rPr>
      <w:rFonts w:ascii="Calibri" w:eastAsia="Calibri" w:hAnsi="Calibri" w:cs="Calibri"/>
      <w:noProof/>
      <w:sz w:val="22"/>
      <w:szCs w:val="22"/>
    </w:rPr>
  </w:style>
  <w:style w:type="character" w:customStyle="1" w:styleId="EndNoteBibliographyChar">
    <w:name w:val="EndNote Bibliography Char"/>
    <w:link w:val="EndNoteBibliography"/>
    <w:rsid w:val="00DC0193"/>
    <w:rPr>
      <w:rFonts w:ascii="Calibri" w:eastAsia="Calibri" w:hAnsi="Calibri" w:cs="Calibri"/>
      <w:noProof/>
      <w:sz w:val="22"/>
      <w:szCs w:val="22"/>
    </w:rPr>
  </w:style>
  <w:style w:type="paragraph" w:customStyle="1" w:styleId="MDPI71References">
    <w:name w:val="MDPI_7.1_References"/>
    <w:basedOn w:val="Normal"/>
    <w:qFormat/>
    <w:rsid w:val="00DC0193"/>
    <w:pPr>
      <w:numPr>
        <w:numId w:val="3"/>
      </w:numPr>
      <w:adjustRightInd w:val="0"/>
      <w:snapToGrid w:val="0"/>
      <w:spacing w:line="260" w:lineRule="atLeast"/>
      <w:ind w:left="425" w:hanging="425"/>
      <w:jc w:val="both"/>
    </w:pPr>
    <w:rPr>
      <w:rFonts w:ascii="Palatino Linotype" w:hAnsi="Palatino Linotype"/>
      <w:snapToGrid w:val="0"/>
      <w:color w:val="000000"/>
      <w:sz w:val="18"/>
      <w:szCs w:val="20"/>
      <w:lang w:eastAsia="de-DE" w:bidi="en-US"/>
    </w:rPr>
  </w:style>
  <w:style w:type="character" w:customStyle="1" w:styleId="acopre">
    <w:name w:val="acopre"/>
    <w:basedOn w:val="DefaultParagraphFont"/>
    <w:rsid w:val="00DC0193"/>
  </w:style>
  <w:style w:type="character" w:customStyle="1" w:styleId="text-node">
    <w:name w:val="text-node"/>
    <w:basedOn w:val="DefaultParagraphFont"/>
    <w:rsid w:val="00DC0193"/>
  </w:style>
  <w:style w:type="character" w:customStyle="1" w:styleId="chaptertitle">
    <w:name w:val="chaptertitle"/>
    <w:basedOn w:val="DefaultParagraphFont"/>
    <w:rsid w:val="00DC0193"/>
  </w:style>
  <w:style w:type="character" w:customStyle="1" w:styleId="citation-authors-year">
    <w:name w:val="citation-authors-year"/>
    <w:basedOn w:val="DefaultParagraphFont"/>
    <w:rsid w:val="00DC0193"/>
  </w:style>
  <w:style w:type="character" w:customStyle="1" w:styleId="surname">
    <w:name w:val="surname"/>
    <w:basedOn w:val="DefaultParagraphFont"/>
    <w:rsid w:val="00DC0193"/>
  </w:style>
  <w:style w:type="character" w:customStyle="1" w:styleId="given-names">
    <w:name w:val="given-names"/>
    <w:basedOn w:val="DefaultParagraphFont"/>
    <w:rsid w:val="00DC0193"/>
  </w:style>
  <w:style w:type="character" w:customStyle="1" w:styleId="issue">
    <w:name w:val="issue"/>
    <w:basedOn w:val="DefaultParagraphFont"/>
    <w:rsid w:val="00DC0193"/>
  </w:style>
  <w:style w:type="character" w:customStyle="1" w:styleId="volume">
    <w:name w:val="volume"/>
    <w:basedOn w:val="DefaultParagraphFont"/>
    <w:rsid w:val="00DC0193"/>
  </w:style>
  <w:style w:type="character" w:customStyle="1" w:styleId="source">
    <w:name w:val="source"/>
    <w:basedOn w:val="DefaultParagraphFont"/>
    <w:rsid w:val="00DC0193"/>
  </w:style>
  <w:style w:type="character" w:customStyle="1" w:styleId="fpage">
    <w:name w:val="fpage"/>
    <w:basedOn w:val="DefaultParagraphFont"/>
    <w:rsid w:val="00DC0193"/>
  </w:style>
  <w:style w:type="character" w:customStyle="1" w:styleId="lpage">
    <w:name w:val="lpage"/>
    <w:basedOn w:val="DefaultParagraphFont"/>
    <w:rsid w:val="00DC0193"/>
  </w:style>
  <w:style w:type="paragraph" w:customStyle="1" w:styleId="MDPI13authornames">
    <w:name w:val="MDPI_1.3_authornames"/>
    <w:basedOn w:val="Normal"/>
    <w:next w:val="MDPI14history"/>
    <w:qFormat/>
    <w:rsid w:val="009265B8"/>
    <w:pPr>
      <w:adjustRightInd w:val="0"/>
      <w:snapToGrid w:val="0"/>
      <w:spacing w:after="120" w:line="260" w:lineRule="atLeast"/>
    </w:pPr>
    <w:rPr>
      <w:rFonts w:ascii="Palatino Linotype" w:hAnsi="Palatino Linotype"/>
      <w:b/>
      <w:color w:val="000000"/>
      <w:sz w:val="20"/>
      <w:szCs w:val="22"/>
      <w:lang w:eastAsia="de-DE" w:bidi="en-US"/>
    </w:rPr>
  </w:style>
  <w:style w:type="paragraph" w:customStyle="1" w:styleId="MDPI14history">
    <w:name w:val="MDPI_1.4_history"/>
    <w:basedOn w:val="Normal"/>
    <w:next w:val="Normal"/>
    <w:qFormat/>
    <w:rsid w:val="009265B8"/>
    <w:pPr>
      <w:adjustRightInd w:val="0"/>
      <w:snapToGrid w:val="0"/>
      <w:spacing w:before="120" w:line="200" w:lineRule="atLeast"/>
      <w:ind w:left="113"/>
    </w:pPr>
    <w:rPr>
      <w:rFonts w:ascii="Palatino Linotype" w:hAnsi="Palatino Linotype"/>
      <w:color w:val="000000"/>
      <w:sz w:val="18"/>
      <w:szCs w:val="20"/>
      <w:lang w:eastAsia="de-DE" w:bidi="en-US"/>
    </w:rPr>
  </w:style>
  <w:style w:type="character" w:customStyle="1" w:styleId="fwb">
    <w:name w:val="fwb"/>
    <w:rsid w:val="009265B8"/>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43" w:type="dxa"/>
        <w:right w:w="43" w:type="dxa"/>
      </w:tblCellMar>
    </w:tblPr>
  </w:style>
  <w:style w:type="character" w:styleId="LineNumber">
    <w:name w:val="line number"/>
    <w:basedOn w:val="DefaultParagraphFont"/>
    <w:uiPriority w:val="99"/>
    <w:semiHidden/>
    <w:unhideWhenUsed/>
    <w:rsid w:val="00BA35F9"/>
  </w:style>
  <w:style w:type="character" w:styleId="UnresolvedMention">
    <w:name w:val="Unresolved Mention"/>
    <w:basedOn w:val="DefaultParagraphFont"/>
    <w:uiPriority w:val="99"/>
    <w:semiHidden/>
    <w:unhideWhenUsed/>
    <w:rsid w:val="00E06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nazir@bau.edu.bd" TargetMode="External"/><Relationship Id="rId13" Type="http://schemas.openxmlformats.org/officeDocument/2006/relationships/hyperlink" Target="https://apps.who.int/iris/bitstream/handle/10665/97503/9789241547536_eng.pdf" TargetMode="Externa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pps.who.int/iris/bitstream/handle/10665/97503/9789241547536_eng.pdf" TargetMode="Externa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csr/resources/publications/anthrax_web.pdf"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who.int/csr/resources/publications/AnthraxGuidelines2008/en/index/html" TargetMode="Externa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hyperlink" Target="http://www.who.int/csr/resources/publications/AnthraxGuidelines2008/en/index/html" TargetMode="External"/><Relationship Id="rId14" Type="http://schemas.openxmlformats.org/officeDocument/2006/relationships/image" Target="media/image1.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Shahjahan\Desktop\Thesis%20write%20up\Model%20area%20selection%20Grap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hahjahan\Desktop\Thesis%20write%20up\Model%20area%20selection%20Grap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63885243511228"/>
          <c:y val="3.3672391930733854E-2"/>
          <c:w val="0.72731517935258094"/>
          <c:h val="0.90403854384138749"/>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2"/>
              <c:tx>
                <c:rich>
                  <a:bodyPr/>
                  <a:lstStyle/>
                  <a:p>
                    <a:r>
                      <a:rPr lang="en-US"/>
                      <a:t>35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7BD-4073-AA15-6AB078CB8D2C}"/>
                </c:ext>
              </c:extLst>
            </c:dLbl>
            <c:dLbl>
              <c:idx val="5"/>
              <c:tx>
                <c:rich>
                  <a:bodyPr/>
                  <a:lstStyle/>
                  <a:p>
                    <a:r>
                      <a:rPr lang="en-US"/>
                      <a:t>15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7BD-4073-AA15-6AB078CB8D2C}"/>
                </c:ext>
              </c:extLst>
            </c:dLbl>
            <c:dLbl>
              <c:idx val="6"/>
              <c:tx>
                <c:rich>
                  <a:bodyPr/>
                  <a:lstStyle/>
                  <a:p>
                    <a:r>
                      <a:rPr lang="en-US"/>
                      <a:t>15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7BD-4073-AA15-6AB078CB8D2C}"/>
                </c:ext>
              </c:extLst>
            </c:dLbl>
            <c:spPr>
              <a:noFill/>
              <a:ln>
                <a:noFill/>
              </a:ln>
              <a:effectLst/>
            </c:spPr>
            <c:txPr>
              <a:bodyPr rot="0" vert="horz"/>
              <a:lstStyle/>
              <a:p>
                <a:pPr>
                  <a:defRPr sz="1200" b="1"/>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Sheet4!$A$1:$A$7</c:f>
              <c:strCache>
                <c:ptCount val="7"/>
                <c:pt idx="0">
                  <c:v>Community awarness</c:v>
                </c:pt>
                <c:pt idx="1">
                  <c:v>Farmer's KAP on Livestock management</c:v>
                </c:pt>
                <c:pt idx="2">
                  <c:v>Mass animal vaccination</c:v>
                </c:pt>
                <c:pt idx="3">
                  <c:v>Active and passive surveillance</c:v>
                </c:pt>
                <c:pt idx="4">
                  <c:v>Preparation for Emergency response</c:v>
                </c:pt>
                <c:pt idx="5">
                  <c:v>Disposal of carcass</c:v>
                </c:pt>
                <c:pt idx="6">
                  <c:v>Certification of slaughtering animal</c:v>
                </c:pt>
              </c:strCache>
            </c:strRef>
          </c:cat>
          <c:val>
            <c:numRef>
              <c:f>Sheet4!$B$1:$B$7</c:f>
              <c:numCache>
                <c:formatCode>General</c:formatCode>
                <c:ptCount val="7"/>
                <c:pt idx="0">
                  <c:v>20</c:v>
                </c:pt>
                <c:pt idx="1">
                  <c:v>20</c:v>
                </c:pt>
                <c:pt idx="2">
                  <c:v>35</c:v>
                </c:pt>
                <c:pt idx="3">
                  <c:v>10</c:v>
                </c:pt>
                <c:pt idx="4">
                  <c:v>5</c:v>
                </c:pt>
                <c:pt idx="5">
                  <c:v>15</c:v>
                </c:pt>
                <c:pt idx="6">
                  <c:v>15</c:v>
                </c:pt>
              </c:numCache>
            </c:numRef>
          </c:val>
          <c:extLst>
            <c:ext xmlns:c16="http://schemas.microsoft.com/office/drawing/2014/chart" uri="{C3380CC4-5D6E-409C-BE32-E72D297353CC}">
              <c16:uniqueId val="{00000003-F7BD-4073-AA15-6AB078CB8D2C}"/>
            </c:ext>
          </c:extLst>
        </c:ser>
        <c:dLbls>
          <c:showLegendKey val="0"/>
          <c:showVal val="1"/>
          <c:showCatName val="0"/>
          <c:showSerName val="0"/>
          <c:showPercent val="0"/>
          <c:showBubbleSize val="0"/>
        </c:dLbls>
        <c:gapWidth val="115"/>
        <c:overlap val="-20"/>
        <c:axId val="118974720"/>
        <c:axId val="118972416"/>
      </c:barChart>
      <c:valAx>
        <c:axId val="118972416"/>
        <c:scaling>
          <c:orientation val="minMax"/>
        </c:scaling>
        <c:delete val="0"/>
        <c:axPos val="b"/>
        <c:numFmt formatCode="General" sourceLinked="1"/>
        <c:majorTickMark val="out"/>
        <c:minorTickMark val="none"/>
        <c:tickLblPos val="nextTo"/>
        <c:spPr>
          <a:noFill/>
          <a:ln>
            <a:solidFill>
              <a:schemeClr val="tx1"/>
            </a:solidFill>
          </a:ln>
          <a:effectLst/>
        </c:spPr>
        <c:txPr>
          <a:bodyPr rot="-60000000" vert="horz"/>
          <a:lstStyle/>
          <a:p>
            <a:pPr>
              <a:defRPr/>
            </a:pPr>
            <a:endParaRPr lang="en-US"/>
          </a:p>
        </c:txPr>
        <c:crossAx val="118974720"/>
        <c:crosses val="autoZero"/>
        <c:crossBetween val="between"/>
      </c:valAx>
      <c:catAx>
        <c:axId val="118974720"/>
        <c:scaling>
          <c:orientation val="minMax"/>
        </c:scaling>
        <c:delete val="0"/>
        <c:axPos val="l"/>
        <c:numFmt formatCode="General" sourceLinked="1"/>
        <c:majorTickMark val="out"/>
        <c:minorTickMark val="none"/>
        <c:tickLblPos val="nextTo"/>
        <c:spPr>
          <a:noFill/>
          <a:ln w="12700" cap="flat" cmpd="sng" algn="ctr">
            <a:solidFill>
              <a:schemeClr val="tx1"/>
            </a:solidFill>
            <a:round/>
          </a:ln>
          <a:effectLst/>
        </c:spPr>
        <c:txPr>
          <a:bodyPr rot="-60000000" vert="horz"/>
          <a:lstStyle/>
          <a:p>
            <a:pPr>
              <a:defRPr/>
            </a:pPr>
            <a:endParaRPr lang="en-US"/>
          </a:p>
        </c:txPr>
        <c:crossAx val="118972416"/>
        <c:crosses val="autoZero"/>
        <c:auto val="1"/>
        <c:lblAlgn val="ctr"/>
        <c:lblOffset val="100"/>
        <c:noMultiLvlLbl val="0"/>
      </c:cat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Book Antiqua"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Overall Progress</a:t>
            </a:r>
          </a:p>
        </c:rich>
      </c:tx>
      <c:layout>
        <c:manualLayout>
          <c:xMode val="edge"/>
          <c:yMode val="edge"/>
          <c:x val="0.38355681016231474"/>
          <c:y val="5.5555555555555552E-2"/>
        </c:manualLayout>
      </c:layout>
      <c:overlay val="0"/>
      <c:spPr>
        <a:noFill/>
        <a:ln>
          <a:noFill/>
        </a:ln>
        <a:effectLst/>
      </c:spPr>
    </c:title>
    <c:autoTitleDeleted val="0"/>
    <c:plotArea>
      <c:layout>
        <c:manualLayout>
          <c:layoutTarget val="inner"/>
          <c:xMode val="edge"/>
          <c:yMode val="edge"/>
          <c:x val="0.12220861281228752"/>
          <c:y val="0.10586332958380212"/>
          <c:w val="0.85192425020946771"/>
          <c:h val="0.66076990376202971"/>
        </c:manualLayout>
      </c:layout>
      <c:lineChart>
        <c:grouping val="standard"/>
        <c:varyColors val="0"/>
        <c:ser>
          <c:idx val="0"/>
          <c:order val="0"/>
          <c:tx>
            <c:strRef>
              <c:f>'Progressive control pathways'!$B$11</c:f>
              <c:strCache>
                <c:ptCount val="1"/>
                <c:pt idx="0">
                  <c:v>score</c:v>
                </c:pt>
              </c:strCache>
            </c:strRef>
          </c:tx>
          <c:spPr>
            <a:ln w="38100" cap="rnd">
              <a:solidFill>
                <a:schemeClr val="accent1"/>
              </a:solidFill>
              <a:round/>
            </a:ln>
            <a:effectLst/>
          </c:spPr>
          <c:marker>
            <c:symbol val="none"/>
          </c:marker>
          <c:dLbls>
            <c:spPr>
              <a:noFill/>
              <a:ln>
                <a:noFill/>
              </a:ln>
              <a:effectLst/>
            </c:spPr>
            <c:txPr>
              <a:bodyPr rot="0" vert="horz"/>
              <a:lstStyle/>
              <a:p>
                <a:pPr>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'Progressive control pathways'!$A$12:$A$18</c:f>
              <c:strCache>
                <c:ptCount val="7"/>
                <c:pt idx="0">
                  <c:v>Baseline</c:v>
                </c:pt>
                <c:pt idx="1">
                  <c:v>After 6 months</c:v>
                </c:pt>
                <c:pt idx="2">
                  <c:v>After 12 months</c:v>
                </c:pt>
                <c:pt idx="3">
                  <c:v>After 18 months</c:v>
                </c:pt>
                <c:pt idx="4">
                  <c:v>After 24 months</c:v>
                </c:pt>
                <c:pt idx="5">
                  <c:v>After 30 months</c:v>
                </c:pt>
                <c:pt idx="6">
                  <c:v>After 36 months</c:v>
                </c:pt>
              </c:strCache>
            </c:strRef>
          </c:cat>
          <c:val>
            <c:numRef>
              <c:f>'Progressive control pathways'!$B$12:$B$18</c:f>
              <c:numCache>
                <c:formatCode>General</c:formatCode>
                <c:ptCount val="7"/>
                <c:pt idx="0">
                  <c:v>18</c:v>
                </c:pt>
                <c:pt idx="1">
                  <c:v>38</c:v>
                </c:pt>
                <c:pt idx="2">
                  <c:v>48</c:v>
                </c:pt>
                <c:pt idx="3">
                  <c:v>67</c:v>
                </c:pt>
                <c:pt idx="4">
                  <c:v>82</c:v>
                </c:pt>
                <c:pt idx="5">
                  <c:v>92</c:v>
                </c:pt>
                <c:pt idx="6">
                  <c:v>100</c:v>
                </c:pt>
              </c:numCache>
            </c:numRef>
          </c:val>
          <c:smooth val="0"/>
          <c:extLst>
            <c:ext xmlns:c16="http://schemas.microsoft.com/office/drawing/2014/chart" uri="{C3380CC4-5D6E-409C-BE32-E72D297353CC}">
              <c16:uniqueId val="{00000000-8E97-460E-AC9E-EBB1D551FE58}"/>
            </c:ext>
          </c:extLst>
        </c:ser>
        <c:dLbls>
          <c:showLegendKey val="0"/>
          <c:showVal val="0"/>
          <c:showCatName val="0"/>
          <c:showSerName val="0"/>
          <c:showPercent val="0"/>
          <c:showBubbleSize val="0"/>
        </c:dLbls>
        <c:smooth val="0"/>
        <c:axId val="119014912"/>
        <c:axId val="119016832"/>
      </c:lineChart>
      <c:catAx>
        <c:axId val="119014912"/>
        <c:scaling>
          <c:orientation val="minMax"/>
        </c:scaling>
        <c:delete val="0"/>
        <c:axPos val="b"/>
        <c:title>
          <c:tx>
            <c:rich>
              <a:bodyPr rot="0" vert="horz"/>
              <a:lstStyle/>
              <a:p>
                <a:pPr>
                  <a:defRPr/>
                </a:pPr>
                <a:r>
                  <a:rPr lang="en-US"/>
                  <a:t>Months</a:t>
                </a:r>
              </a:p>
            </c:rich>
          </c:tx>
          <c:layout>
            <c:manualLayout>
              <c:xMode val="edge"/>
              <c:yMode val="edge"/>
              <c:x val="0.48923072242172078"/>
              <c:y val="0.93727252843394548"/>
            </c:manualLayout>
          </c:layout>
          <c:overlay val="0"/>
          <c:spPr>
            <a:noFill/>
            <a:ln>
              <a:noFill/>
            </a:ln>
            <a:effectLst/>
          </c:spPr>
        </c:title>
        <c:numFmt formatCode="General" sourceLinked="1"/>
        <c:majorTickMark val="out"/>
        <c:minorTickMark val="none"/>
        <c:tickLblPos val="nextTo"/>
        <c:spPr>
          <a:noFill/>
          <a:ln w="9525" cap="flat" cmpd="sng" algn="ctr">
            <a:solidFill>
              <a:schemeClr val="tx1"/>
            </a:solidFill>
            <a:round/>
          </a:ln>
          <a:effectLst/>
        </c:spPr>
        <c:txPr>
          <a:bodyPr rot="-60000000" vert="horz"/>
          <a:lstStyle/>
          <a:p>
            <a:pPr>
              <a:defRPr/>
            </a:pPr>
            <a:endParaRPr lang="en-US"/>
          </a:p>
        </c:txPr>
        <c:crossAx val="119016832"/>
        <c:crosses val="autoZero"/>
        <c:auto val="1"/>
        <c:lblAlgn val="ctr"/>
        <c:lblOffset val="100"/>
        <c:noMultiLvlLbl val="0"/>
      </c:catAx>
      <c:valAx>
        <c:axId val="119016832"/>
        <c:scaling>
          <c:orientation val="minMax"/>
        </c:scaling>
        <c:delete val="0"/>
        <c:axPos val="l"/>
        <c:title>
          <c:tx>
            <c:rich>
              <a:bodyPr rot="-5400000" vert="horz"/>
              <a:lstStyle/>
              <a:p>
                <a:pPr>
                  <a:defRPr/>
                </a:pPr>
                <a:r>
                  <a:rPr lang="en-US"/>
                  <a:t>Score</a:t>
                </a:r>
              </a:p>
            </c:rich>
          </c:tx>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vert="horz"/>
          <a:lstStyle/>
          <a:p>
            <a:pPr>
              <a:defRPr/>
            </a:pPr>
            <a:endParaRPr lang="en-US"/>
          </a:p>
        </c:txPr>
        <c:crossAx val="1190149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Book Antiqua"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56141685883843"/>
          <c:y val="5.320185671235509E-2"/>
          <c:w val="0.87041990725310181"/>
          <c:h val="0.8056068338679887"/>
        </c:manualLayout>
      </c:layout>
      <c:barChart>
        <c:barDir val="col"/>
        <c:grouping val="stacked"/>
        <c:varyColors val="0"/>
        <c:ser>
          <c:idx val="0"/>
          <c:order val="0"/>
          <c:tx>
            <c:strRef>
              <c:f>'Anthrax status in Model area'!$E$4</c:f>
              <c:strCache>
                <c:ptCount val="1"/>
                <c:pt idx="0">
                  <c:v>Animal case</c:v>
                </c:pt>
              </c:strCache>
            </c:strRef>
          </c:tx>
          <c:spPr>
            <a:solidFill>
              <a:schemeClr val="accent1"/>
            </a:solidFill>
            <a:ln w="12700">
              <a:solidFill>
                <a:srgbClr val="000000"/>
              </a:solidFill>
            </a:ln>
            <a:effectLst/>
          </c:spPr>
          <c:invertIfNegative val="0"/>
          <c:dLbls>
            <c:spPr>
              <a:noFill/>
              <a:ln>
                <a:noFill/>
              </a:ln>
              <a:effectLst/>
            </c:spPr>
            <c:txPr>
              <a:bodyPr rot="0" vert="horz"/>
              <a:lstStyle/>
              <a:p>
                <a:pPr>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'Anthrax status in Model area'!$F$3:$P$3</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'Anthrax status in Model area'!$F$4:$P$4</c:f>
              <c:numCache>
                <c:formatCode>General</c:formatCode>
                <c:ptCount val="11"/>
                <c:pt idx="0">
                  <c:v>10</c:v>
                </c:pt>
                <c:pt idx="1">
                  <c:v>1</c:v>
                </c:pt>
                <c:pt idx="2">
                  <c:v>2</c:v>
                </c:pt>
                <c:pt idx="3">
                  <c:v>0</c:v>
                </c:pt>
                <c:pt idx="4">
                  <c:v>1</c:v>
                </c:pt>
                <c:pt idx="5">
                  <c:v>0</c:v>
                </c:pt>
                <c:pt idx="6">
                  <c:v>3</c:v>
                </c:pt>
                <c:pt idx="7">
                  <c:v>0</c:v>
                </c:pt>
                <c:pt idx="8">
                  <c:v>0</c:v>
                </c:pt>
                <c:pt idx="9">
                  <c:v>0</c:v>
                </c:pt>
                <c:pt idx="10">
                  <c:v>0</c:v>
                </c:pt>
              </c:numCache>
            </c:numRef>
          </c:val>
          <c:extLst>
            <c:ext xmlns:c16="http://schemas.microsoft.com/office/drawing/2014/chart" uri="{C3380CC4-5D6E-409C-BE32-E72D297353CC}">
              <c16:uniqueId val="{00000000-8B76-4214-8C45-EC4A42C605F3}"/>
            </c:ext>
          </c:extLst>
        </c:ser>
        <c:ser>
          <c:idx val="1"/>
          <c:order val="1"/>
          <c:tx>
            <c:strRef>
              <c:f>'Anthrax status in Model area'!$E$5</c:f>
              <c:strCache>
                <c:ptCount val="1"/>
                <c:pt idx="0">
                  <c:v>Human case (Cutaneous anthrax)</c:v>
                </c:pt>
              </c:strCache>
            </c:strRef>
          </c:tx>
          <c:spPr>
            <a:solidFill>
              <a:schemeClr val="accent6">
                <a:lumMod val="75000"/>
              </a:schemeClr>
            </a:solidFill>
            <a:ln w="12700">
              <a:solidFill>
                <a:srgbClr val="000000"/>
              </a:solidFill>
            </a:ln>
            <a:effectLst/>
          </c:spPr>
          <c:invertIfNegative val="0"/>
          <c:dLbls>
            <c:spPr>
              <a:noFill/>
              <a:ln>
                <a:noFill/>
              </a:ln>
              <a:effectLst/>
            </c:spPr>
            <c:txPr>
              <a:bodyPr rot="0" vert="horz"/>
              <a:lstStyle/>
              <a:p>
                <a:pPr>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'Anthrax status in Model area'!$F$3:$P$3</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'Anthrax status in Model area'!$F$5:$P$5</c:f>
              <c:numCache>
                <c:formatCode>General</c:formatCode>
                <c:ptCount val="11"/>
                <c:pt idx="0">
                  <c:v>29</c:v>
                </c:pt>
                <c:pt idx="1">
                  <c:v>0</c:v>
                </c:pt>
                <c:pt idx="2">
                  <c:v>8</c:v>
                </c:pt>
                <c:pt idx="3">
                  <c:v>0</c:v>
                </c:pt>
                <c:pt idx="4">
                  <c:v>0</c:v>
                </c:pt>
                <c:pt idx="5">
                  <c:v>0</c:v>
                </c:pt>
                <c:pt idx="6">
                  <c:v>19</c:v>
                </c:pt>
                <c:pt idx="7">
                  <c:v>0</c:v>
                </c:pt>
                <c:pt idx="8">
                  <c:v>0</c:v>
                </c:pt>
                <c:pt idx="9">
                  <c:v>0</c:v>
                </c:pt>
                <c:pt idx="10">
                  <c:v>0</c:v>
                </c:pt>
              </c:numCache>
            </c:numRef>
          </c:val>
          <c:extLst>
            <c:ext xmlns:c16="http://schemas.microsoft.com/office/drawing/2014/chart" uri="{C3380CC4-5D6E-409C-BE32-E72D297353CC}">
              <c16:uniqueId val="{00000001-8B76-4214-8C45-EC4A42C605F3}"/>
            </c:ext>
          </c:extLst>
        </c:ser>
        <c:dLbls>
          <c:showLegendKey val="0"/>
          <c:showVal val="1"/>
          <c:showCatName val="0"/>
          <c:showSerName val="0"/>
          <c:showPercent val="0"/>
          <c:showBubbleSize val="0"/>
        </c:dLbls>
        <c:gapWidth val="50"/>
        <c:overlap val="100"/>
        <c:axId val="125462016"/>
        <c:axId val="125463936"/>
      </c:barChart>
      <c:catAx>
        <c:axId val="125462016"/>
        <c:scaling>
          <c:orientation val="minMax"/>
        </c:scaling>
        <c:delete val="0"/>
        <c:axPos val="b"/>
        <c:title>
          <c:tx>
            <c:rich>
              <a:bodyPr rot="0" vert="horz"/>
              <a:lstStyle/>
              <a:p>
                <a:pPr>
                  <a:defRPr>
                    <a:solidFill>
                      <a:schemeClr val="tx1"/>
                    </a:solidFill>
                  </a:defRPr>
                </a:pPr>
                <a:r>
                  <a:rPr lang="en-US">
                    <a:solidFill>
                      <a:schemeClr val="tx1"/>
                    </a:solidFill>
                  </a:rPr>
                  <a:t>Year</a:t>
                </a:r>
              </a:p>
            </c:rich>
          </c:tx>
          <c:layout>
            <c:manualLayout>
              <c:xMode val="edge"/>
              <c:yMode val="edge"/>
              <c:x val="0.49201216208671888"/>
              <c:y val="0.93872897832215463"/>
            </c:manualLayout>
          </c:layout>
          <c:overlay val="0"/>
          <c:spPr>
            <a:noFill/>
            <a:ln>
              <a:noFill/>
            </a:ln>
            <a:effectLst/>
          </c:spPr>
        </c:title>
        <c:numFmt formatCode="General" sourceLinked="1"/>
        <c:majorTickMark val="out"/>
        <c:minorTickMark val="none"/>
        <c:tickLblPos val="nextTo"/>
        <c:spPr>
          <a:noFill/>
          <a:ln w="9525" cap="flat" cmpd="sng" algn="ctr">
            <a:solidFill>
              <a:schemeClr val="tx1"/>
            </a:solidFill>
            <a:round/>
          </a:ln>
          <a:effectLst/>
        </c:spPr>
        <c:txPr>
          <a:bodyPr rot="-60000000" vert="horz"/>
          <a:lstStyle/>
          <a:p>
            <a:pPr>
              <a:defRPr/>
            </a:pPr>
            <a:endParaRPr lang="en-US"/>
          </a:p>
        </c:txPr>
        <c:crossAx val="125463936"/>
        <c:crosses val="autoZero"/>
        <c:auto val="1"/>
        <c:lblAlgn val="ctr"/>
        <c:lblOffset val="100"/>
        <c:noMultiLvlLbl val="0"/>
      </c:catAx>
      <c:valAx>
        <c:axId val="125463936"/>
        <c:scaling>
          <c:orientation val="minMax"/>
        </c:scaling>
        <c:delete val="0"/>
        <c:axPos val="l"/>
        <c:title>
          <c:tx>
            <c:rich>
              <a:bodyPr rot="-5400000" vert="horz"/>
              <a:lstStyle/>
              <a:p>
                <a:pPr>
                  <a:defRPr>
                    <a:solidFill>
                      <a:schemeClr val="tx1"/>
                    </a:solidFill>
                  </a:defRPr>
                </a:pPr>
                <a:r>
                  <a:rPr lang="en-US">
                    <a:solidFill>
                      <a:schemeClr val="tx1"/>
                    </a:solidFill>
                  </a:rPr>
                  <a:t>Percentage (%)</a:t>
                </a:r>
              </a:p>
            </c:rich>
          </c:tx>
          <c:layout>
            <c:manualLayout>
              <c:xMode val="edge"/>
              <c:yMode val="edge"/>
              <c:x val="1.7644106964034779E-2"/>
              <c:y val="0.34895426826927994"/>
            </c:manualLayout>
          </c:layout>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vert="horz"/>
          <a:lstStyle/>
          <a:p>
            <a:pPr>
              <a:defRPr/>
            </a:pPr>
            <a:endParaRPr lang="en-US"/>
          </a:p>
        </c:txPr>
        <c:crossAx val="125462016"/>
        <c:crosses val="autoZero"/>
        <c:crossBetween val="between"/>
      </c:valAx>
      <c:spPr>
        <a:noFill/>
        <a:ln>
          <a:noFill/>
        </a:ln>
        <a:effectLst/>
      </c:spPr>
    </c:plotArea>
    <c:legend>
      <c:legendPos val="b"/>
      <c:legendEntry>
        <c:idx val="0"/>
        <c:txPr>
          <a:bodyPr rot="0" vert="horz"/>
          <a:lstStyle/>
          <a:p>
            <a:pPr>
              <a:defRPr/>
            </a:pPr>
            <a:endParaRPr lang="en-US"/>
          </a:p>
        </c:txPr>
      </c:legendEntry>
      <c:legendEntry>
        <c:idx val="1"/>
        <c:txPr>
          <a:bodyPr rot="0" vert="horz"/>
          <a:lstStyle/>
          <a:p>
            <a:pPr>
              <a:defRPr/>
            </a:pPr>
            <a:endParaRPr lang="en-US"/>
          </a:p>
        </c:txPr>
      </c:legendEntry>
      <c:layout>
        <c:manualLayout>
          <c:xMode val="edge"/>
          <c:yMode val="edge"/>
          <c:x val="0.28362687596457042"/>
          <c:y val="8.7934529017206206E-2"/>
          <c:w val="0.48525041252453865"/>
          <c:h val="0.13588485467094388"/>
        </c:manualLayout>
      </c:layout>
      <c:overlay val="0"/>
      <c:spPr>
        <a:noFill/>
        <a:ln>
          <a:noFill/>
        </a:ln>
        <a:effectLst/>
      </c:spPr>
      <c:txPr>
        <a:bodyPr rot="0" vert="horz"/>
        <a:lstStyle/>
        <a:p>
          <a:pPr>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Book Antiqua"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j1WoIIr6qmmbYYYcDHyNB49X9A==">AMUW2mWfcSvlaaog3FEkj0Noiv+w5L7+LErx89Glm0pIIILWreOOgfP/0kgj6TbEQIOnyhusCbPtUepGKXpVQ4qtjcCqWgvciV/iXEFfSlNgkLeiWI4PKKdK0PKsTXsD+VjwD7k6PwZgrlf5DrIJZkdsi+BFNQPUBMnjbJ1za9i3kDhQiqogGwc6FXNXmKU5Jql8ktqn8MR1RQzLelVIxc1w47302Gm6ig==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29</Pages>
  <Words>9346</Words>
  <Characters>53274</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Kancha Narayan Shrestha</dc:creator>
  <cp:lastModifiedBy>shahjahan sarker</cp:lastModifiedBy>
  <cp:revision>37</cp:revision>
  <dcterms:created xsi:type="dcterms:W3CDTF">2022-04-12T03:47:00Z</dcterms:created>
  <dcterms:modified xsi:type="dcterms:W3CDTF">2022-04-17T04:23:00Z</dcterms:modified>
</cp:coreProperties>
</file>