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C4710" w14:textId="77777777" w:rsidR="00E43A15" w:rsidRDefault="00E43A15" w:rsidP="00E43A15">
      <w:pPr>
        <w:pStyle w:val="NoSpacing"/>
        <w:suppressLineNumbers/>
        <w:rPr>
          <w:b/>
        </w:rPr>
      </w:pPr>
      <w:bookmarkStart w:id="0" w:name="_Toc50540968"/>
      <w:bookmarkStart w:id="1" w:name="_Toc50540973"/>
      <w:r>
        <w:rPr>
          <w:b/>
        </w:rPr>
        <w:t>Title</w:t>
      </w:r>
    </w:p>
    <w:bookmarkEnd w:id="0"/>
    <w:p w14:paraId="342F2CD2" w14:textId="77777777" w:rsidR="00E43A15" w:rsidRDefault="00E43A15" w:rsidP="00E43A15">
      <w:pPr>
        <w:pStyle w:val="NoSpacing"/>
        <w:suppressLineNumbers/>
      </w:pPr>
      <w:r>
        <w:t>Non-native grazers affect physiological and demographic responses of Greater Sage-grouse</w:t>
      </w:r>
    </w:p>
    <w:p w14:paraId="10D74AD6" w14:textId="77777777" w:rsidR="00E43A15" w:rsidRDefault="00E43A15" w:rsidP="00E43A15">
      <w:pPr>
        <w:pStyle w:val="NoSpacing"/>
        <w:suppressLineNumbers/>
      </w:pPr>
    </w:p>
    <w:p w14:paraId="2E5E9F5A" w14:textId="77777777" w:rsidR="00E43A15" w:rsidRDefault="00E43A15" w:rsidP="00E43A15">
      <w:pPr>
        <w:pStyle w:val="NoSpacing"/>
        <w:suppressLineNumbers/>
        <w:rPr>
          <w:b/>
        </w:rPr>
      </w:pPr>
      <w:bookmarkStart w:id="2" w:name="_Toc50540969"/>
      <w:r>
        <w:rPr>
          <w:b/>
        </w:rPr>
        <w:t>Authors</w:t>
      </w:r>
    </w:p>
    <w:p w14:paraId="7F140E97" w14:textId="77777777" w:rsidR="00E43A15" w:rsidRDefault="00E43A15" w:rsidP="00E43A15">
      <w:pPr>
        <w:pStyle w:val="NoSpacing"/>
        <w:suppressLineNumbers/>
        <w:rPr>
          <w:vertAlign w:val="superscript"/>
        </w:rPr>
      </w:pPr>
      <w:r>
        <w:t>Tessa L. Behnke</w:t>
      </w:r>
      <w:r>
        <w:rPr>
          <w:vertAlign w:val="superscript"/>
        </w:rPr>
        <w:t>1</w:t>
      </w:r>
      <w:proofErr w:type="gramStart"/>
      <w:r>
        <w:rPr>
          <w:vertAlign w:val="superscript"/>
        </w:rPr>
        <w:t>,2</w:t>
      </w:r>
      <w:proofErr w:type="gramEnd"/>
      <w:r>
        <w:rPr>
          <w:vertAlign w:val="superscript"/>
        </w:rPr>
        <w:t>*</w:t>
      </w:r>
      <w:r>
        <w:t>, Phillip A. Street</w:t>
      </w:r>
      <w:r>
        <w:rPr>
          <w:vertAlign w:val="superscript"/>
        </w:rPr>
        <w:t>2</w:t>
      </w:r>
      <w:r>
        <w:t>, Scott Davies</w:t>
      </w:r>
      <w:r>
        <w:rPr>
          <w:vertAlign w:val="superscript"/>
        </w:rPr>
        <w:t>3</w:t>
      </w:r>
      <w:r>
        <w:t>, Jenny Q. Ouyang</w:t>
      </w:r>
      <w:bookmarkEnd w:id="2"/>
      <w:r>
        <w:rPr>
          <w:vertAlign w:val="superscript"/>
        </w:rPr>
        <w:t>1</w:t>
      </w:r>
      <w:r>
        <w:t>, James S. Sedinger</w:t>
      </w:r>
      <w:r>
        <w:rPr>
          <w:vertAlign w:val="superscript"/>
        </w:rPr>
        <w:t>2</w:t>
      </w:r>
    </w:p>
    <w:p w14:paraId="3F80C153" w14:textId="77777777" w:rsidR="00E43A15" w:rsidRDefault="00E43A15" w:rsidP="00E43A15">
      <w:pPr>
        <w:pStyle w:val="NoSpacing"/>
        <w:suppressLineNumbers/>
        <w:rPr>
          <w:vertAlign w:val="superscript"/>
        </w:rPr>
      </w:pPr>
    </w:p>
    <w:p w14:paraId="49855A67" w14:textId="77777777" w:rsidR="00E43A15" w:rsidRDefault="00E43A15" w:rsidP="00E43A15">
      <w:pPr>
        <w:pStyle w:val="NoSpacing"/>
        <w:suppressLineNumbers/>
      </w:pPr>
      <w:r>
        <w:rPr>
          <w:vertAlign w:val="superscript"/>
        </w:rPr>
        <w:t xml:space="preserve">1 </w:t>
      </w:r>
      <w:r>
        <w:t>Program in Ecology, Evolution, and Conservation Biology, University of Nevada – Reno, Reno, Nevada</w:t>
      </w:r>
    </w:p>
    <w:p w14:paraId="1BEA05AD" w14:textId="77777777" w:rsidR="00E43A15" w:rsidRDefault="00E43A15" w:rsidP="00E43A15">
      <w:pPr>
        <w:pStyle w:val="NoSpacing"/>
        <w:suppressLineNumbers/>
        <w:rPr>
          <w:vertAlign w:val="superscript"/>
        </w:rPr>
      </w:pPr>
      <w:r>
        <w:rPr>
          <w:vertAlign w:val="superscript"/>
        </w:rPr>
        <w:t>2</w:t>
      </w:r>
      <w:r>
        <w:t>Department of Natural Resources and Environmental Science, University of Nevada – Reno, Reno, Nevada</w:t>
      </w:r>
      <w:r>
        <w:rPr>
          <w:vertAlign w:val="superscript"/>
        </w:rPr>
        <w:t xml:space="preserve"> </w:t>
      </w:r>
    </w:p>
    <w:p w14:paraId="7BE872AB" w14:textId="77777777" w:rsidR="00E43A15" w:rsidRDefault="00E43A15" w:rsidP="00E43A15">
      <w:pPr>
        <w:pStyle w:val="NoSpacing"/>
        <w:suppressLineNumbers/>
      </w:pPr>
      <w:r>
        <w:rPr>
          <w:vertAlign w:val="superscript"/>
        </w:rPr>
        <w:t>3</w:t>
      </w:r>
      <w:r>
        <w:t>Department of Biological Sciences, Quinnipiac University, Hamden, Connecticut</w:t>
      </w:r>
    </w:p>
    <w:p w14:paraId="1F840C80" w14:textId="77777777" w:rsidR="00E43A15" w:rsidRDefault="00E43A15" w:rsidP="00E43A15">
      <w:pPr>
        <w:suppressLineNumbers/>
      </w:pPr>
      <w:r>
        <w:t xml:space="preserve">*Corresponding Author: Tessa L. Behnke, </w:t>
      </w:r>
      <w:hyperlink r:id="rId8" w:history="1">
        <w:r>
          <w:rPr>
            <w:rStyle w:val="Hyperlink"/>
          </w:rPr>
          <w:t>tlbehnke@gmail.com</w:t>
        </w:r>
      </w:hyperlink>
    </w:p>
    <w:p w14:paraId="27E04013" w14:textId="77777777" w:rsidR="00E43A15" w:rsidRDefault="00E43A15" w:rsidP="00E43A15">
      <w:pPr>
        <w:suppressLineNumbers/>
      </w:pPr>
    </w:p>
    <w:p w14:paraId="6106EDDF" w14:textId="77777777" w:rsidR="00E43A15" w:rsidRDefault="00E43A15" w:rsidP="00E43A15">
      <w:pPr>
        <w:pStyle w:val="NoSpacing"/>
        <w:suppressLineNumbers/>
        <w:rPr>
          <w:b/>
        </w:rPr>
      </w:pPr>
      <w:r>
        <w:rPr>
          <w:b/>
        </w:rPr>
        <w:t>Acknowledgements</w:t>
      </w:r>
    </w:p>
    <w:p w14:paraId="61E05D1A" w14:textId="77777777" w:rsidR="00E43A15" w:rsidRDefault="00E43A15" w:rsidP="00E43A15">
      <w:pPr>
        <w:pStyle w:val="NoSpacing"/>
        <w:suppressLineNumbers/>
      </w:pPr>
      <w:r>
        <w:t xml:space="preserve">Funding for this project was provided by the Greater Hart-Sheldon Conservation Fund, Nevada Department of Wildlife, Oregon Department of Fish and Wildlife, U.S. Fish and Wildlife Service, U.S. Bureau of Land Management, and the Nevada </w:t>
      </w:r>
      <w:proofErr w:type="spellStart"/>
      <w:r>
        <w:t>Chukar</w:t>
      </w:r>
      <w:proofErr w:type="spellEnd"/>
      <w:r>
        <w:t xml:space="preserve"> Foundation. Additional thanks to the Hart-Sheldon National Wildlife Refuge staff and the Applegate Office of the BLM for logistical support. Thank you to the dozens of technicians that collected the field data.  </w:t>
      </w:r>
    </w:p>
    <w:p w14:paraId="77608728" w14:textId="77777777" w:rsidR="00E43A15" w:rsidRDefault="00E43A15" w:rsidP="00E43A15">
      <w:pPr>
        <w:pStyle w:val="NoSpacing"/>
        <w:suppressLineNumbers/>
      </w:pPr>
    </w:p>
    <w:p w14:paraId="4D2E0C21" w14:textId="77777777" w:rsidR="00E43A15" w:rsidRDefault="00E43A15" w:rsidP="00E43A15">
      <w:pPr>
        <w:pStyle w:val="NoSpacing"/>
        <w:suppressLineNumbers/>
        <w:rPr>
          <w:b/>
        </w:rPr>
      </w:pPr>
      <w:r>
        <w:rPr>
          <w:b/>
        </w:rPr>
        <w:t>Conflict of Interest</w:t>
      </w:r>
    </w:p>
    <w:p w14:paraId="7A943EE7" w14:textId="77777777" w:rsidR="00E43A15" w:rsidRDefault="00E43A15" w:rsidP="00E43A15">
      <w:pPr>
        <w:pStyle w:val="NoSpacing"/>
        <w:suppressLineNumbers/>
      </w:pPr>
      <w:r>
        <w:t>The authors declare no commercial or financial relationships generating a conflict of interest in this work.</w:t>
      </w:r>
    </w:p>
    <w:p w14:paraId="243E19DB" w14:textId="77777777" w:rsidR="00E43A15" w:rsidRDefault="00E43A15" w:rsidP="00E43A15">
      <w:pPr>
        <w:pStyle w:val="NoSpacing"/>
        <w:suppressLineNumbers/>
      </w:pPr>
    </w:p>
    <w:p w14:paraId="7D72BCCC" w14:textId="77777777" w:rsidR="00E43A15" w:rsidRDefault="00E43A15" w:rsidP="00E43A15">
      <w:pPr>
        <w:pStyle w:val="NoSpacing"/>
        <w:suppressLineNumbers/>
        <w:rPr>
          <w:b/>
        </w:rPr>
      </w:pPr>
      <w:r>
        <w:rPr>
          <w:b/>
        </w:rPr>
        <w:t>Authors’ contributions</w:t>
      </w:r>
    </w:p>
    <w:p w14:paraId="35C1E0EF" w14:textId="77777777" w:rsidR="00E43A15" w:rsidRDefault="00E43A15" w:rsidP="00E43A15">
      <w:pPr>
        <w:pStyle w:val="NoSpacing"/>
        <w:suppressLineNumbers/>
      </w:pPr>
      <w:r>
        <w:t xml:space="preserve">TB, JO, JS, and PS conceived the ideas and designed the methods; TB and PS collected the field data; SD conducted the laboratory work; TB and PS analyzed the data; TB led writing of the manuscript. All authors contributed significantly to revision of the manuscript and gave final publication approval. </w:t>
      </w:r>
    </w:p>
    <w:p w14:paraId="69DF105B" w14:textId="77777777" w:rsidR="00E43A15" w:rsidRDefault="00E43A15" w:rsidP="00E43A15">
      <w:pPr>
        <w:pStyle w:val="NoSpacing"/>
        <w:suppressLineNumbers/>
      </w:pPr>
    </w:p>
    <w:p w14:paraId="2D83639A" w14:textId="77777777" w:rsidR="00E43A15" w:rsidRDefault="00E43A15" w:rsidP="00E43A15">
      <w:pPr>
        <w:pStyle w:val="NoSpacing"/>
        <w:suppressLineNumbers/>
        <w:rPr>
          <w:b/>
        </w:rPr>
      </w:pPr>
      <w:r>
        <w:rPr>
          <w:b/>
        </w:rPr>
        <w:t>Data Availability</w:t>
      </w:r>
    </w:p>
    <w:p w14:paraId="2490DE0B" w14:textId="31DCE7A9" w:rsidR="00E43A15" w:rsidRDefault="00E43A15" w:rsidP="00E43A15">
      <w:pPr>
        <w:pStyle w:val="NoSpacing"/>
        <w:suppressLineNumbers/>
        <w:rPr>
          <w:b/>
        </w:rPr>
      </w:pPr>
      <w:r>
        <w:t xml:space="preserve">Data and R code will be archived in Dryad after acceptance. </w:t>
      </w:r>
    </w:p>
    <w:p w14:paraId="0499C4BF" w14:textId="77777777" w:rsidR="00E43A15" w:rsidRDefault="00E43A15" w:rsidP="00E43A15">
      <w:pPr>
        <w:pStyle w:val="Heading2"/>
        <w:suppressLineNumbers/>
        <w:spacing w:line="480" w:lineRule="auto"/>
      </w:pPr>
    </w:p>
    <w:p w14:paraId="73B10889" w14:textId="77777777" w:rsidR="00E43A15" w:rsidRDefault="00E43A15" w:rsidP="00E43A15">
      <w:pPr>
        <w:pStyle w:val="Heading2"/>
        <w:suppressLineNumbers/>
        <w:spacing w:line="480" w:lineRule="auto"/>
      </w:pPr>
    </w:p>
    <w:p w14:paraId="1CA58D30" w14:textId="77777777" w:rsidR="00E43A15" w:rsidRDefault="00E43A15" w:rsidP="00E43A15">
      <w:pPr>
        <w:pStyle w:val="Heading2"/>
        <w:suppressLineNumbers/>
        <w:spacing w:line="480" w:lineRule="auto"/>
      </w:pPr>
    </w:p>
    <w:p w14:paraId="0177CDBD" w14:textId="77777777" w:rsidR="00E43A15" w:rsidRDefault="00E43A15" w:rsidP="00E43A15">
      <w:pPr>
        <w:pStyle w:val="Heading2"/>
        <w:suppressLineNumbers/>
        <w:spacing w:line="480" w:lineRule="auto"/>
      </w:pPr>
    </w:p>
    <w:p w14:paraId="600CB80D" w14:textId="77777777" w:rsidR="00E43A15" w:rsidRDefault="00E43A15" w:rsidP="00E43A15">
      <w:pPr>
        <w:pStyle w:val="Heading2"/>
        <w:suppressLineNumbers/>
        <w:spacing w:line="480" w:lineRule="auto"/>
      </w:pPr>
    </w:p>
    <w:p w14:paraId="13001338" w14:textId="5022BF2B" w:rsidR="00831B84" w:rsidRPr="000032CC" w:rsidRDefault="00831B84" w:rsidP="00831B84">
      <w:pPr>
        <w:pStyle w:val="Heading2"/>
        <w:spacing w:line="480" w:lineRule="auto"/>
      </w:pPr>
      <w:r w:rsidRPr="000032CC">
        <w:lastRenderedPageBreak/>
        <w:t>Abstract</w:t>
      </w:r>
    </w:p>
    <w:p w14:paraId="17A3E300" w14:textId="02BDC60D" w:rsidR="00D86431" w:rsidRDefault="00831B84" w:rsidP="00D86431">
      <w:pPr>
        <w:pStyle w:val="ListParagraph"/>
        <w:numPr>
          <w:ilvl w:val="0"/>
          <w:numId w:val="11"/>
        </w:numPr>
        <w:spacing w:line="480" w:lineRule="auto"/>
        <w:rPr>
          <w:rFonts w:cs="Times New Roman"/>
        </w:rPr>
      </w:pPr>
      <w:r w:rsidRPr="000E08D5">
        <w:rPr>
          <w:rFonts w:cs="Times New Roman"/>
        </w:rPr>
        <w:t xml:space="preserve">Non-native ungulate grazing has </w:t>
      </w:r>
      <w:r w:rsidR="00710015">
        <w:rPr>
          <w:rFonts w:cs="Times New Roman"/>
        </w:rPr>
        <w:t>negatively impacted</w:t>
      </w:r>
      <w:r w:rsidR="00710015" w:rsidRPr="000E08D5">
        <w:rPr>
          <w:rFonts w:cs="Times New Roman"/>
        </w:rPr>
        <w:t xml:space="preserve"> </w:t>
      </w:r>
      <w:r w:rsidRPr="000E08D5">
        <w:rPr>
          <w:rFonts w:cs="Times New Roman"/>
        </w:rPr>
        <w:t xml:space="preserve">native species across the globe, </w:t>
      </w:r>
      <w:r w:rsidR="00DF31FD">
        <w:rPr>
          <w:rFonts w:cs="Times New Roman"/>
        </w:rPr>
        <w:t>leading to massive loss of biodiversity and ecosystem services</w:t>
      </w:r>
      <w:r w:rsidRPr="000E08D5">
        <w:rPr>
          <w:rFonts w:cs="Times New Roman"/>
        </w:rPr>
        <w:t>. Despite th</w:t>
      </w:r>
      <w:r w:rsidR="007D0F02">
        <w:rPr>
          <w:rFonts w:cs="Times New Roman"/>
        </w:rPr>
        <w:t>eir</w:t>
      </w:r>
      <w:r w:rsidRPr="000E08D5">
        <w:rPr>
          <w:rFonts w:cs="Times New Roman"/>
        </w:rPr>
        <w:t xml:space="preserve"> pervasiveness, interactions between </w:t>
      </w:r>
      <w:r w:rsidR="00706310">
        <w:rPr>
          <w:rFonts w:cs="Times New Roman"/>
        </w:rPr>
        <w:t xml:space="preserve">non-native </w:t>
      </w:r>
      <w:r w:rsidRPr="000E08D5">
        <w:rPr>
          <w:rFonts w:cs="Times New Roman"/>
        </w:rPr>
        <w:t xml:space="preserve">grazers and native species are not fully understood. We often </w:t>
      </w:r>
      <w:r w:rsidR="00890C64">
        <w:rPr>
          <w:rFonts w:cs="Times New Roman"/>
        </w:rPr>
        <w:t>observe declines in</w:t>
      </w:r>
      <w:r w:rsidRPr="000E08D5">
        <w:rPr>
          <w:rFonts w:cs="Times New Roman"/>
        </w:rPr>
        <w:t xml:space="preserve"> demography or survival of these </w:t>
      </w:r>
      <w:r w:rsidR="00890C64">
        <w:rPr>
          <w:rFonts w:cs="Times New Roman"/>
        </w:rPr>
        <w:t xml:space="preserve">native </w:t>
      </w:r>
      <w:r w:rsidRPr="000E08D5">
        <w:rPr>
          <w:rFonts w:cs="Times New Roman"/>
        </w:rPr>
        <w:t xml:space="preserve">species, </w:t>
      </w:r>
      <w:r w:rsidR="00710015">
        <w:rPr>
          <w:rFonts w:cs="Times New Roman"/>
        </w:rPr>
        <w:t xml:space="preserve">but </w:t>
      </w:r>
      <w:r w:rsidR="00890C64">
        <w:rPr>
          <w:rFonts w:cs="Times New Roman"/>
        </w:rPr>
        <w:t>lack</w:t>
      </w:r>
      <w:r w:rsidRPr="000E08D5">
        <w:rPr>
          <w:rFonts w:cs="Times New Roman"/>
        </w:rPr>
        <w:t xml:space="preserve"> understand</w:t>
      </w:r>
      <w:r w:rsidR="00890C64">
        <w:rPr>
          <w:rFonts w:cs="Times New Roman"/>
        </w:rPr>
        <w:t>ing</w:t>
      </w:r>
      <w:r w:rsidRPr="000E08D5">
        <w:rPr>
          <w:rFonts w:cs="Times New Roman"/>
        </w:rPr>
        <w:t xml:space="preserve"> about the mechanisms </w:t>
      </w:r>
      <w:r w:rsidR="00710015">
        <w:rPr>
          <w:rFonts w:cs="Times New Roman"/>
        </w:rPr>
        <w:t>underlying</w:t>
      </w:r>
      <w:r w:rsidR="00710015" w:rsidRPr="000E08D5">
        <w:rPr>
          <w:rFonts w:cs="Times New Roman"/>
        </w:rPr>
        <w:t xml:space="preserve"> </w:t>
      </w:r>
      <w:r w:rsidR="00890C64">
        <w:rPr>
          <w:rFonts w:cs="Times New Roman"/>
        </w:rPr>
        <w:t xml:space="preserve">these </w:t>
      </w:r>
      <w:r w:rsidRPr="000E08D5">
        <w:rPr>
          <w:rFonts w:cs="Times New Roman"/>
        </w:rPr>
        <w:t>decline</w:t>
      </w:r>
      <w:r w:rsidR="00890C64">
        <w:rPr>
          <w:rFonts w:cs="Times New Roman"/>
        </w:rPr>
        <w:t>s</w:t>
      </w:r>
      <w:r w:rsidRPr="000E08D5">
        <w:rPr>
          <w:rFonts w:cs="Times New Roman"/>
        </w:rPr>
        <w:t xml:space="preserve">. </w:t>
      </w:r>
      <w:r w:rsidR="00710015">
        <w:rPr>
          <w:rFonts w:cs="Times New Roman"/>
        </w:rPr>
        <w:t>P</w:t>
      </w:r>
      <w:r w:rsidRPr="000E08D5">
        <w:rPr>
          <w:rFonts w:cs="Times New Roman"/>
        </w:rPr>
        <w:t xml:space="preserve">hysiological stress </w:t>
      </w:r>
      <w:r w:rsidR="00710015">
        <w:rPr>
          <w:rFonts w:cs="Times New Roman"/>
        </w:rPr>
        <w:t xml:space="preserve">represents one </w:t>
      </w:r>
      <w:r w:rsidR="00705AF5">
        <w:rPr>
          <w:rFonts w:cs="Times New Roman"/>
        </w:rPr>
        <w:t>mechanism of (mal</w:t>
      </w:r>
      <w:proofErr w:type="gramStart"/>
      <w:r w:rsidR="00705AF5">
        <w:rPr>
          <w:rFonts w:cs="Times New Roman"/>
        </w:rPr>
        <w:t>)adaptation</w:t>
      </w:r>
      <w:proofErr w:type="gramEnd"/>
      <w:r w:rsidR="00710015">
        <w:rPr>
          <w:rFonts w:cs="Times New Roman"/>
        </w:rPr>
        <w:t xml:space="preserve"> </w:t>
      </w:r>
      <w:r w:rsidRPr="000E08D5">
        <w:rPr>
          <w:rFonts w:cs="Times New Roman"/>
        </w:rPr>
        <w:t xml:space="preserve">but data </w:t>
      </w:r>
      <w:r w:rsidR="00710015">
        <w:rPr>
          <w:rFonts w:cs="Times New Roman"/>
        </w:rPr>
        <w:t>are</w:t>
      </w:r>
      <w:r w:rsidR="00D86431">
        <w:rPr>
          <w:rFonts w:cs="Times New Roman"/>
        </w:rPr>
        <w:t xml:space="preserve"> sparse.</w:t>
      </w:r>
    </w:p>
    <w:p w14:paraId="5B1EA57C" w14:textId="04CC1A2E" w:rsidR="00D86431" w:rsidRDefault="00831B84" w:rsidP="00D86431">
      <w:pPr>
        <w:pStyle w:val="ListParagraph"/>
        <w:numPr>
          <w:ilvl w:val="0"/>
          <w:numId w:val="11"/>
        </w:numPr>
        <w:spacing w:line="480" w:lineRule="auto"/>
        <w:rPr>
          <w:rFonts w:cs="Times New Roman"/>
        </w:rPr>
      </w:pPr>
      <w:r w:rsidRPr="001C202B">
        <w:rPr>
          <w:rFonts w:cs="Times New Roman"/>
        </w:rPr>
        <w:t xml:space="preserve">We investigated </w:t>
      </w:r>
      <w:r w:rsidR="00705AF5">
        <w:rPr>
          <w:rFonts w:cs="Times New Roman"/>
        </w:rPr>
        <w:t>glucocorticoid levels</w:t>
      </w:r>
      <w:r w:rsidRPr="001C202B">
        <w:rPr>
          <w:rFonts w:cs="Times New Roman"/>
        </w:rPr>
        <w:t xml:space="preserve"> in a native avian herbivore </w:t>
      </w:r>
      <w:r w:rsidR="00DF31FD">
        <w:rPr>
          <w:rFonts w:cs="Times New Roman"/>
        </w:rPr>
        <w:t>exposed to different intensities of</w:t>
      </w:r>
      <w:r w:rsidRPr="001C202B">
        <w:rPr>
          <w:rFonts w:cs="Times New Roman"/>
        </w:rPr>
        <w:t xml:space="preserve"> non-native grazing in the </w:t>
      </w:r>
      <w:r w:rsidR="00685151">
        <w:rPr>
          <w:rFonts w:cs="Times New Roman"/>
        </w:rPr>
        <w:t xml:space="preserve">cold desert </w:t>
      </w:r>
      <w:r w:rsidRPr="001C202B">
        <w:rPr>
          <w:rFonts w:cs="Times New Roman"/>
        </w:rPr>
        <w:t xml:space="preserve">Great Basin ecosystem, USA. We measured </w:t>
      </w:r>
      <w:r w:rsidR="00FF139D">
        <w:rPr>
          <w:rFonts w:cs="Times New Roman"/>
        </w:rPr>
        <w:t xml:space="preserve">corticosterone, a glucocorticoid in </w:t>
      </w:r>
      <w:r w:rsidRPr="001C202B">
        <w:rPr>
          <w:rFonts w:cs="Times New Roman"/>
        </w:rPr>
        <w:t>feather</w:t>
      </w:r>
      <w:r w:rsidR="00FF139D">
        <w:rPr>
          <w:rFonts w:cs="Times New Roman"/>
        </w:rPr>
        <w:t>s</w:t>
      </w:r>
      <w:r w:rsidRPr="001C202B">
        <w:rPr>
          <w:rFonts w:cs="Times New Roman"/>
        </w:rPr>
        <w:t xml:space="preserve"> </w:t>
      </w:r>
      <w:r w:rsidR="00FF139D">
        <w:rPr>
          <w:rFonts w:cs="Times New Roman"/>
        </w:rPr>
        <w:t>for</w:t>
      </w:r>
      <w:r w:rsidRPr="001C202B">
        <w:rPr>
          <w:rFonts w:cs="Times New Roman"/>
        </w:rPr>
        <w:t xml:space="preserve"> a large sample (n = 280) of female Greater </w:t>
      </w:r>
      <w:r w:rsidR="009D10D1">
        <w:rPr>
          <w:rFonts w:cs="Times New Roman"/>
        </w:rPr>
        <w:t>S</w:t>
      </w:r>
      <w:r w:rsidRPr="001C202B">
        <w:rPr>
          <w:rFonts w:cs="Times New Roman"/>
        </w:rPr>
        <w:t>age-grouse (</w:t>
      </w:r>
      <w:proofErr w:type="spellStart"/>
      <w:r w:rsidRPr="001C202B">
        <w:rPr>
          <w:rFonts w:cs="Times New Roman"/>
          <w:i/>
          <w:szCs w:val="24"/>
        </w:rPr>
        <w:t>Centrocercus</w:t>
      </w:r>
      <w:proofErr w:type="spellEnd"/>
      <w:r w:rsidRPr="001C202B">
        <w:rPr>
          <w:rFonts w:cs="Times New Roman"/>
          <w:i/>
          <w:szCs w:val="24"/>
        </w:rPr>
        <w:t xml:space="preserve"> </w:t>
      </w:r>
      <w:proofErr w:type="spellStart"/>
      <w:r w:rsidRPr="001C202B">
        <w:rPr>
          <w:rFonts w:cs="Times New Roman"/>
          <w:i/>
          <w:szCs w:val="24"/>
        </w:rPr>
        <w:t>urophasianus</w:t>
      </w:r>
      <w:proofErr w:type="spellEnd"/>
      <w:r w:rsidRPr="001C202B">
        <w:rPr>
          <w:rFonts w:cs="Times New Roman"/>
        </w:rPr>
        <w:t xml:space="preserve">) from three study areas in Northern Nevada and Southern Oregon </w:t>
      </w:r>
      <w:r>
        <w:rPr>
          <w:rFonts w:cs="Times New Roman"/>
        </w:rPr>
        <w:t xml:space="preserve">with </w:t>
      </w:r>
      <w:r w:rsidRPr="001C202B">
        <w:rPr>
          <w:rFonts w:cs="Times New Roman"/>
        </w:rPr>
        <w:t xml:space="preserve">different grazing regimes of livestock and feral horses. </w:t>
      </w:r>
    </w:p>
    <w:p w14:paraId="21AFCD31" w14:textId="4D28D6AC" w:rsidR="00D86431" w:rsidRDefault="00831B84" w:rsidP="00D86431">
      <w:pPr>
        <w:pStyle w:val="ListParagraph"/>
        <w:numPr>
          <w:ilvl w:val="0"/>
          <w:numId w:val="11"/>
        </w:numPr>
        <w:spacing w:line="480" w:lineRule="auto"/>
        <w:rPr>
          <w:rFonts w:cs="Times New Roman"/>
        </w:rPr>
      </w:pPr>
      <w:r w:rsidRPr="00F62567">
        <w:rPr>
          <w:rFonts w:cs="Times New Roman"/>
        </w:rPr>
        <w:t xml:space="preserve">We found </w:t>
      </w:r>
      <w:r w:rsidR="00124DF8" w:rsidRPr="00F62567">
        <w:rPr>
          <w:rFonts w:cs="Times New Roman"/>
        </w:rPr>
        <w:t xml:space="preserve">greater </w:t>
      </w:r>
      <w:r w:rsidRPr="00F62567">
        <w:rPr>
          <w:rFonts w:cs="Times New Roman"/>
        </w:rPr>
        <w:t xml:space="preserve">feral horse density </w:t>
      </w:r>
      <w:r w:rsidR="00F62567" w:rsidRPr="00F62567">
        <w:rPr>
          <w:rFonts w:cs="Times New Roman"/>
        </w:rPr>
        <w:t xml:space="preserve">was associated with higher </w:t>
      </w:r>
      <w:r w:rsidRPr="00F62567">
        <w:rPr>
          <w:rFonts w:cs="Times New Roman"/>
        </w:rPr>
        <w:t>corticosterone levels, and this effect was exacerbated</w:t>
      </w:r>
      <w:r w:rsidRPr="001C202B">
        <w:rPr>
          <w:rFonts w:cs="Times New Roman"/>
        </w:rPr>
        <w:t xml:space="preserve"> by drought conditions. Livestock grazing produced similar results</w:t>
      </w:r>
      <w:r w:rsidR="007D0F02">
        <w:rPr>
          <w:rFonts w:cs="Times New Roman"/>
        </w:rPr>
        <w:t>;</w:t>
      </w:r>
      <w:r w:rsidRPr="001C202B">
        <w:rPr>
          <w:rFonts w:cs="Times New Roman"/>
        </w:rPr>
        <w:t xml:space="preserve"> however there was more model uncertainty</w:t>
      </w:r>
      <w:r w:rsidR="00124DF8">
        <w:rPr>
          <w:rFonts w:cs="Times New Roman"/>
        </w:rPr>
        <w:t xml:space="preserve"> about the livestock effect</w:t>
      </w:r>
      <w:r w:rsidRPr="001C202B">
        <w:rPr>
          <w:rFonts w:cs="Times New Roman"/>
        </w:rPr>
        <w:t xml:space="preserve">. Subsequent nesting success was lower with increased feather corticosterone, but </w:t>
      </w:r>
      <w:r w:rsidR="00124DF8">
        <w:rPr>
          <w:rFonts w:cs="Times New Roman"/>
        </w:rPr>
        <w:t>corticosterone</w:t>
      </w:r>
      <w:r w:rsidR="00124DF8" w:rsidRPr="001C202B">
        <w:rPr>
          <w:rFonts w:cs="Times New Roman"/>
        </w:rPr>
        <w:t xml:space="preserve"> </w:t>
      </w:r>
      <w:r w:rsidRPr="001C202B">
        <w:rPr>
          <w:rFonts w:cs="Times New Roman"/>
        </w:rPr>
        <w:t xml:space="preserve">levels were not predictive of other vital rates. </w:t>
      </w:r>
    </w:p>
    <w:p w14:paraId="67AEE4B2" w14:textId="16D88CA4" w:rsidR="0065134A" w:rsidRPr="00D86431" w:rsidRDefault="00831B84" w:rsidP="0065134A">
      <w:pPr>
        <w:pStyle w:val="ListParagraph"/>
        <w:numPr>
          <w:ilvl w:val="0"/>
          <w:numId w:val="11"/>
        </w:numPr>
        <w:spacing w:line="480" w:lineRule="auto"/>
        <w:rPr>
          <w:rFonts w:cs="Times New Roman"/>
        </w:rPr>
      </w:pPr>
      <w:r w:rsidRPr="001C202B">
        <w:rPr>
          <w:rFonts w:cs="Times New Roman"/>
          <w:szCs w:val="24"/>
        </w:rPr>
        <w:t xml:space="preserve">Our results </w:t>
      </w:r>
      <w:r w:rsidR="00124DF8">
        <w:rPr>
          <w:rFonts w:cs="Times New Roman"/>
          <w:szCs w:val="24"/>
        </w:rPr>
        <w:t>indicate a</w:t>
      </w:r>
      <w:r w:rsidRPr="001C202B">
        <w:rPr>
          <w:rFonts w:cs="Times New Roman"/>
          <w:szCs w:val="24"/>
        </w:rPr>
        <w:t xml:space="preserve"> physiological response </w:t>
      </w:r>
      <w:r w:rsidR="00124DF8">
        <w:rPr>
          <w:rFonts w:cs="Times New Roman"/>
          <w:szCs w:val="24"/>
        </w:rPr>
        <w:t>by</w:t>
      </w:r>
      <w:r w:rsidR="00124DF8" w:rsidRPr="001C202B">
        <w:rPr>
          <w:rFonts w:cs="Times New Roman"/>
          <w:szCs w:val="24"/>
        </w:rPr>
        <w:t xml:space="preserve"> </w:t>
      </w:r>
      <w:r w:rsidRPr="001C202B">
        <w:rPr>
          <w:rFonts w:cs="Times New Roman"/>
          <w:szCs w:val="24"/>
        </w:rPr>
        <w:t>sage-grouse to grazing pre</w:t>
      </w:r>
      <w:r w:rsidR="00C752F3">
        <w:rPr>
          <w:rFonts w:cs="Times New Roman"/>
          <w:szCs w:val="24"/>
        </w:rPr>
        <w:t xml:space="preserve">ssure from </w:t>
      </w:r>
      <w:proofErr w:type="gramStart"/>
      <w:r w:rsidR="00C752F3">
        <w:rPr>
          <w:rFonts w:cs="Times New Roman"/>
          <w:szCs w:val="24"/>
        </w:rPr>
        <w:t>non-native</w:t>
      </w:r>
      <w:proofErr w:type="gramEnd"/>
      <w:r w:rsidR="00C752F3">
        <w:rPr>
          <w:rFonts w:cs="Times New Roman"/>
          <w:szCs w:val="24"/>
        </w:rPr>
        <w:t xml:space="preserve"> grazers</w:t>
      </w:r>
      <w:r w:rsidR="00890C64">
        <w:rPr>
          <w:rFonts w:cs="Times New Roman"/>
          <w:szCs w:val="24"/>
        </w:rPr>
        <w:t>.</w:t>
      </w:r>
      <w:r w:rsidR="00DC01F6">
        <w:rPr>
          <w:rFonts w:cs="Times New Roman"/>
          <w:szCs w:val="24"/>
        </w:rPr>
        <w:t xml:space="preserve"> </w:t>
      </w:r>
      <w:r w:rsidR="00890C64">
        <w:rPr>
          <w:rFonts w:cs="Times New Roman"/>
          <w:szCs w:val="24"/>
        </w:rPr>
        <w:t>W</w:t>
      </w:r>
      <w:r w:rsidR="00124DF8">
        <w:rPr>
          <w:rFonts w:cs="Times New Roman"/>
          <w:szCs w:val="24"/>
        </w:rPr>
        <w:t>e found substantial among-individual variation in the strength of the response</w:t>
      </w:r>
      <w:r w:rsidR="00C752F3">
        <w:rPr>
          <w:rFonts w:cs="Times New Roman"/>
          <w:szCs w:val="24"/>
        </w:rPr>
        <w:t xml:space="preserve">. </w:t>
      </w:r>
      <w:r w:rsidRPr="001C202B">
        <w:rPr>
          <w:rFonts w:cs="Times New Roman"/>
          <w:szCs w:val="24"/>
        </w:rPr>
        <w:t xml:space="preserve">These adverse effects were </w:t>
      </w:r>
      <w:r w:rsidRPr="001C202B">
        <w:rPr>
          <w:rFonts w:cs="Times New Roman"/>
        </w:rPr>
        <w:t>intensified during</w:t>
      </w:r>
      <w:r w:rsidRPr="001C202B">
        <w:rPr>
          <w:rFonts w:cs="Times New Roman"/>
          <w:szCs w:val="24"/>
        </w:rPr>
        <w:t xml:space="preserve"> unfavorable weather </w:t>
      </w:r>
      <w:r w:rsidRPr="001C202B">
        <w:rPr>
          <w:rFonts w:cs="Times New Roman"/>
          <w:szCs w:val="24"/>
        </w:rPr>
        <w:lastRenderedPageBreak/>
        <w:t>events, highlighting the need to reevaluate management strategies in</w:t>
      </w:r>
      <w:r w:rsidR="00C752F3">
        <w:rPr>
          <w:rFonts w:cs="Times New Roman"/>
          <w:szCs w:val="24"/>
        </w:rPr>
        <w:t xml:space="preserve"> the face of climate change.</w:t>
      </w:r>
    </w:p>
    <w:p w14:paraId="3962B77B" w14:textId="3890EDF1" w:rsidR="00831B84" w:rsidRPr="000032CC" w:rsidRDefault="00831B84" w:rsidP="00831B84">
      <w:pPr>
        <w:pStyle w:val="Heading2"/>
        <w:spacing w:line="480" w:lineRule="auto"/>
      </w:pPr>
      <w:r w:rsidRPr="000032CC">
        <w:t>Key Words</w:t>
      </w:r>
    </w:p>
    <w:p w14:paraId="1B25BC2F" w14:textId="66E12EB6" w:rsidR="00831B84" w:rsidRDefault="00831B84" w:rsidP="00831B84">
      <w:pPr>
        <w:rPr>
          <w:rFonts w:cs="Times New Roman"/>
        </w:rPr>
      </w:pPr>
      <w:r w:rsidRPr="00EE773C">
        <w:rPr>
          <w:rFonts w:cs="Times New Roman"/>
        </w:rPr>
        <w:t xml:space="preserve">Greater </w:t>
      </w:r>
      <w:r w:rsidR="009D10D1" w:rsidRPr="00EE773C">
        <w:rPr>
          <w:rFonts w:cs="Times New Roman"/>
        </w:rPr>
        <w:t>S</w:t>
      </w:r>
      <w:r w:rsidRPr="00EE773C">
        <w:rPr>
          <w:rFonts w:cs="Times New Roman"/>
        </w:rPr>
        <w:t xml:space="preserve">age-grouse, </w:t>
      </w:r>
      <w:proofErr w:type="spellStart"/>
      <w:r w:rsidR="00E25C9E" w:rsidRPr="00EE773C">
        <w:rPr>
          <w:rFonts w:cs="Times New Roman"/>
        </w:rPr>
        <w:t>Centrocercus</w:t>
      </w:r>
      <w:proofErr w:type="spellEnd"/>
      <w:r w:rsidR="00E25C9E" w:rsidRPr="00EE773C">
        <w:rPr>
          <w:rFonts w:cs="Times New Roman"/>
        </w:rPr>
        <w:t xml:space="preserve"> </w:t>
      </w:r>
      <w:proofErr w:type="spellStart"/>
      <w:r w:rsidR="00E25C9E" w:rsidRPr="00EE773C">
        <w:rPr>
          <w:rFonts w:cs="Times New Roman"/>
        </w:rPr>
        <w:t>urophasianus</w:t>
      </w:r>
      <w:proofErr w:type="spellEnd"/>
      <w:r w:rsidR="00E25C9E" w:rsidRPr="00EE773C">
        <w:rPr>
          <w:rFonts w:cs="Times New Roman"/>
        </w:rPr>
        <w:t>,</w:t>
      </w:r>
      <w:r w:rsidRPr="00EE773C">
        <w:rPr>
          <w:rFonts w:cs="Times New Roman"/>
        </w:rPr>
        <w:t xml:space="preserve"> corticosterone, grazing, avian physiology, non-native ungulate</w:t>
      </w:r>
      <w:r w:rsidR="0044694D" w:rsidRPr="00EE773C">
        <w:rPr>
          <w:rFonts w:cs="Times New Roman"/>
        </w:rPr>
        <w:t>, drought</w:t>
      </w:r>
    </w:p>
    <w:p w14:paraId="4B222514" w14:textId="77777777" w:rsidR="00910CEA" w:rsidRPr="000032CC" w:rsidRDefault="00910CEA" w:rsidP="00831B84">
      <w:pPr>
        <w:rPr>
          <w:rFonts w:cs="Times New Roman"/>
        </w:rPr>
      </w:pPr>
    </w:p>
    <w:p w14:paraId="5DE53F2E" w14:textId="77777777" w:rsidR="00910CEA" w:rsidRPr="000032CC" w:rsidRDefault="00910CEA" w:rsidP="00910CEA">
      <w:pPr>
        <w:pStyle w:val="Heading2"/>
        <w:spacing w:line="480" w:lineRule="auto"/>
      </w:pPr>
      <w:bookmarkStart w:id="3" w:name="_Toc50540974"/>
      <w:bookmarkEnd w:id="1"/>
      <w:r w:rsidRPr="000032CC">
        <w:t>Introduction</w:t>
      </w:r>
    </w:p>
    <w:p w14:paraId="70422C82" w14:textId="408EAA25" w:rsidR="00860277" w:rsidRDefault="00860277" w:rsidP="00860277">
      <w:pPr>
        <w:pStyle w:val="NoSpacing"/>
        <w:spacing w:line="480" w:lineRule="auto"/>
      </w:pPr>
      <w:r>
        <w:tab/>
        <w:t xml:space="preserve">Glucocorticoid hormones (GCs) </w:t>
      </w:r>
      <w:r w:rsidR="00705AF5">
        <w:t>link a vertebrate’s internal condition and its external environment</w:t>
      </w:r>
      <w:r>
        <w:t xml:space="preserve"> </w:t>
      </w:r>
      <w:r>
        <w:rPr>
          <w:noProof/>
        </w:rPr>
        <w:t>(Sapolsky et al., 2000)</w:t>
      </w:r>
      <w:r>
        <w:t xml:space="preserve">. Baseline levels of GCs have been related to components of fitness in several species </w:t>
      </w:r>
      <w:r>
        <w:rPr>
          <w:noProof/>
        </w:rPr>
        <w:t>(Bonier et al., 2009; Cyr &amp; Romero, 2007; Hau et al., 2010; Henderson et al., 2017; Madliger &amp; Love, 2016; Sorenson et al., 2017; Wingfield &amp; Sapolsky, 2003)</w:t>
      </w:r>
      <w:r>
        <w:t xml:space="preserve">. The </w:t>
      </w:r>
      <w:proofErr w:type="spellStart"/>
      <w:r w:rsidRPr="00FF139D">
        <w:t>Cort</w:t>
      </w:r>
      <w:proofErr w:type="spellEnd"/>
      <w:r>
        <w:t xml:space="preserve">-Fitness Hypothesis, proposed by Bonier et al. </w:t>
      </w:r>
      <w:r>
        <w:rPr>
          <w:noProof/>
        </w:rPr>
        <w:t>(2009)</w:t>
      </w:r>
      <w:r>
        <w:t xml:space="preserve">, suggests that elevated baseline levels of </w:t>
      </w:r>
      <w:r w:rsidR="00DF31FD">
        <w:t>GCs</w:t>
      </w:r>
      <w:r>
        <w:t xml:space="preserve"> reflect a physiological response to environmental or social resource limitation that in turn results in lower reproductive investment or survival, thereby lowering fitness. </w:t>
      </w:r>
      <w:r w:rsidR="00CA2FE2">
        <w:t xml:space="preserve">Alternatively, Bonier et al. (2009) also propose the </w:t>
      </w:r>
      <w:proofErr w:type="spellStart"/>
      <w:r w:rsidR="00CA2FE2">
        <w:t>Cort</w:t>
      </w:r>
      <w:proofErr w:type="spellEnd"/>
      <w:r w:rsidR="00CA2FE2">
        <w:t xml:space="preserve">-Adaptation Hypothesis, in which elevated GCs help direct resources towards reproduction. </w:t>
      </w:r>
      <w:r w:rsidR="00BC5A0E">
        <w:t>Existing</w:t>
      </w:r>
      <w:r>
        <w:t xml:space="preserve"> data are </w:t>
      </w:r>
      <w:r w:rsidR="00705AF5">
        <w:t xml:space="preserve">conflicting </w:t>
      </w:r>
      <w:r>
        <w:t xml:space="preserve">as to the nature of this relationship </w:t>
      </w:r>
      <w:r w:rsidR="00B1776B">
        <w:rPr>
          <w:noProof/>
        </w:rPr>
        <w:t>(</w:t>
      </w:r>
      <w:proofErr w:type="spellStart"/>
      <w:r w:rsidR="003F7E48" w:rsidRPr="003F7E48">
        <w:t>Injaian</w:t>
      </w:r>
      <w:proofErr w:type="spellEnd"/>
      <w:r w:rsidR="003F7E48">
        <w:rPr>
          <w:noProof/>
        </w:rPr>
        <w:t xml:space="preserve"> et al., 2020; </w:t>
      </w:r>
      <w:r w:rsidR="00B1776B">
        <w:rPr>
          <w:noProof/>
        </w:rPr>
        <w:t>Madliger &amp; Love, 2016; Sorenson et al., 2017)</w:t>
      </w:r>
      <w:r>
        <w:t xml:space="preserve">, leaving us with no consensus on the interplay between GCs and fitness. Understanding is poor in part due to lack of context </w:t>
      </w:r>
      <w:r w:rsidR="00B1776B">
        <w:rPr>
          <w:noProof/>
        </w:rPr>
        <w:t>(Romero, 2004; Vera et al., 2017)</w:t>
      </w:r>
      <w:r>
        <w:t xml:space="preserve"> </w:t>
      </w:r>
      <w:r w:rsidR="00FB52E0">
        <w:t>about the specific</w:t>
      </w:r>
      <w:r>
        <w:t xml:space="preserve"> environment as experienced by wild individuals. </w:t>
      </w:r>
    </w:p>
    <w:p w14:paraId="5B7053F5" w14:textId="5D0D01CB" w:rsidR="00910CEA" w:rsidRDefault="008D08F2" w:rsidP="008D08F2">
      <w:pPr>
        <w:pStyle w:val="NoSpacing"/>
        <w:spacing w:line="480" w:lineRule="auto"/>
      </w:pPr>
      <w:r>
        <w:tab/>
      </w:r>
      <w:r w:rsidR="00A9173B">
        <w:t>Invasive</w:t>
      </w:r>
      <w:r w:rsidR="00B37051">
        <w:t xml:space="preserve"> or </w:t>
      </w:r>
      <w:proofErr w:type="spellStart"/>
      <w:r w:rsidR="00B37051">
        <w:t>introducted</w:t>
      </w:r>
      <w:proofErr w:type="spellEnd"/>
      <w:r w:rsidR="00A9173B">
        <w:t xml:space="preserve"> species </w:t>
      </w:r>
      <w:r w:rsidR="00B37051">
        <w:t>serve as</w:t>
      </w:r>
      <w:r w:rsidR="00A9173B">
        <w:t xml:space="preserve"> novel stressors </w:t>
      </w:r>
      <w:r w:rsidR="00A40F42">
        <w:t>that</w:t>
      </w:r>
      <w:r w:rsidR="00A9173B">
        <w:t xml:space="preserve"> can detrimentally </w:t>
      </w:r>
      <w:r w:rsidR="00B37051">
        <w:t>increase</w:t>
      </w:r>
      <w:r w:rsidR="00A9173B">
        <w:t xml:space="preserve"> physiological stress in co</w:t>
      </w:r>
      <w:r w:rsidR="00332B26">
        <w:t>-occurring</w:t>
      </w:r>
      <w:r w:rsidR="00A9173B">
        <w:t xml:space="preserve"> native species</w:t>
      </w:r>
      <w:r w:rsidR="00B37051">
        <w:t xml:space="preserve">, impacting survival and/or reproduction (Graham et al., 2012; Narayan et al., 2015; </w:t>
      </w:r>
      <w:proofErr w:type="spellStart"/>
      <w:r w:rsidR="00B37051">
        <w:t>Santicchia</w:t>
      </w:r>
      <w:proofErr w:type="spellEnd"/>
      <w:r w:rsidR="00B37051">
        <w:t xml:space="preserve"> et al., 2018; Van </w:t>
      </w:r>
      <w:proofErr w:type="spellStart"/>
      <w:r w:rsidR="00B37051">
        <w:t>Zwol</w:t>
      </w:r>
      <w:proofErr w:type="spellEnd"/>
      <w:r w:rsidR="00B37051">
        <w:t xml:space="preserve"> et al., 2012)</w:t>
      </w:r>
      <w:r w:rsidR="00A9173B">
        <w:t xml:space="preserve">. </w:t>
      </w:r>
      <w:r w:rsidR="00910CEA" w:rsidRPr="000032CC">
        <w:lastRenderedPageBreak/>
        <w:t xml:space="preserve">Introduced </w:t>
      </w:r>
      <w:r w:rsidR="00E76766">
        <w:t xml:space="preserve">non-native </w:t>
      </w:r>
      <w:r w:rsidR="00910CEA" w:rsidRPr="000032CC">
        <w:t>ungulates</w:t>
      </w:r>
      <w:r w:rsidR="00910CEA">
        <w:t>, both domestic and wild,</w:t>
      </w:r>
      <w:r w:rsidR="00910CEA" w:rsidRPr="000032CC">
        <w:t xml:space="preserve"> are known to </w:t>
      </w:r>
      <w:r w:rsidR="00B37051">
        <w:t>degrade</w:t>
      </w:r>
      <w:r w:rsidR="00910CEA" w:rsidRPr="000032CC">
        <w:t xml:space="preserve"> habitats for native species across numerous ecosystems </w:t>
      </w:r>
      <w:r w:rsidR="00910CEA" w:rsidRPr="000032CC">
        <w:rPr>
          <w:noProof/>
        </w:rPr>
        <w:t>(Dettenmaier et al., 2017; Eldridge et al., 2020; Spear &amp; Chown, 2009; Volery et al., 2021)</w:t>
      </w:r>
      <w:r w:rsidR="00910CEA" w:rsidRPr="000032CC">
        <w:t xml:space="preserve">, </w:t>
      </w:r>
      <w:r w:rsidR="00910CEA" w:rsidRPr="004E56EC">
        <w:t xml:space="preserve">thereby having the potential to </w:t>
      </w:r>
      <w:r w:rsidR="00DF31FD">
        <w:t>chronically elevate GC levels</w:t>
      </w:r>
      <w:r w:rsidR="00910CEA" w:rsidRPr="004E56EC">
        <w:t>.</w:t>
      </w:r>
      <w:r w:rsidR="00910CEA" w:rsidRPr="000032CC">
        <w:t xml:space="preserve"> Grazing by domestic cattle (</w:t>
      </w:r>
      <w:proofErr w:type="spellStart"/>
      <w:r w:rsidR="00910CEA" w:rsidRPr="000032CC">
        <w:rPr>
          <w:i/>
        </w:rPr>
        <w:t>Bos</w:t>
      </w:r>
      <w:proofErr w:type="spellEnd"/>
      <w:r w:rsidR="00910CEA" w:rsidRPr="000032CC">
        <w:rPr>
          <w:i/>
        </w:rPr>
        <w:t xml:space="preserve"> </w:t>
      </w:r>
      <w:proofErr w:type="spellStart"/>
      <w:r w:rsidR="00910CEA" w:rsidRPr="000032CC">
        <w:rPr>
          <w:i/>
        </w:rPr>
        <w:t>bos</w:t>
      </w:r>
      <w:proofErr w:type="spellEnd"/>
      <w:r w:rsidR="00910CEA" w:rsidRPr="000032CC">
        <w:t xml:space="preserve">) has been a prominent land use in the western U.S for more than a century </w:t>
      </w:r>
      <w:r w:rsidR="00CD7606">
        <w:rPr>
          <w:noProof/>
        </w:rPr>
        <w:t>(Bureau of Land Management, 2020b)</w:t>
      </w:r>
      <w:r w:rsidR="00910CEA" w:rsidRPr="000032CC">
        <w:t>. Feral horses (</w:t>
      </w:r>
      <w:proofErr w:type="spellStart"/>
      <w:r w:rsidR="00910CEA" w:rsidRPr="000032CC">
        <w:rPr>
          <w:i/>
        </w:rPr>
        <w:t>Equus</w:t>
      </w:r>
      <w:proofErr w:type="spellEnd"/>
      <w:r w:rsidR="00910CEA" w:rsidRPr="000032CC">
        <w:rPr>
          <w:i/>
        </w:rPr>
        <w:t xml:space="preserve"> </w:t>
      </w:r>
      <w:proofErr w:type="spellStart"/>
      <w:r w:rsidR="00910CEA" w:rsidRPr="000032CC">
        <w:rPr>
          <w:i/>
        </w:rPr>
        <w:t>ferus</w:t>
      </w:r>
      <w:proofErr w:type="spellEnd"/>
      <w:r w:rsidR="00910CEA" w:rsidRPr="000032CC">
        <w:rPr>
          <w:i/>
        </w:rPr>
        <w:t xml:space="preserve"> </w:t>
      </w:r>
      <w:proofErr w:type="spellStart"/>
      <w:r w:rsidR="00910CEA" w:rsidRPr="000032CC">
        <w:rPr>
          <w:i/>
        </w:rPr>
        <w:t>caballus</w:t>
      </w:r>
      <w:proofErr w:type="spellEnd"/>
      <w:r w:rsidR="00910CEA" w:rsidRPr="000032CC">
        <w:t xml:space="preserve">) have increased dramatically over the past two decades, largely associated with sociopolitical resistance to removing horses from rangelands </w:t>
      </w:r>
      <w:r w:rsidR="00910CEA" w:rsidRPr="000032CC">
        <w:rPr>
          <w:noProof/>
        </w:rPr>
        <w:t>(Garrott, 2018)</w:t>
      </w:r>
      <w:r w:rsidR="00910CEA" w:rsidRPr="000032CC">
        <w:t xml:space="preserve">. Both livestock and horses graze plants that are preferred by native herbivores </w:t>
      </w:r>
      <w:r w:rsidR="003C2320">
        <w:t xml:space="preserve">because of their higher nutritional content </w:t>
      </w:r>
      <w:r w:rsidR="00910CEA" w:rsidRPr="000032CC">
        <w:rPr>
          <w:noProof/>
        </w:rPr>
        <w:t>(Hanley &amp; Hanley, 1982; Scasta et al., 2016; Veblen et al., 2015)</w:t>
      </w:r>
      <w:r w:rsidR="003C2320">
        <w:t>. Livestock and horses also cause</w:t>
      </w:r>
      <w:r w:rsidR="00910CEA" w:rsidRPr="000032CC">
        <w:t xml:space="preserve"> physical damage to riparian areas </w:t>
      </w:r>
      <w:r w:rsidR="00910CEA" w:rsidRPr="000032CC">
        <w:rPr>
          <w:noProof/>
        </w:rPr>
        <w:t>(Batchelor et al., 2015; Beever &amp; Herrick, 2006; Beschta et al., 2014; Boyd et al., 2017; Dobkin et al., 1998)</w:t>
      </w:r>
      <w:r w:rsidR="00910CEA" w:rsidRPr="000032CC">
        <w:t xml:space="preserve">, that provide essential foods and water during dry periods in the cold deserts of western North America </w:t>
      </w:r>
      <w:r w:rsidR="00CD7606">
        <w:rPr>
          <w:noProof/>
        </w:rPr>
        <w:t>(Batzer &amp; Baldw</w:t>
      </w:r>
      <w:r w:rsidR="003052D7">
        <w:rPr>
          <w:noProof/>
        </w:rPr>
        <w:t>in, 2012; Donnelly et al., 2018</w:t>
      </w:r>
      <w:r w:rsidR="00CD7606">
        <w:rPr>
          <w:noProof/>
        </w:rPr>
        <w:t>)</w:t>
      </w:r>
      <w:r w:rsidR="00910CEA" w:rsidRPr="000032CC">
        <w:t xml:space="preserve">. Such impacts are likely to be exacerbated when seasonal moisture is reduced because primary productivity is lower under such conditions in already dry environments </w:t>
      </w:r>
      <w:r w:rsidR="00CD7606">
        <w:rPr>
          <w:noProof/>
        </w:rPr>
        <w:t>(Chambers et a</w:t>
      </w:r>
      <w:r w:rsidR="003052D7">
        <w:rPr>
          <w:noProof/>
        </w:rPr>
        <w:t>l., 1999; Donnelly et al., 2018</w:t>
      </w:r>
      <w:r w:rsidR="00CD7606">
        <w:rPr>
          <w:noProof/>
        </w:rPr>
        <w:t>; Zeigenfuss et al., 2014)</w:t>
      </w:r>
      <w:r w:rsidR="00910CEA" w:rsidRPr="000032CC">
        <w:t>.</w:t>
      </w:r>
    </w:p>
    <w:p w14:paraId="481D96CE" w14:textId="5986EC30" w:rsidR="00A14F32" w:rsidRDefault="008D08F2" w:rsidP="008D08F2">
      <w:pPr>
        <w:pStyle w:val="NoSpacing"/>
        <w:spacing w:line="480" w:lineRule="auto"/>
      </w:pPr>
      <w:r>
        <w:tab/>
      </w:r>
      <w:r w:rsidR="00D41A37">
        <w:t>Greater</w:t>
      </w:r>
      <w:r w:rsidR="00D41A37" w:rsidRPr="00D41A37">
        <w:t xml:space="preserve"> </w:t>
      </w:r>
      <w:r w:rsidR="009D10D1">
        <w:t>S</w:t>
      </w:r>
      <w:r w:rsidR="00D41A37" w:rsidRPr="00D41A37">
        <w:t>age-grouse (</w:t>
      </w:r>
      <w:proofErr w:type="spellStart"/>
      <w:r w:rsidR="00D41A37" w:rsidRPr="00DC01F6">
        <w:rPr>
          <w:i/>
        </w:rPr>
        <w:t>Centrocercus</w:t>
      </w:r>
      <w:proofErr w:type="spellEnd"/>
      <w:r w:rsidR="00D41A37" w:rsidRPr="00DC01F6">
        <w:rPr>
          <w:i/>
        </w:rPr>
        <w:t xml:space="preserve"> </w:t>
      </w:r>
      <w:proofErr w:type="spellStart"/>
      <w:r w:rsidR="00D41A37" w:rsidRPr="00DC01F6">
        <w:rPr>
          <w:i/>
        </w:rPr>
        <w:t>urophasianus</w:t>
      </w:r>
      <w:proofErr w:type="spellEnd"/>
      <w:r w:rsidR="00D41A37" w:rsidRPr="00D41A37">
        <w:t>; hereafter, “sage-grouse”</w:t>
      </w:r>
      <w:r w:rsidR="003039E6">
        <w:t>; Figure 1</w:t>
      </w:r>
      <w:r w:rsidR="00D41A37" w:rsidRPr="00D41A37">
        <w:t xml:space="preserve">) are herbivorous birds that are sympatric with feral horses and/or livestock throughout their range in the western United States </w:t>
      </w:r>
      <w:r w:rsidR="002A19DC">
        <w:rPr>
          <w:noProof/>
        </w:rPr>
        <w:t>(Schroeder et al., 2020)</w:t>
      </w:r>
      <w:r w:rsidR="00910CEA" w:rsidRPr="000032CC">
        <w:t xml:space="preserve">. They rely on sagebrush as their main food source outside the breeding season but expand their diet during breeding to include insects and other plants </w:t>
      </w:r>
      <w:r w:rsidR="002A19DC">
        <w:rPr>
          <w:noProof/>
        </w:rPr>
        <w:t>(Rowland et al., 2006)</w:t>
      </w:r>
      <w:r w:rsidR="00910CEA" w:rsidRPr="000032CC">
        <w:t>. Sage-grouse are hi</w:t>
      </w:r>
      <w:r w:rsidR="00910CEA">
        <w:t>ghly selective of specific sage</w:t>
      </w:r>
      <w:r w:rsidR="00910CEA" w:rsidRPr="000032CC">
        <w:t xml:space="preserve">brush plants because individual shrubs can vary in nutrient content and anti-herbivore secondary compounds </w:t>
      </w:r>
      <w:r w:rsidR="002A19DC">
        <w:rPr>
          <w:noProof/>
        </w:rPr>
        <w:t>(Frye et al., 2013; Remington &amp; Braun, 1985)</w:t>
      </w:r>
      <w:r w:rsidR="00910CEA" w:rsidRPr="000032CC">
        <w:t xml:space="preserve">. </w:t>
      </w:r>
      <w:bookmarkStart w:id="4" w:name="_GoBack"/>
      <w:bookmarkEnd w:id="4"/>
    </w:p>
    <w:p w14:paraId="553B50E4" w14:textId="04F2FF8A" w:rsidR="006363FC" w:rsidRDefault="008D08F2" w:rsidP="008D08F2">
      <w:pPr>
        <w:pStyle w:val="NoSpacing"/>
        <w:spacing w:line="480" w:lineRule="auto"/>
      </w:pPr>
      <w:r>
        <w:lastRenderedPageBreak/>
        <w:tab/>
      </w:r>
      <w:r w:rsidR="00910CEA" w:rsidRPr="000032CC">
        <w:t xml:space="preserve">Following nesting in early spring, adult female sage-grouse and their offspring feed on forbs and associated invertebrates </w:t>
      </w:r>
      <w:r w:rsidR="002A19DC">
        <w:rPr>
          <w:noProof/>
        </w:rPr>
        <w:t>(Casazza et al., 2011; Gregg et al., 2008; Gregg &amp; Crawford, 2009)</w:t>
      </w:r>
      <w:r w:rsidR="00DC01F6">
        <w:t xml:space="preserve">. </w:t>
      </w:r>
      <w:r w:rsidR="003C2320">
        <w:t xml:space="preserve">As the offspring age the days get longer, temperature increases, precipitation decreases, </w:t>
      </w:r>
      <w:r w:rsidR="00910CEA" w:rsidRPr="000032CC">
        <w:t xml:space="preserve">and by early summer (June) these </w:t>
      </w:r>
      <w:r w:rsidR="002D3701">
        <w:t xml:space="preserve">critical </w:t>
      </w:r>
      <w:r w:rsidR="00910CEA" w:rsidRPr="000032CC">
        <w:t>foods are available primarily in higher elevation sites or riparian areas</w:t>
      </w:r>
      <w:r w:rsidR="00DC01F6">
        <w:t xml:space="preserve">. </w:t>
      </w:r>
      <w:r w:rsidR="002D3701">
        <w:t xml:space="preserve">Such </w:t>
      </w:r>
      <w:r w:rsidR="003C2320">
        <w:t xml:space="preserve">areas </w:t>
      </w:r>
      <w:r w:rsidR="00910CEA" w:rsidRPr="000032CC">
        <w:t xml:space="preserve">represent as little as 2% of the landscape </w:t>
      </w:r>
      <w:r w:rsidR="002A19DC">
        <w:rPr>
          <w:noProof/>
        </w:rPr>
        <w:t>(Atamian et al., 2010; Donnelly et al., 2016)</w:t>
      </w:r>
      <w:r w:rsidR="00910CEA" w:rsidRPr="000032CC">
        <w:t xml:space="preserve">. Growth rate of young, which influences both </w:t>
      </w:r>
      <w:proofErr w:type="spellStart"/>
      <w:r w:rsidR="00910CEA" w:rsidRPr="000032CC">
        <w:t>prefledging</w:t>
      </w:r>
      <w:proofErr w:type="spellEnd"/>
      <w:r w:rsidR="00910CEA" w:rsidRPr="000032CC">
        <w:t xml:space="preserve"> and </w:t>
      </w:r>
      <w:proofErr w:type="spellStart"/>
      <w:r w:rsidR="00910CEA" w:rsidRPr="000032CC">
        <w:t>postfledging</w:t>
      </w:r>
      <w:proofErr w:type="spellEnd"/>
      <w:r w:rsidR="00910CEA" w:rsidRPr="000032CC">
        <w:t xml:space="preserve"> survival </w:t>
      </w:r>
      <w:r w:rsidR="001E14FF">
        <w:rPr>
          <w:noProof/>
        </w:rPr>
        <w:t>(Blomberg et al., 2014; Gibson et al., 2016)</w:t>
      </w:r>
      <w:r w:rsidR="00910CEA" w:rsidRPr="000032CC">
        <w:t xml:space="preserve"> is directly dependent on the quality and quantity of food </w:t>
      </w:r>
      <w:r w:rsidR="001E14FF">
        <w:rPr>
          <w:noProof/>
        </w:rPr>
        <w:t>(Blomberg, Poulson, et al., 2013; Smith et al., 2019)</w:t>
      </w:r>
      <w:r w:rsidR="00910CEA" w:rsidRPr="000032CC">
        <w:t xml:space="preserve">. It seems likely that adult females also restore some depleted nutrient reserves during this period because forbs represent the highest protein content foods females encounter </w:t>
      </w:r>
      <w:r w:rsidR="001E14FF">
        <w:rPr>
          <w:noProof/>
        </w:rPr>
        <w:t>(Gregg et al., 2008)</w:t>
      </w:r>
      <w:r w:rsidR="00910CEA" w:rsidRPr="000032CC">
        <w:t xml:space="preserve"> and protein is a limiting nutrient for herbivorous birds </w:t>
      </w:r>
      <w:r w:rsidR="001E14FF">
        <w:rPr>
          <w:noProof/>
        </w:rPr>
        <w:t>(Sedinger, 1997)</w:t>
      </w:r>
      <w:r w:rsidR="00910CEA" w:rsidRPr="000032CC">
        <w:t>. The</w:t>
      </w:r>
      <w:r w:rsidR="00E6320F">
        <w:t>se</w:t>
      </w:r>
      <w:r w:rsidR="00910CEA" w:rsidRPr="000032CC">
        <w:t xml:space="preserve"> high-quality foods potential</w:t>
      </w:r>
      <w:r w:rsidR="00E6320F">
        <w:t>ly</w:t>
      </w:r>
      <w:r w:rsidR="00910CEA" w:rsidRPr="000032CC">
        <w:t xml:space="preserve"> </w:t>
      </w:r>
      <w:r w:rsidR="00E6320F">
        <w:t>regulate</w:t>
      </w:r>
      <w:r w:rsidR="00910CEA" w:rsidRPr="000032CC">
        <w:t xml:space="preserve"> individual fitness and population dynamics of sage-grouse</w:t>
      </w:r>
      <w:r w:rsidR="002D3701">
        <w:t xml:space="preserve"> (Kane </w:t>
      </w:r>
      <w:r w:rsidR="004046A6">
        <w:t>e</w:t>
      </w:r>
      <w:r w:rsidR="002D3701">
        <w:t>t al.</w:t>
      </w:r>
      <w:r w:rsidR="004046A6">
        <w:t>,</w:t>
      </w:r>
      <w:r w:rsidR="002D3701">
        <w:t xml:space="preserve"> 2017)</w:t>
      </w:r>
      <w:r w:rsidR="00910CEA" w:rsidRPr="000032CC">
        <w:t>. Consequently, non-native ungulates have the potential to negatively influence sage-grouse through their influence on key food plants</w:t>
      </w:r>
      <w:r w:rsidR="00164986">
        <w:t xml:space="preserve"> (e.g., sagebrush and </w:t>
      </w:r>
      <w:proofErr w:type="spellStart"/>
      <w:r w:rsidR="00164986">
        <w:t>forbaceous</w:t>
      </w:r>
      <w:proofErr w:type="spellEnd"/>
      <w:r w:rsidR="00164986">
        <w:t xml:space="preserve"> vegetation)</w:t>
      </w:r>
      <w:r w:rsidR="00910CEA" w:rsidRPr="000032CC">
        <w:t xml:space="preserve"> </w:t>
      </w:r>
      <w:r w:rsidR="00494AE1">
        <w:t xml:space="preserve">and </w:t>
      </w:r>
      <w:r w:rsidR="008F7D00">
        <w:t xml:space="preserve">seasonal </w:t>
      </w:r>
      <w:r w:rsidR="00494AE1">
        <w:t xml:space="preserve">habitats </w:t>
      </w:r>
      <w:r w:rsidR="00910CEA" w:rsidRPr="000032CC">
        <w:t>used by sage-grouse. In fact, recent analyses by Coates et al</w:t>
      </w:r>
      <w:r w:rsidR="001E14FF">
        <w:t>.</w:t>
      </w:r>
      <w:r w:rsidR="00910CEA" w:rsidRPr="000032CC">
        <w:t xml:space="preserve"> </w:t>
      </w:r>
      <w:r w:rsidR="001E14FF">
        <w:rPr>
          <w:noProof/>
        </w:rPr>
        <w:t>(2021)</w:t>
      </w:r>
      <w:r w:rsidR="00910CEA" w:rsidRPr="000032CC">
        <w:t xml:space="preserve"> demonstrates that abundance of feral horses is negatively correlated with the rate of </w:t>
      </w:r>
      <w:r w:rsidR="00FB52E0">
        <w:t xml:space="preserve">growth of </w:t>
      </w:r>
      <w:r w:rsidR="00910CEA" w:rsidRPr="000032CC">
        <w:t>local sage-grouse population</w:t>
      </w:r>
      <w:r w:rsidR="00FB52E0">
        <w:t>s</w:t>
      </w:r>
      <w:r w:rsidR="00910CEA" w:rsidRPr="000032CC">
        <w:t>.</w:t>
      </w:r>
    </w:p>
    <w:p w14:paraId="018A3728" w14:textId="24E41E5A" w:rsidR="00910CEA" w:rsidRPr="000032CC" w:rsidRDefault="008D08F2" w:rsidP="008D08F2">
      <w:pPr>
        <w:pStyle w:val="NoSpacing"/>
        <w:spacing w:line="480" w:lineRule="auto"/>
      </w:pPr>
      <w:r>
        <w:tab/>
      </w:r>
      <w:r w:rsidR="00D41A37">
        <w:t>Assessment</w:t>
      </w:r>
      <w:r w:rsidR="00910CEA" w:rsidRPr="000032CC">
        <w:t xml:space="preserve"> of the potential effects of domestic cattle and feral horses on sage-grouse has primarily been through the lens of habitat modification or behavioral disturbance </w:t>
      </w:r>
      <w:r w:rsidR="00910CEA" w:rsidRPr="000032CC">
        <w:rPr>
          <w:noProof/>
        </w:rPr>
        <w:t>(Beck &amp; Mitchell, 2000; Boyd et al., 2014; Dahlgren et al., 2015; Dettenmaier et al., 2017; Williamson et al., 2020)</w:t>
      </w:r>
      <w:r w:rsidR="00910CEA" w:rsidRPr="000032CC">
        <w:t xml:space="preserve">. Direct assessment of the effects of livestock or horses on fitness, demography, and population dynamics of sage-grouse </w:t>
      </w:r>
      <w:r w:rsidR="007D0F02">
        <w:t>is</w:t>
      </w:r>
      <w:r w:rsidR="00910CEA" w:rsidRPr="000032CC">
        <w:t xml:space="preserve"> lacking. Possible physiological mechanisms for </w:t>
      </w:r>
      <w:r w:rsidR="00910CEA" w:rsidRPr="000032CC">
        <w:lastRenderedPageBreak/>
        <w:t xml:space="preserve">demographic effects resulting from coexistence with these non-native ungulates are also largely unaddressed </w:t>
      </w:r>
      <w:r w:rsidR="00910CEA" w:rsidRPr="000032CC">
        <w:rPr>
          <w:noProof/>
        </w:rPr>
        <w:t>(Monroe et al., 2017)</w:t>
      </w:r>
      <w:r w:rsidR="00910CEA" w:rsidRPr="000032CC">
        <w:t xml:space="preserve">. </w:t>
      </w:r>
    </w:p>
    <w:p w14:paraId="276D685E" w14:textId="3E02196D" w:rsidR="006C1E79" w:rsidRDefault="008D08F2" w:rsidP="008D08F2">
      <w:pPr>
        <w:pStyle w:val="NoSpacing"/>
        <w:spacing w:line="480" w:lineRule="auto"/>
      </w:pPr>
      <w:r>
        <w:tab/>
      </w:r>
      <w:r w:rsidR="00910CEA" w:rsidRPr="000032CC">
        <w:t>We measured variation in cort</w:t>
      </w:r>
      <w:r w:rsidR="009A05BD">
        <w:t>icosterone levels</w:t>
      </w:r>
      <w:r w:rsidR="00DF31FD">
        <w:t>, the predominant GC in birds,</w:t>
      </w:r>
      <w:r w:rsidR="00910CEA" w:rsidRPr="000032CC">
        <w:t xml:space="preserve"> in feathers of female sage-grouse across a gradient of livestock and feral horse densities in multiple years that varied in precipitation to assess the </w:t>
      </w:r>
      <w:r w:rsidR="00C27B25">
        <w:t>elevation of GC levels in relation</w:t>
      </w:r>
      <w:r w:rsidR="00910CEA" w:rsidRPr="000032CC">
        <w:t xml:space="preserve"> to the abundance of livestock and feral horses under variable climatic conditions. </w:t>
      </w:r>
      <w:r w:rsidR="00A14F32" w:rsidRPr="000032CC">
        <w:t xml:space="preserve">Feather </w:t>
      </w:r>
      <w:r w:rsidR="00A14F32" w:rsidRPr="00C27B25">
        <w:t>cort</w:t>
      </w:r>
      <w:r w:rsidR="009A05BD" w:rsidRPr="00C27B25">
        <w:t>icosterone</w:t>
      </w:r>
      <w:r w:rsidR="00A14F32" w:rsidRPr="00C27B25">
        <w:t xml:space="preserve"> (fCort) is an</w:t>
      </w:r>
      <w:r w:rsidR="00A14F32" w:rsidRPr="000032CC">
        <w:t xml:space="preserve"> indicator of chronic stress, which may alter an individual’s ability to allocate resources to reproduction or survival over time. In house sparrows (</w:t>
      </w:r>
      <w:r w:rsidR="00A14F32" w:rsidRPr="000032CC">
        <w:rPr>
          <w:i/>
        </w:rPr>
        <w:t xml:space="preserve">Passer </w:t>
      </w:r>
      <w:proofErr w:type="spellStart"/>
      <w:r w:rsidR="00A14F32" w:rsidRPr="000032CC">
        <w:rPr>
          <w:i/>
        </w:rPr>
        <w:t>domesticus</w:t>
      </w:r>
      <w:proofErr w:type="spellEnd"/>
      <w:r w:rsidR="00591CB0">
        <w:t xml:space="preserve">) </w:t>
      </w:r>
      <w:r w:rsidR="00A14F32" w:rsidRPr="000032CC">
        <w:t xml:space="preserve">and Eurasian </w:t>
      </w:r>
      <w:proofErr w:type="spellStart"/>
      <w:r w:rsidR="00A14F32" w:rsidRPr="000032CC">
        <w:t>Sparrowhawks</w:t>
      </w:r>
      <w:proofErr w:type="spellEnd"/>
      <w:r w:rsidR="00A14F32" w:rsidRPr="000032CC">
        <w:t xml:space="preserve"> (</w:t>
      </w:r>
      <w:r w:rsidR="00A14F32" w:rsidRPr="000032CC">
        <w:rPr>
          <w:i/>
        </w:rPr>
        <w:t>Accipiter nisus</w:t>
      </w:r>
      <w:r w:rsidR="00591CB0">
        <w:rPr>
          <w:i/>
        </w:rPr>
        <w:t>)</w:t>
      </w:r>
      <w:r w:rsidR="001E14FF">
        <w:t xml:space="preserve"> </w:t>
      </w:r>
      <w:r w:rsidR="00A14F32" w:rsidRPr="000032CC">
        <w:t xml:space="preserve">higher </w:t>
      </w:r>
      <w:r w:rsidR="009A05BD">
        <w:t>fC</w:t>
      </w:r>
      <w:r w:rsidR="00A14F32" w:rsidRPr="000032CC">
        <w:t>ort levels in feathers were associated with lower survival in the following season</w:t>
      </w:r>
      <w:r w:rsidR="00591CB0">
        <w:t xml:space="preserve"> </w:t>
      </w:r>
      <w:r w:rsidR="00591CB0">
        <w:rPr>
          <w:noProof/>
        </w:rPr>
        <w:t>(Koren et al., 2012; Monclus et al., 2017)</w:t>
      </w:r>
      <w:r w:rsidR="00A14F32" w:rsidRPr="000032CC">
        <w:t>. High GC concentrations in feathers led to a higher likelihood of skipping breeding in the following breeding season for harlequin ducks</w:t>
      </w:r>
      <w:r w:rsidR="00591CB0">
        <w:t xml:space="preserve"> (</w:t>
      </w:r>
      <w:proofErr w:type="spellStart"/>
      <w:r w:rsidR="00591CB0" w:rsidRPr="00591CB0">
        <w:rPr>
          <w:i/>
        </w:rPr>
        <w:t>Histrionicus</w:t>
      </w:r>
      <w:proofErr w:type="spellEnd"/>
      <w:r w:rsidR="00591CB0" w:rsidRPr="00591CB0">
        <w:rPr>
          <w:i/>
        </w:rPr>
        <w:t xml:space="preserve"> </w:t>
      </w:r>
      <w:proofErr w:type="spellStart"/>
      <w:r w:rsidR="00591CB0" w:rsidRPr="00591CB0">
        <w:rPr>
          <w:i/>
        </w:rPr>
        <w:t>histrionicus</w:t>
      </w:r>
      <w:proofErr w:type="spellEnd"/>
      <w:r w:rsidR="00591CB0">
        <w:t>)</w:t>
      </w:r>
      <w:r w:rsidR="00A14F32" w:rsidRPr="000032CC">
        <w:t xml:space="preserve"> </w:t>
      </w:r>
      <w:r w:rsidR="001E14FF">
        <w:rPr>
          <w:noProof/>
        </w:rPr>
        <w:t>(Hansen et al., 2016)</w:t>
      </w:r>
      <w:r w:rsidR="00A14F32" w:rsidRPr="000032CC">
        <w:t xml:space="preserve"> and successfully breeding giant petrels </w:t>
      </w:r>
      <w:r w:rsidR="00C27B25">
        <w:t>(</w:t>
      </w:r>
      <w:proofErr w:type="spellStart"/>
      <w:r w:rsidR="00C27B25" w:rsidRPr="00C27B25">
        <w:rPr>
          <w:i/>
        </w:rPr>
        <w:t>Macronectes</w:t>
      </w:r>
      <w:proofErr w:type="spellEnd"/>
      <w:r w:rsidR="00C27B25">
        <w:t xml:space="preserve"> spp.)</w:t>
      </w:r>
      <w:r w:rsidR="007D0F02">
        <w:t xml:space="preserve"> </w:t>
      </w:r>
      <w:r w:rsidR="00A14F32" w:rsidRPr="000032CC">
        <w:t xml:space="preserve">had 1.5 times higher </w:t>
      </w:r>
      <w:r w:rsidR="009A05BD">
        <w:t>fC</w:t>
      </w:r>
      <w:r w:rsidR="00A14F32" w:rsidRPr="000032CC">
        <w:t>ort than non-breeders</w:t>
      </w:r>
      <w:r w:rsidR="00C27B25">
        <w:t xml:space="preserve"> </w:t>
      </w:r>
      <w:r w:rsidR="00C27B25">
        <w:rPr>
          <w:noProof/>
        </w:rPr>
        <w:t>(Crossin et al., 2013)</w:t>
      </w:r>
      <w:r w:rsidR="00A14F32" w:rsidRPr="000032CC">
        <w:t>, indicating some cost to reproduction. Other studies have found no support for links between fCort and fitness</w:t>
      </w:r>
      <w:r w:rsidR="001E14FF">
        <w:t xml:space="preserve"> </w:t>
      </w:r>
      <w:r w:rsidR="001E14FF">
        <w:rPr>
          <w:noProof/>
        </w:rPr>
        <w:t>(Henderson et al., 2017; Madliger &amp; Love, 2016)</w:t>
      </w:r>
      <w:r w:rsidR="00A14F32" w:rsidRPr="000032CC">
        <w:t xml:space="preserve">, which suggests that these relationships may </w:t>
      </w:r>
      <w:r w:rsidR="001E48D8">
        <w:t>be context dependent</w:t>
      </w:r>
      <w:r w:rsidR="00A14F32" w:rsidRPr="000032CC">
        <w:t>.</w:t>
      </w:r>
      <w:r>
        <w:t xml:space="preserve"> </w:t>
      </w:r>
    </w:p>
    <w:p w14:paraId="5B5B99F2" w14:textId="79169E39" w:rsidR="00705AF5" w:rsidRDefault="006C1E79" w:rsidP="008D08F2">
      <w:pPr>
        <w:pStyle w:val="NoSpacing"/>
        <w:spacing w:line="480" w:lineRule="auto"/>
      </w:pPr>
      <w:r>
        <w:tab/>
      </w:r>
      <w:r w:rsidR="00494AE1">
        <w:t>We assessed potential sources of chronic stress and the demographic consequences for female sage-grouse by</w:t>
      </w:r>
      <w:r w:rsidR="00910CEA" w:rsidRPr="000032CC">
        <w:t xml:space="preserve"> test</w:t>
      </w:r>
      <w:r w:rsidR="00494AE1">
        <w:t>ing</w:t>
      </w:r>
      <w:r w:rsidR="00910CEA" w:rsidRPr="000032CC">
        <w:t xml:space="preserve"> the relationships between fCort and important demographic rates, including adult survival, probability of initiating breeding, nest success, and probability of producing fledged young.</w:t>
      </w:r>
      <w:r w:rsidR="00494AE1">
        <w:t xml:space="preserve"> We utilized</w:t>
      </w:r>
      <w:r w:rsidR="00EE3068">
        <w:t xml:space="preserve"> </w:t>
      </w:r>
      <w:r w:rsidR="00494AE1">
        <w:t xml:space="preserve">on-going management actions, e.g. feral horse removals, and grazing </w:t>
      </w:r>
      <w:r w:rsidR="00EE3068">
        <w:t xml:space="preserve">regimes as </w:t>
      </w:r>
      <w:r w:rsidR="00B16A48">
        <w:t xml:space="preserve">quasi-experimental </w:t>
      </w:r>
      <w:r w:rsidR="00EE3068">
        <w:t>treatments</w:t>
      </w:r>
      <w:r w:rsidR="00494AE1">
        <w:t xml:space="preserve"> across a large area of sage-grouse habitat. Under the </w:t>
      </w:r>
      <w:proofErr w:type="spellStart"/>
      <w:r w:rsidR="00494AE1">
        <w:t>Cort</w:t>
      </w:r>
      <w:proofErr w:type="spellEnd"/>
      <w:r w:rsidR="00494AE1">
        <w:t xml:space="preserve">-Fitness Hypothesis, we predicted horse and cow densities would be related to increases in fCort, followed by declines in survival and breeding of sage-grouse. </w:t>
      </w:r>
    </w:p>
    <w:p w14:paraId="08CBC7D8" w14:textId="77777777" w:rsidR="00DF4FCE" w:rsidRPr="000032CC" w:rsidRDefault="00DF4FCE" w:rsidP="008D08F2">
      <w:pPr>
        <w:pStyle w:val="NoSpacing"/>
        <w:spacing w:line="480" w:lineRule="auto"/>
      </w:pPr>
    </w:p>
    <w:p w14:paraId="20FA8117" w14:textId="6C8E781F" w:rsidR="00D05CAE" w:rsidRDefault="002B01D5" w:rsidP="00A21C0E">
      <w:pPr>
        <w:pStyle w:val="Heading2"/>
        <w:spacing w:line="480" w:lineRule="auto"/>
      </w:pPr>
      <w:r>
        <w:t xml:space="preserve">Materials and </w:t>
      </w:r>
      <w:r w:rsidR="00D05CAE">
        <w:t>Methods</w:t>
      </w:r>
      <w:bookmarkEnd w:id="3"/>
    </w:p>
    <w:p w14:paraId="45371557" w14:textId="77777777" w:rsidR="00D05CAE" w:rsidRDefault="00D05CAE" w:rsidP="00A21C0E">
      <w:pPr>
        <w:pStyle w:val="Heading3"/>
        <w:spacing w:line="480" w:lineRule="auto"/>
      </w:pPr>
      <w:bookmarkStart w:id="5" w:name="_Toc50540975"/>
      <w:r>
        <w:rPr>
          <w:b w:val="0"/>
        </w:rPr>
        <w:t>Study Areas</w:t>
      </w:r>
      <w:bookmarkEnd w:id="5"/>
    </w:p>
    <w:p w14:paraId="76F8321A" w14:textId="57AD3C95" w:rsidR="00D05CAE" w:rsidRDefault="008D08F2" w:rsidP="008D08F2">
      <w:pPr>
        <w:pStyle w:val="NoSpacing"/>
        <w:spacing w:line="480" w:lineRule="auto"/>
      </w:pPr>
      <w:r>
        <w:tab/>
      </w:r>
      <w:r w:rsidR="00D05CAE">
        <w:t>We studied sage-grouse in three study regions in the northern Great Basin</w:t>
      </w:r>
      <w:r w:rsidR="00B96748">
        <w:t>, USA</w:t>
      </w:r>
      <w:r w:rsidR="00F669EB">
        <w:t xml:space="preserve"> (</w:t>
      </w:r>
      <w:r w:rsidR="003039E6">
        <w:t>Figure 2</w:t>
      </w:r>
      <w:r w:rsidR="00F669EB">
        <w:t>)</w:t>
      </w:r>
      <w:r w:rsidR="00D05CAE">
        <w:t>. Hart Mountain National Antelope Refuge (hereafter Hart Mountain) in southcentral Oregon encompasses over 112,500 hectares and ranges in elevation from 1,360 to just over 2,445 m at the top of Warner Peak</w:t>
      </w:r>
      <w:r w:rsidR="00E16566">
        <w:t xml:space="preserve"> </w:t>
      </w:r>
      <w:r w:rsidR="00E16566">
        <w:rPr>
          <w:noProof/>
        </w:rPr>
        <w:t>(U.S. Fish and Wildlife Service)</w:t>
      </w:r>
      <w:r w:rsidR="00E16566">
        <w:t>.</w:t>
      </w:r>
      <w:r w:rsidR="00D05CAE">
        <w:t xml:space="preserve"> Domestic livestock grazing ceased on Hart Mountain in 1991</w:t>
      </w:r>
      <w:r w:rsidR="00190E11">
        <w:t xml:space="preserve"> and feral horses occur only in very low numbers outside areas where we studied sage-grouse</w:t>
      </w:r>
      <w:r w:rsidR="00D05CAE">
        <w:t>. Sheldon National Wildlife Refuge (hereafter Sheldon) in northern Nevada includes over 231,840 hectares</w:t>
      </w:r>
      <w:r w:rsidR="00A66DF7">
        <w:t xml:space="preserve"> </w:t>
      </w:r>
      <w:r w:rsidR="00E16566">
        <w:rPr>
          <w:noProof/>
        </w:rPr>
        <w:t>(U.S. Fish and Wildlife Service)</w:t>
      </w:r>
      <w:r w:rsidR="00E16566">
        <w:t>.</w:t>
      </w:r>
      <w:r w:rsidR="00D05CAE">
        <w:t xml:space="preserve"> The lowest elevation is approximately 1,300 m at the bottom of the Thousand Creek Gorge and the highest peak is Catnip Mountain, which reaches just over 2,220 m. Domestic livestock were removed from Sheldon in 1994</w:t>
      </w:r>
      <w:r w:rsidR="00B96748">
        <w:t>. Feral horses were abundant but</w:t>
      </w:r>
      <w:r w:rsidR="00D05CAE">
        <w:t xml:space="preserve"> nearly a</w:t>
      </w:r>
      <w:r w:rsidR="00CC1E75">
        <w:t>ll feral horses were removed in</w:t>
      </w:r>
      <w:r w:rsidR="004D6EF3">
        <w:t xml:space="preserve"> 2014-2015. The Bureau of Land Management (BLM)</w:t>
      </w:r>
      <w:r w:rsidR="00D05CAE">
        <w:t xml:space="preserve">-managed portion of our study is delineated by the Vya and Massacre Sage-grouse Population Management Units (hereafter Vya-Massacre) which encompass approximately 711,200 hectares in northwestern Nevada and northeastern California </w:t>
      </w:r>
      <w:r w:rsidR="00E16566">
        <w:rPr>
          <w:noProof/>
        </w:rPr>
        <w:t>(Nevada Department of Wildlife)</w:t>
      </w:r>
      <w:r w:rsidR="00E16566">
        <w:t>.</w:t>
      </w:r>
      <w:r w:rsidR="00D05CAE">
        <w:t xml:space="preserve"> There are 22 grazing allotments for domestic cattle, as well as 7 Herd Management Areas (HMAs) for feral horses </w:t>
      </w:r>
      <w:r w:rsidR="00B96156">
        <w:t xml:space="preserve">which overlap </w:t>
      </w:r>
      <w:r w:rsidR="00D05CAE">
        <w:t>in the BLM portion of our study area</w:t>
      </w:r>
      <w:r w:rsidR="0056648A">
        <w:t xml:space="preserve"> (</w:t>
      </w:r>
      <w:r w:rsidR="003039E6">
        <w:t>Figure 2</w:t>
      </w:r>
      <w:r w:rsidR="0056648A">
        <w:t>)</w:t>
      </w:r>
      <w:r w:rsidR="00D05CAE">
        <w:t xml:space="preserve">. </w:t>
      </w:r>
    </w:p>
    <w:p w14:paraId="2AA713D8" w14:textId="65BF251E" w:rsidR="00D05CAE" w:rsidRDefault="00D05CAE" w:rsidP="00A21C0E">
      <w:pPr>
        <w:pStyle w:val="Heading3"/>
        <w:spacing w:line="480" w:lineRule="auto"/>
      </w:pPr>
      <w:bookmarkStart w:id="6" w:name="_Toc50540976"/>
      <w:r>
        <w:rPr>
          <w:b w:val="0"/>
        </w:rPr>
        <w:t>Field methods</w:t>
      </w:r>
      <w:bookmarkEnd w:id="6"/>
    </w:p>
    <w:p w14:paraId="66B11DCF" w14:textId="4DCE1240" w:rsidR="00D05CAE" w:rsidRDefault="008D08F2" w:rsidP="008D08F2">
      <w:pPr>
        <w:pStyle w:val="NoSpacing"/>
        <w:spacing w:line="480" w:lineRule="auto"/>
      </w:pPr>
      <w:r>
        <w:tab/>
      </w:r>
      <w:r w:rsidR="00D05CAE">
        <w:t xml:space="preserve">We trapped yearling </w:t>
      </w:r>
      <w:r w:rsidR="00190E11">
        <w:t xml:space="preserve">(ca. 10 months old at the time of capture) </w:t>
      </w:r>
      <w:r w:rsidR="00D05CAE">
        <w:t xml:space="preserve">and adult female sage-grouse near active </w:t>
      </w:r>
      <w:r w:rsidR="008D6EB6">
        <w:t xml:space="preserve">breeding </w:t>
      </w:r>
      <w:r w:rsidR="00D05CAE">
        <w:t>leks</w:t>
      </w:r>
      <w:r w:rsidR="00591CB0">
        <w:t xml:space="preserve"> </w:t>
      </w:r>
      <w:r w:rsidR="00591CB0">
        <w:rPr>
          <w:noProof/>
        </w:rPr>
        <w:t>(Gibson &amp; Bradbury, 1987)</w:t>
      </w:r>
      <w:r w:rsidR="00D05CAE">
        <w:t xml:space="preserve"> during March of 2013 to 2017. We </w:t>
      </w:r>
      <w:r w:rsidR="00D05CAE">
        <w:lastRenderedPageBreak/>
        <w:t xml:space="preserve">captured birds at night using spotlights </w:t>
      </w:r>
      <w:r w:rsidR="00EF0E73">
        <w:rPr>
          <w:noProof/>
        </w:rPr>
        <w:t>(Giesen et al., 1982)</w:t>
      </w:r>
      <w:r w:rsidR="00D05CAE">
        <w:t xml:space="preserve"> and handheld nets. Once captured, we banded females with unique metal bands (</w:t>
      </w:r>
      <w:r w:rsidR="00F62567">
        <w:t xml:space="preserve">National Band and Tag, Newport, KY; </w:t>
      </w:r>
      <w:r w:rsidR="00D05CAE">
        <w:t xml:space="preserve">size 14) and fit them with 22g very high-frequency necklace-style radio-collars </w:t>
      </w:r>
      <w:r w:rsidR="00D05CAE">
        <w:rPr>
          <w:rFonts w:cs="Times New Roman"/>
          <w:szCs w:val="24"/>
        </w:rPr>
        <w:t>(VHF; Advanced Telemetry Systems, Isanti, MN, USA).</w:t>
      </w:r>
      <w:r w:rsidR="00D05CAE">
        <w:t xml:space="preserve"> We measured culmen using dial calipers (</w:t>
      </w:r>
      <w:r w:rsidR="00D05CAE">
        <w:rPr>
          <w:rFonts w:cs="Times New Roman"/>
        </w:rPr>
        <w:t>±</w:t>
      </w:r>
      <w:r w:rsidR="00D05CAE">
        <w:t xml:space="preserve">1 mm), tarsus using dial calipers </w:t>
      </w:r>
      <w:r w:rsidR="00D05CAE">
        <w:rPr>
          <w:rFonts w:cs="Times New Roman"/>
        </w:rPr>
        <w:t>(±</w:t>
      </w:r>
      <w:r w:rsidR="00D05CAE">
        <w:t>1 mm), flat wing using a board (</w:t>
      </w:r>
      <w:r w:rsidR="00D05CAE">
        <w:rPr>
          <w:rFonts w:cs="Times New Roman"/>
        </w:rPr>
        <w:t>±</w:t>
      </w:r>
      <w:r w:rsidR="00D05CAE">
        <w:t>1 mm), and weighed each individual (</w:t>
      </w:r>
      <w:r w:rsidR="00D05CAE">
        <w:rPr>
          <w:rFonts w:cs="Times New Roman"/>
        </w:rPr>
        <w:t>±</w:t>
      </w:r>
      <w:r w:rsidR="00D05CAE">
        <w:t xml:space="preserve">1 g). We aged birds as </w:t>
      </w:r>
      <w:r w:rsidR="006D447A">
        <w:t>yearling</w:t>
      </w:r>
      <w:r w:rsidR="008D6EB6">
        <w:t>s</w:t>
      </w:r>
      <w:r w:rsidR="00D05CAE">
        <w:t xml:space="preserve"> or adult</w:t>
      </w:r>
      <w:r w:rsidR="008D6EB6">
        <w:t>s</w:t>
      </w:r>
      <w:r w:rsidR="00D05CAE">
        <w:t xml:space="preserve"> based on plumage characteristics </w:t>
      </w:r>
      <w:r w:rsidR="00D05CAE">
        <w:rPr>
          <w:noProof/>
        </w:rPr>
        <w:t>(Crunden, 1963)</w:t>
      </w:r>
      <w:r w:rsidR="00D05CAE">
        <w:t>. During capture, we plucked 2 breast feathers</w:t>
      </w:r>
      <w:r w:rsidR="009F5C86">
        <w:t xml:space="preserve">, which are thought to be grown in </w:t>
      </w:r>
      <w:r w:rsidR="009F5C86" w:rsidRPr="00404304">
        <w:t>fall (</w:t>
      </w:r>
      <w:proofErr w:type="spellStart"/>
      <w:r w:rsidR="00DF0FB6" w:rsidRPr="00404304">
        <w:t>Clait</w:t>
      </w:r>
      <w:proofErr w:type="spellEnd"/>
      <w:r w:rsidR="00DF0FB6" w:rsidRPr="00404304">
        <w:t xml:space="preserve"> Braun, </w:t>
      </w:r>
      <w:r w:rsidR="009F5C86" w:rsidRPr="00404304">
        <w:t>personal comm.)</w:t>
      </w:r>
      <w:r w:rsidR="00D05CAE" w:rsidRPr="00404304">
        <w:t xml:space="preserve"> from</w:t>
      </w:r>
      <w:r w:rsidR="00D05CAE">
        <w:t xml:space="preserve"> each individual. We labeled feathers by individual and stored them frozen in small plastic storage bags (2013-2016) or dry in small paper coin envelopes (2017-2019). For this analysis, we used feathers collected from Hart Mountain (2013-2015), Sheldon (2013-2017), and </w:t>
      </w:r>
      <w:r w:rsidR="00FF139D">
        <w:t>Vya-</w:t>
      </w:r>
      <w:r w:rsidR="00D05CAE">
        <w:t>Massacre (2013-2017).</w:t>
      </w:r>
    </w:p>
    <w:p w14:paraId="33D16DF5" w14:textId="195F99E7" w:rsidR="00D05CAE" w:rsidRDefault="008D08F2" w:rsidP="008D08F2">
      <w:pPr>
        <w:pStyle w:val="NoSpacing"/>
        <w:spacing w:line="480" w:lineRule="auto"/>
      </w:pPr>
      <w:r>
        <w:tab/>
      </w:r>
      <w:r w:rsidR="00D05CAE">
        <w:t>We monitored females every 2-3 days</w:t>
      </w:r>
      <w:r w:rsidR="00F62567">
        <w:t xml:space="preserve"> via ground telemetry</w:t>
      </w:r>
      <w:r w:rsidR="00D05CAE">
        <w:t xml:space="preserve"> during the early nesting period, to document nesting and success or failure of nests. For females that had successful nests, we began monitoring their broods within the first 2-3 days </w:t>
      </w:r>
      <w:r w:rsidR="009F5C86">
        <w:t xml:space="preserve">after </w:t>
      </w:r>
      <w:r w:rsidR="00D05CAE">
        <w:t xml:space="preserve">chicks </w:t>
      </w:r>
      <w:r w:rsidR="00D05CAE" w:rsidRPr="009F5BC5">
        <w:t>hatch</w:t>
      </w:r>
      <w:r w:rsidR="009F5C86" w:rsidRPr="009F5BC5">
        <w:t>ed</w:t>
      </w:r>
      <w:r w:rsidR="00330578" w:rsidRPr="009F5BC5">
        <w:t xml:space="preserve"> (Street et al. in </w:t>
      </w:r>
      <w:r w:rsidR="009F5BC5">
        <w:t>press</w:t>
      </w:r>
      <w:r w:rsidR="00330578">
        <w:t>)</w:t>
      </w:r>
      <w:r w:rsidR="00D05CAE">
        <w:t>. We performed weekly checks of these broods, to count the surviving chicks up to 42-49 days of age. For the remaining months of the year, we employed aerial telemetry, approximately monthly, to assess live/dead status and location.</w:t>
      </w:r>
    </w:p>
    <w:p w14:paraId="176C5BE7" w14:textId="20AD5460" w:rsidR="0083449E" w:rsidRDefault="0083449E" w:rsidP="00A21C0E">
      <w:pPr>
        <w:pStyle w:val="Heading3"/>
        <w:spacing w:line="480" w:lineRule="auto"/>
        <w:rPr>
          <w:b w:val="0"/>
        </w:rPr>
      </w:pPr>
      <w:r>
        <w:rPr>
          <w:b w:val="0"/>
        </w:rPr>
        <w:t>Additional Data</w:t>
      </w:r>
    </w:p>
    <w:p w14:paraId="2C4262B7" w14:textId="5E8A9107" w:rsidR="004D6EF3" w:rsidRPr="00A6393B" w:rsidRDefault="008D08F2" w:rsidP="008D08F2">
      <w:pPr>
        <w:pStyle w:val="NoSpacing"/>
        <w:spacing w:line="480" w:lineRule="auto"/>
      </w:pPr>
      <w:r>
        <w:tab/>
      </w:r>
      <w:r w:rsidR="004D6EF3" w:rsidRPr="00A6393B">
        <w:t>We used reported data to assess horse and cow usage across our study region</w:t>
      </w:r>
      <w:r w:rsidR="00F669EB">
        <w:t xml:space="preserve"> (</w:t>
      </w:r>
      <w:r w:rsidR="003039E6">
        <w:t>Figure 2</w:t>
      </w:r>
      <w:r w:rsidR="00F669EB">
        <w:t>)</w:t>
      </w:r>
      <w:r w:rsidR="004D6EF3" w:rsidRPr="00A6393B">
        <w:t xml:space="preserve">. </w:t>
      </w:r>
      <w:r w:rsidR="00F42E80" w:rsidRPr="00A6393B">
        <w:t xml:space="preserve">For cows, we used </w:t>
      </w:r>
      <w:r w:rsidR="00A66DF7">
        <w:t>BLM</w:t>
      </w:r>
      <w:r w:rsidR="00F42E80" w:rsidRPr="00A6393B">
        <w:t xml:space="preserve"> data for each allotment</w:t>
      </w:r>
      <w:r w:rsidR="009F5C86">
        <w:t xml:space="preserve">, which </w:t>
      </w:r>
      <w:r w:rsidR="00330578">
        <w:t xml:space="preserve">included </w:t>
      </w:r>
      <w:r w:rsidR="009F5C86">
        <w:t xml:space="preserve">the </w:t>
      </w:r>
      <w:r w:rsidR="00A66DF7">
        <w:t>number of cows present and the amount of</w:t>
      </w:r>
      <w:r w:rsidR="009F5C86">
        <w:t xml:space="preserve"> time</w:t>
      </w:r>
      <w:r w:rsidR="00A66DF7">
        <w:t xml:space="preserve"> spent</w:t>
      </w:r>
      <w:r w:rsidR="009F5C86">
        <w:t xml:space="preserve"> in the allotment</w:t>
      </w:r>
      <w:r w:rsidR="00A66DF7">
        <w:t xml:space="preserve"> </w:t>
      </w:r>
      <w:r w:rsidR="00A66DF7" w:rsidRPr="00D40C3B">
        <w:t>(BLM</w:t>
      </w:r>
      <w:r w:rsidR="00D40C3B" w:rsidRPr="00D40C3B">
        <w:t xml:space="preserve"> Applegate Field Office</w:t>
      </w:r>
      <w:r w:rsidR="00330578">
        <w:t xml:space="preserve"> unpublished data</w:t>
      </w:r>
      <w:r w:rsidR="00A66DF7" w:rsidRPr="00D40C3B">
        <w:t>)</w:t>
      </w:r>
      <w:r w:rsidR="00F42E80" w:rsidRPr="00D40C3B">
        <w:t>. To</w:t>
      </w:r>
      <w:r w:rsidR="00F42E80" w:rsidRPr="00A6393B">
        <w:t xml:space="preserve"> account for variation in the number of days cows were actually on each allotment, we multiplied the number of cows by number of days</w:t>
      </w:r>
      <w:r w:rsidR="000A4596">
        <w:t xml:space="preserve"> they were on an allotment</w:t>
      </w:r>
      <w:r w:rsidR="00C34EA2">
        <w:t xml:space="preserve">, then divided by the size of the </w:t>
      </w:r>
      <w:r w:rsidR="00C34EA2">
        <w:lastRenderedPageBreak/>
        <w:t>area</w:t>
      </w:r>
      <w:r w:rsidR="000A4596">
        <w:t xml:space="preserve"> to produce a variable reflecting cow use days per unit area</w:t>
      </w:r>
      <w:r w:rsidR="00F42E80" w:rsidRPr="00A6393B">
        <w:t>.</w:t>
      </w:r>
      <w:r w:rsidR="00F42E80">
        <w:t xml:space="preserve"> </w:t>
      </w:r>
      <w:r w:rsidR="004D6EF3" w:rsidRPr="00A6393B">
        <w:t>For horses, we used annual population estimates reported for each Herd Management Area (HMA</w:t>
      </w:r>
      <w:r w:rsidR="00ED29C2">
        <w:t xml:space="preserve">; </w:t>
      </w:r>
      <w:r w:rsidR="00292577">
        <w:rPr>
          <w:noProof/>
        </w:rPr>
        <w:t>(Bureau of Land Management, 2020a)</w:t>
      </w:r>
      <w:r w:rsidR="00ED29C2">
        <w:t>.</w:t>
      </w:r>
      <w:r w:rsidR="004D6EF3" w:rsidRPr="00A6393B">
        <w:t xml:space="preserve"> </w:t>
      </w:r>
      <w:r w:rsidR="009F5C86">
        <w:t>Because</w:t>
      </w:r>
      <w:r w:rsidR="009F5C86" w:rsidRPr="00A6393B">
        <w:t xml:space="preserve"> </w:t>
      </w:r>
      <w:r w:rsidR="00847591" w:rsidRPr="00A6393B">
        <w:t>hors</w:t>
      </w:r>
      <w:r w:rsidR="00F42E80">
        <w:t xml:space="preserve">es are on the landscape year-round, we multiplied </w:t>
      </w:r>
      <w:r w:rsidR="009F5C86">
        <w:t>number of horses</w:t>
      </w:r>
      <w:r w:rsidR="00F42E80">
        <w:t xml:space="preserve"> by </w:t>
      </w:r>
      <w:r w:rsidR="00C34EA2">
        <w:t>365</w:t>
      </w:r>
      <w:r w:rsidR="00750AB6">
        <w:t xml:space="preserve"> </w:t>
      </w:r>
      <w:r w:rsidR="00F42E80">
        <w:t>days</w:t>
      </w:r>
      <w:r w:rsidR="00A66DF7">
        <w:t xml:space="preserve"> and divided by the size of the HMA</w:t>
      </w:r>
      <w:r w:rsidR="00847591" w:rsidRPr="00A6393B">
        <w:t xml:space="preserve">. </w:t>
      </w:r>
      <w:r w:rsidR="00847591" w:rsidRPr="007521DC">
        <w:t xml:space="preserve">Thus, our variables for analysis were </w:t>
      </w:r>
      <w:r w:rsidR="00C34EA2">
        <w:t>horse</w:t>
      </w:r>
      <w:r w:rsidR="00847591" w:rsidRPr="007521DC">
        <w:t xml:space="preserve"> and cow</w:t>
      </w:r>
      <w:r w:rsidR="00C34EA2">
        <w:t xml:space="preserve"> use days per square kilometer</w:t>
      </w:r>
      <w:r w:rsidR="00847591" w:rsidRPr="007521DC">
        <w:t>.</w:t>
      </w:r>
    </w:p>
    <w:p w14:paraId="7CA2B5D2" w14:textId="20E59A26" w:rsidR="0083449E" w:rsidRPr="00A6393B" w:rsidRDefault="008D08F2" w:rsidP="008D08F2">
      <w:pPr>
        <w:pStyle w:val="NoSpacing"/>
        <w:spacing w:line="480" w:lineRule="auto"/>
      </w:pPr>
      <w:r>
        <w:tab/>
      </w:r>
      <w:r w:rsidR="00847591" w:rsidRPr="00A6393B">
        <w:t>Our study region experienced significant variation in precipitation among years</w:t>
      </w:r>
      <w:r w:rsidR="00B65578">
        <w:t xml:space="preserve"> </w:t>
      </w:r>
      <w:r w:rsidR="00B65578" w:rsidRPr="0031746E">
        <w:t>(</w:t>
      </w:r>
      <w:r w:rsidR="0031746E" w:rsidRPr="0031746E">
        <w:t>1</w:t>
      </w:r>
      <w:r w:rsidR="0031746E">
        <w:t>50</w:t>
      </w:r>
      <w:r w:rsidR="0031746E" w:rsidRPr="0031746E">
        <w:t xml:space="preserve"> </w:t>
      </w:r>
      <w:r w:rsidR="0031746E" w:rsidRPr="0031746E">
        <w:rPr>
          <w:rFonts w:cs="Times New Roman"/>
        </w:rPr>
        <w:t xml:space="preserve">– </w:t>
      </w:r>
      <w:r w:rsidR="0031746E" w:rsidRPr="0031746E">
        <w:t>410 mm</w:t>
      </w:r>
      <w:r w:rsidR="00B65578" w:rsidRPr="0031746E">
        <w:t>)</w:t>
      </w:r>
      <w:r w:rsidR="00847591" w:rsidRPr="00A6393B">
        <w:t>. We used cumulative precipitation from October to September, referred to as the ‘northern water year’, as a measure of annual drought conditions</w:t>
      </w:r>
      <w:r w:rsidR="000C2736" w:rsidRPr="00A6393B">
        <w:t xml:space="preserve"> </w:t>
      </w:r>
      <w:r w:rsidR="004E1665" w:rsidRPr="00A6393B">
        <w:rPr>
          <w:noProof/>
        </w:rPr>
        <w:t>(Huntington et al., 2017; PRISM Climate Group, 2011)</w:t>
      </w:r>
      <w:r w:rsidR="00847591" w:rsidRPr="00A6393B">
        <w:t xml:space="preserve">. </w:t>
      </w:r>
      <w:r w:rsidR="002E47BD">
        <w:t xml:space="preserve">Because </w:t>
      </w:r>
      <w:r w:rsidR="00FA22F1">
        <w:t xml:space="preserve">invasive </w:t>
      </w:r>
      <w:r w:rsidR="002E47BD">
        <w:t xml:space="preserve">annual grasses displace native vegetation and can be detrimental to sage-grouse fitness and population </w:t>
      </w:r>
      <w:r w:rsidR="00CC1E75">
        <w:t>dynamics</w:t>
      </w:r>
      <w:r w:rsidR="003155D8">
        <w:t xml:space="preserve"> </w:t>
      </w:r>
      <w:r w:rsidR="003155D8">
        <w:rPr>
          <w:noProof/>
        </w:rPr>
        <w:t>(Blomberg et al., 2012)</w:t>
      </w:r>
      <w:r w:rsidR="003155D8">
        <w:t>,</w:t>
      </w:r>
      <w:r w:rsidR="002E47BD">
        <w:t xml:space="preserve"> we included</w:t>
      </w:r>
      <w:r w:rsidR="004B26DD">
        <w:t xml:space="preserve"> invasive</w:t>
      </w:r>
      <w:r w:rsidR="002E47BD">
        <w:t xml:space="preserve"> annual grass cover as an explanatory variable in some candidate models of </w:t>
      </w:r>
      <w:r w:rsidR="009A05BD">
        <w:t>fC</w:t>
      </w:r>
      <w:r w:rsidR="002E47BD">
        <w:t xml:space="preserve">ort levels. </w:t>
      </w:r>
      <w:r w:rsidR="005F6C30">
        <w:t xml:space="preserve">We used year-specific layers of estimated </w:t>
      </w:r>
      <w:r w:rsidR="004B26DD">
        <w:t xml:space="preserve">invasive </w:t>
      </w:r>
      <w:r w:rsidR="005F6C30">
        <w:t>annual grass percent cover</w:t>
      </w:r>
      <w:r w:rsidR="00F62567">
        <w:t xml:space="preserve"> created by</w:t>
      </w:r>
      <w:r w:rsidR="00C850D1">
        <w:t xml:space="preserve"> </w:t>
      </w:r>
      <w:r w:rsidR="00FA22F1">
        <w:rPr>
          <w:noProof/>
        </w:rPr>
        <w:t>Boyte et al., 2019</w:t>
      </w:r>
      <w:r w:rsidR="005F6C30">
        <w:t>, which in this area is primarily cheatgrass</w:t>
      </w:r>
      <w:r w:rsidR="00412ABD">
        <w:t xml:space="preserve"> (</w:t>
      </w:r>
      <w:proofErr w:type="spellStart"/>
      <w:r w:rsidR="00412ABD" w:rsidRPr="00D933B0">
        <w:rPr>
          <w:i/>
        </w:rPr>
        <w:t>Bromus</w:t>
      </w:r>
      <w:proofErr w:type="spellEnd"/>
      <w:r w:rsidR="00412ABD" w:rsidRPr="00D933B0">
        <w:rPr>
          <w:i/>
        </w:rPr>
        <w:t xml:space="preserve"> tectorum</w:t>
      </w:r>
      <w:r w:rsidR="00412ABD">
        <w:t>)</w:t>
      </w:r>
      <w:r w:rsidR="00A01FAC">
        <w:t>, for this purpose</w:t>
      </w:r>
      <w:r w:rsidR="005F6C30">
        <w:t>.</w:t>
      </w:r>
    </w:p>
    <w:p w14:paraId="4C71C682" w14:textId="1C9FA072" w:rsidR="000C2736" w:rsidRDefault="008D08F2" w:rsidP="008D08F2">
      <w:pPr>
        <w:pStyle w:val="NoSpacing"/>
        <w:spacing w:line="480" w:lineRule="auto"/>
      </w:pPr>
      <w:r>
        <w:tab/>
      </w:r>
      <w:r w:rsidR="0083449E" w:rsidRPr="00A6393B">
        <w:t xml:space="preserve">Because feathers were collected at the time of capture, in late winter or early spring, the exact geographic locations of the birds during feather growth was unknown. </w:t>
      </w:r>
      <w:r w:rsidR="0038517A">
        <w:t>S</w:t>
      </w:r>
      <w:r w:rsidR="0083449E" w:rsidRPr="00A6393B">
        <w:t xml:space="preserve">ite fidelity of sage-grouse </w:t>
      </w:r>
      <w:r w:rsidR="00A01FAC">
        <w:t xml:space="preserve">for specific seasonal habitats is high </w:t>
      </w:r>
      <w:r w:rsidR="00EF0E73" w:rsidRPr="00A6393B">
        <w:rPr>
          <w:noProof/>
        </w:rPr>
        <w:t>(Fischer et al., 1993)</w:t>
      </w:r>
      <w:r w:rsidR="0038517A">
        <w:t>, thus we used locations collected after capture as an index of where the female was the prior season</w:t>
      </w:r>
      <w:r w:rsidR="000C2736" w:rsidRPr="00A6393B">
        <w:t>. We extracted</w:t>
      </w:r>
      <w:r w:rsidR="005F6C30">
        <w:t xml:space="preserve"> values for horse</w:t>
      </w:r>
      <w:r w:rsidR="00A01FAC">
        <w:t xml:space="preserve"> and </w:t>
      </w:r>
      <w:r w:rsidR="005F6C30">
        <w:t>cow</w:t>
      </w:r>
      <w:r w:rsidR="00A01FAC">
        <w:t xml:space="preserve"> density</w:t>
      </w:r>
      <w:r w:rsidR="005F6C30">
        <w:t xml:space="preserve">, </w:t>
      </w:r>
      <w:r w:rsidR="000C2736" w:rsidRPr="00A6393B">
        <w:t>drought</w:t>
      </w:r>
      <w:r w:rsidR="005F6C30">
        <w:t>, and annual grass cover</w:t>
      </w:r>
      <w:r w:rsidR="000C2736" w:rsidRPr="00A6393B">
        <w:t xml:space="preserve"> </w:t>
      </w:r>
      <w:r w:rsidR="00A01FAC">
        <w:t xml:space="preserve">for each individual sage-grouse </w:t>
      </w:r>
      <w:r w:rsidR="0038517A">
        <w:t>at each location</w:t>
      </w:r>
      <w:r w:rsidR="000C2736" w:rsidRPr="00A6393B">
        <w:t xml:space="preserve"> and </w:t>
      </w:r>
      <w:r w:rsidR="0038517A">
        <w:t>averaged</w:t>
      </w:r>
      <w:r w:rsidR="000C2736" w:rsidRPr="00A6393B">
        <w:t xml:space="preserve"> the covariate values </w:t>
      </w:r>
      <w:r w:rsidR="0038517A">
        <w:t xml:space="preserve">across </w:t>
      </w:r>
      <w:proofErr w:type="gramStart"/>
      <w:r w:rsidR="0038517A">
        <w:t>all  locations</w:t>
      </w:r>
      <w:proofErr w:type="gramEnd"/>
      <w:r w:rsidR="000C2736" w:rsidRPr="00A6393B">
        <w:t xml:space="preserve">. </w:t>
      </w:r>
      <w:r w:rsidR="00B2028D">
        <w:t xml:space="preserve">We used the </w:t>
      </w:r>
      <w:r w:rsidR="00A01FAC">
        <w:t xml:space="preserve">locations </w:t>
      </w:r>
      <w:r w:rsidR="00B2028D">
        <w:t xml:space="preserve">for the year corresponding to </w:t>
      </w:r>
      <w:r w:rsidR="00A01FAC">
        <w:t>feather growth</w:t>
      </w:r>
      <w:r w:rsidR="00B2028D">
        <w:t>, rather than the year the bird was captured</w:t>
      </w:r>
      <w:r w:rsidR="008D6EB6">
        <w:t xml:space="preserve"> for these estimates</w:t>
      </w:r>
      <w:r w:rsidR="00B2028D">
        <w:t xml:space="preserve">. </w:t>
      </w:r>
    </w:p>
    <w:p w14:paraId="0E4E0D07" w14:textId="14AEFE3B" w:rsidR="00B2028D" w:rsidRPr="00A6393B" w:rsidRDefault="008D08F2" w:rsidP="008D08F2">
      <w:pPr>
        <w:pStyle w:val="NoSpacing"/>
        <w:spacing w:line="480" w:lineRule="auto"/>
      </w:pPr>
      <w:r>
        <w:lastRenderedPageBreak/>
        <w:tab/>
      </w:r>
      <w:r w:rsidR="003A2370">
        <w:t xml:space="preserve">We calculated body condition as </w:t>
      </w:r>
      <w:r w:rsidR="00A01FAC">
        <w:t xml:space="preserve">residuals of body </w:t>
      </w:r>
      <w:r w:rsidR="003A2370">
        <w:t xml:space="preserve">mass </w:t>
      </w:r>
      <w:r w:rsidR="00A01FAC">
        <w:t>regressed on</w:t>
      </w:r>
      <w:r w:rsidR="003A2370">
        <w:t xml:space="preserve"> </w:t>
      </w:r>
      <w:r w:rsidR="003A2370" w:rsidRPr="00F62567">
        <w:t>female structural size</w:t>
      </w:r>
      <w:r w:rsidR="00F62567">
        <w:t>, a principal components score of wing and tarsus lengths</w:t>
      </w:r>
      <w:r w:rsidR="003A2370">
        <w:t xml:space="preserve"> </w:t>
      </w:r>
      <w:r w:rsidR="001E14FF">
        <w:rPr>
          <w:noProof/>
        </w:rPr>
        <w:t>(Blomberg, Gibson, et al., 2014; Freeman &amp; Jackson, 1990)</w:t>
      </w:r>
      <w:r w:rsidR="00292577">
        <w:t>.</w:t>
      </w:r>
      <w:r w:rsidR="007A67AA">
        <w:t xml:space="preserve"> </w:t>
      </w:r>
      <w:r w:rsidR="00A01FAC">
        <w:t>When</w:t>
      </w:r>
      <w:r w:rsidR="007A67AA">
        <w:t xml:space="preserve"> measurements were missing</w:t>
      </w:r>
      <w:r w:rsidR="00A01FAC">
        <w:t xml:space="preserve"> (n = </w:t>
      </w:r>
      <w:r w:rsidR="003155D8">
        <w:t>16</w:t>
      </w:r>
      <w:r w:rsidR="00A01FAC">
        <w:t>)</w:t>
      </w:r>
      <w:r w:rsidR="007A67AA">
        <w:t xml:space="preserve">, </w:t>
      </w:r>
      <w:r w:rsidR="00A01FAC">
        <w:t>we assigned the individual</w:t>
      </w:r>
      <w:r w:rsidR="007A67AA">
        <w:t xml:space="preserve"> the mean condition value.</w:t>
      </w:r>
      <w:r w:rsidR="003A2370">
        <w:t xml:space="preserve"> As noted above, measurements were conducted at </w:t>
      </w:r>
      <w:r w:rsidR="009715F6">
        <w:t xml:space="preserve">the </w:t>
      </w:r>
      <w:r w:rsidR="003A2370">
        <w:t>time of capture</w:t>
      </w:r>
      <w:r w:rsidR="00A01FAC">
        <w:t xml:space="preserve"> so our analyses of condition assessed</w:t>
      </w:r>
      <w:r w:rsidR="003A2370">
        <w:t xml:space="preserve"> whether fCort was predictive of body condition a few months after feather growth. </w:t>
      </w:r>
    </w:p>
    <w:p w14:paraId="2F56D3D1" w14:textId="461C4897" w:rsidR="00D05CAE" w:rsidRDefault="006363FC" w:rsidP="00A21C0E">
      <w:pPr>
        <w:pStyle w:val="Heading3"/>
        <w:spacing w:line="480" w:lineRule="auto"/>
      </w:pPr>
      <w:r>
        <w:rPr>
          <w:b w:val="0"/>
        </w:rPr>
        <w:t>Hormone Assays</w:t>
      </w:r>
    </w:p>
    <w:p w14:paraId="3108BB17" w14:textId="0381151E" w:rsidR="00D05CAE" w:rsidRDefault="008D08F2" w:rsidP="008D08F2">
      <w:pPr>
        <w:pStyle w:val="NoSpacing"/>
        <w:spacing w:line="480" w:lineRule="auto"/>
      </w:pPr>
      <w:r>
        <w:tab/>
      </w:r>
      <w:r w:rsidR="00D05CAE">
        <w:t xml:space="preserve">We extracted corticosterone from feathers following </w:t>
      </w:r>
      <w:proofErr w:type="spellStart"/>
      <w:r w:rsidR="00D05CAE">
        <w:t>Bortolotti</w:t>
      </w:r>
      <w:proofErr w:type="spellEnd"/>
      <w:r w:rsidR="00D05CAE">
        <w:t xml:space="preserve"> et al. </w:t>
      </w:r>
      <w:r w:rsidR="00D05CAE">
        <w:rPr>
          <w:noProof/>
        </w:rPr>
        <w:t>(2008)</w:t>
      </w:r>
      <w:r w:rsidR="00D05CAE">
        <w:t xml:space="preserve">, with some modifications. We first removed the </w:t>
      </w:r>
      <w:proofErr w:type="spellStart"/>
      <w:r w:rsidR="00D05CAE">
        <w:t>calamus</w:t>
      </w:r>
      <w:proofErr w:type="spellEnd"/>
      <w:r w:rsidR="00D05CAE">
        <w:t xml:space="preserve"> before measuring </w:t>
      </w:r>
      <w:r w:rsidR="00292577">
        <w:t>the length of each feather. We</w:t>
      </w:r>
      <w:r w:rsidR="00D05CAE">
        <w:t xml:space="preserve"> cut each feather into pieces &lt; 5 mm</w:t>
      </w:r>
      <w:r w:rsidR="00D05CAE">
        <w:rPr>
          <w:vertAlign w:val="superscript"/>
        </w:rPr>
        <w:t>2</w:t>
      </w:r>
      <w:r w:rsidR="00D05CAE">
        <w:t>, mixed the pieces with 7 mL of HPLC grade methanol, and incubated the samples in a sonicating water bath at room temperature for 30 min. After sonication, we incubated the samples overnight in a shaking water bath at 50 °C. To separate the feather pieces and methanol, we used vacuum filtration with grade 4 filter paper (</w:t>
      </w:r>
      <w:proofErr w:type="spellStart"/>
      <w:r w:rsidR="00D05CAE">
        <w:t>Whatman</w:t>
      </w:r>
      <w:proofErr w:type="spellEnd"/>
      <w:r w:rsidR="00D05CAE">
        <w:t xml:space="preserve">, Little Chalfont, </w:t>
      </w:r>
      <w:proofErr w:type="gramStart"/>
      <w:r w:rsidR="00D05CAE">
        <w:t>United</w:t>
      </w:r>
      <w:proofErr w:type="gramEnd"/>
      <w:r w:rsidR="00D05CAE">
        <w:t xml:space="preserve"> Kingdom). We also washed the sample tube, feather pieces, and filter apparatus twice with 2 mL of methanol, with washes added to the methanol extract. We dried the methanol extracts under air in a 50 °C heat block, reconstituted the extracts in assay buffer provided with the assay kit (see below), and froze them until assay.</w:t>
      </w:r>
    </w:p>
    <w:p w14:paraId="4EAE0750" w14:textId="727E7427" w:rsidR="00D05CAE" w:rsidRDefault="008D08F2" w:rsidP="008D08F2">
      <w:pPr>
        <w:pStyle w:val="NoSpacing"/>
        <w:spacing w:line="480" w:lineRule="auto"/>
      </w:pPr>
      <w:r>
        <w:tab/>
      </w:r>
      <w:r w:rsidR="00D05CAE">
        <w:t xml:space="preserve">We quantified corticosterone using enzyme-linked immunoassay according to the manufacturer’s instructions (Enzo Life Sciences, Farmingdale, NY, USA). To validate this assay, we verified that a serially diluted sample was parallel with the corticosterone standard curve. The average intra- and inter-assay coefficients of variation were 4.7% and 16.9%, respectively. The average assay sensitivity was 8.3 </w:t>
      </w:r>
      <w:proofErr w:type="spellStart"/>
      <w:r w:rsidR="00D05CAE">
        <w:t>pg</w:t>
      </w:r>
      <w:proofErr w:type="spellEnd"/>
      <w:r w:rsidR="00D05CAE">
        <w:t>/</w:t>
      </w:r>
      <w:proofErr w:type="spellStart"/>
      <w:r w:rsidR="00D05CAE">
        <w:t>mL.</w:t>
      </w:r>
      <w:proofErr w:type="spellEnd"/>
      <w:r w:rsidR="00D91252" w:rsidRPr="00D91252">
        <w:t xml:space="preserve"> </w:t>
      </w:r>
      <w:r w:rsidR="00D91252">
        <w:t>Because hormone deposition occurs in a time-</w:t>
      </w:r>
      <w:r w:rsidR="00D91252">
        <w:lastRenderedPageBreak/>
        <w:t>dependent fashion during feather growth</w:t>
      </w:r>
      <w:r w:rsidR="006F7A29">
        <w:t xml:space="preserve"> over several days to weeks</w:t>
      </w:r>
      <w:r w:rsidR="00D91252">
        <w:t xml:space="preserve"> </w:t>
      </w:r>
      <w:r w:rsidR="00D91252">
        <w:rPr>
          <w:noProof/>
        </w:rPr>
        <w:t>(Bortolotti et al., 2009; Bortolotti et al., 2008)</w:t>
      </w:r>
      <w:r w:rsidR="00D91252">
        <w:t>, we normalized all final corticosterone values by feather length</w:t>
      </w:r>
      <w:r w:rsidR="00D05CAE">
        <w:t>.</w:t>
      </w:r>
    </w:p>
    <w:p w14:paraId="6325AC93" w14:textId="330589D4" w:rsidR="00D05CAE" w:rsidRDefault="00D05CAE" w:rsidP="00A21C0E">
      <w:pPr>
        <w:spacing w:line="480" w:lineRule="auto"/>
        <w:rPr>
          <w:i/>
          <w:iCs/>
        </w:rPr>
      </w:pPr>
      <w:r>
        <w:rPr>
          <w:rStyle w:val="Emphasis"/>
        </w:rPr>
        <w:t>Corticosterone Model</w:t>
      </w:r>
    </w:p>
    <w:p w14:paraId="375A7FC9" w14:textId="002CAFA8" w:rsidR="00D05CAE" w:rsidRDefault="000C2736" w:rsidP="00E976BC">
      <w:pPr>
        <w:spacing w:line="480" w:lineRule="auto"/>
        <w:ind w:firstLine="720"/>
      </w:pPr>
      <w:r>
        <w:t xml:space="preserve">We </w:t>
      </w:r>
      <w:r w:rsidR="0002437B">
        <w:t>analyzed fCort</w:t>
      </w:r>
      <w:r>
        <w:t xml:space="preserve"> </w:t>
      </w:r>
      <w:r w:rsidR="00C97235">
        <w:t xml:space="preserve">levels </w:t>
      </w:r>
      <w:r>
        <w:t>in a Bayesian framework using JAGS</w:t>
      </w:r>
      <w:r w:rsidR="007D4E29">
        <w:t xml:space="preserve"> UI</w:t>
      </w:r>
      <w:r>
        <w:t xml:space="preserve"> </w:t>
      </w:r>
      <w:r w:rsidR="007D4E29">
        <w:rPr>
          <w:noProof/>
        </w:rPr>
        <w:t>(Kellner, 2015; Plummer, 2003)</w:t>
      </w:r>
      <w:r>
        <w:t xml:space="preserve"> in Program R </w:t>
      </w:r>
      <w:r>
        <w:rPr>
          <w:noProof/>
        </w:rPr>
        <w:t>(R Core Team, 2019)</w:t>
      </w:r>
      <w:r>
        <w:t xml:space="preserve">. </w:t>
      </w:r>
      <w:r w:rsidR="002C038F">
        <w:t>We modeled fC</w:t>
      </w:r>
      <w:r w:rsidR="007F478E">
        <w:t xml:space="preserve">ort rounded to the nearest </w:t>
      </w:r>
      <w:proofErr w:type="spellStart"/>
      <w:r w:rsidR="007F478E">
        <w:t>pg</w:t>
      </w:r>
      <w:proofErr w:type="spellEnd"/>
      <w:r w:rsidR="007F478E">
        <w:t>/mm</w:t>
      </w:r>
      <w:r w:rsidR="002C038F">
        <w:t xml:space="preserve"> for each bird </w:t>
      </w:r>
      <w:proofErr w:type="spellStart"/>
      <w:r w:rsidR="002C038F" w:rsidRPr="002C038F">
        <w:rPr>
          <w:i/>
        </w:rPr>
        <w:t>i</w:t>
      </w:r>
      <w:proofErr w:type="spellEnd"/>
      <w:r w:rsidR="002C038F">
        <w:t xml:space="preserve">, with negative binomial variation approximated by a mean </w:t>
      </w:r>
      <w:r w:rsidR="009A05BD">
        <w:t>fC</w:t>
      </w:r>
      <w:r w:rsidR="002C038F">
        <w:t>ort level (</w:t>
      </w:r>
      <w:r w:rsidR="002C038F">
        <w:rPr>
          <w:rFonts w:cs="Times New Roman"/>
        </w:rPr>
        <w:t>µ</w:t>
      </w:r>
      <w:r w:rsidR="002C038F">
        <w:t>), and shape term (r) to account for the highly skewed distribution. For all models w</w:t>
      </w:r>
      <w:r w:rsidR="007F478E">
        <w:t xml:space="preserve">e considered r to be constant. </w:t>
      </w:r>
      <w:r w:rsidR="002C038F">
        <w:t xml:space="preserve">We </w:t>
      </w:r>
      <w:r w:rsidR="0038517A">
        <w:t>modeled</w:t>
      </w:r>
      <w:r w:rsidR="002C038F">
        <w:t xml:space="preserve"> individual variation among </w:t>
      </w:r>
      <w:r w:rsidR="002C038F">
        <w:rPr>
          <w:rFonts w:cs="Times New Roman"/>
        </w:rPr>
        <w:t>µ</w:t>
      </w:r>
      <w:r w:rsidR="002C038F">
        <w:t xml:space="preserve"> with covariates of age (yearling or adult) and body condition</w:t>
      </w:r>
      <w:r w:rsidR="002C038F" w:rsidRPr="00B2028D">
        <w:t xml:space="preserve">. </w:t>
      </w:r>
      <w:r w:rsidR="002C038F">
        <w:t>We</w:t>
      </w:r>
      <w:r w:rsidR="008459F6">
        <w:t xml:space="preserve"> included h</w:t>
      </w:r>
      <w:r w:rsidR="003A2370">
        <w:t>orse</w:t>
      </w:r>
      <w:r w:rsidR="00C355BB">
        <w:t xml:space="preserve"> and</w:t>
      </w:r>
      <w:r w:rsidR="00F00721">
        <w:t xml:space="preserve"> cow</w:t>
      </w:r>
      <w:r w:rsidR="008459F6">
        <w:t xml:space="preserve"> </w:t>
      </w:r>
      <w:r w:rsidR="00CC1E75">
        <w:t>densities</w:t>
      </w:r>
      <w:r w:rsidR="00F00721">
        <w:t xml:space="preserve">, </w:t>
      </w:r>
      <w:r w:rsidR="003A2370">
        <w:t>precipitation</w:t>
      </w:r>
      <w:r w:rsidR="005F6C30">
        <w:t>, and annual grass cover</w:t>
      </w:r>
      <w:r w:rsidR="003A2370">
        <w:t xml:space="preserve"> </w:t>
      </w:r>
      <w:r w:rsidR="008459F6">
        <w:t xml:space="preserve">to assess the potential for </w:t>
      </w:r>
      <w:r w:rsidR="00995041">
        <w:t>impacts of grazing by non</w:t>
      </w:r>
      <w:r w:rsidR="0018730E">
        <w:t>-</w:t>
      </w:r>
      <w:r w:rsidR="00995041">
        <w:t>native ungulates</w:t>
      </w:r>
      <w:r w:rsidR="008459F6">
        <w:t xml:space="preserve"> on </w:t>
      </w:r>
      <w:r w:rsidR="00B23997">
        <w:t>fCort</w:t>
      </w:r>
      <w:r w:rsidR="00F00721">
        <w:t xml:space="preserve">. </w:t>
      </w:r>
      <w:r w:rsidR="003A2370">
        <w:t>We included interaction terms for horses x precipitation</w:t>
      </w:r>
      <w:r w:rsidR="005F6C30">
        <w:t>,</w:t>
      </w:r>
      <w:r w:rsidR="003A2370">
        <w:t xml:space="preserve"> cows x precipitation</w:t>
      </w:r>
      <w:r w:rsidR="005F6C30">
        <w:t>, and horses x annual grass</w:t>
      </w:r>
      <w:r w:rsidR="00B23997">
        <w:t xml:space="preserve"> to allow for spatial-temporal variation in the effects of non-native grazers in response to variation in climate or ecological conditions</w:t>
      </w:r>
      <w:r w:rsidR="003A2370">
        <w:t xml:space="preserve">. </w:t>
      </w:r>
      <w:r w:rsidR="00F30AAA">
        <w:t>Continuous covariates were z-standardized</w:t>
      </w:r>
      <w:r w:rsidR="0038517A">
        <w:t xml:space="preserve"> so that the estimates of each beta value are comparable to each other</w:t>
      </w:r>
      <w:r w:rsidR="00F30AAA">
        <w:t xml:space="preserve">. </w:t>
      </w:r>
      <w:r w:rsidR="00C355BB">
        <w:t xml:space="preserve">Thus, our full model, </w:t>
      </w:r>
      <w:r w:rsidR="00C97235">
        <w:t xml:space="preserve">for </w:t>
      </w:r>
      <w:r w:rsidR="00C355BB">
        <w:t>each individual female</w:t>
      </w:r>
      <w:proofErr w:type="gramStart"/>
      <w:r w:rsidR="00C355BB">
        <w:t xml:space="preserve">, </w:t>
      </w:r>
      <w:proofErr w:type="gramEnd"/>
      <m:oMath>
        <m:r>
          <w:rPr>
            <w:rFonts w:ascii="Cambria Math" w:hAnsi="Cambria Math" w:cs="Times New Roman"/>
          </w:rPr>
          <m:t>i</m:t>
        </m:r>
      </m:oMath>
      <w:r w:rsidR="00C355BB" w:rsidRPr="00912FC7">
        <w:rPr>
          <w:rFonts w:eastAsiaTheme="minorEastAsia" w:cs="Times New Roman"/>
        </w:rPr>
        <w:t xml:space="preserve">, </w:t>
      </w:r>
      <w:r w:rsidR="00C355BB">
        <w:t>was,</w:t>
      </w:r>
    </w:p>
    <w:p w14:paraId="4FE93670" w14:textId="7828F952" w:rsidR="00C355BB" w:rsidRDefault="00C355BB" w:rsidP="00E976BC">
      <w:pPr>
        <w:spacing w:line="480" w:lineRule="auto"/>
        <w:ind w:firstLine="720"/>
      </w:pPr>
      <m:oMath>
        <m:r>
          <w:rPr>
            <w:rFonts w:ascii="Cambria Math" w:eastAsiaTheme="minorEastAsia" w:hAnsi="Cambria Math" w:cs="Times New Roman"/>
          </w:rPr>
          <m:t>log</m:t>
        </m:r>
        <m:d>
          <m:dPr>
            <m:ctrlPr>
              <w:rPr>
                <w:rFonts w:ascii="Cambria Math" w:eastAsiaTheme="minorEastAsia" w:hAnsi="Cambria Math" w:cs="Times New Roman"/>
                <w:i/>
              </w:rPr>
            </m:ctrlPr>
          </m:dPr>
          <m:e>
            <m:sSub>
              <m:sSubPr>
                <m:ctrlPr>
                  <w:rPr>
                    <w:rFonts w:ascii="Cambria Math" w:eastAsiaTheme="minorEastAsia" w:hAnsi="Cambria Math" w:cs="Times New Roman"/>
                    <w:i/>
                    <w:sz w:val="22"/>
                  </w:rPr>
                </m:ctrlPr>
              </m:sSubPr>
              <m:e>
                <m:r>
                  <w:rPr>
                    <w:rFonts w:ascii="Cambria Math" w:eastAsiaTheme="minorEastAsia" w:hAnsi="Cambria Math" w:cs="Times New Roman"/>
                    <w:sz w:val="22"/>
                  </w:rPr>
                  <m:t>μ</m:t>
                </m:r>
              </m:e>
              <m:sub>
                <m:r>
                  <w:rPr>
                    <w:rFonts w:ascii="Cambria Math" w:eastAsiaTheme="minorEastAsia" w:hAnsi="Cambria Math" w:cs="Times New Roman"/>
                    <w:sz w:val="22"/>
                  </w:rPr>
                  <m:t>i</m:t>
                </m:r>
              </m:sub>
            </m:sSub>
          </m:e>
        </m:d>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0</m:t>
            </m:r>
          </m:sub>
        </m:sSub>
        <m:r>
          <w:rPr>
            <w:rFonts w:ascii="Cambria Math" w:eastAsiaTheme="minorEastAsia" w:hAnsi="Cambria Math" w:cs="Times New Roman"/>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age</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age</m:t>
            </m:r>
          </m:e>
          <m:sub>
            <m:r>
              <w:rPr>
                <w:rFonts w:ascii="Cambria Math" w:eastAsiaTheme="minorEastAsia" w:hAnsi="Cambria Math" w:cs="Times New Roman"/>
              </w:rPr>
              <m:t>i</m:t>
            </m:r>
          </m:sub>
        </m:sSub>
        <m:r>
          <m:rPr>
            <m:sty m:val="p"/>
          </m:rPr>
          <w:rPr>
            <w:rFonts w:ascii="Cambria Math" w:eastAsiaTheme="minorEastAsia" w:hAnsi="Cambria Math" w:cs="Times New Roman"/>
            <w:sz w:val="22"/>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body condition</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sz w:val="22"/>
              </w:rPr>
              <m:t>body condition</m:t>
            </m:r>
          </m:e>
          <m:sub>
            <m:r>
              <w:rPr>
                <w:rFonts w:ascii="Cambria Math" w:eastAsiaTheme="minorEastAsia" w:hAnsi="Cambria Math" w:cs="Times New Roman"/>
              </w:rPr>
              <m:t>i</m:t>
            </m:r>
          </m:sub>
        </m:sSub>
        <m:r>
          <m:rPr>
            <m:sty m:val="p"/>
          </m:rPr>
          <w:rPr>
            <w:rFonts w:ascii="Cambria Math" w:eastAsiaTheme="minorEastAsia" w:hAnsi="Cambria Math" w:cs="Times New Roman"/>
            <w:sz w:val="22"/>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cow</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cow</m:t>
            </m:r>
          </m:e>
          <m:sub>
            <m:r>
              <w:rPr>
                <w:rFonts w:ascii="Cambria Math" w:eastAsiaTheme="minorEastAsia" w:hAnsi="Cambria Math" w:cs="Times New Roman"/>
              </w:rPr>
              <m:t>i</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horse</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horse</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precipitation</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precipitation</m:t>
            </m:r>
          </m:e>
          <m:sub>
            <m:r>
              <w:rPr>
                <w:rFonts w:ascii="Cambria Math" w:eastAsiaTheme="minorEastAsia" w:hAnsi="Cambria Math" w:cs="Times New Roman"/>
              </w:rPr>
              <m:t>i</m:t>
            </m:r>
          </m:sub>
        </m:sSub>
        <m:r>
          <w:rPr>
            <w:rFonts w:ascii="Cambria Math" w:eastAsiaTheme="minorEastAsia" w:hAnsi="Cambria Math" w:cs="Times New Roman"/>
            <w:sz w:val="22"/>
          </w:rPr>
          <m:t xml:space="preserve"> </m:t>
        </m:r>
        <m:r>
          <w:rPr>
            <w:rFonts w:ascii="Cambria Math" w:eastAsiaTheme="minorEastAsia" w:hAnsi="Cambria Math" w:cs="Times New Roman"/>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annual grass</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sz w:val="22"/>
              </w:rPr>
              <m:t>annual grass</m:t>
            </m:r>
          </m:e>
          <m:sub>
            <m:r>
              <w:rPr>
                <w:rFonts w:ascii="Cambria Math" w:eastAsiaTheme="minorEastAsia" w:hAnsi="Cambria Math" w:cs="Times New Roman"/>
              </w:rPr>
              <m:t>i</m:t>
            </m:r>
          </m:sub>
        </m:sSub>
        <m:r>
          <w:rPr>
            <w:rFonts w:ascii="Cambria Math" w:eastAsiaTheme="minorEastAsia" w:hAnsi="Cambria Math" w:cs="Times New Roman"/>
            <w:sz w:val="22"/>
          </w:rPr>
          <m:t xml:space="preserve">+ </m:t>
        </m:r>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horse, precipitation</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horse</m:t>
            </m:r>
          </m:e>
          <m:sub>
            <m:r>
              <w:rPr>
                <w:rFonts w:ascii="Cambria Math" w:eastAsiaTheme="minorEastAsia" w:hAnsi="Cambria Math" w:cs="Times New Roman"/>
              </w:rPr>
              <m:t>i</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precipitation</m:t>
            </m:r>
          </m:e>
          <m:sub>
            <m:r>
              <w:rPr>
                <w:rFonts w:ascii="Cambria Math" w:eastAsiaTheme="minorEastAsia" w:hAnsi="Cambria Math" w:cs="Times New Roman"/>
              </w:rPr>
              <m:t>i</m:t>
            </m:r>
          </m:sub>
        </m:sSub>
        <m:r>
          <w:rPr>
            <w:rFonts w:ascii="Cambria Math" w:eastAsiaTheme="minorEastAsia" w:hAnsi="Cambria Math" w:cs="Times New Roman"/>
            <w:sz w:val="22"/>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cow, precipitation</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cow</m:t>
            </m:r>
          </m:e>
          <m:sub>
            <m:r>
              <w:rPr>
                <w:rFonts w:ascii="Cambria Math" w:eastAsiaTheme="minorEastAsia" w:hAnsi="Cambria Math" w:cs="Times New Roman"/>
              </w:rPr>
              <m:t>i</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precipitation</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horse,annual grass</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horse</m:t>
            </m:r>
          </m:e>
          <m:sub>
            <m:r>
              <w:rPr>
                <w:rFonts w:ascii="Cambria Math" w:eastAsiaTheme="minorEastAsia" w:hAnsi="Cambria Math" w:cs="Times New Roman"/>
              </w:rPr>
              <m:t>i</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annual grass</m:t>
            </m:r>
          </m:e>
          <m:sub>
            <m:r>
              <w:rPr>
                <w:rFonts w:ascii="Cambria Math" w:eastAsiaTheme="minorEastAsia" w:hAnsi="Cambria Math" w:cs="Times New Roman"/>
              </w:rPr>
              <m:t>i</m:t>
            </m:r>
          </m:sub>
        </m:sSub>
        <m:r>
          <w:rPr>
            <w:rFonts w:ascii="Cambria Math" w:eastAsiaTheme="minorEastAsia" w:hAnsi="Cambria Math" w:cs="Times New Roman"/>
          </w:rPr>
          <m:t xml:space="preserve"> .</m:t>
        </m:r>
        <m:r>
          <w:rPr>
            <w:rFonts w:ascii="Cambria Math" w:eastAsiaTheme="minorEastAsia" w:hAnsi="Cambria Math" w:cs="Times New Roman"/>
            <w:sz w:val="22"/>
          </w:rPr>
          <m:t xml:space="preserve"> </m:t>
        </m:r>
      </m:oMath>
      <w:r w:rsidRPr="00912FC7">
        <w:rPr>
          <w:rFonts w:eastAsiaTheme="minorEastAsia" w:cs="Times New Roman"/>
        </w:rPr>
        <w:t xml:space="preserve"> </w:t>
      </w:r>
      <w:r w:rsidR="002A61AB">
        <w:rPr>
          <w:rFonts w:eastAsiaTheme="minorEastAsia" w:cs="Times New Roman"/>
        </w:rPr>
        <w:t xml:space="preserve"> </w:t>
      </w:r>
      <w:r w:rsidRPr="00912FC7">
        <w:rPr>
          <w:rFonts w:eastAsiaTheme="minorEastAsia" w:cs="Times New Roman"/>
        </w:rPr>
        <w:t xml:space="preserve"> </w:t>
      </w:r>
    </w:p>
    <w:p w14:paraId="650F357E" w14:textId="37F9DF66" w:rsidR="002C038F" w:rsidRPr="00036AD5" w:rsidRDefault="008D08F2" w:rsidP="008D08F2">
      <w:pPr>
        <w:pStyle w:val="NoSpacing"/>
        <w:spacing w:line="480" w:lineRule="auto"/>
      </w:pPr>
      <w:r>
        <w:tab/>
      </w:r>
      <w:r w:rsidR="002C038F">
        <w:t>We calculated the mean absolute prediction er</w:t>
      </w:r>
      <w:r w:rsidR="009715F6">
        <w:t>ror (MAPE) from an 8-fold cross-</w:t>
      </w:r>
      <w:r w:rsidR="002C038F">
        <w:t xml:space="preserve">validation as a measure of the predictive ability of our model </w:t>
      </w:r>
      <w:r w:rsidR="002C038F">
        <w:rPr>
          <w:noProof/>
        </w:rPr>
        <w:t>(Hooten &amp; Hobbs, 2015)</w:t>
      </w:r>
      <w:r w:rsidR="007F478E">
        <w:t xml:space="preserve">. </w:t>
      </w:r>
      <w:r w:rsidR="002C038F">
        <w:t>We divided the dataset into 8 clusters. We then withheld one d</w:t>
      </w:r>
      <w:r w:rsidR="009715F6">
        <w:t>ata cluster from each model run</w:t>
      </w:r>
      <w:r w:rsidR="002C038F">
        <w:t xml:space="preserve"> and </w:t>
      </w:r>
      <w:r w:rsidR="002C038F" w:rsidRPr="007D0F02">
        <w:rPr>
          <w:szCs w:val="24"/>
        </w:rPr>
        <w:lastRenderedPageBreak/>
        <w:t xml:space="preserve">compared the predicted values from the model to the recorded data values of the withheld data. We used normal priors </w:t>
      </w:r>
      <w:r w:rsidR="00AE0024" w:rsidRPr="007D0F02">
        <w:rPr>
          <w:szCs w:val="24"/>
        </w:rPr>
        <w:t xml:space="preserve">centered on 0 </w:t>
      </w:r>
      <w:r w:rsidR="002C038F" w:rsidRPr="007D0F02">
        <w:rPr>
          <w:szCs w:val="24"/>
        </w:rPr>
        <w:t>for all of our beta coefficients</w:t>
      </w:r>
      <w:r w:rsidR="00C752F3" w:rsidRPr="007D0F02">
        <w:rPr>
          <w:szCs w:val="24"/>
        </w:rPr>
        <w:t>.</w:t>
      </w:r>
      <w:r w:rsidR="002C038F" w:rsidRPr="007D0F02">
        <w:rPr>
          <w:szCs w:val="24"/>
        </w:rPr>
        <w:t xml:space="preserve"> </w:t>
      </w:r>
      <w:r w:rsidR="002C038F" w:rsidRPr="007D0F02">
        <w:rPr>
          <w:rFonts w:eastAsiaTheme="minorEastAsia"/>
          <w:szCs w:val="24"/>
        </w:rPr>
        <w:t xml:space="preserve">The prior for </w:t>
      </w:r>
      <m:oMath>
        <m:sSub>
          <m:sSubPr>
            <m:ctrlPr>
              <w:rPr>
                <w:rFonts w:ascii="Cambria Math" w:eastAsiaTheme="minorEastAsia" w:hAnsi="Cambria Math" w:cs="Times New Roman"/>
                <w:i/>
                <w:szCs w:val="24"/>
              </w:rPr>
            </m:ctrlPr>
          </m:sSubPr>
          <m:e>
            <m:r>
              <w:rPr>
                <w:rFonts w:ascii="Cambria Math" w:eastAsiaTheme="minorEastAsia" w:hAnsi="Cambria Math" w:cs="Times New Roman"/>
                <w:szCs w:val="24"/>
              </w:rPr>
              <m:t>β</m:t>
            </m:r>
          </m:e>
          <m:sub>
            <m:r>
              <w:rPr>
                <w:rFonts w:ascii="Cambria Math" w:eastAsiaTheme="minorEastAsia" w:hAnsi="Cambria Math" w:cs="Times New Roman"/>
                <w:szCs w:val="24"/>
              </w:rPr>
              <m:t>0</m:t>
            </m:r>
          </m:sub>
        </m:sSub>
      </m:oMath>
      <w:r w:rsidR="00C752F3" w:rsidRPr="007D0F02">
        <w:rPr>
          <w:rFonts w:eastAsiaTheme="minorEastAsia"/>
          <w:szCs w:val="24"/>
        </w:rPr>
        <w:t xml:space="preserve"> had a variance of 10. </w:t>
      </w:r>
      <w:r w:rsidR="002C038F" w:rsidRPr="007D0F02">
        <w:rPr>
          <w:rFonts w:eastAsiaTheme="minorEastAsia"/>
          <w:szCs w:val="24"/>
        </w:rPr>
        <w:t xml:space="preserve">For all other beta coefficients, we </w:t>
      </w:r>
      <w:r w:rsidR="002C038F" w:rsidRPr="007D0F02">
        <w:rPr>
          <w:szCs w:val="24"/>
        </w:rPr>
        <w:t>used Bayesian regularization to optimize the variance on the priors to</w:t>
      </w:r>
      <w:r w:rsidR="002C038F">
        <w:t xml:space="preserve"> minimize the MAPE </w:t>
      </w:r>
      <w:r w:rsidR="002C038F">
        <w:rPr>
          <w:noProof/>
        </w:rPr>
        <w:t>(Hooten &amp; Hobbs, 2015)</w:t>
      </w:r>
      <w:r w:rsidR="002C038F">
        <w:t xml:space="preserve">. We performed an iterative search, fitting the model with variances of </w:t>
      </w:r>
      <w:r w:rsidR="002C038F" w:rsidRPr="00B80F81">
        <w:t xml:space="preserve">0.001, 0.01, 0.05, 0.1, 0.15, 0.2, 0.5, </w:t>
      </w:r>
      <w:r w:rsidR="002C038F">
        <w:t xml:space="preserve">and </w:t>
      </w:r>
      <w:r w:rsidR="002C038F" w:rsidRPr="00B80F81">
        <w:t>1</w:t>
      </w:r>
      <w:r w:rsidR="002C038F">
        <w:t xml:space="preserve">. This allowed for selection of the </w:t>
      </w:r>
      <w:r w:rsidR="00A23C9A">
        <w:t xml:space="preserve">variance </w:t>
      </w:r>
      <w:r w:rsidR="002C038F">
        <w:t>with the minimum MAPE across model runs</w:t>
      </w:r>
      <w:r w:rsidR="008A1508">
        <w:t xml:space="preserve"> </w:t>
      </w:r>
      <w:r w:rsidR="0062741B">
        <w:t>(Appendix 1:</w:t>
      </w:r>
      <w:r w:rsidR="008A1508">
        <w:t xml:space="preserve"> </w:t>
      </w:r>
      <w:r w:rsidR="003039E6">
        <w:t>Figure 1</w:t>
      </w:r>
      <w:r w:rsidR="008A1508">
        <w:t>)</w:t>
      </w:r>
      <w:r w:rsidR="002C038F">
        <w:t>. We then ra</w:t>
      </w:r>
      <w:r w:rsidR="00DC01F6">
        <w:t>n the model with the whole data</w:t>
      </w:r>
      <w:r w:rsidR="002C038F">
        <w:t xml:space="preserve">set, using the best </w:t>
      </w:r>
      <w:r w:rsidR="00A23C9A">
        <w:t>optimized variance for the priors</w:t>
      </w:r>
      <w:r w:rsidR="002C038F">
        <w:t xml:space="preserve">. For the shape parameter of the negative binomial, we used a uniform prior from 0 to 500. </w:t>
      </w:r>
      <w:r w:rsidR="002C038F" w:rsidRPr="00036AD5">
        <w:t xml:space="preserve">The model was run with a burn-in of 5,000 iterations </w:t>
      </w:r>
      <w:r w:rsidR="002C038F">
        <w:t>followed by</w:t>
      </w:r>
      <w:r w:rsidR="002C038F" w:rsidRPr="00036AD5">
        <w:t xml:space="preserve"> additional 10,000 iterations.</w:t>
      </w:r>
    </w:p>
    <w:p w14:paraId="25E50994" w14:textId="3C9C4E03" w:rsidR="00D05CAE" w:rsidRDefault="005710FD" w:rsidP="00A21C0E">
      <w:pPr>
        <w:spacing w:line="480" w:lineRule="auto"/>
        <w:rPr>
          <w:rStyle w:val="Emphasis"/>
        </w:rPr>
      </w:pPr>
      <w:proofErr w:type="gramStart"/>
      <w:r>
        <w:rPr>
          <w:rStyle w:val="Emphasis"/>
        </w:rPr>
        <w:t>fCort</w:t>
      </w:r>
      <w:proofErr w:type="gramEnd"/>
      <w:r>
        <w:rPr>
          <w:rStyle w:val="Emphasis"/>
        </w:rPr>
        <w:t xml:space="preserve"> and </w:t>
      </w:r>
      <w:r w:rsidR="00D05CAE">
        <w:rPr>
          <w:rStyle w:val="Emphasis"/>
        </w:rPr>
        <w:t xml:space="preserve">Demographic </w:t>
      </w:r>
      <w:r>
        <w:rPr>
          <w:rStyle w:val="Emphasis"/>
        </w:rPr>
        <w:t>Rates</w:t>
      </w:r>
    </w:p>
    <w:p w14:paraId="782DB6EC" w14:textId="30C36199" w:rsidR="008B7C5D" w:rsidRDefault="00D05CAE" w:rsidP="00CC2769">
      <w:pPr>
        <w:spacing w:line="480" w:lineRule="auto"/>
        <w:ind w:firstLine="720"/>
      </w:pPr>
      <w:r w:rsidRPr="00912FC7">
        <w:t>We include</w:t>
      </w:r>
      <w:r w:rsidR="0083449E" w:rsidRPr="00912FC7">
        <w:t>d</w:t>
      </w:r>
      <w:r w:rsidRPr="00912FC7">
        <w:t xml:space="preserve"> additional data collected from radio-marked birds to estimate the effects of fCort on adult survival, breeding propensity, nest success, and overall breeding success</w:t>
      </w:r>
      <w:r w:rsidR="00A4297D" w:rsidRPr="00912FC7">
        <w:t xml:space="preserve"> using a Bayesian framework</w:t>
      </w:r>
      <w:r w:rsidRPr="00912FC7">
        <w:t>. For adult female survival, we use</w:t>
      </w:r>
      <w:r w:rsidR="0083449E" w:rsidRPr="00912FC7">
        <w:t>d</w:t>
      </w:r>
      <w:r w:rsidRPr="00912FC7">
        <w:t xml:space="preserve"> a </w:t>
      </w:r>
      <w:r w:rsidR="00D40C3B">
        <w:t>known fate binomial survival</w:t>
      </w:r>
      <w:r w:rsidRPr="00912FC7">
        <w:t xml:space="preserve"> model</w:t>
      </w:r>
      <w:r w:rsidR="00D40C3B">
        <w:t xml:space="preserve"> </w:t>
      </w:r>
      <w:r w:rsidR="00A62F11" w:rsidRPr="00912FC7">
        <w:t xml:space="preserve">with a </w:t>
      </w:r>
      <w:r w:rsidR="00912FC7" w:rsidRPr="00912FC7">
        <w:t>weekly interval</w:t>
      </w:r>
      <w:r w:rsidR="00D40C3B">
        <w:t xml:space="preserve"> </w:t>
      </w:r>
      <w:r w:rsidR="00D40C3B">
        <w:rPr>
          <w:noProof/>
        </w:rPr>
        <w:t>(Royle &amp; Dorazio, 2008)</w:t>
      </w:r>
      <w:r w:rsidR="00C87C6A">
        <w:t xml:space="preserve">. We also included </w:t>
      </w:r>
      <w:r w:rsidR="00912FC7" w:rsidRPr="00912FC7">
        <w:t>seasonal offsets</w:t>
      </w:r>
      <w:r w:rsidR="008B7C5D">
        <w:t>, a 1 or 0 assigned for that occasion,</w:t>
      </w:r>
      <w:r w:rsidR="00C87C6A">
        <w:t xml:space="preserve"> </w:t>
      </w:r>
      <w:r w:rsidR="004D36AE">
        <w:t xml:space="preserve">on survival for the spring (March 1 – May 31), summer (June 1 – </w:t>
      </w:r>
      <w:r w:rsidR="00CC2769">
        <w:t>July 31</w:t>
      </w:r>
      <w:r w:rsidR="004D36AE">
        <w:t>), fall (</w:t>
      </w:r>
      <w:r w:rsidR="00CC2769">
        <w:t>August 1 – October 31), and winter (November 1 – February 28/29)</w:t>
      </w:r>
      <w:r w:rsidR="00912FC7" w:rsidRPr="00912FC7">
        <w:t xml:space="preserve">. </w:t>
      </w:r>
      <w:r w:rsidR="005710FD">
        <w:t>We only</w:t>
      </w:r>
      <w:r w:rsidR="005710FD" w:rsidRPr="00912FC7">
        <w:t xml:space="preserve"> </w:t>
      </w:r>
      <w:r w:rsidR="00912FC7" w:rsidRPr="00912FC7">
        <w:t>model</w:t>
      </w:r>
      <w:r w:rsidR="000828EF">
        <w:t xml:space="preserve">ed </w:t>
      </w:r>
      <w:r w:rsidR="005710FD">
        <w:t>survival during the</w:t>
      </w:r>
      <w:r w:rsidR="00912FC7" w:rsidRPr="00912FC7">
        <w:t xml:space="preserve"> first year </w:t>
      </w:r>
      <w:r w:rsidR="005710FD">
        <w:t>following collection of a feather</w:t>
      </w:r>
      <w:r w:rsidR="00912FC7" w:rsidRPr="00912FC7">
        <w:t xml:space="preserve"> sample. We modeled probability of survival </w:t>
      </w:r>
      <w:r w:rsidR="008B7C5D">
        <w:t>for each individual female</w:t>
      </w:r>
      <w:proofErr w:type="gramStart"/>
      <w:r w:rsidR="008B7C5D">
        <w:t xml:space="preserve">, </w:t>
      </w:r>
      <w:proofErr w:type="gramEnd"/>
      <m:oMath>
        <m:r>
          <w:rPr>
            <w:rFonts w:ascii="Cambria Math" w:hAnsi="Cambria Math" w:cs="Times New Roman"/>
          </w:rPr>
          <m:t>i</m:t>
        </m:r>
      </m:oMath>
      <w:r w:rsidR="008B7C5D" w:rsidRPr="00912FC7">
        <w:rPr>
          <w:rFonts w:eastAsiaTheme="minorEastAsia" w:cs="Times New Roman"/>
        </w:rPr>
        <w:t xml:space="preserve">, </w:t>
      </w:r>
      <w:r w:rsidR="008B7C5D">
        <w:rPr>
          <w:rFonts w:eastAsiaTheme="minorEastAsia" w:cs="Times New Roman"/>
        </w:rPr>
        <w:t xml:space="preserve">at time, </w:t>
      </w:r>
      <m:oMath>
        <m:r>
          <w:rPr>
            <w:rFonts w:ascii="Cambria Math" w:eastAsiaTheme="minorEastAsia" w:hAnsi="Cambria Math" w:cs="Times New Roman"/>
          </w:rPr>
          <m:t>t</m:t>
        </m:r>
      </m:oMath>
      <w:r w:rsidR="008B7C5D">
        <w:rPr>
          <w:rFonts w:eastAsiaTheme="minorEastAsia" w:cs="Times New Roman"/>
        </w:rPr>
        <w:t xml:space="preserve">, </w:t>
      </w:r>
      <w:r w:rsidR="00912FC7" w:rsidRPr="00912FC7">
        <w:t>as</w:t>
      </w:r>
      <w:r w:rsidR="008B7C5D">
        <w:t>:</w:t>
      </w:r>
    </w:p>
    <w:p w14:paraId="7BE2CA49" w14:textId="77777777" w:rsidR="008B7C5D" w:rsidRDefault="00912FC7" w:rsidP="00CC2769">
      <w:pPr>
        <w:spacing w:line="480" w:lineRule="auto"/>
        <w:ind w:firstLine="720"/>
      </w:pPr>
      <w:r w:rsidRPr="00912FC7">
        <w:t xml:space="preserve"> </w:t>
      </w:r>
      <m:oMath>
        <m:r>
          <w:rPr>
            <w:rFonts w:ascii="Cambria Math" w:eastAsiaTheme="minorEastAsia" w:hAnsi="Cambria Math" w:cs="Times New Roman"/>
          </w:rPr>
          <m:t>logit</m:t>
        </m:r>
        <m:d>
          <m:dPr>
            <m:ctrlPr>
              <w:rPr>
                <w:rFonts w:ascii="Cambria Math" w:eastAsiaTheme="minorEastAsia" w:hAnsi="Cambria Math" w:cs="Times New Roman"/>
                <w:i/>
              </w:rPr>
            </m:ctrlPr>
          </m:dPr>
          <m:e>
            <m:sSub>
              <m:sSubPr>
                <m:ctrlPr>
                  <w:rPr>
                    <w:rFonts w:ascii="Cambria Math" w:eastAsiaTheme="minorEastAsia" w:hAnsi="Cambria Math" w:cs="Times New Roman"/>
                    <w:i/>
                    <w:sz w:val="22"/>
                  </w:rPr>
                </m:ctrlPr>
              </m:sSubPr>
              <m:e>
                <m:r>
                  <w:rPr>
                    <w:rFonts w:ascii="Cambria Math" w:eastAsiaTheme="minorEastAsia" w:hAnsi="Cambria Math" w:cs="Times New Roman"/>
                  </w:rPr>
                  <m:t>s</m:t>
                </m:r>
              </m:e>
              <m:sub>
                <m:r>
                  <w:rPr>
                    <w:rFonts w:ascii="Cambria Math" w:eastAsiaTheme="minorEastAsia" w:hAnsi="Cambria Math" w:cs="Times New Roman"/>
                  </w:rPr>
                  <m:t>i,t</m:t>
                </m:r>
              </m:sub>
            </m:sSub>
          </m:e>
        </m:d>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0</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cort</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cort</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age</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age</m:t>
            </m:r>
          </m:e>
          <m:sub>
            <m:r>
              <w:rPr>
                <w:rFonts w:ascii="Cambria Math" w:eastAsiaTheme="minorEastAsia" w:hAnsi="Cambria Math" w:cs="Times New Roman"/>
              </w:rPr>
              <m:t>i</m:t>
            </m:r>
          </m:sub>
        </m:sSub>
        <m:r>
          <w:rPr>
            <w:rFonts w:ascii="Cambria Math" w:eastAsiaTheme="minorEastAsia" w:hAnsi="Cambria Math" w:cs="Times New Roman"/>
            <w:sz w:val="22"/>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spring</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spring</m:t>
            </m:r>
          </m:e>
          <m:sub>
            <m:r>
              <w:rPr>
                <w:rFonts w:ascii="Cambria Math" w:eastAsiaTheme="minorEastAsia" w:hAnsi="Cambria Math" w:cs="Times New Roman"/>
              </w:rPr>
              <m:t>t</m:t>
            </m:r>
          </m:sub>
        </m:sSub>
        <m:r>
          <w:rPr>
            <w:rFonts w:ascii="Cambria Math" w:eastAsiaTheme="minorEastAsia" w:hAnsi="Cambria Math" w:cs="Times New Roman"/>
            <w:sz w:val="22"/>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summer</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summer</m:t>
            </m:r>
          </m:e>
          <m:sub>
            <m:r>
              <w:rPr>
                <w:rFonts w:ascii="Cambria Math" w:eastAsiaTheme="minorEastAsia" w:hAnsi="Cambria Math" w:cs="Times New Roman"/>
              </w:rPr>
              <m:t>t</m:t>
            </m:r>
          </m:sub>
        </m:sSub>
        <m:r>
          <w:rPr>
            <w:rFonts w:ascii="Cambria Math" w:eastAsiaTheme="minorEastAsia" w:hAnsi="Cambria Math" w:cs="Times New Roman"/>
            <w:sz w:val="22"/>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fall</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fall</m:t>
            </m:r>
          </m:e>
          <m:sub>
            <m:r>
              <w:rPr>
                <w:rFonts w:ascii="Cambria Math" w:eastAsiaTheme="minorEastAsia" w:hAnsi="Cambria Math" w:cs="Times New Roman"/>
              </w:rPr>
              <m:t>t</m:t>
            </m:r>
          </m:sub>
        </m:sSub>
      </m:oMath>
      <w:r w:rsidRPr="00912FC7">
        <w:t>.</w:t>
      </w:r>
      <w:r w:rsidR="00A62F11" w:rsidRPr="00912FC7">
        <w:t xml:space="preserve"> </w:t>
      </w:r>
    </w:p>
    <w:p w14:paraId="21CD9677" w14:textId="72AFFE4C" w:rsidR="008B7C5D" w:rsidRDefault="008B7C5D" w:rsidP="008D08F2">
      <w:pPr>
        <w:pStyle w:val="NoSpacing"/>
        <w:spacing w:line="480" w:lineRule="auto"/>
      </w:pPr>
      <w:r>
        <w:lastRenderedPageBreak/>
        <w:t xml:space="preserve">The winter season served as the intercept. Birds were assigned a 1 for age if first sampled as adults, or a 0 if sampled as yearlings, thus </w:t>
      </w:r>
      <m:oMath>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age</m:t>
            </m:r>
          </m:sub>
        </m:sSub>
      </m:oMath>
      <w:r w:rsidR="00C752F3">
        <w:t xml:space="preserve"> </w:t>
      </w:r>
      <w:r>
        <w:t xml:space="preserve">reflects the difference between adults and yearlings. </w:t>
      </w:r>
    </w:p>
    <w:p w14:paraId="61D7ADAE" w14:textId="59CAE505" w:rsidR="00DE57A7" w:rsidRPr="00CC2769" w:rsidRDefault="008D08F2" w:rsidP="008D08F2">
      <w:pPr>
        <w:pStyle w:val="NoSpacing"/>
        <w:spacing w:line="480" w:lineRule="auto"/>
      </w:pPr>
      <w:r>
        <w:tab/>
      </w:r>
      <w:r w:rsidR="00912FC7" w:rsidRPr="00912FC7">
        <w:t>F</w:t>
      </w:r>
      <w:r w:rsidR="00912FC7" w:rsidRPr="00912FC7">
        <w:rPr>
          <w:rFonts w:cs="Times New Roman"/>
        </w:rPr>
        <w:t>or each female</w:t>
      </w:r>
      <w:r w:rsidR="008B7C5D">
        <w:rPr>
          <w:rFonts w:cs="Times New Roman"/>
        </w:rPr>
        <w:t>,</w:t>
      </w:r>
      <m:oMath>
        <m:r>
          <w:rPr>
            <w:rFonts w:ascii="Cambria Math" w:hAnsi="Cambria Math" w:cs="Times New Roman"/>
          </w:rPr>
          <m:t xml:space="preserve"> i</m:t>
        </m:r>
      </m:oMath>
      <w:proofErr w:type="gramStart"/>
      <w:r w:rsidR="00912FC7" w:rsidRPr="00912FC7">
        <w:rPr>
          <w:rFonts w:eastAsiaTheme="minorEastAsia" w:cs="Times New Roman"/>
        </w:rPr>
        <w:t>,</w:t>
      </w:r>
      <w:proofErr w:type="gramEnd"/>
      <w:r w:rsidR="00912FC7" w:rsidRPr="00912FC7">
        <w:rPr>
          <w:rFonts w:eastAsiaTheme="minorEastAsia" w:cs="Times New Roman"/>
        </w:rPr>
        <w:t xml:space="preserve"> we investigated </w:t>
      </w:r>
      <w:r w:rsidR="005710FD">
        <w:rPr>
          <w:rFonts w:eastAsiaTheme="minorEastAsia" w:cs="Times New Roman"/>
        </w:rPr>
        <w:t>whether</w:t>
      </w:r>
      <w:r w:rsidR="005710FD" w:rsidRPr="00912FC7">
        <w:rPr>
          <w:rFonts w:eastAsiaTheme="minorEastAsia" w:cs="Times New Roman"/>
        </w:rPr>
        <w:t xml:space="preserve"> </w:t>
      </w:r>
      <w:r w:rsidR="005710FD">
        <w:rPr>
          <w:rFonts w:eastAsiaTheme="minorEastAsia" w:cs="Times New Roman"/>
        </w:rPr>
        <w:t>f</w:t>
      </w:r>
      <w:r w:rsidR="000828EF">
        <w:rPr>
          <w:rFonts w:eastAsiaTheme="minorEastAsia" w:cs="Times New Roman"/>
        </w:rPr>
        <w:t>C</w:t>
      </w:r>
      <w:r w:rsidR="00912FC7" w:rsidRPr="00912FC7">
        <w:rPr>
          <w:rFonts w:eastAsiaTheme="minorEastAsia" w:cs="Times New Roman"/>
        </w:rPr>
        <w:t>ort affected different compone</w:t>
      </w:r>
      <w:r w:rsidR="008B7C5D">
        <w:rPr>
          <w:rFonts w:eastAsiaTheme="minorEastAsia" w:cs="Times New Roman"/>
        </w:rPr>
        <w:t>nts of the recruitment process.</w:t>
      </w:r>
      <w:r w:rsidR="00912FC7" w:rsidRPr="00912FC7">
        <w:rPr>
          <w:rFonts w:eastAsiaTheme="minorEastAsia" w:cs="Times New Roman"/>
        </w:rPr>
        <w:t xml:space="preserve"> B</w:t>
      </w:r>
      <w:r w:rsidR="00912FC7" w:rsidRPr="00912FC7">
        <w:rPr>
          <w:rFonts w:cs="Times New Roman"/>
        </w:rPr>
        <w:t>reeding propensity (</w:t>
      </w:r>
      <m:oMath>
        <m:sSub>
          <m:sSubPr>
            <m:ctrlPr>
              <w:rPr>
                <w:rFonts w:ascii="Cambria Math" w:hAnsi="Cambria Math" w:cs="Times New Roman"/>
                <w:i/>
                <w:sz w:val="22"/>
              </w:rPr>
            </m:ctrlPr>
          </m:sSubPr>
          <m:e>
            <m:r>
              <w:rPr>
                <w:rFonts w:ascii="Cambria Math" w:hAnsi="Cambria Math" w:cs="Times New Roman"/>
              </w:rPr>
              <m:t>y</m:t>
            </m:r>
          </m:e>
          <m:sub>
            <m:r>
              <w:rPr>
                <w:rFonts w:ascii="Cambria Math" w:hAnsi="Cambria Math" w:cs="Times New Roman"/>
              </w:rPr>
              <m:t>bp,i</m:t>
            </m:r>
          </m:sub>
        </m:sSub>
      </m:oMath>
      <w:r w:rsidR="00912FC7" w:rsidRPr="00912FC7">
        <w:rPr>
          <w:rFonts w:eastAsiaTheme="minorEastAsia" w:cs="Times New Roman"/>
        </w:rPr>
        <w:t xml:space="preserve">) </w:t>
      </w:r>
      <w:r w:rsidR="00912FC7" w:rsidRPr="00912FC7">
        <w:rPr>
          <w:rFonts w:cs="Times New Roman"/>
        </w:rPr>
        <w:t>was recorded as a 1 if we observed a female on a nest, and a 0 if we ne</w:t>
      </w:r>
      <w:r w:rsidR="008B7C5D">
        <w:rPr>
          <w:rFonts w:cs="Times New Roman"/>
        </w:rPr>
        <w:t>ver observed a nesting attempt.</w:t>
      </w:r>
      <w:r w:rsidR="00912FC7" w:rsidRPr="00912FC7">
        <w:rPr>
          <w:rFonts w:cs="Times New Roman"/>
        </w:rPr>
        <w:t xml:space="preserve"> Similarly, nest success (</w:t>
      </w:r>
      <m:oMath>
        <m:sSub>
          <m:sSubPr>
            <m:ctrlPr>
              <w:rPr>
                <w:rFonts w:ascii="Cambria Math" w:hAnsi="Cambria Math" w:cs="Times New Roman"/>
                <w:i/>
                <w:sz w:val="22"/>
              </w:rPr>
            </m:ctrlPr>
          </m:sSubPr>
          <m:e>
            <m:r>
              <w:rPr>
                <w:rFonts w:ascii="Cambria Math" w:hAnsi="Cambria Math" w:cs="Times New Roman"/>
              </w:rPr>
              <m:t>y</m:t>
            </m:r>
          </m:e>
          <m:sub>
            <m:r>
              <w:rPr>
                <w:rFonts w:ascii="Cambria Math" w:hAnsi="Cambria Math" w:cs="Times New Roman"/>
              </w:rPr>
              <m:t>ns,i</m:t>
            </m:r>
          </m:sub>
        </m:sSub>
      </m:oMath>
      <w:r w:rsidR="00912FC7" w:rsidRPr="00912FC7">
        <w:rPr>
          <w:rFonts w:eastAsiaTheme="minorEastAsia" w:cs="Times New Roman"/>
        </w:rPr>
        <w:t xml:space="preserve">) </w:t>
      </w:r>
      <w:r w:rsidR="00912FC7" w:rsidRPr="00912FC7">
        <w:rPr>
          <w:rFonts w:cs="Times New Roman"/>
        </w:rPr>
        <w:t>was recorded as a 1 if birds successfully hatched a nest</w:t>
      </w:r>
      <w:r w:rsidR="00D940B7">
        <w:rPr>
          <w:rFonts w:cs="Times New Roman"/>
        </w:rPr>
        <w:t xml:space="preserve">, and a 0 otherwise. </w:t>
      </w:r>
      <w:r w:rsidR="00912FC7" w:rsidRPr="00912FC7">
        <w:rPr>
          <w:rFonts w:cs="Times New Roman"/>
        </w:rPr>
        <w:t xml:space="preserve">We modeled the probability of success for each component of the recruitment process (d) </w:t>
      </w:r>
      <w:proofErr w:type="gramStart"/>
      <w:r w:rsidR="00912FC7" w:rsidRPr="00912FC7">
        <w:rPr>
          <w:rFonts w:cs="Times New Roman"/>
        </w:rPr>
        <w:t xml:space="preserve">as </w:t>
      </w:r>
      <m:oMath>
        <m:sSub>
          <m:sSubPr>
            <m:ctrlPr>
              <w:rPr>
                <w:rFonts w:ascii="Cambria Math" w:hAnsi="Cambria Math" w:cs="Times New Roman"/>
                <w:i/>
                <w:sz w:val="22"/>
              </w:rPr>
            </m:ctrlPr>
          </m:sSubPr>
          <m:e>
            <w:proofErr w:type="gramEnd"/>
            <m:r>
              <w:rPr>
                <w:rFonts w:ascii="Cambria Math" w:hAnsi="Cambria Math" w:cs="Times New Roman"/>
              </w:rPr>
              <m:t>y</m:t>
            </m:r>
          </m:e>
          <m:sub>
            <m:r>
              <w:rPr>
                <w:rFonts w:ascii="Cambria Math" w:hAnsi="Cambria Math" w:cs="Times New Roman"/>
              </w:rPr>
              <m:t>d,i</m:t>
            </m:r>
          </m:sub>
        </m:sSub>
        <m:r>
          <w:rPr>
            <w:rFonts w:ascii="Cambria Math" w:eastAsiaTheme="minorEastAsia" w:hAnsi="Cambria Math" w:cs="Times New Roman"/>
          </w:rPr>
          <m:t xml:space="preserve"> ~ Bernoulli(</m:t>
        </m:r>
        <m:sSub>
          <m:sSubPr>
            <m:ctrlPr>
              <w:rPr>
                <w:rFonts w:ascii="Cambria Math" w:eastAsiaTheme="minorEastAsia" w:hAnsi="Cambria Math" w:cs="Times New Roman"/>
                <w:i/>
                <w:sz w:val="22"/>
              </w:rPr>
            </m:ctrlPr>
          </m:sSubPr>
          <m:e>
            <m:r>
              <w:rPr>
                <w:rFonts w:ascii="Cambria Math" w:eastAsiaTheme="minorEastAsia" w:hAnsi="Cambria Math" w:cs="Times New Roman"/>
              </w:rPr>
              <m:t>p</m:t>
            </m:r>
          </m:e>
          <m:sub>
            <m:r>
              <w:rPr>
                <w:rFonts w:ascii="Cambria Math" w:eastAsiaTheme="minorEastAsia" w:hAnsi="Cambria Math" w:cs="Times New Roman"/>
              </w:rPr>
              <m:t>d,i</m:t>
            </m:r>
          </m:sub>
        </m:sSub>
        <m:r>
          <w:rPr>
            <w:rFonts w:ascii="Cambria Math" w:eastAsiaTheme="minorEastAsia" w:hAnsi="Cambria Math" w:cs="Times New Roman"/>
          </w:rPr>
          <m:t>)</m:t>
        </m:r>
      </m:oMath>
      <w:r w:rsidR="00912FC7" w:rsidRPr="00912FC7">
        <w:rPr>
          <w:rFonts w:eastAsiaTheme="minorEastAsia" w:cs="Times New Roman"/>
        </w:rPr>
        <w:t xml:space="preserve"> </w:t>
      </w:r>
      <w:r w:rsidR="00DE57A7">
        <w:rPr>
          <w:rFonts w:eastAsiaTheme="minorEastAsia" w:cs="Times New Roman"/>
        </w:rPr>
        <w:t xml:space="preserve">, </w:t>
      </w:r>
      <w:r w:rsidR="00912FC7" w:rsidRPr="00912FC7">
        <w:rPr>
          <w:rFonts w:eastAsiaTheme="minorEastAsia" w:cs="Times New Roman"/>
        </w:rPr>
        <w:t>where</w:t>
      </w:r>
      <w:r w:rsidR="00DE57A7">
        <w:rPr>
          <w:rFonts w:eastAsiaTheme="minorEastAsia" w:cs="Times New Roman"/>
        </w:rPr>
        <w:t>,</w:t>
      </w:r>
    </w:p>
    <w:p w14:paraId="16C8E98B" w14:textId="65A2A31E" w:rsidR="00DE57A7" w:rsidRDefault="00912FC7" w:rsidP="00912FC7">
      <w:pPr>
        <w:spacing w:line="480" w:lineRule="auto"/>
        <w:ind w:firstLine="720"/>
        <w:rPr>
          <w:rFonts w:eastAsiaTheme="minorEastAsia" w:cs="Times New Roman"/>
        </w:rPr>
      </w:pPr>
      <w:r w:rsidRPr="00912FC7">
        <w:rPr>
          <w:rFonts w:eastAsiaTheme="minorEastAsia" w:cs="Times New Roman"/>
        </w:rPr>
        <w:t xml:space="preserve"> </w:t>
      </w:r>
      <m:oMath>
        <m:r>
          <w:rPr>
            <w:rFonts w:ascii="Cambria Math" w:eastAsiaTheme="minorEastAsia" w:hAnsi="Cambria Math" w:cs="Times New Roman"/>
          </w:rPr>
          <m:t>logit</m:t>
        </m:r>
        <m:d>
          <m:dPr>
            <m:ctrlPr>
              <w:rPr>
                <w:rFonts w:ascii="Cambria Math" w:eastAsiaTheme="minorEastAsia" w:hAnsi="Cambria Math" w:cs="Times New Roman"/>
                <w:i/>
              </w:rPr>
            </m:ctrlPr>
          </m:dPr>
          <m:e>
            <m:sSub>
              <m:sSubPr>
                <m:ctrlPr>
                  <w:rPr>
                    <w:rFonts w:ascii="Cambria Math" w:eastAsiaTheme="minorEastAsia" w:hAnsi="Cambria Math" w:cs="Times New Roman"/>
                    <w:i/>
                    <w:sz w:val="22"/>
                  </w:rPr>
                </m:ctrlPr>
              </m:sSubPr>
              <m:e>
                <m:r>
                  <w:rPr>
                    <w:rFonts w:ascii="Cambria Math" w:eastAsiaTheme="minorEastAsia" w:hAnsi="Cambria Math" w:cs="Times New Roman"/>
                  </w:rPr>
                  <m:t>p</m:t>
                </m:r>
              </m:e>
              <m:sub>
                <m:r>
                  <w:rPr>
                    <w:rFonts w:ascii="Cambria Math" w:eastAsiaTheme="minorEastAsia" w:hAnsi="Cambria Math" w:cs="Times New Roman"/>
                  </w:rPr>
                  <m:t>d,i</m:t>
                </m:r>
              </m:sub>
            </m:sSub>
          </m:e>
        </m:d>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d,0</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d,cort</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cort</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d,age</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age</m:t>
            </m:r>
          </m:e>
          <m:sub>
            <m:r>
              <w:rPr>
                <w:rFonts w:ascii="Cambria Math" w:eastAsiaTheme="minorEastAsia" w:hAnsi="Cambria Math" w:cs="Times New Roman"/>
              </w:rPr>
              <m:t>i</m:t>
            </m:r>
          </m:sub>
        </m:sSub>
      </m:oMath>
      <w:r w:rsidR="00C752F3">
        <w:rPr>
          <w:rFonts w:eastAsiaTheme="minorEastAsia" w:cs="Times New Roman"/>
        </w:rPr>
        <w:t xml:space="preserve">. </w:t>
      </w:r>
    </w:p>
    <w:p w14:paraId="6FEFAA07" w14:textId="1AD68C66" w:rsidR="00825CA3" w:rsidRPr="002C038F" w:rsidRDefault="00D940B7" w:rsidP="00A8477F">
      <w:pPr>
        <w:spacing w:line="480" w:lineRule="auto"/>
        <w:rPr>
          <w:rFonts w:eastAsiaTheme="minorEastAsia" w:cs="Times New Roman"/>
        </w:rPr>
      </w:pPr>
      <w:r>
        <w:rPr>
          <w:rFonts w:cs="Times New Roman"/>
        </w:rPr>
        <w:t xml:space="preserve">Overall </w:t>
      </w:r>
      <w:r w:rsidRPr="00912FC7">
        <w:rPr>
          <w:rFonts w:cs="Times New Roman"/>
        </w:rPr>
        <w:t>breeding success (</w:t>
      </w:r>
      <m:oMath>
        <m:sSub>
          <m:sSubPr>
            <m:ctrlPr>
              <w:rPr>
                <w:rFonts w:ascii="Cambria Math" w:hAnsi="Cambria Math" w:cs="Times New Roman"/>
                <w:i/>
                <w:sz w:val="22"/>
              </w:rPr>
            </m:ctrlPr>
          </m:sSubPr>
          <m:e>
            <m:r>
              <w:rPr>
                <w:rFonts w:ascii="Cambria Math" w:hAnsi="Cambria Math" w:cs="Times New Roman"/>
              </w:rPr>
              <m:t>y</m:t>
            </m:r>
          </m:e>
          <m:sub>
            <m:r>
              <w:rPr>
                <w:rFonts w:ascii="Cambria Math" w:hAnsi="Cambria Math" w:cs="Times New Roman"/>
              </w:rPr>
              <m:t>bs,i</m:t>
            </m:r>
          </m:sub>
        </m:sSub>
      </m:oMath>
      <w:r w:rsidRPr="00912FC7">
        <w:rPr>
          <w:rFonts w:eastAsiaTheme="minorEastAsia" w:cs="Times New Roman"/>
        </w:rPr>
        <w:t xml:space="preserve">) </w:t>
      </w:r>
      <w:r w:rsidRPr="00912FC7">
        <w:rPr>
          <w:rFonts w:cs="Times New Roman"/>
        </w:rPr>
        <w:t>was considered to be a 1 if the bi</w:t>
      </w:r>
      <w:r>
        <w:rPr>
          <w:rFonts w:cs="Times New Roman"/>
        </w:rPr>
        <w:t>rd fledged</w:t>
      </w:r>
      <w:r w:rsidR="00EE773C">
        <w:rPr>
          <w:rFonts w:cs="Times New Roman"/>
        </w:rPr>
        <w:t>, raised to 42 days</w:t>
      </w:r>
      <w:r w:rsidR="00F62567">
        <w:rPr>
          <w:rFonts w:cs="Times New Roman"/>
        </w:rPr>
        <w:t>,</w:t>
      </w:r>
      <w:r>
        <w:rPr>
          <w:rFonts w:cs="Times New Roman"/>
        </w:rPr>
        <w:t xml:space="preserve"> at least on</w:t>
      </w:r>
      <w:r w:rsidR="0018730E">
        <w:rPr>
          <w:rFonts w:cs="Times New Roman"/>
        </w:rPr>
        <w:t>e</w:t>
      </w:r>
      <w:r>
        <w:rPr>
          <w:rFonts w:cs="Times New Roman"/>
        </w:rPr>
        <w:t xml:space="preserve"> chick. </w:t>
      </w:r>
      <w:r w:rsidR="00912FC7" w:rsidRPr="00912FC7">
        <w:rPr>
          <w:rFonts w:eastAsiaTheme="minorEastAsia" w:cs="Times New Roman"/>
        </w:rPr>
        <w:t xml:space="preserve">To </w:t>
      </w:r>
      <w:r w:rsidR="00912FC7" w:rsidRPr="002C038F">
        <w:rPr>
          <w:rFonts w:eastAsiaTheme="minorEastAsia" w:cs="Times New Roman"/>
        </w:rPr>
        <w:t xml:space="preserve">estimate the number of chicks that each female successfully </w:t>
      </w:r>
      <w:proofErr w:type="gramStart"/>
      <w:r w:rsidR="00912FC7" w:rsidRPr="002C038F">
        <w:rPr>
          <w:rFonts w:eastAsiaTheme="minorEastAsia" w:cs="Times New Roman"/>
        </w:rPr>
        <w:t xml:space="preserve">fledged </w:t>
      </w:r>
      <w:proofErr w:type="gramEnd"/>
      <m:oMath>
        <m:r>
          <w:rPr>
            <w:rFonts w:ascii="Cambria Math" w:eastAsiaTheme="minorEastAsia" w:hAnsi="Cambria Math" w:cs="Times New Roman"/>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y</m:t>
            </m:r>
          </m:e>
          <m:sub>
            <m:r>
              <w:rPr>
                <w:rFonts w:ascii="Cambria Math" w:eastAsiaTheme="minorEastAsia" w:hAnsi="Cambria Math" w:cs="Times New Roman"/>
              </w:rPr>
              <m:t>f,i</m:t>
            </m:r>
          </m:sub>
        </m:sSub>
      </m:oMath>
      <w:r w:rsidR="00912FC7" w:rsidRPr="002C038F">
        <w:rPr>
          <w:rFonts w:eastAsiaTheme="minorEastAsia" w:cs="Times New Roman"/>
        </w:rPr>
        <w:t xml:space="preserve">), we modeled </w:t>
      </w:r>
      <m:oMath>
        <m:sSub>
          <m:sSubPr>
            <m:ctrlPr>
              <w:rPr>
                <w:rFonts w:ascii="Cambria Math" w:eastAsiaTheme="minorEastAsia" w:hAnsi="Cambria Math" w:cs="Times New Roman"/>
                <w:i/>
                <w:sz w:val="22"/>
              </w:rPr>
            </m:ctrlPr>
          </m:sSubPr>
          <m:e>
            <m:r>
              <w:rPr>
                <w:rFonts w:ascii="Cambria Math" w:eastAsiaTheme="minorEastAsia" w:hAnsi="Cambria Math" w:cs="Times New Roman"/>
              </w:rPr>
              <m:t>y</m:t>
            </m:r>
          </m:e>
          <m:sub>
            <m:r>
              <w:rPr>
                <w:rFonts w:ascii="Cambria Math" w:eastAsiaTheme="minorEastAsia" w:hAnsi="Cambria Math" w:cs="Times New Roman"/>
              </w:rPr>
              <m:t>f,i</m:t>
            </m:r>
          </m:sub>
        </m:sSub>
      </m:oMath>
      <w:r w:rsidR="00912FC7" w:rsidRPr="002C038F">
        <w:rPr>
          <w:rFonts w:eastAsiaTheme="minorEastAsia" w:cs="Times New Roman"/>
        </w:rPr>
        <w:t xml:space="preserve"> ~ </w:t>
      </w:r>
      <m:oMath>
        <m:r>
          <w:rPr>
            <w:rFonts w:ascii="Cambria Math" w:eastAsiaTheme="minorEastAsia" w:hAnsi="Cambria Math" w:cs="Times New Roman"/>
          </w:rPr>
          <m:t xml:space="preserve">Zero-inflated Poisson </m:t>
        </m:r>
        <m:sSub>
          <m:sSubPr>
            <m:ctrlPr>
              <w:rPr>
                <w:rFonts w:ascii="Cambria Math" w:eastAsiaTheme="minorEastAsia" w:hAnsi="Cambria Math" w:cs="Times New Roman"/>
                <w:i/>
                <w:sz w:val="22"/>
              </w:rPr>
            </m:ctrlPr>
          </m:sSubPr>
          <m:e>
            <m:r>
              <w:rPr>
                <w:rFonts w:ascii="Cambria Math" w:eastAsiaTheme="minorEastAsia" w:hAnsi="Cambria Math" w:cs="Times New Roman"/>
              </w:rPr>
              <m:t>(bs</m:t>
            </m:r>
          </m:e>
          <m:sub>
            <m:r>
              <w:rPr>
                <w:rFonts w:ascii="Cambria Math" w:eastAsiaTheme="minorEastAsia" w:hAnsi="Cambria Math" w:cs="Times New Roman"/>
              </w:rPr>
              <m:t>i</m:t>
            </m:r>
          </m:sub>
        </m:sSub>
        <m:r>
          <w:rPr>
            <w:rFonts w:ascii="Cambria Math" w:eastAsiaTheme="minorEastAsia" w:hAnsi="Cambria Math" w:cs="Times New Roman"/>
          </w:rPr>
          <m:t xml:space="preserve">*μ ) </m:t>
        </m:r>
      </m:oMath>
      <w:r w:rsidR="00912FC7" w:rsidRPr="002C038F">
        <w:rPr>
          <w:rFonts w:eastAsiaTheme="minorEastAsia" w:cs="Times New Roman"/>
        </w:rPr>
        <w:t xml:space="preserve">where µ </w:t>
      </w:r>
      <w:r w:rsidR="00DE57A7" w:rsidRPr="002C038F">
        <w:rPr>
          <w:rFonts w:eastAsiaTheme="minorEastAsia" w:cs="Times New Roman"/>
        </w:rPr>
        <w:t xml:space="preserve">was </w:t>
      </w:r>
      <w:r w:rsidR="00912FC7" w:rsidRPr="002C038F">
        <w:rPr>
          <w:rFonts w:eastAsiaTheme="minorEastAsia" w:cs="Times New Roman"/>
        </w:rPr>
        <w:t>the mean and variance of the number of chicks fledged</w:t>
      </w:r>
      <w:r w:rsidR="00825CA3" w:rsidRPr="002C038F">
        <w:rPr>
          <w:rFonts w:eastAsiaTheme="minorEastAsia" w:cs="Times New Roman"/>
        </w:rPr>
        <w:t>, based on,</w:t>
      </w:r>
    </w:p>
    <w:p w14:paraId="497BE52F" w14:textId="609FAC75" w:rsidR="00825CA3" w:rsidRPr="002C038F" w:rsidRDefault="00912FC7" w:rsidP="008D08F2">
      <w:pPr>
        <w:spacing w:line="480" w:lineRule="auto"/>
        <w:ind w:firstLine="720"/>
        <w:rPr>
          <w:rFonts w:eastAsiaTheme="minorEastAsia" w:cs="Times New Roman"/>
        </w:rPr>
      </w:pPr>
      <w:r w:rsidRPr="002C038F">
        <w:rPr>
          <w:rFonts w:eastAsiaTheme="minorEastAsia" w:cs="Times New Roman"/>
        </w:rPr>
        <w:t xml:space="preserve"> </w:t>
      </w:r>
      <m:oMath>
        <m:r>
          <w:rPr>
            <w:rFonts w:ascii="Cambria Math" w:eastAsiaTheme="minorEastAsia" w:hAnsi="Cambria Math" w:cs="Times New Roman"/>
          </w:rPr>
          <m:t>log</m:t>
        </m:r>
        <m:d>
          <m:dPr>
            <m:ctrlPr>
              <w:rPr>
                <w:rFonts w:ascii="Cambria Math" w:eastAsiaTheme="minorEastAsia" w:hAnsi="Cambria Math" w:cs="Times New Roman"/>
                <w:i/>
              </w:rPr>
            </m:ctrlPr>
          </m:dPr>
          <m:e>
            <m:sSub>
              <m:sSubPr>
                <m:ctrlPr>
                  <w:rPr>
                    <w:rFonts w:ascii="Cambria Math" w:eastAsiaTheme="minorEastAsia" w:hAnsi="Cambria Math" w:cs="Times New Roman"/>
                    <w:i/>
                    <w:sz w:val="22"/>
                  </w:rPr>
                </m:ctrlPr>
              </m:sSubPr>
              <m:e>
                <m:r>
                  <w:rPr>
                    <w:rFonts w:ascii="Cambria Math" w:eastAsiaTheme="minorEastAsia" w:hAnsi="Cambria Math" w:cs="Times New Roman"/>
                  </w:rPr>
                  <m:t>y</m:t>
                </m:r>
              </m:e>
              <m:sub>
                <m:r>
                  <w:rPr>
                    <w:rFonts w:ascii="Cambria Math" w:eastAsiaTheme="minorEastAsia" w:hAnsi="Cambria Math" w:cs="Times New Roman"/>
                  </w:rPr>
                  <m:t>f,i</m:t>
                </m:r>
              </m:sub>
            </m:sSub>
          </m:e>
        </m:d>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f,0</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f,cort</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cort</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eastAsiaTheme="minorEastAsia" w:hAnsi="Cambria Math" w:cs="Times New Roman"/>
                <w:i/>
                <w:sz w:val="22"/>
              </w:rPr>
            </m:ctrlPr>
          </m:sSubPr>
          <m:e>
            <m:r>
              <w:rPr>
                <w:rFonts w:ascii="Cambria Math" w:eastAsiaTheme="minorEastAsia" w:hAnsi="Cambria Math" w:cs="Times New Roman"/>
              </w:rPr>
              <m:t>β</m:t>
            </m:r>
          </m:e>
          <m:sub>
            <m:r>
              <w:rPr>
                <w:rFonts w:ascii="Cambria Math" w:eastAsiaTheme="minorEastAsia" w:hAnsi="Cambria Math" w:cs="Times New Roman"/>
              </w:rPr>
              <m:t>f,age</m:t>
            </m:r>
          </m:sub>
        </m:sSub>
        <m:r>
          <w:rPr>
            <w:rFonts w:ascii="Cambria Math" w:eastAsiaTheme="minorEastAsia" w:hAnsi="Cambria Math" w:cs="Times New Roman"/>
          </w:rPr>
          <m:t xml:space="preserve">* </m:t>
        </m:r>
        <m:sSub>
          <m:sSubPr>
            <m:ctrlPr>
              <w:rPr>
                <w:rFonts w:ascii="Cambria Math" w:eastAsiaTheme="minorEastAsia" w:hAnsi="Cambria Math" w:cs="Times New Roman"/>
                <w:i/>
                <w:sz w:val="22"/>
              </w:rPr>
            </m:ctrlPr>
          </m:sSubPr>
          <m:e>
            <m:r>
              <w:rPr>
                <w:rFonts w:ascii="Cambria Math" w:eastAsiaTheme="minorEastAsia" w:hAnsi="Cambria Math" w:cs="Times New Roman"/>
              </w:rPr>
              <m:t>age</m:t>
            </m:r>
          </m:e>
          <m:sub>
            <m:r>
              <w:rPr>
                <w:rFonts w:ascii="Cambria Math" w:eastAsiaTheme="minorEastAsia" w:hAnsi="Cambria Math" w:cs="Times New Roman"/>
              </w:rPr>
              <m:t>i</m:t>
            </m:r>
          </m:sub>
        </m:sSub>
      </m:oMath>
      <w:r w:rsidR="00825CA3" w:rsidRPr="002C038F">
        <w:rPr>
          <w:rFonts w:eastAsiaTheme="minorEastAsia" w:cs="Times New Roman"/>
          <w:sz w:val="22"/>
        </w:rPr>
        <w:t>.</w:t>
      </w:r>
      <w:r w:rsidR="00825CA3" w:rsidRPr="002C038F">
        <w:rPr>
          <w:rFonts w:eastAsiaTheme="minorEastAsia" w:cs="Times New Roman"/>
        </w:rPr>
        <w:t xml:space="preserve">  </w:t>
      </w:r>
    </w:p>
    <w:p w14:paraId="6A0E8DBA" w14:textId="169DA7D2" w:rsidR="0072394D" w:rsidRPr="002C038F" w:rsidRDefault="0072394D" w:rsidP="00A21C0E">
      <w:pPr>
        <w:pStyle w:val="Heading2"/>
        <w:spacing w:line="480" w:lineRule="auto"/>
      </w:pPr>
      <w:r w:rsidRPr="002C038F">
        <w:t>Results</w:t>
      </w:r>
    </w:p>
    <w:p w14:paraId="339BE610" w14:textId="5AE2138C" w:rsidR="005F6C30" w:rsidRPr="005F6C30" w:rsidRDefault="005F6C30" w:rsidP="00A21C0E">
      <w:pPr>
        <w:pStyle w:val="Heading6"/>
        <w:spacing w:line="480" w:lineRule="auto"/>
        <w:rPr>
          <w:rStyle w:val="Emphasis"/>
          <w:color w:val="auto"/>
        </w:rPr>
      </w:pPr>
      <w:r w:rsidRPr="002C038F">
        <w:rPr>
          <w:rStyle w:val="Emphasis"/>
          <w:color w:val="auto"/>
        </w:rPr>
        <w:t>Corticosterone Model</w:t>
      </w:r>
    </w:p>
    <w:p w14:paraId="7ED5D165" w14:textId="3A58C405" w:rsidR="005F6C30" w:rsidRDefault="008D08F2" w:rsidP="008D08F2">
      <w:pPr>
        <w:pStyle w:val="NoSpacing"/>
        <w:spacing w:line="480" w:lineRule="auto"/>
      </w:pPr>
      <w:r>
        <w:tab/>
      </w:r>
      <w:r w:rsidR="005F6C30">
        <w:t xml:space="preserve">We estimated fCort for 280 female sage-grouse. We detected substantial among-individual variation in fCort levels, with 65% of the sample having fCort levels &lt; 10 </w:t>
      </w:r>
      <w:proofErr w:type="spellStart"/>
      <w:r w:rsidR="005F6C30">
        <w:t>pg</w:t>
      </w:r>
      <w:proofErr w:type="spellEnd"/>
      <w:r w:rsidR="005F6C30">
        <w:t xml:space="preserve">/mm, while 20% of the sample had fCort levels &gt; 100 </w:t>
      </w:r>
      <w:proofErr w:type="spellStart"/>
      <w:r w:rsidR="005F6C30">
        <w:t>pg</w:t>
      </w:r>
      <w:proofErr w:type="spellEnd"/>
      <w:r w:rsidR="005F6C30">
        <w:t>/mm feather. There was no effect of age</w:t>
      </w:r>
      <w:r w:rsidR="00DE57A7">
        <w:t>,</w:t>
      </w:r>
      <w:r w:rsidR="005F6C30">
        <w:t xml:space="preserve"> and body condition only had a small negative effect on mean fCort</w:t>
      </w:r>
      <w:r w:rsidR="00DE57A7">
        <w:t xml:space="preserve"> (Table 1)</w:t>
      </w:r>
      <w:r w:rsidR="005F6C30">
        <w:t xml:space="preserve">. </w:t>
      </w:r>
      <w:r w:rsidR="00DE57A7">
        <w:t xml:space="preserve">In contrast, horse </w:t>
      </w:r>
      <w:r w:rsidR="005F6C30">
        <w:t xml:space="preserve">and cow densities interacted with precipitation to influence fCort levels. Increasing numbers of </w:t>
      </w:r>
      <w:r w:rsidR="005F6C30">
        <w:lastRenderedPageBreak/>
        <w:t xml:space="preserve">horses </w:t>
      </w:r>
      <w:r w:rsidR="009904DD">
        <w:t xml:space="preserve">were associated with higher </w:t>
      </w:r>
      <w:r w:rsidR="005F6C30">
        <w:t>fCort in drought years (</w:t>
      </w:r>
      <w:r w:rsidR="003039E6">
        <w:t>Figure 3</w:t>
      </w:r>
      <w:r w:rsidR="005F6C30">
        <w:t xml:space="preserve">; Table 1). This interaction was similarly </w:t>
      </w:r>
      <w:r w:rsidR="00DE57A7">
        <w:t xml:space="preserve">positive </w:t>
      </w:r>
      <w:r w:rsidR="005F6C30">
        <w:t>but the effect was not as large for cows (</w:t>
      </w:r>
      <w:r w:rsidR="003039E6">
        <w:t>Figure 4</w:t>
      </w:r>
      <w:r w:rsidR="005F6C30">
        <w:t xml:space="preserve">; Table 1). FCort levels were also </w:t>
      </w:r>
      <w:r w:rsidR="00C70CA9">
        <w:t xml:space="preserve">positively </w:t>
      </w:r>
      <w:r w:rsidR="005F6C30">
        <w:t xml:space="preserve">associated with </w:t>
      </w:r>
      <w:r w:rsidR="00C70CA9">
        <w:t xml:space="preserve">the </w:t>
      </w:r>
      <w:r w:rsidR="005F6C30">
        <w:t>interaction between horse density and percent cover of annual grasses (</w:t>
      </w:r>
      <w:r w:rsidR="003039E6">
        <w:t>Figure 5</w:t>
      </w:r>
      <w:r w:rsidR="005F6C30">
        <w:t>; Table 1).</w:t>
      </w:r>
      <w:r w:rsidR="00CC1E75" w:rsidRPr="000828EF">
        <w:t xml:space="preserve"> </w:t>
      </w:r>
      <w:r w:rsidR="00CC1E75" w:rsidRPr="00CC1E75">
        <w:t>Despite substantial among-individual variation, fCort levels tended to be highest in grazing allotments or horse management areas containing the largest numbers of co</w:t>
      </w:r>
      <w:r w:rsidR="00CC1E75">
        <w:t>ws and horses</w:t>
      </w:r>
      <w:r w:rsidR="009904DD">
        <w:t>, respectively</w:t>
      </w:r>
      <w:r w:rsidR="00CC1E75" w:rsidRPr="00CC1E75">
        <w:t>.</w:t>
      </w:r>
    </w:p>
    <w:p w14:paraId="6BCF0ADF" w14:textId="77777777" w:rsidR="005F6C30" w:rsidRPr="005F6C30" w:rsidRDefault="005F6C30" w:rsidP="00A21C0E">
      <w:pPr>
        <w:pStyle w:val="Heading6"/>
        <w:spacing w:line="480" w:lineRule="auto"/>
        <w:rPr>
          <w:rStyle w:val="Emphasis"/>
          <w:color w:val="auto"/>
        </w:rPr>
      </w:pPr>
      <w:r w:rsidRPr="005F6C30">
        <w:rPr>
          <w:rStyle w:val="Emphasis"/>
          <w:color w:val="auto"/>
        </w:rPr>
        <w:t>Demographic Model</w:t>
      </w:r>
    </w:p>
    <w:p w14:paraId="28D147C4" w14:textId="6016C43F" w:rsidR="00705AF5" w:rsidRDefault="008D08F2" w:rsidP="00DC01F6">
      <w:pPr>
        <w:pStyle w:val="NoSpacing"/>
        <w:spacing w:line="480" w:lineRule="auto"/>
      </w:pPr>
      <w:r>
        <w:tab/>
      </w:r>
      <w:r w:rsidR="005F6C30" w:rsidRPr="00912FC7">
        <w:t>Mean fCort was not strongly predictive of future survival or reproductive success</w:t>
      </w:r>
      <w:r w:rsidR="00DE57A7">
        <w:t xml:space="preserve"> (Table 2)</w:t>
      </w:r>
      <w:r w:rsidR="005F6C30" w:rsidRPr="00912FC7">
        <w:t xml:space="preserve">. The </w:t>
      </w:r>
      <w:r w:rsidR="00DE57A7">
        <w:t xml:space="preserve">posterior distribution for the </w:t>
      </w:r>
      <w:r w:rsidR="005F6C30" w:rsidRPr="00912FC7">
        <w:t xml:space="preserve">beta estimate </w:t>
      </w:r>
      <w:r w:rsidR="00DE57A7">
        <w:t>for nest success</w:t>
      </w:r>
      <w:r w:rsidR="009904DD">
        <w:t>, however,</w:t>
      </w:r>
      <w:r w:rsidR="00DE57A7">
        <w:t xml:space="preserve"> suggested the potential for a negative relationship between fCort and nest success</w:t>
      </w:r>
      <w:r w:rsidR="005F6C30" w:rsidRPr="00912FC7">
        <w:t xml:space="preserve"> (</w:t>
      </w:r>
      <w:r w:rsidR="003039E6">
        <w:t>Figure 6</w:t>
      </w:r>
      <w:r w:rsidR="005F6C30" w:rsidRPr="00912FC7">
        <w:t>; Table 2)</w:t>
      </w:r>
      <w:r w:rsidR="00DE57A7">
        <w:t>.</w:t>
      </w:r>
    </w:p>
    <w:p w14:paraId="38FA5ECB" w14:textId="55D0080A" w:rsidR="0072394D" w:rsidRPr="00912FC7" w:rsidRDefault="0072394D" w:rsidP="00A21C0E">
      <w:pPr>
        <w:pStyle w:val="Heading2"/>
        <w:spacing w:line="480" w:lineRule="auto"/>
      </w:pPr>
      <w:r w:rsidRPr="00912FC7">
        <w:t>Discussion</w:t>
      </w:r>
    </w:p>
    <w:p w14:paraId="785321C3" w14:textId="5790C1F5" w:rsidR="00912FC7" w:rsidRDefault="008D08F2" w:rsidP="008D08F2">
      <w:pPr>
        <w:pStyle w:val="NoSpacing"/>
        <w:spacing w:line="480" w:lineRule="auto"/>
      </w:pPr>
      <w:r>
        <w:tab/>
      </w:r>
      <w:r w:rsidR="00FE075F">
        <w:t xml:space="preserve">Mean </w:t>
      </w:r>
      <w:r w:rsidR="00912FC7">
        <w:t>fCort levels in female sage-grouse</w:t>
      </w:r>
      <w:r w:rsidR="00FE075F">
        <w:t xml:space="preserve"> were higher when density of non</w:t>
      </w:r>
      <w:r w:rsidR="0018730E">
        <w:t>-</w:t>
      </w:r>
      <w:r w:rsidR="00FE075F">
        <w:t>native ungulates was higher under drought conditions</w:t>
      </w:r>
      <w:r w:rsidR="00912FC7">
        <w:t xml:space="preserve">. Ungulates in arid environments can remove a high percentage of primary productivity </w:t>
      </w:r>
      <w:r w:rsidR="006F422D">
        <w:rPr>
          <w:noProof/>
        </w:rPr>
        <w:t>(Baur et al., 2018; Veblen et al., 2015)</w:t>
      </w:r>
      <w:r w:rsidR="006F422D">
        <w:t>,</w:t>
      </w:r>
      <w:r w:rsidR="00912FC7">
        <w:t xml:space="preserve"> an effect that is exacerbated under drought conditions when primary production is reduced </w:t>
      </w:r>
      <w:r w:rsidR="0001497A">
        <w:rPr>
          <w:noProof/>
        </w:rPr>
        <w:t>(Donnelly et al., 2018; Zeigenfuss et al., 2014)</w:t>
      </w:r>
      <w:r w:rsidR="0001497A">
        <w:t>.</w:t>
      </w:r>
      <w:r w:rsidR="00912FC7">
        <w:t xml:space="preserve"> Our findings are, therefore, consistent with the hypothesis that grazing by ungulates, likely through a reduction in late summer food availability for sage-grouse </w:t>
      </w:r>
      <w:r w:rsidR="00DC01F6">
        <w:rPr>
          <w:noProof/>
        </w:rPr>
        <w:t>(Street, 2020)</w:t>
      </w:r>
      <w:r w:rsidR="00DC01F6">
        <w:t>,</w:t>
      </w:r>
      <w:r w:rsidR="00591CB0">
        <w:t xml:space="preserve"> acts as a chronic stressor for a</w:t>
      </w:r>
      <w:r w:rsidR="00912FC7">
        <w:t xml:space="preserve"> significant number of female sage-grouse. Horses in particular remove vegetation closer to the ground than other ungulates and consume upwards of 20% more plant matter than cows </w:t>
      </w:r>
      <w:r w:rsidR="00912FC7">
        <w:rPr>
          <w:noProof/>
        </w:rPr>
        <w:t>(Hanley &amp; Hanley, 1982)</w:t>
      </w:r>
      <w:r w:rsidR="00912FC7">
        <w:t xml:space="preserve">. This may explain the stronger </w:t>
      </w:r>
      <w:r w:rsidR="00FE075F">
        <w:t xml:space="preserve">effect </w:t>
      </w:r>
      <w:r w:rsidR="00912FC7">
        <w:t>found with horses than with cows</w:t>
      </w:r>
      <w:r w:rsidR="00BA7CC1">
        <w:t>, in spite of the higher density of cows on the landscape</w:t>
      </w:r>
      <w:r w:rsidR="00912FC7">
        <w:t xml:space="preserve">. </w:t>
      </w:r>
      <w:r w:rsidR="000C3CE8">
        <w:t xml:space="preserve">The increase in fCort </w:t>
      </w:r>
      <w:r w:rsidR="00F62567">
        <w:t>correlated with</w:t>
      </w:r>
      <w:r w:rsidR="000C3CE8">
        <w:t xml:space="preserve"> the </w:t>
      </w:r>
      <w:r w:rsidR="000C5903">
        <w:t xml:space="preserve">combined </w:t>
      </w:r>
      <w:r w:rsidR="000C3CE8">
        <w:t>effect of horses and a</w:t>
      </w:r>
      <w:r w:rsidR="000C5903">
        <w:t>nnual grass cover</w:t>
      </w:r>
      <w:r w:rsidR="007336BE">
        <w:t xml:space="preserve"> </w:t>
      </w:r>
      <w:r w:rsidR="000C3CE8">
        <w:t xml:space="preserve">is not </w:t>
      </w:r>
      <w:proofErr w:type="spellStart"/>
      <w:r w:rsidR="000C3CE8">
        <w:t>suprising</w:t>
      </w:r>
      <w:proofErr w:type="spellEnd"/>
      <w:r w:rsidR="000C3CE8">
        <w:t xml:space="preserve">, given that horses can help spread cheatgrass </w:t>
      </w:r>
      <w:r w:rsidR="000C3CE8">
        <w:rPr>
          <w:noProof/>
        </w:rPr>
        <w:t>(King et al., 2019)</w:t>
      </w:r>
      <w:r w:rsidR="000C3CE8">
        <w:t xml:space="preserve"> and sage-grouse </w:t>
      </w:r>
      <w:r w:rsidR="000C3CE8">
        <w:lastRenderedPageBreak/>
        <w:t xml:space="preserve">recruitment suffers in areas with higher cheatgrass cover </w:t>
      </w:r>
      <w:r w:rsidR="000C3CE8">
        <w:rPr>
          <w:noProof/>
        </w:rPr>
        <w:t>(Blomberg et al., 2012)</w:t>
      </w:r>
      <w:r w:rsidR="004B26DD">
        <w:t xml:space="preserve">, as cheatgrass </w:t>
      </w:r>
      <w:r w:rsidR="00BA7CC1">
        <w:t xml:space="preserve">expansion </w:t>
      </w:r>
      <w:r w:rsidR="004B26DD">
        <w:t xml:space="preserve">displaces critical native perennial grasses and forbs </w:t>
      </w:r>
      <w:r w:rsidR="00BA7CC1">
        <w:t>(Williamson et al. 2020)</w:t>
      </w:r>
      <w:r w:rsidR="004B26DD">
        <w:t xml:space="preserve">. </w:t>
      </w:r>
    </w:p>
    <w:p w14:paraId="2843288F" w14:textId="2E6F58B4" w:rsidR="00912FC7" w:rsidRDefault="00D57643" w:rsidP="008D08F2">
      <w:pPr>
        <w:pStyle w:val="NoSpacing"/>
        <w:spacing w:line="480" w:lineRule="auto"/>
      </w:pPr>
      <w:r>
        <w:tab/>
      </w:r>
      <w:r w:rsidR="00912FC7">
        <w:t xml:space="preserve">Our findings are consistent with other research demonstrating that environmental or social restrictions on energy or nutrient intake can </w:t>
      </w:r>
      <w:r w:rsidR="00591CB0">
        <w:t>produce chronic physiological stress</w:t>
      </w:r>
      <w:r w:rsidR="00912FC7">
        <w:t xml:space="preserve"> </w:t>
      </w:r>
      <w:r w:rsidR="00A63F49">
        <w:rPr>
          <w:noProof/>
        </w:rPr>
        <w:t>(Fairhurst et al., 2017; Johns et al., 2018; Will et al., 2015; Wingfield et al., 1997; Wingfield et al., 2017; Wingfield &amp; Sapolsky, 2003)</w:t>
      </w:r>
      <w:r w:rsidR="00A63F49">
        <w:t>.</w:t>
      </w:r>
      <w:r w:rsidR="00C752F3">
        <w:t xml:space="preserve"> </w:t>
      </w:r>
      <w:r w:rsidR="00912FC7">
        <w:t xml:space="preserve">Drought conditions are known to reduce reproductive investment by female sage-grouse </w:t>
      </w:r>
      <w:r w:rsidR="001E14FF">
        <w:rPr>
          <w:noProof/>
        </w:rPr>
        <w:t>(Blomberg et al., 2017; Blomberg et al., 2012; Blomberg, Sedinger, et al., 2013b)</w:t>
      </w:r>
      <w:r w:rsidR="00912FC7">
        <w:t xml:space="preserve"> and male sage-grouse were less likely to attend leks during drought, especially at higher population densities </w:t>
      </w:r>
      <w:r w:rsidR="001E14FF">
        <w:rPr>
          <w:noProof/>
        </w:rPr>
        <w:t>(Blomberg, Sedinger, et al., 2013a)</w:t>
      </w:r>
      <w:r w:rsidR="00912FC7">
        <w:t xml:space="preserve">, indicating that factors reducing food availability between breeding seasons constrain reproductive activities in sage-grouse. The fact that grazing by ungulates under </w:t>
      </w:r>
      <w:r w:rsidR="00912FC7" w:rsidRPr="004B4C1E">
        <w:t xml:space="preserve">drought conditions </w:t>
      </w:r>
      <w:r w:rsidR="00F62567">
        <w:t xml:space="preserve">was associated with </w:t>
      </w:r>
      <w:r w:rsidR="00912FC7" w:rsidRPr="00F62567">
        <w:t>increased fCort levels</w:t>
      </w:r>
      <w:r w:rsidR="00912FC7" w:rsidRPr="004B4C1E">
        <w:t xml:space="preserve"> is consistent with the general linkage between nutrient intake an</w:t>
      </w:r>
      <w:r w:rsidR="00591CB0" w:rsidRPr="004B4C1E">
        <w:t>d elevated GCs</w:t>
      </w:r>
      <w:r w:rsidR="004B4C1E" w:rsidRPr="004B4C1E">
        <w:t>, and elevated</w:t>
      </w:r>
      <w:r w:rsidR="004B4C1E">
        <w:t xml:space="preserve"> </w:t>
      </w:r>
      <w:r w:rsidR="009904DD">
        <w:t xml:space="preserve">GC </w:t>
      </w:r>
      <w:r w:rsidR="004B4C1E">
        <w:t>levels</w:t>
      </w:r>
      <w:r w:rsidR="00912FC7">
        <w:t xml:space="preserve"> and reduced breeding investment</w:t>
      </w:r>
      <w:r w:rsidR="00A63F49">
        <w:t xml:space="preserve"> </w:t>
      </w:r>
      <w:r w:rsidR="009607BB">
        <w:rPr>
          <w:noProof/>
        </w:rPr>
        <w:t>(Hansen et al., 2016; Harms et al., 2015; Williams et al., 2008)</w:t>
      </w:r>
      <w:r w:rsidR="009607BB">
        <w:t>.</w:t>
      </w:r>
      <w:r w:rsidR="00744DC9">
        <w:t xml:space="preserve"> W</w:t>
      </w:r>
      <w:r w:rsidR="00F61896">
        <w:t>e caution</w:t>
      </w:r>
      <w:r w:rsidR="00DC01F6">
        <w:t xml:space="preserve"> </w:t>
      </w:r>
      <w:r w:rsidR="00F61896">
        <w:t xml:space="preserve">that our results, while consistent with the hypothesis that habitat degradation and food restriction </w:t>
      </w:r>
      <w:r w:rsidR="004B4C1E">
        <w:t>elevate GCs</w:t>
      </w:r>
      <w:r w:rsidR="00F61896">
        <w:t xml:space="preserve"> in some females, </w:t>
      </w:r>
      <w:r w:rsidR="009904DD">
        <w:t xml:space="preserve">should not </w:t>
      </w:r>
      <w:r w:rsidR="00F61896">
        <w:t xml:space="preserve">be used to establish a direct linkage between a </w:t>
      </w:r>
      <w:r w:rsidR="004B4C1E">
        <w:t xml:space="preserve">chronic physiological stress </w:t>
      </w:r>
      <w:r w:rsidR="00F61896">
        <w:t xml:space="preserve">and </w:t>
      </w:r>
      <w:r w:rsidR="00DC0D4A">
        <w:t xml:space="preserve">reproductive investment because we assessed the </w:t>
      </w:r>
      <w:r w:rsidR="004B4C1E">
        <w:t>GC levels</w:t>
      </w:r>
      <w:r w:rsidR="00DC0D4A">
        <w:t xml:space="preserve"> several months before breeding began.</w:t>
      </w:r>
      <w:r w:rsidR="00C6263F">
        <w:t xml:space="preserve"> Delayed impacts on current breeding and survival </w:t>
      </w:r>
      <w:r w:rsidR="00F61456">
        <w:t xml:space="preserve">(carry-over effects) </w:t>
      </w:r>
      <w:r w:rsidR="00C6263F">
        <w:t xml:space="preserve">have been demonstrated for other </w:t>
      </w:r>
      <w:r w:rsidR="00F61456">
        <w:t xml:space="preserve">variables </w:t>
      </w:r>
      <w:r w:rsidR="00C6263F">
        <w:t xml:space="preserve">in various avian species, such as previous breeding experience </w:t>
      </w:r>
      <w:r w:rsidR="001E14FF" w:rsidRPr="001E14FF">
        <w:rPr>
          <w:noProof/>
        </w:rPr>
        <w:t>(Souchay et al., 2014; Warren et al., 2014)</w:t>
      </w:r>
      <w:r w:rsidR="00C6263F" w:rsidRPr="001E14FF">
        <w:t xml:space="preserve"> and population density</w:t>
      </w:r>
      <w:r w:rsidR="001E14FF" w:rsidRPr="001E14FF">
        <w:t xml:space="preserve"> </w:t>
      </w:r>
      <w:r w:rsidR="001E14FF" w:rsidRPr="001E14FF">
        <w:rPr>
          <w:noProof/>
        </w:rPr>
        <w:t>(Blomberg et al., 2017)</w:t>
      </w:r>
      <w:r w:rsidR="00C6263F" w:rsidRPr="001E14FF">
        <w:t>.</w:t>
      </w:r>
      <w:r w:rsidR="00C6263F">
        <w:t xml:space="preserve"> </w:t>
      </w:r>
    </w:p>
    <w:p w14:paraId="3377AD06" w14:textId="70A6AE6B" w:rsidR="00912FC7" w:rsidRDefault="008D08F2" w:rsidP="008D08F2">
      <w:pPr>
        <w:pStyle w:val="NoSpacing"/>
        <w:spacing w:line="480" w:lineRule="auto"/>
      </w:pPr>
      <w:r>
        <w:tab/>
      </w:r>
      <w:r w:rsidR="00DC01F6">
        <w:t>Our data suggest</w:t>
      </w:r>
      <w:r w:rsidR="00912FC7">
        <w:t xml:space="preserve"> that not all </w:t>
      </w:r>
      <w:r w:rsidR="007A450A">
        <w:t xml:space="preserve">individuals </w:t>
      </w:r>
      <w:r w:rsidR="00FE075F">
        <w:t xml:space="preserve">responded </w:t>
      </w:r>
      <w:r w:rsidR="00912FC7">
        <w:t xml:space="preserve">the same way to grazing </w:t>
      </w:r>
      <w:r w:rsidR="007A450A">
        <w:t xml:space="preserve">impacts </w:t>
      </w:r>
      <w:r w:rsidR="00912FC7">
        <w:t xml:space="preserve">(Figures </w:t>
      </w:r>
      <w:r w:rsidR="00F669EB">
        <w:t>2</w:t>
      </w:r>
      <w:r w:rsidR="00912FC7">
        <w:t xml:space="preserve"> &amp; </w:t>
      </w:r>
      <w:r w:rsidR="00F669EB">
        <w:t>3</w:t>
      </w:r>
      <w:r w:rsidR="00912FC7">
        <w:t>). This could result from underlying intrinsic differences in reactivity to stress</w:t>
      </w:r>
      <w:r w:rsidR="0018730E">
        <w:t>ors</w:t>
      </w:r>
      <w:r w:rsidR="00912FC7">
        <w:t xml:space="preserve"> </w:t>
      </w:r>
      <w:r w:rsidR="00912FC7">
        <w:rPr>
          <w:noProof/>
        </w:rPr>
        <w:t>(Cockrem, 2007, 2013)</w:t>
      </w:r>
      <w:r w:rsidR="00912FC7">
        <w:t xml:space="preserve"> or other aspects of individual quality. Unknown circumstantial influences </w:t>
      </w:r>
      <w:r w:rsidR="00912FC7">
        <w:lastRenderedPageBreak/>
        <w:t xml:space="preserve">during the period of feather growth such as a predator attack, prior breeding effort, or disease status could also contribute to variation in response </w:t>
      </w:r>
      <w:r w:rsidR="00912FC7">
        <w:rPr>
          <w:noProof/>
        </w:rPr>
        <w:t>(Wingfield et al., 2017)</w:t>
      </w:r>
      <w:r w:rsidR="00912FC7">
        <w:t xml:space="preserve">. Females that attended a brood during the summer delay molt of their primary feathers </w:t>
      </w:r>
      <w:r w:rsidR="00912FC7">
        <w:rPr>
          <w:noProof/>
        </w:rPr>
        <w:t>(Braun et al., 2020)</w:t>
      </w:r>
      <w:r w:rsidR="00912FC7">
        <w:t xml:space="preserve">. If replacement of body feathers is also delayed, the timing of fCort deposition could differ by </w:t>
      </w:r>
      <w:r w:rsidR="00A6197C">
        <w:t xml:space="preserve">previous </w:t>
      </w:r>
      <w:r w:rsidR="00912FC7">
        <w:t xml:space="preserve">reproductive state. However, we found no effect of age on fCort, thus adults showed similar levels to yearlings who had no previous reproductive experience. </w:t>
      </w:r>
    </w:p>
    <w:p w14:paraId="11358611" w14:textId="58B2CDC6" w:rsidR="00912FC7" w:rsidRDefault="008D08F2" w:rsidP="008D08F2">
      <w:pPr>
        <w:pStyle w:val="NoSpacing"/>
        <w:spacing w:line="480" w:lineRule="auto"/>
      </w:pPr>
      <w:r>
        <w:tab/>
      </w:r>
      <w:r w:rsidR="00912FC7">
        <w:t>We found</w:t>
      </w:r>
      <w:r w:rsidR="00DC01F6">
        <w:t xml:space="preserve"> </w:t>
      </w:r>
      <w:r w:rsidR="00617933">
        <w:t>weak</w:t>
      </w:r>
      <w:r w:rsidR="00912FC7">
        <w:t xml:space="preserve"> support that fCort was related to decreased nesting success</w:t>
      </w:r>
      <w:r w:rsidR="005402DF">
        <w:t xml:space="preserve">, in line with the </w:t>
      </w:r>
      <w:proofErr w:type="spellStart"/>
      <w:r w:rsidR="005402DF">
        <w:t>Cort</w:t>
      </w:r>
      <w:proofErr w:type="spellEnd"/>
      <w:r w:rsidR="005402DF">
        <w:t>-Fitness Hypothesis</w:t>
      </w:r>
      <w:r w:rsidR="00912FC7">
        <w:t xml:space="preserve">, but </w:t>
      </w:r>
      <w:r w:rsidR="004731E9">
        <w:t>fCort was</w:t>
      </w:r>
      <w:r w:rsidR="00912FC7">
        <w:t xml:space="preserve"> not </w:t>
      </w:r>
      <w:r w:rsidR="004731E9">
        <w:t xml:space="preserve">otherwise </w:t>
      </w:r>
      <w:r w:rsidR="00912FC7">
        <w:t xml:space="preserve">predictive of vital rates. </w:t>
      </w:r>
      <w:r w:rsidR="009B1533">
        <w:t xml:space="preserve">The time interval between the </w:t>
      </w:r>
      <w:r w:rsidR="004B4C1E">
        <w:t>elevated GCs and</w:t>
      </w:r>
      <w:r w:rsidR="009B1533">
        <w:t xml:space="preserve"> nesting, however, suggests that both reflect nutritional condition, rather than the </w:t>
      </w:r>
      <w:r w:rsidR="004B4C1E">
        <w:t>GC elevation</w:t>
      </w:r>
      <w:r w:rsidR="009B1533">
        <w:t xml:space="preserve"> causing lower nest success in some female</w:t>
      </w:r>
      <w:r w:rsidR="00B06F84">
        <w:t>s</w:t>
      </w:r>
      <w:r w:rsidR="009B1533">
        <w:t xml:space="preserve">. </w:t>
      </w:r>
      <w:r w:rsidR="00912FC7">
        <w:t xml:space="preserve">Because we captured females in spring of the year following feather growth, our sample only contains those females who survived from fall to spring. If high </w:t>
      </w:r>
      <w:r w:rsidR="009A05BD">
        <w:t>fC</w:t>
      </w:r>
      <w:r w:rsidR="00912FC7">
        <w:t xml:space="preserve">ort levels </w:t>
      </w:r>
      <w:r w:rsidR="00744DC9">
        <w:t xml:space="preserve">had </w:t>
      </w:r>
      <w:r w:rsidR="00912FC7">
        <w:t xml:space="preserve">more immediate survival consequences, we would </w:t>
      </w:r>
      <w:r w:rsidR="00744DC9">
        <w:t xml:space="preserve">have </w:t>
      </w:r>
      <w:r w:rsidR="00912FC7">
        <w:t>be</w:t>
      </w:r>
      <w:r w:rsidR="00744DC9">
        <w:t>en</w:t>
      </w:r>
      <w:r w:rsidR="00912FC7">
        <w:t xml:space="preserve"> </w:t>
      </w:r>
      <w:r w:rsidR="00FE075F">
        <w:t>un</w:t>
      </w:r>
      <w:r w:rsidR="00912FC7">
        <w:t>able to detect them in this analysis</w:t>
      </w:r>
      <w:r w:rsidR="00FE075F">
        <w:t xml:space="preserve"> </w:t>
      </w:r>
      <w:r w:rsidR="00FE075F" w:rsidRPr="00FE075F">
        <w:t xml:space="preserve">because mortality would have occurred before females entered our </w:t>
      </w:r>
      <w:r w:rsidR="00A6197C">
        <w:t xml:space="preserve">demographic </w:t>
      </w:r>
      <w:r w:rsidR="00FE075F" w:rsidRPr="00FE075F">
        <w:t>samples</w:t>
      </w:r>
      <w:r w:rsidR="00912FC7">
        <w:t xml:space="preserve">. </w:t>
      </w:r>
      <w:r w:rsidR="004B26DD">
        <w:t>The associations we have detected are</w:t>
      </w:r>
      <w:r w:rsidR="004731E9">
        <w:t>, thus,</w:t>
      </w:r>
      <w:r w:rsidR="004B26DD">
        <w:t xml:space="preserve"> likely a conservative measure of these relationships.</w:t>
      </w:r>
    </w:p>
    <w:p w14:paraId="5CFC7EDE" w14:textId="310C4965" w:rsidR="00B21094" w:rsidRDefault="00D57643" w:rsidP="00D57643">
      <w:pPr>
        <w:pStyle w:val="NoSpacing"/>
        <w:spacing w:line="480" w:lineRule="auto"/>
      </w:pPr>
      <w:r>
        <w:tab/>
        <w:t>Using Bayesian methods to address the uncertainty in our estimates, we were able to identify the variation in female responses to stressors. We likely would have missed this important pattern with traditional methods used</w:t>
      </w:r>
      <w:r w:rsidR="00B21094">
        <w:t xml:space="preserve"> for comparing hormone levels. We observed a significant amount of variation in fCort </w:t>
      </w:r>
      <w:r w:rsidR="00A6197C">
        <w:t>among</w:t>
      </w:r>
      <w:r w:rsidR="00B21094">
        <w:t xml:space="preserve"> female</w:t>
      </w:r>
      <w:r w:rsidR="00A6197C">
        <w:t>s</w:t>
      </w:r>
      <w:r w:rsidR="00B21094">
        <w:t>. We modeled variation in the mean of the negative binomial distribution and allowed the rate (variance term) to be constant.  We also attempted to model variation in the rate term of the negative binomial and with a Poisson distribution, but observed poorer fit. </w:t>
      </w:r>
      <w:proofErr w:type="spellStart"/>
      <w:r w:rsidR="00B21094">
        <w:t>Jankoski</w:t>
      </w:r>
      <w:proofErr w:type="spellEnd"/>
      <w:r w:rsidR="00B21094">
        <w:t xml:space="preserve"> et al. </w:t>
      </w:r>
      <w:r w:rsidR="00B21094">
        <w:rPr>
          <w:noProof/>
        </w:rPr>
        <w:t>(2014)</w:t>
      </w:r>
      <w:r w:rsidR="00B21094">
        <w:t xml:space="preserve"> standardized fecal cort</w:t>
      </w:r>
      <w:r w:rsidR="009A05BD">
        <w:t>icosterone</w:t>
      </w:r>
      <w:r w:rsidR="00B21094">
        <w:t xml:space="preserve"> so that they could fit a linear model with a normal distribution. </w:t>
      </w:r>
      <w:r w:rsidR="00A6197C">
        <w:t xml:space="preserve">The highly skewed distribution of </w:t>
      </w:r>
      <w:r w:rsidR="009A05BD">
        <w:lastRenderedPageBreak/>
        <w:t>fC</w:t>
      </w:r>
      <w:r w:rsidR="00A6197C">
        <w:t>ort levels we found could have influenced conclusions in studies that assumed a normal distribution for the residual variance</w:t>
      </w:r>
      <w:r w:rsidR="00B21094">
        <w:t xml:space="preserve">. We emphasize that this variation is </w:t>
      </w:r>
      <w:r w:rsidR="00A6197C">
        <w:t xml:space="preserve">important </w:t>
      </w:r>
      <w:r w:rsidR="00B21094">
        <w:t xml:space="preserve">to our understanding of the physiological response of chronic stressors. Our results suggest that there will likely be females with elevated </w:t>
      </w:r>
      <w:r w:rsidR="009A05BD">
        <w:t xml:space="preserve">fCort </w:t>
      </w:r>
      <w:r w:rsidR="00B21094">
        <w:t xml:space="preserve">levels even when chronic stress is low, and there will likely be females with low </w:t>
      </w:r>
      <w:r w:rsidR="009A05BD">
        <w:t>fC</w:t>
      </w:r>
      <w:r w:rsidR="00B21094">
        <w:t xml:space="preserve">ort levels when chronic stress is high. Yet, the </w:t>
      </w:r>
      <w:r w:rsidR="00A6197C">
        <w:t xml:space="preserve">proportion </w:t>
      </w:r>
      <w:r w:rsidR="00B21094">
        <w:t xml:space="preserve">of birds with high </w:t>
      </w:r>
      <w:r w:rsidR="009A05BD">
        <w:t>GC</w:t>
      </w:r>
      <w:r w:rsidR="00B21094">
        <w:t xml:space="preserve"> levels is higher when chronic stress is higher, and that adverse weather conditions combined with higher levels of either livestock of feral horses </w:t>
      </w:r>
      <w:r w:rsidR="004B4C1E">
        <w:t>represen</w:t>
      </w:r>
      <w:r w:rsidR="00A6197C">
        <w:t>t one</w:t>
      </w:r>
      <w:r w:rsidR="00B21094">
        <w:t xml:space="preserve"> source of chronic stress in our system. </w:t>
      </w:r>
    </w:p>
    <w:p w14:paraId="45C3E710" w14:textId="24F3F5E6" w:rsidR="00326B2E" w:rsidRDefault="008D08F2" w:rsidP="008D08F2">
      <w:pPr>
        <w:pStyle w:val="NoSpacing"/>
        <w:spacing w:line="480" w:lineRule="auto"/>
      </w:pPr>
      <w:r>
        <w:tab/>
      </w:r>
      <w:r w:rsidR="00912FC7">
        <w:t xml:space="preserve">Climate projections for the Great Basin indicate more frequent and longer lasting drought </w:t>
      </w:r>
      <w:r w:rsidR="00912FC7">
        <w:rPr>
          <w:noProof/>
        </w:rPr>
        <w:t>(Bradford et al., 2020; Snyder et al., 2019)</w:t>
      </w:r>
      <w:r w:rsidR="00912FC7">
        <w:t xml:space="preserve">. </w:t>
      </w:r>
      <w:r w:rsidR="00912FC7" w:rsidRPr="00C14C78">
        <w:t xml:space="preserve">Our results suggest that these conditions, along with unchecked increases in feral horse populations, will </w:t>
      </w:r>
      <w:r w:rsidR="00F62567" w:rsidRPr="00C14C78">
        <w:t>contribute to</w:t>
      </w:r>
      <w:r w:rsidR="00912FC7" w:rsidRPr="00C14C78">
        <w:t xml:space="preserve"> chronic stress in </w:t>
      </w:r>
      <w:r w:rsidR="00B249B7" w:rsidRPr="00C14C78">
        <w:t xml:space="preserve">a substantial proportion of </w:t>
      </w:r>
      <w:r w:rsidR="00912FC7" w:rsidRPr="00C14C78">
        <w:t>sage-grouse.</w:t>
      </w:r>
      <w:r w:rsidR="00912FC7">
        <w:t xml:space="preserve"> Birds may acclimate to grazing pressure during wet or average years, but </w:t>
      </w:r>
      <w:r w:rsidR="00A6197C">
        <w:t>such responses are</w:t>
      </w:r>
      <w:r w:rsidR="00912FC7">
        <w:t xml:space="preserve"> insufficient under drought conditions when resources become scarce.</w:t>
      </w:r>
      <w:r w:rsidR="009A05BD">
        <w:t xml:space="preserve"> While short-term spikes in GCs</w:t>
      </w:r>
      <w:r w:rsidR="00912FC7">
        <w:t xml:space="preserve"> facilitate survival and onset of breeding, chronic stress can lead to suppression of immune response, reproduction, and growth. Downregulation of </w:t>
      </w:r>
      <w:r w:rsidR="00912FC7" w:rsidRPr="007D0F02">
        <w:t>the stress response system</w:t>
      </w:r>
      <w:r w:rsidR="00912FC7">
        <w:t xml:space="preserve"> due to chronic stress can impede an individual’s ability to respond to acute stressors when needed </w:t>
      </w:r>
      <w:r w:rsidR="00912FC7">
        <w:rPr>
          <w:noProof/>
        </w:rPr>
        <w:t>(Rich &amp; Romero, 2005)</w:t>
      </w:r>
      <w:r w:rsidR="00912FC7">
        <w:t xml:space="preserve">. </w:t>
      </w:r>
      <w:r w:rsidR="00D26CA2">
        <w:t xml:space="preserve">Our results suggest that under increased drought, female sage-grouse </w:t>
      </w:r>
      <w:r w:rsidR="009B1533">
        <w:t xml:space="preserve">could </w:t>
      </w:r>
      <w:r w:rsidR="00D26CA2">
        <w:t xml:space="preserve">experience an increased frequency of </w:t>
      </w:r>
      <w:r w:rsidR="004B4C1E">
        <w:t>physiological stress</w:t>
      </w:r>
      <w:r w:rsidR="00D26CA2">
        <w:t xml:space="preserve"> under current grazing regimes.</w:t>
      </w:r>
      <w:r w:rsidR="00326B2E">
        <w:t xml:space="preserve"> </w:t>
      </w:r>
    </w:p>
    <w:p w14:paraId="3450B5AA" w14:textId="276B494D" w:rsidR="00387B7E" w:rsidRPr="00B21094" w:rsidRDefault="008D08F2" w:rsidP="00B21094">
      <w:pPr>
        <w:pStyle w:val="NoSpacing"/>
        <w:spacing w:line="480" w:lineRule="auto"/>
        <w:rPr>
          <w:rFonts w:cs="Times New Roman"/>
          <w:szCs w:val="24"/>
        </w:rPr>
      </w:pPr>
      <w:r w:rsidRPr="00D57643">
        <w:tab/>
      </w:r>
      <w:r w:rsidR="00A552DB" w:rsidRPr="00D57643">
        <w:t xml:space="preserve">Our study used </w:t>
      </w:r>
      <w:r w:rsidR="004B4C1E">
        <w:t>a</w:t>
      </w:r>
      <w:r w:rsidR="00A552DB" w:rsidRPr="00D57643">
        <w:t xml:space="preserve"> l</w:t>
      </w:r>
      <w:r w:rsidR="004B4C1E">
        <w:t>arg</w:t>
      </w:r>
      <w:r w:rsidR="00B65397">
        <w:t>e</w:t>
      </w:r>
      <w:r w:rsidR="00A552DB" w:rsidRPr="00D57643">
        <w:t xml:space="preserve"> dataset o</w:t>
      </w:r>
      <w:r w:rsidR="004B4C1E">
        <w:t>f feather corticosterone</w:t>
      </w:r>
      <w:r w:rsidR="00A552DB" w:rsidRPr="00D57643">
        <w:t xml:space="preserve"> across a key sage-grouse habitat region of over 1 million hectares. </w:t>
      </w:r>
      <w:r w:rsidR="005B5A5B" w:rsidRPr="00D57643">
        <w:t xml:space="preserve">This allowed us to </w:t>
      </w:r>
      <w:r w:rsidR="00B50790">
        <w:t>assess</w:t>
      </w:r>
      <w:r w:rsidR="00B50790" w:rsidRPr="00D57643">
        <w:t xml:space="preserve"> </w:t>
      </w:r>
      <w:r w:rsidR="005B5A5B" w:rsidRPr="00D57643">
        <w:t xml:space="preserve">both individual variation and </w:t>
      </w:r>
      <w:r w:rsidR="00B50790">
        <w:t xml:space="preserve">effects of </w:t>
      </w:r>
      <w:r w:rsidR="00D57643" w:rsidRPr="00D57643">
        <w:t>a gradi</w:t>
      </w:r>
      <w:r w:rsidR="005B5A5B" w:rsidRPr="00D57643">
        <w:t xml:space="preserve">ent of </w:t>
      </w:r>
      <w:r w:rsidR="00B50790">
        <w:t xml:space="preserve">biotic and abiotic </w:t>
      </w:r>
      <w:r w:rsidR="005B5A5B" w:rsidRPr="00D57643">
        <w:t xml:space="preserve">environmental </w:t>
      </w:r>
      <w:r w:rsidR="00B50790">
        <w:t>variables</w:t>
      </w:r>
      <w:r w:rsidR="000A449B">
        <w:t xml:space="preserve">. </w:t>
      </w:r>
      <w:r w:rsidR="000A449B" w:rsidRPr="00D57643">
        <w:t xml:space="preserve">Declines of sage-grouse populations have continued </w:t>
      </w:r>
      <w:r w:rsidR="000A449B" w:rsidRPr="00D57643">
        <w:rPr>
          <w:noProof/>
        </w:rPr>
        <w:t>(Coates et al., 2021)</w:t>
      </w:r>
      <w:r w:rsidR="000A449B" w:rsidRPr="00D57643">
        <w:t xml:space="preserve"> despite intensive conservation efforts over the last few </w:t>
      </w:r>
      <w:r w:rsidR="000A449B" w:rsidRPr="00D57643">
        <w:lastRenderedPageBreak/>
        <w:t>decades.</w:t>
      </w:r>
      <w:r w:rsidR="000A449B">
        <w:t xml:space="preserve"> </w:t>
      </w:r>
      <w:r w:rsidR="000A449B" w:rsidRPr="00D57643">
        <w:t xml:space="preserve">Investigating the physiological links between the birds, their habitat, and the threats to both is </w:t>
      </w:r>
      <w:r w:rsidR="00B50790">
        <w:t>important</w:t>
      </w:r>
      <w:r w:rsidR="00B50790" w:rsidRPr="00D57643">
        <w:t xml:space="preserve"> </w:t>
      </w:r>
      <w:r w:rsidR="00B50790">
        <w:t>for</w:t>
      </w:r>
      <w:r w:rsidR="00B50790" w:rsidRPr="00D57643">
        <w:t xml:space="preserve"> </w:t>
      </w:r>
      <w:r w:rsidR="000A449B" w:rsidRPr="00D57643">
        <w:t xml:space="preserve">informing future </w:t>
      </w:r>
      <w:r w:rsidR="00B50790">
        <w:t>conservation actions</w:t>
      </w:r>
      <w:r w:rsidR="000A449B" w:rsidRPr="00D57643">
        <w:t>.</w:t>
      </w:r>
    </w:p>
    <w:p w14:paraId="234A3676" w14:textId="77777777" w:rsidR="009F082F" w:rsidRPr="003F7E48" w:rsidRDefault="00D05CAE" w:rsidP="00B65397">
      <w:pPr>
        <w:pStyle w:val="Heading2"/>
        <w:spacing w:line="480" w:lineRule="auto"/>
      </w:pPr>
      <w:r>
        <w:br w:type="page"/>
      </w:r>
      <w:r w:rsidR="009F082F" w:rsidRPr="003F7E48">
        <w:lastRenderedPageBreak/>
        <w:t>References</w:t>
      </w:r>
    </w:p>
    <w:p w14:paraId="09A4A6FF" w14:textId="3EA3782C" w:rsidR="00A14897" w:rsidRPr="003F7E48" w:rsidRDefault="00A14897" w:rsidP="00B65397">
      <w:pPr>
        <w:pStyle w:val="EndNoteBibliography"/>
        <w:spacing w:after="0" w:line="480" w:lineRule="auto"/>
        <w:ind w:left="720" w:hanging="720"/>
      </w:pPr>
      <w:r w:rsidRPr="003F7E48">
        <w:t xml:space="preserve">Atamian, M. T., Sedinger, J. S., Heaton, J. S., &amp; Blomberg, E. J. (2010). </w:t>
      </w:r>
      <w:r w:rsidR="00B65397" w:rsidRPr="003F7E48">
        <w:t>Landscape-level assessment of brood rearing habitat for</w:t>
      </w:r>
      <w:r w:rsidRPr="003F7E48">
        <w:t xml:space="preserve"> Greater Sage-</w:t>
      </w:r>
      <w:r w:rsidR="00B65397" w:rsidRPr="003F7E48">
        <w:t>g</w:t>
      </w:r>
      <w:r w:rsidRPr="003F7E48">
        <w:t xml:space="preserve">rouse in Nevada. </w:t>
      </w:r>
      <w:r w:rsidRPr="003F7E48">
        <w:rPr>
          <w:i/>
        </w:rPr>
        <w:t>Journal of Wildlife Management</w:t>
      </w:r>
      <w:r w:rsidRPr="003F7E48">
        <w:t>,</w:t>
      </w:r>
      <w:r w:rsidRPr="003F7E48">
        <w:rPr>
          <w:i/>
        </w:rPr>
        <w:t xml:space="preserve"> 74</w:t>
      </w:r>
      <w:r w:rsidRPr="003F7E48">
        <w:t xml:space="preserve">(7), 1533-1543. https://doi.org/10.2193/2009-226 </w:t>
      </w:r>
    </w:p>
    <w:p w14:paraId="1DF2E1AF" w14:textId="20A3D451" w:rsidR="00A14897" w:rsidRPr="003F7E48" w:rsidRDefault="00A14897" w:rsidP="00B65397">
      <w:pPr>
        <w:pStyle w:val="EndNoteBibliography"/>
        <w:spacing w:after="0" w:line="480" w:lineRule="auto"/>
        <w:ind w:left="720" w:hanging="720"/>
      </w:pPr>
      <w:r w:rsidRPr="003F7E48">
        <w:t xml:space="preserve">Batchelor, J. L., Ripple, W. J., Wilson, T. M., &amp; Painter, L. E. (2015). Restoration of riparian areas following the removal of cattle in the Northwestern Great Basin. </w:t>
      </w:r>
      <w:r w:rsidRPr="003F7E48">
        <w:rPr>
          <w:i/>
        </w:rPr>
        <w:t xml:space="preserve">Environmental </w:t>
      </w:r>
      <w:r w:rsidR="00B65397" w:rsidRPr="003F7E48">
        <w:rPr>
          <w:i/>
        </w:rPr>
        <w:t>Management</w:t>
      </w:r>
      <w:r w:rsidRPr="003F7E48">
        <w:t>,</w:t>
      </w:r>
      <w:r w:rsidRPr="003F7E48">
        <w:rPr>
          <w:i/>
        </w:rPr>
        <w:t xml:space="preserve"> 55</w:t>
      </w:r>
      <w:r w:rsidRPr="003F7E48">
        <w:t xml:space="preserve">(4), 930-942. </w:t>
      </w:r>
      <w:r w:rsidR="007C0877" w:rsidRPr="003F7E48">
        <w:rPr>
          <w:rStyle w:val="c-bibliographic-informationvalue"/>
        </w:rPr>
        <w:t>https://doi.org/10.1007/s00267-014-0436-2</w:t>
      </w:r>
    </w:p>
    <w:p w14:paraId="45F91634" w14:textId="77777777" w:rsidR="00A14897" w:rsidRPr="003F7E48" w:rsidRDefault="00A14897" w:rsidP="00B65397">
      <w:pPr>
        <w:pStyle w:val="EndNoteBibliography"/>
        <w:spacing w:after="0" w:line="480" w:lineRule="auto"/>
        <w:ind w:left="720" w:hanging="720"/>
      </w:pPr>
      <w:r w:rsidRPr="003F7E48">
        <w:t xml:space="preserve">Batzer, D. P., &amp; Baldwin, A. H. (2012). </w:t>
      </w:r>
      <w:r w:rsidRPr="003F7E48">
        <w:rPr>
          <w:i/>
        </w:rPr>
        <w:t>Wetland Habitats of North America: Ecology and Conservation Concerns</w:t>
      </w:r>
      <w:r w:rsidRPr="003F7E48">
        <w:t xml:space="preserve">. University of California Press. </w:t>
      </w:r>
    </w:p>
    <w:p w14:paraId="7BD7085A" w14:textId="2EBDFB84" w:rsidR="00A14897" w:rsidRPr="003F7E48" w:rsidRDefault="00A14897" w:rsidP="00B65397">
      <w:pPr>
        <w:pStyle w:val="EndNoteBibliography"/>
        <w:spacing w:after="0" w:line="480" w:lineRule="auto"/>
        <w:ind w:left="720" w:hanging="720"/>
      </w:pPr>
      <w:r w:rsidRPr="003F7E48">
        <w:t xml:space="preserve">Baur, L. E., Schoenecker, K. A., &amp; Smith, M. D. (2018). Effects of feral horse herds on rangeland plant communities across a precipitation gradient. </w:t>
      </w:r>
      <w:r w:rsidRPr="003F7E48">
        <w:rPr>
          <w:i/>
        </w:rPr>
        <w:t>Western North American Naturalist</w:t>
      </w:r>
      <w:r w:rsidRPr="003F7E48">
        <w:t>,</w:t>
      </w:r>
      <w:r w:rsidRPr="003F7E48">
        <w:rPr>
          <w:i/>
        </w:rPr>
        <w:t xml:space="preserve"> 77</w:t>
      </w:r>
      <w:r w:rsidRPr="003F7E48">
        <w:t xml:space="preserve">(4), 526-540. </w:t>
      </w:r>
      <w:hyperlink r:id="rId9" w:history="1">
        <w:r w:rsidR="007C0877" w:rsidRPr="003F7E48">
          <w:rPr>
            <w:rStyle w:val="Hyperlink"/>
            <w:color w:val="auto"/>
          </w:rPr>
          <w:t>https://doi.org/10.3398/064.077.0412</w:t>
        </w:r>
      </w:hyperlink>
    </w:p>
    <w:p w14:paraId="5860ACF3" w14:textId="139E1473" w:rsidR="00A14897" w:rsidRPr="003F7E48" w:rsidRDefault="00A14897" w:rsidP="00B65397">
      <w:pPr>
        <w:pStyle w:val="EndNoteBibliography"/>
        <w:spacing w:after="0" w:line="480" w:lineRule="auto"/>
        <w:ind w:left="720" w:hanging="720"/>
      </w:pPr>
      <w:r w:rsidRPr="003F7E48">
        <w:t xml:space="preserve">Beck, J. L., &amp; Mitchell, D. L. (2000). Influences of livestock grazing on sage grouse habitat. </w:t>
      </w:r>
      <w:r w:rsidRPr="003F7E48">
        <w:rPr>
          <w:i/>
        </w:rPr>
        <w:t>Wildlife Society Bulletin</w:t>
      </w:r>
      <w:r w:rsidRPr="003F7E48">
        <w:t xml:space="preserve">, 993-1002. </w:t>
      </w:r>
      <w:r w:rsidR="007C0877" w:rsidRPr="003F7E48">
        <w:t>http://www.jstor.org/stable/3783858</w:t>
      </w:r>
    </w:p>
    <w:p w14:paraId="594AB0BD" w14:textId="4A9FF736" w:rsidR="00A14897" w:rsidRPr="003F7E48" w:rsidRDefault="00A14897" w:rsidP="00B65397">
      <w:pPr>
        <w:pStyle w:val="EndNoteBibliography"/>
        <w:spacing w:after="0" w:line="480" w:lineRule="auto"/>
        <w:ind w:left="720" w:hanging="720"/>
      </w:pPr>
      <w:r w:rsidRPr="003F7E48">
        <w:t xml:space="preserve">Beever, E. A., &amp; Herrick, J. E. (2006). Effects of feral horses in Great Basin landscapes on soils and ants: direct and indirect mechanisms. </w:t>
      </w:r>
      <w:r w:rsidRPr="003F7E48">
        <w:rPr>
          <w:i/>
        </w:rPr>
        <w:t>Journal of Arid Environments</w:t>
      </w:r>
      <w:r w:rsidRPr="003F7E48">
        <w:t>,</w:t>
      </w:r>
      <w:r w:rsidRPr="003F7E48">
        <w:rPr>
          <w:i/>
        </w:rPr>
        <w:t xml:space="preserve"> 66</w:t>
      </w:r>
      <w:r w:rsidRPr="003F7E48">
        <w:t xml:space="preserve">(1), 96-112. </w:t>
      </w:r>
      <w:hyperlink r:id="rId10" w:tgtFrame="_blank" w:tooltip="Persistent link using digital object identifier" w:history="1">
        <w:r w:rsidR="007C0877" w:rsidRPr="003F7E48">
          <w:rPr>
            <w:rStyle w:val="Hyperlink"/>
            <w:color w:val="auto"/>
          </w:rPr>
          <w:t>https://doi.org/10.1016/j.jaridenv.2005.11.006</w:t>
        </w:r>
      </w:hyperlink>
    </w:p>
    <w:p w14:paraId="5493B7D1" w14:textId="68BC1F2D" w:rsidR="00A14897" w:rsidRPr="003F7E48" w:rsidRDefault="00A14897" w:rsidP="00B65397">
      <w:pPr>
        <w:pStyle w:val="EndNoteBibliography"/>
        <w:spacing w:after="0" w:line="480" w:lineRule="auto"/>
        <w:ind w:left="720" w:hanging="720"/>
      </w:pPr>
      <w:r w:rsidRPr="003F7E48">
        <w:t xml:space="preserve">Beschta, R. L., Kauffman, J. B., Dobkin, D. S., &amp; Ellsworth, L. M. (2014). Long-term livestock grazing alters aspen age structure in the northwestern Great Basin. </w:t>
      </w:r>
      <w:r w:rsidRPr="003F7E48">
        <w:rPr>
          <w:i/>
        </w:rPr>
        <w:t>Forest</w:t>
      </w:r>
      <w:r w:rsidR="00B65397" w:rsidRPr="003F7E48">
        <w:rPr>
          <w:i/>
        </w:rPr>
        <w:t xml:space="preserve"> Ecology And Managemen</w:t>
      </w:r>
      <w:r w:rsidRPr="003F7E48">
        <w:rPr>
          <w:i/>
        </w:rPr>
        <w:t>t</w:t>
      </w:r>
      <w:r w:rsidRPr="003F7E48">
        <w:t>,</w:t>
      </w:r>
      <w:r w:rsidRPr="003F7E48">
        <w:rPr>
          <w:i/>
        </w:rPr>
        <w:t xml:space="preserve"> 329</w:t>
      </w:r>
      <w:r w:rsidRPr="003F7E48">
        <w:t xml:space="preserve">, 30-36. </w:t>
      </w:r>
      <w:hyperlink r:id="rId11" w:tgtFrame="_blank" w:tooltip="Persistent link using digital object identifier" w:history="1">
        <w:r w:rsidR="007C0877" w:rsidRPr="003F7E48">
          <w:rPr>
            <w:rStyle w:val="Hyperlink"/>
            <w:color w:val="auto"/>
          </w:rPr>
          <w:t>https://doi.org/10.1016/j.foreco.2014.06.017</w:t>
        </w:r>
      </w:hyperlink>
    </w:p>
    <w:p w14:paraId="66FBBFE7" w14:textId="2062A1E4" w:rsidR="00A14897" w:rsidRPr="003F7E48" w:rsidRDefault="00A14897" w:rsidP="00B65397">
      <w:pPr>
        <w:pStyle w:val="EndNoteBibliography"/>
        <w:spacing w:after="0" w:line="480" w:lineRule="auto"/>
        <w:ind w:left="720" w:hanging="720"/>
      </w:pPr>
      <w:r w:rsidRPr="003F7E48">
        <w:t xml:space="preserve">Blomberg, E. J., Gibson, D., Atamian, M. T., &amp; Sedinger, J. S. (2014). Individual and environmental effects on egg allocations of female Greater Sage-Grouse. </w:t>
      </w:r>
      <w:r w:rsidR="00B65397" w:rsidRPr="003F7E48">
        <w:rPr>
          <w:i/>
        </w:rPr>
        <w:t xml:space="preserve">The </w:t>
      </w:r>
      <w:r w:rsidRPr="003F7E48">
        <w:rPr>
          <w:i/>
        </w:rPr>
        <w:t>Auk</w:t>
      </w:r>
      <w:r w:rsidRPr="003F7E48">
        <w:t>,</w:t>
      </w:r>
      <w:r w:rsidRPr="003F7E48">
        <w:rPr>
          <w:i/>
        </w:rPr>
        <w:t xml:space="preserve"> 131</w:t>
      </w:r>
      <w:r w:rsidRPr="003F7E48">
        <w:t xml:space="preserve">(4), 507-523. https://doi.org/10.1642/auk-14-32.1 </w:t>
      </w:r>
    </w:p>
    <w:p w14:paraId="07F2FFDC" w14:textId="21500593" w:rsidR="00A14897" w:rsidRPr="003F7E48" w:rsidRDefault="00A14897" w:rsidP="00B65397">
      <w:pPr>
        <w:pStyle w:val="EndNoteBibliography"/>
        <w:spacing w:after="0" w:line="480" w:lineRule="auto"/>
        <w:ind w:left="720" w:hanging="720"/>
      </w:pPr>
      <w:r w:rsidRPr="003F7E48">
        <w:lastRenderedPageBreak/>
        <w:t xml:space="preserve">Blomberg, E. J., Gibson, D., Atamian, M. T., &amp; Sedinger, J. S. (2017). Variable drivers of primary versus secondary nesting; density-dependence and drought effects on greater sage-grouse. </w:t>
      </w:r>
      <w:r w:rsidRPr="003F7E48">
        <w:rPr>
          <w:i/>
        </w:rPr>
        <w:t>Journal of Avian Biology</w:t>
      </w:r>
      <w:r w:rsidRPr="003F7E48">
        <w:t>,</w:t>
      </w:r>
      <w:r w:rsidRPr="003F7E48">
        <w:rPr>
          <w:i/>
        </w:rPr>
        <w:t xml:space="preserve"> 48</w:t>
      </w:r>
      <w:r w:rsidRPr="003F7E48">
        <w:t xml:space="preserve">(6), 827-836. https://doi.org/10.1111/jav.00988 </w:t>
      </w:r>
    </w:p>
    <w:p w14:paraId="267E981A" w14:textId="620A51B9" w:rsidR="00A14897" w:rsidRPr="003F7E48" w:rsidRDefault="00A14897" w:rsidP="00B65397">
      <w:pPr>
        <w:pStyle w:val="EndNoteBibliography"/>
        <w:spacing w:after="0" w:line="480" w:lineRule="auto"/>
        <w:ind w:left="720" w:hanging="720"/>
      </w:pPr>
      <w:r w:rsidRPr="003F7E48">
        <w:t xml:space="preserve">Blomberg, E. J., Poulson, S. R., Sedinger, J. S., &amp; Gibson, D. (2013). Prefledging diet is correlated with individual growth in Greater Sage-Grouse (Centrocercus urophasianus). </w:t>
      </w:r>
      <w:r w:rsidRPr="003F7E48">
        <w:rPr>
          <w:i/>
        </w:rPr>
        <w:t>The Auk</w:t>
      </w:r>
      <w:r w:rsidRPr="003F7E48">
        <w:t>,</w:t>
      </w:r>
      <w:r w:rsidRPr="003F7E48">
        <w:rPr>
          <w:i/>
        </w:rPr>
        <w:t xml:space="preserve"> 130</w:t>
      </w:r>
      <w:r w:rsidRPr="003F7E48">
        <w:t xml:space="preserve">(4), 715-724. </w:t>
      </w:r>
      <w:hyperlink r:id="rId12" w:history="1">
        <w:r w:rsidR="007C0877" w:rsidRPr="003F7E48">
          <w:rPr>
            <w:rStyle w:val="Hyperlink"/>
            <w:color w:val="auto"/>
          </w:rPr>
          <w:t>https://doi.org/10.1525/auk.2013.12188</w:t>
        </w:r>
      </w:hyperlink>
    </w:p>
    <w:p w14:paraId="07BD65F1" w14:textId="5BEC5359" w:rsidR="00A14897" w:rsidRPr="003F7E48" w:rsidRDefault="00A14897" w:rsidP="00B65397">
      <w:pPr>
        <w:pStyle w:val="EndNoteBibliography"/>
        <w:spacing w:after="0" w:line="480" w:lineRule="auto"/>
        <w:ind w:left="720" w:hanging="720"/>
      </w:pPr>
      <w:r w:rsidRPr="003F7E48">
        <w:t xml:space="preserve">Blomberg, E. J., Sedinger, J. S., Atamian, M. T., &amp; Nonne, D. V. (2012). Characteristics of climate and landscape disturbance influence the dynamics of </w:t>
      </w:r>
      <w:r w:rsidR="00B65397" w:rsidRPr="003F7E48">
        <w:t>G</w:t>
      </w:r>
      <w:r w:rsidRPr="003F7E48">
        <w:t xml:space="preserve">reater </w:t>
      </w:r>
      <w:r w:rsidR="00B65397" w:rsidRPr="003F7E48">
        <w:t>Sage-grouse populations</w:t>
      </w:r>
      <w:r w:rsidRPr="003F7E48">
        <w:t xml:space="preserve">. </w:t>
      </w:r>
      <w:r w:rsidRPr="003F7E48">
        <w:rPr>
          <w:i/>
        </w:rPr>
        <w:t>Ecosphere</w:t>
      </w:r>
      <w:r w:rsidRPr="003F7E48">
        <w:t>,</w:t>
      </w:r>
      <w:r w:rsidRPr="003F7E48">
        <w:rPr>
          <w:i/>
        </w:rPr>
        <w:t xml:space="preserve"> 3</w:t>
      </w:r>
      <w:r w:rsidRPr="003F7E48">
        <w:t xml:space="preserve">(6), 20. https://doi.org/10.1890/es11-00304.1 </w:t>
      </w:r>
    </w:p>
    <w:p w14:paraId="099D68F1" w14:textId="55B9EF03" w:rsidR="00A14897" w:rsidRPr="003F7E48" w:rsidRDefault="00A14897" w:rsidP="00B65397">
      <w:pPr>
        <w:pStyle w:val="EndNoteBibliography"/>
        <w:spacing w:after="0" w:line="480" w:lineRule="auto"/>
        <w:ind w:left="720" w:hanging="720"/>
      </w:pPr>
      <w:r w:rsidRPr="003F7E48">
        <w:t xml:space="preserve">Blomberg, E. J., Sedinger, J. S., Gibson, D., Coates, P. S., &amp; Casazza, M. L. (2014). Carryover effects and climatic conditions influence the postfledging survival of greater sage-grouse. </w:t>
      </w:r>
      <w:r w:rsidRPr="003F7E48">
        <w:rPr>
          <w:i/>
        </w:rPr>
        <w:t>Ecology and Evolution</w:t>
      </w:r>
      <w:r w:rsidRPr="003F7E48">
        <w:t>,</w:t>
      </w:r>
      <w:r w:rsidRPr="003F7E48">
        <w:rPr>
          <w:i/>
        </w:rPr>
        <w:t xml:space="preserve"> 4</w:t>
      </w:r>
      <w:r w:rsidRPr="003F7E48">
        <w:t xml:space="preserve">(23), 4488-4499. https://doi.org/10.1002/ece3.1139 </w:t>
      </w:r>
    </w:p>
    <w:p w14:paraId="1C606307" w14:textId="3F55DD4A" w:rsidR="00A14897" w:rsidRPr="003F7E48" w:rsidRDefault="00A14897" w:rsidP="00B65397">
      <w:pPr>
        <w:pStyle w:val="EndNoteBibliography"/>
        <w:spacing w:after="0" w:line="480" w:lineRule="auto"/>
        <w:ind w:left="720" w:hanging="720"/>
      </w:pPr>
      <w:r w:rsidRPr="003F7E48">
        <w:t xml:space="preserve">Blomberg, E. J., Sedinger, J. S., Nonne, D. V., &amp; Atamian, M. T. (2013a). </w:t>
      </w:r>
      <w:r w:rsidR="00B65397" w:rsidRPr="003F7E48">
        <w:t>Annual male lek attendance influences count-based population indice</w:t>
      </w:r>
      <w:r w:rsidRPr="003F7E48">
        <w:t>s of Greater Sage-</w:t>
      </w:r>
      <w:r w:rsidR="00B65397" w:rsidRPr="003F7E48">
        <w:t>g</w:t>
      </w:r>
      <w:r w:rsidRPr="003F7E48">
        <w:t xml:space="preserve">rouse. </w:t>
      </w:r>
      <w:r w:rsidRPr="003F7E48">
        <w:rPr>
          <w:i/>
        </w:rPr>
        <w:t>Journal of Wildlife Management</w:t>
      </w:r>
      <w:r w:rsidRPr="003F7E48">
        <w:t>,</w:t>
      </w:r>
      <w:r w:rsidRPr="003F7E48">
        <w:rPr>
          <w:i/>
        </w:rPr>
        <w:t xml:space="preserve"> 77</w:t>
      </w:r>
      <w:r w:rsidRPr="003F7E48">
        <w:t xml:space="preserve">(8), 1583-1592. https://doi.org/10.1002/jwmg.615 </w:t>
      </w:r>
    </w:p>
    <w:p w14:paraId="674A330B" w14:textId="799603E6" w:rsidR="00A14897" w:rsidRPr="003F7E48" w:rsidRDefault="00A14897" w:rsidP="00B65397">
      <w:pPr>
        <w:pStyle w:val="EndNoteBibliography"/>
        <w:spacing w:after="0" w:line="480" w:lineRule="auto"/>
        <w:ind w:left="720" w:hanging="720"/>
      </w:pPr>
      <w:r w:rsidRPr="003F7E48">
        <w:t xml:space="preserve">Blomberg, E. J., Sedinger, J. S., Nonne, D. V., &amp; Atamian, M. T. (2013b). Seasonal reproductive costs contribute to reduced survival of female </w:t>
      </w:r>
      <w:r w:rsidR="00B65397" w:rsidRPr="003F7E48">
        <w:t>Greater S</w:t>
      </w:r>
      <w:r w:rsidRPr="003F7E48">
        <w:t xml:space="preserve">age-grouse. </w:t>
      </w:r>
      <w:r w:rsidRPr="003F7E48">
        <w:rPr>
          <w:i/>
        </w:rPr>
        <w:t>Journal of Avian Biology</w:t>
      </w:r>
      <w:r w:rsidRPr="003F7E48">
        <w:t>,</w:t>
      </w:r>
      <w:r w:rsidRPr="003F7E48">
        <w:rPr>
          <w:i/>
        </w:rPr>
        <w:t xml:space="preserve"> 44</w:t>
      </w:r>
      <w:r w:rsidRPr="003F7E48">
        <w:t xml:space="preserve">(2), 149-158. https://doi.org/10.1111/j.1600-048X.2012.00013.x </w:t>
      </w:r>
    </w:p>
    <w:p w14:paraId="49F9870A" w14:textId="4E1164E3" w:rsidR="00A14897" w:rsidRPr="003F7E48" w:rsidRDefault="00A14897" w:rsidP="00B65397">
      <w:pPr>
        <w:pStyle w:val="EndNoteBibliography"/>
        <w:spacing w:after="0" w:line="480" w:lineRule="auto"/>
        <w:ind w:left="720" w:hanging="720"/>
      </w:pPr>
      <w:r w:rsidRPr="003F7E48">
        <w:t xml:space="preserve">Bonier, F., Moore, I. T., Martin, P. R., &amp; Robertson, R. J. (2009). The relationship between fitness and baseline glucocorticoids in a passerine bird. </w:t>
      </w:r>
      <w:r w:rsidRPr="003F7E48">
        <w:rPr>
          <w:i/>
        </w:rPr>
        <w:t>General and Comparative Endocrinology</w:t>
      </w:r>
      <w:r w:rsidRPr="003F7E48">
        <w:t>,</w:t>
      </w:r>
      <w:r w:rsidRPr="003F7E48">
        <w:rPr>
          <w:i/>
        </w:rPr>
        <w:t xml:space="preserve"> 163</w:t>
      </w:r>
      <w:r w:rsidRPr="003F7E48">
        <w:t xml:space="preserve">(1-2), 208-213. https://doi.org/10.1016/j.ygcen.2008.12.013 </w:t>
      </w:r>
    </w:p>
    <w:p w14:paraId="1DF39E76" w14:textId="4B6B1092" w:rsidR="00A14897" w:rsidRPr="003F7E48" w:rsidRDefault="00A14897" w:rsidP="00B65397">
      <w:pPr>
        <w:pStyle w:val="EndNoteBibliography"/>
        <w:spacing w:after="0" w:line="480" w:lineRule="auto"/>
        <w:ind w:left="720" w:hanging="720"/>
      </w:pPr>
      <w:r w:rsidRPr="003F7E48">
        <w:lastRenderedPageBreak/>
        <w:t xml:space="preserve">Bortolotti, G. R., Marchant, T., Blas, J., &amp; Cabezas, S. (2009). Tracking stress: localisation, deposition and stability of corticosterone in feathers. </w:t>
      </w:r>
      <w:r w:rsidRPr="003F7E48">
        <w:rPr>
          <w:i/>
        </w:rPr>
        <w:t>Journal of Experimental Biology</w:t>
      </w:r>
      <w:r w:rsidRPr="003F7E48">
        <w:t>,</w:t>
      </w:r>
      <w:r w:rsidRPr="003F7E48">
        <w:rPr>
          <w:i/>
        </w:rPr>
        <w:t xml:space="preserve"> 212</w:t>
      </w:r>
      <w:r w:rsidRPr="003F7E48">
        <w:t xml:space="preserve">(10), 1477-1482. https://doi.org/10.1242/jeb.022152 </w:t>
      </w:r>
    </w:p>
    <w:p w14:paraId="5D67F4D2" w14:textId="702130CC" w:rsidR="00A14897" w:rsidRPr="003F7E48" w:rsidRDefault="00A14897" w:rsidP="00B65397">
      <w:pPr>
        <w:pStyle w:val="EndNoteBibliography"/>
        <w:spacing w:after="0" w:line="480" w:lineRule="auto"/>
        <w:ind w:left="720" w:hanging="720"/>
      </w:pPr>
      <w:r w:rsidRPr="003F7E48">
        <w:t xml:space="preserve">Bortolotti, G. R., Marchant, T. A., Blas, J., &amp; German, T. (2008). Corticosterone in feathers is a long-term, integrated measure of avian stress physiology. </w:t>
      </w:r>
      <w:r w:rsidRPr="003F7E48">
        <w:rPr>
          <w:i/>
        </w:rPr>
        <w:t>Functional Ecology</w:t>
      </w:r>
      <w:r w:rsidRPr="003F7E48">
        <w:t>,</w:t>
      </w:r>
      <w:r w:rsidRPr="003F7E48">
        <w:rPr>
          <w:i/>
        </w:rPr>
        <w:t xml:space="preserve"> 22</w:t>
      </w:r>
      <w:r w:rsidRPr="003F7E48">
        <w:t xml:space="preserve">(3), 494-500. https://doi.org/10.1111/j.1365-2435.2008.01387.x </w:t>
      </w:r>
    </w:p>
    <w:p w14:paraId="77902B07" w14:textId="3DF1C0F3" w:rsidR="00A14897" w:rsidRPr="003F7E48" w:rsidRDefault="00A14897" w:rsidP="00B65397">
      <w:pPr>
        <w:pStyle w:val="EndNoteBibliography"/>
        <w:spacing w:after="0" w:line="480" w:lineRule="auto"/>
        <w:ind w:left="720" w:hanging="720"/>
      </w:pPr>
      <w:r w:rsidRPr="003F7E48">
        <w:t xml:space="preserve">Boyd, C. S., Beck, J. L., &amp; Tanaka, J. A. (2014). Livestock grazing and sage-grouse habitat: impacts and opportunities. </w:t>
      </w:r>
      <w:r w:rsidRPr="003F7E48">
        <w:rPr>
          <w:i/>
        </w:rPr>
        <w:t>Journal of Rangeland Applications</w:t>
      </w:r>
      <w:r w:rsidRPr="003F7E48">
        <w:t>,</w:t>
      </w:r>
      <w:r w:rsidRPr="003F7E48">
        <w:rPr>
          <w:i/>
        </w:rPr>
        <w:t xml:space="preserve"> 1</w:t>
      </w:r>
      <w:r w:rsidRPr="003F7E48">
        <w:t xml:space="preserve">, 58-77. </w:t>
      </w:r>
      <w:r w:rsidR="007C0877" w:rsidRPr="003F7E48">
        <w:t>https://thejra.nkn.uidaho.edu/index.php/jra/article/view/24</w:t>
      </w:r>
    </w:p>
    <w:p w14:paraId="6E3FC98B" w14:textId="535698DF" w:rsidR="00A14897" w:rsidRPr="003F7E48" w:rsidRDefault="00A14897" w:rsidP="00B65397">
      <w:pPr>
        <w:pStyle w:val="EndNoteBibliography"/>
        <w:spacing w:after="0" w:line="480" w:lineRule="auto"/>
        <w:ind w:left="720" w:hanging="720"/>
      </w:pPr>
      <w:r w:rsidRPr="003F7E48">
        <w:t xml:space="preserve">Boyd, C. S., Davies, K. W., &amp; Collins, G. H. (2017). Impacts of feral horse use on herbaceous riparian vegetation within a sagebrush steppe ecosystem. </w:t>
      </w:r>
      <w:r w:rsidRPr="003F7E48">
        <w:rPr>
          <w:i/>
        </w:rPr>
        <w:t xml:space="preserve">Rangeland </w:t>
      </w:r>
      <w:r w:rsidR="00B65397" w:rsidRPr="003F7E48">
        <w:rPr>
          <w:i/>
        </w:rPr>
        <w:t>Ecology &amp; Management</w:t>
      </w:r>
      <w:r w:rsidRPr="003F7E48">
        <w:t>,</w:t>
      </w:r>
      <w:r w:rsidRPr="003F7E48">
        <w:rPr>
          <w:i/>
        </w:rPr>
        <w:t xml:space="preserve"> 70</w:t>
      </w:r>
      <w:r w:rsidRPr="003F7E48">
        <w:t xml:space="preserve">(4), 411-417. </w:t>
      </w:r>
      <w:hyperlink r:id="rId13" w:tgtFrame="_blank" w:tooltip="Persistent link using digital object identifier" w:history="1">
        <w:r w:rsidR="007C0877" w:rsidRPr="003F7E48">
          <w:rPr>
            <w:rStyle w:val="Hyperlink"/>
            <w:color w:val="auto"/>
          </w:rPr>
          <w:t>https://doi.org/10.1016/j.rama.2017.02.001</w:t>
        </w:r>
      </w:hyperlink>
    </w:p>
    <w:p w14:paraId="03322F25" w14:textId="39D4BA19" w:rsidR="00A14897" w:rsidRPr="003F7E48" w:rsidRDefault="00A14897" w:rsidP="00B65397">
      <w:pPr>
        <w:pStyle w:val="EndNoteBibliography"/>
        <w:spacing w:after="0" w:line="480" w:lineRule="auto"/>
        <w:ind w:left="720" w:hanging="720"/>
      </w:pPr>
      <w:r w:rsidRPr="003F7E48">
        <w:t xml:space="preserve">Boyte, S. P., Wylie, B. K., &amp; Major, D. J. (2019). Validating a time series of annual grass percent cover in the sagebrush ecosystem. </w:t>
      </w:r>
      <w:r w:rsidRPr="003F7E48">
        <w:rPr>
          <w:i/>
        </w:rPr>
        <w:t>Rangeland Ecology &amp; Management</w:t>
      </w:r>
      <w:r w:rsidRPr="003F7E48">
        <w:t>,</w:t>
      </w:r>
      <w:r w:rsidRPr="003F7E48">
        <w:rPr>
          <w:i/>
        </w:rPr>
        <w:t xml:space="preserve"> 72</w:t>
      </w:r>
      <w:r w:rsidRPr="003F7E48">
        <w:t xml:space="preserve">(2), 347-359. </w:t>
      </w:r>
      <w:hyperlink r:id="rId14" w:tgtFrame="_blank" w:tooltip="Persistent link using digital object identifier" w:history="1">
        <w:r w:rsidR="007C0877" w:rsidRPr="003F7E48">
          <w:rPr>
            <w:rStyle w:val="Hyperlink"/>
            <w:color w:val="auto"/>
          </w:rPr>
          <w:t>https://doi.org/10.1016/j.rama.2018.09.004</w:t>
        </w:r>
      </w:hyperlink>
    </w:p>
    <w:p w14:paraId="44CB454E" w14:textId="3B2CA357" w:rsidR="00A14897" w:rsidRPr="003F7E48" w:rsidRDefault="00A14897" w:rsidP="00B65397">
      <w:pPr>
        <w:pStyle w:val="EndNoteBibliography"/>
        <w:spacing w:after="0" w:line="480" w:lineRule="auto"/>
        <w:ind w:left="720" w:hanging="720"/>
      </w:pPr>
      <w:r w:rsidRPr="003F7E48">
        <w:t xml:space="preserve">Bradford, J. B., Schlaepfer, D. R., Lauenroth, W. K., &amp; Palmquist, K. A. (2020). Robust ecological drought projections for drylands in the 21st century. </w:t>
      </w:r>
      <w:r w:rsidRPr="003F7E48">
        <w:rPr>
          <w:i/>
        </w:rPr>
        <w:t xml:space="preserve">Global </w:t>
      </w:r>
      <w:r w:rsidR="00B65397" w:rsidRPr="003F7E48">
        <w:rPr>
          <w:i/>
        </w:rPr>
        <w:t>Change Biology</w:t>
      </w:r>
      <w:r w:rsidRPr="003F7E48">
        <w:t>,</w:t>
      </w:r>
      <w:r w:rsidRPr="003F7E48">
        <w:rPr>
          <w:i/>
        </w:rPr>
        <w:t xml:space="preserve"> 26</w:t>
      </w:r>
      <w:r w:rsidRPr="003F7E48">
        <w:t xml:space="preserve">(7), 3906-3919. </w:t>
      </w:r>
      <w:hyperlink r:id="rId15" w:history="1">
        <w:r w:rsidR="007C0877" w:rsidRPr="003F7E48">
          <w:rPr>
            <w:rStyle w:val="Hyperlink"/>
            <w:color w:val="auto"/>
          </w:rPr>
          <w:t>https://doi.org/10.1111/gcb.15075</w:t>
        </w:r>
      </w:hyperlink>
    </w:p>
    <w:p w14:paraId="5EB17372" w14:textId="7F038B1B" w:rsidR="00A14897" w:rsidRPr="003F7E48" w:rsidRDefault="00A14897" w:rsidP="00B65397">
      <w:pPr>
        <w:pStyle w:val="EndNoteBibliography"/>
        <w:spacing w:after="0" w:line="480" w:lineRule="auto"/>
        <w:ind w:left="720" w:hanging="720"/>
      </w:pPr>
      <w:r w:rsidRPr="003F7E48">
        <w:t xml:space="preserve">Braun, C. E., Dunn, P. O., Wann, G. T., Schroeder, M. A., &amp; Hupp, J. W. (2020). </w:t>
      </w:r>
      <w:r w:rsidR="007C0877" w:rsidRPr="003F7E48">
        <w:t>B</w:t>
      </w:r>
      <w:r w:rsidR="00B65397" w:rsidRPr="003F7E48">
        <w:t>ody mass and primary molt patterns o</w:t>
      </w:r>
      <w:r w:rsidRPr="003F7E48">
        <w:t>f Greater Sage-</w:t>
      </w:r>
      <w:r w:rsidR="00B65397" w:rsidRPr="003F7E48">
        <w:t xml:space="preserve">grouse </w:t>
      </w:r>
      <w:r w:rsidRPr="003F7E48">
        <w:t xml:space="preserve">in Colorado. </w:t>
      </w:r>
      <w:r w:rsidRPr="003F7E48">
        <w:rPr>
          <w:i/>
        </w:rPr>
        <w:t>Western North American Naturalist</w:t>
      </w:r>
      <w:r w:rsidRPr="003F7E48">
        <w:t>,</w:t>
      </w:r>
      <w:r w:rsidRPr="003F7E48">
        <w:rPr>
          <w:i/>
        </w:rPr>
        <w:t xml:space="preserve"> 80</w:t>
      </w:r>
      <w:r w:rsidRPr="003F7E48">
        <w:t xml:space="preserve">(3), 330-336, 337. </w:t>
      </w:r>
      <w:r w:rsidR="007C0877" w:rsidRPr="003F7E48">
        <w:t>https://doi.org/10.3398/064.080.0304</w:t>
      </w:r>
    </w:p>
    <w:p w14:paraId="36F9F209" w14:textId="035B75E6" w:rsidR="00A14897" w:rsidRPr="003F7E48" w:rsidRDefault="00A14897" w:rsidP="00B65397">
      <w:pPr>
        <w:pStyle w:val="EndNoteBibliography"/>
        <w:spacing w:after="0" w:line="480" w:lineRule="auto"/>
        <w:ind w:left="720" w:hanging="720"/>
      </w:pPr>
      <w:r w:rsidRPr="003F7E48">
        <w:lastRenderedPageBreak/>
        <w:t xml:space="preserve">Bureau of Land Management. (2020a). </w:t>
      </w:r>
      <w:r w:rsidRPr="003F7E48">
        <w:rPr>
          <w:i/>
        </w:rPr>
        <w:t>BLM National Wild Horse and Burro Herd Area and Herd Management Area</w:t>
      </w:r>
      <w:r w:rsidRPr="003F7E48">
        <w:t>. https://catalog.data.gov/dataset/blm-national-wild-horse-and-burro-herd-area-and-herd-management-area</w:t>
      </w:r>
    </w:p>
    <w:p w14:paraId="01EA8270" w14:textId="1EBD0E75" w:rsidR="00A14897" w:rsidRPr="003F7E48" w:rsidRDefault="00A14897" w:rsidP="00B65397">
      <w:pPr>
        <w:pStyle w:val="EndNoteBibliography"/>
        <w:spacing w:after="0" w:line="480" w:lineRule="auto"/>
        <w:ind w:left="720" w:hanging="720"/>
      </w:pPr>
      <w:r w:rsidRPr="003F7E48">
        <w:t xml:space="preserve">Bureau of Land Management. (2020b). </w:t>
      </w:r>
      <w:r w:rsidRPr="003F7E48">
        <w:rPr>
          <w:i/>
        </w:rPr>
        <w:t>Livestock Grazing on Public Lands</w:t>
      </w:r>
      <w:r w:rsidRPr="003F7E48">
        <w:t>. https://www.blm.gov/programs/natural-resources/rangelands-and-grazing/livestock-grazing</w:t>
      </w:r>
    </w:p>
    <w:p w14:paraId="73D8971F" w14:textId="600BF30A" w:rsidR="00A14897" w:rsidRPr="003F7E48" w:rsidRDefault="00A14897" w:rsidP="00B65397">
      <w:pPr>
        <w:pStyle w:val="EndNoteBibliography"/>
        <w:spacing w:after="0" w:line="480" w:lineRule="auto"/>
        <w:ind w:left="720" w:hanging="720"/>
      </w:pPr>
      <w:r w:rsidRPr="003F7E48">
        <w:t xml:space="preserve">Casazza, M. L., Coates, P. S., &amp; Overton, C. T. (2011). </w:t>
      </w:r>
      <w:r w:rsidR="007C0877" w:rsidRPr="003F7E48">
        <w:t>Linking habitat selection and brood success in Greater Sage-g</w:t>
      </w:r>
      <w:r w:rsidRPr="003F7E48">
        <w:t xml:space="preserve">rouse. </w:t>
      </w:r>
      <w:r w:rsidR="007C0877" w:rsidRPr="003F7E48">
        <w:rPr>
          <w:i/>
          <w:iCs/>
        </w:rPr>
        <w:t>Ecology, conservation, and management of grouse. .</w:t>
      </w:r>
      <w:r w:rsidR="003052D7" w:rsidRPr="003F7E48">
        <w:rPr>
          <w:i/>
          <w:iCs/>
        </w:rPr>
        <w:t>Studies in Avian Biology</w:t>
      </w:r>
      <w:r w:rsidR="003052D7" w:rsidRPr="003F7E48">
        <w:t xml:space="preserve">, </w:t>
      </w:r>
      <w:r w:rsidR="003052D7" w:rsidRPr="003F7E48">
        <w:rPr>
          <w:i/>
          <w:iCs/>
        </w:rPr>
        <w:t>39</w:t>
      </w:r>
      <w:r w:rsidR="003052D7" w:rsidRPr="003F7E48">
        <w:t>, 151-167.</w:t>
      </w:r>
      <w:r w:rsidR="007C0877" w:rsidRPr="003F7E48">
        <w:t xml:space="preserve"> </w:t>
      </w:r>
      <w:hyperlink r:id="rId16" w:tgtFrame="_blank" w:history="1">
        <w:r w:rsidR="007C0877" w:rsidRPr="003F7E48">
          <w:rPr>
            <w:rStyle w:val="Hyperlink"/>
            <w:color w:val="auto"/>
          </w:rPr>
          <w:t>https://doi.org/10.1525/9780520950573</w:t>
        </w:r>
      </w:hyperlink>
    </w:p>
    <w:p w14:paraId="1DAD42B9" w14:textId="6DCC5D28" w:rsidR="00A14897" w:rsidRPr="003F7E48" w:rsidRDefault="00A14897" w:rsidP="00B65397">
      <w:pPr>
        <w:pStyle w:val="EndNoteBibliography"/>
        <w:spacing w:after="0" w:line="480" w:lineRule="auto"/>
        <w:ind w:left="720" w:hanging="720"/>
      </w:pPr>
      <w:r w:rsidRPr="003F7E48">
        <w:t xml:space="preserve">Chambers, J. C., Blank, R. R., Zamudio, D. C., &amp; Tausch, R. J. (1999). Central Nevada riparian areas: Physical and chemical properties of meadow soils. </w:t>
      </w:r>
      <w:r w:rsidRPr="003F7E48">
        <w:rPr>
          <w:i/>
        </w:rPr>
        <w:t>Journal of Range Management</w:t>
      </w:r>
      <w:r w:rsidRPr="003F7E48">
        <w:t>,</w:t>
      </w:r>
      <w:r w:rsidRPr="003F7E48">
        <w:rPr>
          <w:i/>
        </w:rPr>
        <w:t xml:space="preserve"> 52</w:t>
      </w:r>
      <w:r w:rsidRPr="003F7E48">
        <w:t xml:space="preserve">(1), 92-99. https://doi.org/10.2307/4003497 </w:t>
      </w:r>
    </w:p>
    <w:p w14:paraId="2CC15488" w14:textId="77777777" w:rsidR="003052D7" w:rsidRPr="003F7E48" w:rsidRDefault="00A14897" w:rsidP="003052D7">
      <w:pPr>
        <w:pStyle w:val="EndNoteBibliography"/>
        <w:spacing w:after="0" w:line="480" w:lineRule="auto"/>
        <w:ind w:left="720" w:hanging="720"/>
      </w:pPr>
      <w:r w:rsidRPr="003F7E48">
        <w:t xml:space="preserve">Coates, P. S., Prochazka, B. G., O'Donnell, M. S., Aldridge, C. L., Edmunds, D. R., Monroe, A. P., . . . Wiechman, L. A. (2021). </w:t>
      </w:r>
      <w:r w:rsidRPr="003F7E48">
        <w:rPr>
          <w:i/>
        </w:rPr>
        <w:t>Range-wide greater sage-grouse hierarchical monitoring framework—Implications for defining population boundaries, trend estimation, and a targeted annual warning system</w:t>
      </w:r>
      <w:r w:rsidRPr="003F7E48">
        <w:t xml:space="preserve"> (2331-1258). </w:t>
      </w:r>
      <w:r w:rsidR="003052D7" w:rsidRPr="003F7E48">
        <w:t xml:space="preserve">US Geological Survey. </w:t>
      </w:r>
    </w:p>
    <w:p w14:paraId="3462BEA2" w14:textId="6633D5CF" w:rsidR="00A14897" w:rsidRPr="003F7E48" w:rsidRDefault="003052D7" w:rsidP="003052D7">
      <w:pPr>
        <w:pStyle w:val="EndNoteBibliography"/>
        <w:spacing w:after="0" w:line="480" w:lineRule="auto"/>
        <w:ind w:left="720" w:hanging="720"/>
      </w:pPr>
      <w:r w:rsidRPr="003F7E48">
        <w:tab/>
        <w:t>https://doi.org/10.3133/ofr20201154</w:t>
      </w:r>
    </w:p>
    <w:p w14:paraId="7C056C64" w14:textId="3BCAD1DC" w:rsidR="00A14897" w:rsidRPr="003F7E48" w:rsidRDefault="00A14897" w:rsidP="00B65397">
      <w:pPr>
        <w:pStyle w:val="EndNoteBibliography"/>
        <w:spacing w:after="0" w:line="480" w:lineRule="auto"/>
        <w:ind w:left="720" w:hanging="720"/>
      </w:pPr>
      <w:r w:rsidRPr="003F7E48">
        <w:t xml:space="preserve">Cockrem, J. F. (2007). Stress, corticosterone responses and avian personalities. </w:t>
      </w:r>
      <w:r w:rsidRPr="003F7E48">
        <w:rPr>
          <w:i/>
        </w:rPr>
        <w:t>Journal of Ornithology</w:t>
      </w:r>
      <w:r w:rsidRPr="003F7E48">
        <w:t>,</w:t>
      </w:r>
      <w:r w:rsidRPr="003F7E48">
        <w:rPr>
          <w:i/>
        </w:rPr>
        <w:t xml:space="preserve"> 148</w:t>
      </w:r>
      <w:r w:rsidRPr="003F7E48">
        <w:t xml:space="preserve">(2), 169-178. </w:t>
      </w:r>
      <w:r w:rsidR="003052D7" w:rsidRPr="003F7E48">
        <w:rPr>
          <w:rStyle w:val="c-bibliographic-informationvalue"/>
        </w:rPr>
        <w:t>https://doi.org/10.1007/s10336-007-0175-8</w:t>
      </w:r>
    </w:p>
    <w:p w14:paraId="02447280" w14:textId="106C5EDB" w:rsidR="00A14897" w:rsidRPr="003F7E48" w:rsidRDefault="00A14897" w:rsidP="00B65397">
      <w:pPr>
        <w:pStyle w:val="EndNoteBibliography"/>
        <w:spacing w:after="0" w:line="480" w:lineRule="auto"/>
        <w:ind w:left="720" w:hanging="720"/>
      </w:pPr>
      <w:r w:rsidRPr="003F7E48">
        <w:t xml:space="preserve">Cockrem, J. F. (2013). Corticosterone responses and personality in birds: individual variation and the ability to cope with environmental changes due to climate change. </w:t>
      </w:r>
      <w:r w:rsidRPr="003F7E48">
        <w:rPr>
          <w:i/>
        </w:rPr>
        <w:t>General and Comparative Endocrinology</w:t>
      </w:r>
      <w:r w:rsidRPr="003F7E48">
        <w:t>,</w:t>
      </w:r>
      <w:r w:rsidRPr="003F7E48">
        <w:rPr>
          <w:i/>
        </w:rPr>
        <w:t xml:space="preserve"> 190</w:t>
      </w:r>
      <w:r w:rsidRPr="003F7E48">
        <w:t xml:space="preserve">, 156-163. </w:t>
      </w:r>
      <w:hyperlink r:id="rId17" w:tgtFrame="_blank" w:tooltip="Persistent link using digital object identifier" w:history="1">
        <w:r w:rsidR="003052D7" w:rsidRPr="003F7E48">
          <w:rPr>
            <w:rStyle w:val="Hyperlink"/>
            <w:color w:val="auto"/>
          </w:rPr>
          <w:t>https://doi.org/10.1016/j.ygcen.2013.02.021</w:t>
        </w:r>
      </w:hyperlink>
    </w:p>
    <w:p w14:paraId="58F0BDC5" w14:textId="0BB95AA5" w:rsidR="00A14897" w:rsidRPr="003F7E48" w:rsidRDefault="00A14897" w:rsidP="00B65397">
      <w:pPr>
        <w:pStyle w:val="EndNoteBibliography"/>
        <w:spacing w:after="0" w:line="480" w:lineRule="auto"/>
        <w:ind w:left="720" w:hanging="720"/>
        <w:rPr>
          <w:highlight w:val="cyan"/>
        </w:rPr>
      </w:pPr>
      <w:r w:rsidRPr="003F7E48">
        <w:lastRenderedPageBreak/>
        <w:t xml:space="preserve">Crossin, G. T., Phillips, R. A., Lattin, C. R., Romero, L. M., &amp; Williams, T. D. (2013). Corticosterone mediated costs of reproduction link current to future breeding. </w:t>
      </w:r>
      <w:r w:rsidRPr="003F7E48">
        <w:rPr>
          <w:i/>
        </w:rPr>
        <w:t xml:space="preserve">General and </w:t>
      </w:r>
      <w:r w:rsidR="00EB0373" w:rsidRPr="003F7E48">
        <w:rPr>
          <w:i/>
        </w:rPr>
        <w:t>Comparative Endocrinology</w:t>
      </w:r>
      <w:r w:rsidRPr="003F7E48">
        <w:t>,</w:t>
      </w:r>
      <w:r w:rsidRPr="003F7E48">
        <w:rPr>
          <w:i/>
        </w:rPr>
        <w:t xml:space="preserve"> 193</w:t>
      </w:r>
      <w:r w:rsidRPr="003F7E48">
        <w:t xml:space="preserve">, 112-120. </w:t>
      </w:r>
      <w:hyperlink r:id="rId18" w:tgtFrame="_blank" w:tooltip="Persistent link using digital object identifier" w:history="1">
        <w:r w:rsidR="003052D7" w:rsidRPr="003F7E48">
          <w:rPr>
            <w:rStyle w:val="Hyperlink"/>
            <w:color w:val="auto"/>
          </w:rPr>
          <w:t>https://doi.org/10.1016/j.ygcen.2013.07.011</w:t>
        </w:r>
      </w:hyperlink>
    </w:p>
    <w:p w14:paraId="5A1C4D70" w14:textId="6D52A7FF" w:rsidR="00A14897" w:rsidRPr="003F7E48" w:rsidRDefault="00A14897" w:rsidP="00B65397">
      <w:pPr>
        <w:pStyle w:val="EndNoteBibliography"/>
        <w:spacing w:after="0" w:line="480" w:lineRule="auto"/>
        <w:ind w:left="720" w:hanging="720"/>
      </w:pPr>
      <w:r w:rsidRPr="003F7E48">
        <w:t xml:space="preserve">Crunden, C. W. (1963). Age and sex of sage grouse from wings. </w:t>
      </w:r>
      <w:r w:rsidRPr="003F7E48">
        <w:rPr>
          <w:i/>
        </w:rPr>
        <w:t>Journal of Wildlife Management</w:t>
      </w:r>
      <w:r w:rsidRPr="003F7E48">
        <w:t>,</w:t>
      </w:r>
      <w:r w:rsidRPr="003F7E48">
        <w:rPr>
          <w:i/>
        </w:rPr>
        <w:t xml:space="preserve"> 27</w:t>
      </w:r>
      <w:r w:rsidRPr="003F7E48">
        <w:t xml:space="preserve">, 846-850. </w:t>
      </w:r>
      <w:r w:rsidR="003052D7" w:rsidRPr="003F7E48">
        <w:t>https://doi.org/10.2307/3798498</w:t>
      </w:r>
    </w:p>
    <w:p w14:paraId="223745A7" w14:textId="06769B4F" w:rsidR="00A14897" w:rsidRPr="003F7E48" w:rsidRDefault="00A14897" w:rsidP="00B65397">
      <w:pPr>
        <w:pStyle w:val="EndNoteBibliography"/>
        <w:spacing w:after="0" w:line="480" w:lineRule="auto"/>
        <w:ind w:left="720" w:hanging="720"/>
      </w:pPr>
      <w:r w:rsidRPr="003F7E48">
        <w:t xml:space="preserve">Cyr, N. E., &amp; Romero, L. M. (2007). Chronic stress in free-living European starlings reduces corticosterone concentrations and reproductive success. </w:t>
      </w:r>
      <w:r w:rsidRPr="003F7E48">
        <w:rPr>
          <w:i/>
        </w:rPr>
        <w:t xml:space="preserve">General and </w:t>
      </w:r>
      <w:r w:rsidR="00EB0373" w:rsidRPr="003F7E48">
        <w:rPr>
          <w:i/>
        </w:rPr>
        <w:t>Comparative Endocrinol</w:t>
      </w:r>
      <w:r w:rsidRPr="003F7E48">
        <w:rPr>
          <w:i/>
        </w:rPr>
        <w:t>ogy</w:t>
      </w:r>
      <w:r w:rsidRPr="003F7E48">
        <w:t>,</w:t>
      </w:r>
      <w:r w:rsidRPr="003F7E48">
        <w:rPr>
          <w:i/>
        </w:rPr>
        <w:t xml:space="preserve"> 151</w:t>
      </w:r>
      <w:r w:rsidRPr="003F7E48">
        <w:t xml:space="preserve">(1), 82-89. </w:t>
      </w:r>
      <w:hyperlink r:id="rId19" w:tgtFrame="_blank" w:tooltip="Persistent link using digital object identifier" w:history="1">
        <w:r w:rsidR="003052D7" w:rsidRPr="003F7E48">
          <w:rPr>
            <w:rStyle w:val="Hyperlink"/>
            <w:color w:val="auto"/>
          </w:rPr>
          <w:t>https://doi.org/10.1016/j.ygcen.2006.12.003</w:t>
        </w:r>
      </w:hyperlink>
    </w:p>
    <w:p w14:paraId="4161707F" w14:textId="3F866B8A" w:rsidR="00A14897" w:rsidRPr="003F7E48" w:rsidRDefault="00A14897" w:rsidP="00B65397">
      <w:pPr>
        <w:pStyle w:val="EndNoteBibliography"/>
        <w:spacing w:after="0" w:line="480" w:lineRule="auto"/>
        <w:ind w:left="720" w:hanging="720"/>
      </w:pPr>
      <w:r w:rsidRPr="003F7E48">
        <w:t>Dahlgren, D. K., Larsen, R. T., Danvir, R., Wilson, G., Thacker, E. T., Black, T. A., . . . Messmer, T. A. (2015). Greater sag</w:t>
      </w:r>
      <w:r w:rsidR="003052D7" w:rsidRPr="003F7E48">
        <w:t>e-grouse and range management: I</w:t>
      </w:r>
      <w:r w:rsidRPr="003F7E48">
        <w:t xml:space="preserve">nsights from a 25-year case study in Utah and Wyoming. </w:t>
      </w:r>
      <w:r w:rsidRPr="003F7E48">
        <w:rPr>
          <w:i/>
        </w:rPr>
        <w:t>Rangeland Ecology &amp; Management</w:t>
      </w:r>
      <w:r w:rsidRPr="003F7E48">
        <w:t>,</w:t>
      </w:r>
      <w:r w:rsidRPr="003F7E48">
        <w:rPr>
          <w:i/>
        </w:rPr>
        <w:t xml:space="preserve"> 68</w:t>
      </w:r>
      <w:r w:rsidRPr="003F7E48">
        <w:t xml:space="preserve">(5), 375-382. </w:t>
      </w:r>
      <w:hyperlink r:id="rId20" w:tgtFrame="_blank" w:tooltip="Persistent link using digital object identifier" w:history="1">
        <w:r w:rsidR="003052D7" w:rsidRPr="003F7E48">
          <w:rPr>
            <w:rStyle w:val="Hyperlink"/>
            <w:color w:val="auto"/>
          </w:rPr>
          <w:t>https://doi.org/10.1016/j.rama.2015.07.003</w:t>
        </w:r>
      </w:hyperlink>
    </w:p>
    <w:p w14:paraId="24E36BEC" w14:textId="1AC0E56C" w:rsidR="00A14897" w:rsidRPr="003F7E48" w:rsidRDefault="00A14897" w:rsidP="00B65397">
      <w:pPr>
        <w:pStyle w:val="EndNoteBibliography"/>
        <w:spacing w:after="0" w:line="480" w:lineRule="auto"/>
        <w:ind w:left="720" w:hanging="720"/>
      </w:pPr>
      <w:r w:rsidRPr="003F7E48">
        <w:t xml:space="preserve">Dettenmaier, S. J., Messmer, T. A., Hovick, T. J., &amp; Dahlgren, D. K. (2017). Effects of livestock grazing on rangeland biodiversity: A meta‐analysis of grouse populations. </w:t>
      </w:r>
      <w:r w:rsidRPr="003F7E48">
        <w:rPr>
          <w:i/>
        </w:rPr>
        <w:t xml:space="preserve">Ecology and </w:t>
      </w:r>
      <w:r w:rsidR="00EB0373" w:rsidRPr="003F7E48">
        <w:rPr>
          <w:i/>
        </w:rPr>
        <w:t>Evolution</w:t>
      </w:r>
      <w:r w:rsidRPr="003F7E48">
        <w:t>,</w:t>
      </w:r>
      <w:r w:rsidRPr="003F7E48">
        <w:rPr>
          <w:i/>
        </w:rPr>
        <w:t xml:space="preserve"> 7</w:t>
      </w:r>
      <w:r w:rsidRPr="003F7E48">
        <w:t xml:space="preserve">(19), 7620-7627. </w:t>
      </w:r>
      <w:r w:rsidR="003052D7" w:rsidRPr="003F7E48">
        <w:t>https://doi.org/10.1002/ece3.3287</w:t>
      </w:r>
    </w:p>
    <w:p w14:paraId="6BC5AF11" w14:textId="6D1C5DCC" w:rsidR="00A14897" w:rsidRPr="003F7E48" w:rsidRDefault="00A14897" w:rsidP="00B65397">
      <w:pPr>
        <w:pStyle w:val="EndNoteBibliography"/>
        <w:spacing w:after="0" w:line="480" w:lineRule="auto"/>
        <w:ind w:left="720" w:hanging="720"/>
      </w:pPr>
      <w:r w:rsidRPr="003F7E48">
        <w:t xml:space="preserve">Dobkin, D. S., Rich, A. C., &amp; Pyle, W. H. (1998). Habitat and avifaunal recovery from livestock grazing in a riparian meadow system of the northwestern Great Basin. </w:t>
      </w:r>
      <w:r w:rsidRPr="003F7E48">
        <w:rPr>
          <w:i/>
        </w:rPr>
        <w:t>Conservation Biology</w:t>
      </w:r>
      <w:r w:rsidRPr="003F7E48">
        <w:t>,</w:t>
      </w:r>
      <w:r w:rsidRPr="003F7E48">
        <w:rPr>
          <w:i/>
        </w:rPr>
        <w:t xml:space="preserve"> 12</w:t>
      </w:r>
      <w:r w:rsidRPr="003F7E48">
        <w:t xml:space="preserve">(1), 209-221. https://doi.org/10.1046/j.1523-1739.1998.96349.x </w:t>
      </w:r>
    </w:p>
    <w:p w14:paraId="48789316" w14:textId="6134BBCD" w:rsidR="00A14897" w:rsidRPr="003F7E48" w:rsidRDefault="00A14897" w:rsidP="00B65397">
      <w:pPr>
        <w:pStyle w:val="EndNoteBibliography"/>
        <w:spacing w:after="0" w:line="480" w:lineRule="auto"/>
        <w:ind w:left="720" w:hanging="720"/>
      </w:pPr>
      <w:r w:rsidRPr="003F7E48">
        <w:t xml:space="preserve">Donnelly, J. P., Allred, B. W., Perret, D., Silverman, N. L., Tack, J. D., Dreitz, V. J., . . . Naugle, D. E. (2018a). Seasonal drought in North America’s sagebrush biome structures dynamic mesic resources for sage-grouse. </w:t>
      </w:r>
      <w:r w:rsidRPr="003F7E48">
        <w:rPr>
          <w:i/>
        </w:rPr>
        <w:t>Ecology and Evolution</w:t>
      </w:r>
      <w:r w:rsidRPr="003F7E48">
        <w:t>,</w:t>
      </w:r>
      <w:r w:rsidRPr="003F7E48">
        <w:rPr>
          <w:i/>
        </w:rPr>
        <w:t xml:space="preserve"> 8</w:t>
      </w:r>
      <w:r w:rsidRPr="003F7E48">
        <w:t xml:space="preserve">(24), 12492-12505. https://doi.org/https://doi.org/10.1002/ece3.4614  </w:t>
      </w:r>
    </w:p>
    <w:p w14:paraId="1CB0B1C0" w14:textId="55813384" w:rsidR="00A14897" w:rsidRPr="003F7E48" w:rsidRDefault="00A14897" w:rsidP="00B65397">
      <w:pPr>
        <w:pStyle w:val="EndNoteBibliography"/>
        <w:spacing w:after="0" w:line="480" w:lineRule="auto"/>
        <w:ind w:left="720" w:hanging="720"/>
      </w:pPr>
      <w:r w:rsidRPr="003F7E48">
        <w:lastRenderedPageBreak/>
        <w:t xml:space="preserve">Donnelly, J. P., Naugle, D. E., Hagen, C. A., &amp; Maestas, J. D. (2016). Public lands and private waters: scarce mesic resources structure land tenure and sage‐grouse distributions. </w:t>
      </w:r>
      <w:r w:rsidRPr="003F7E48">
        <w:rPr>
          <w:i/>
        </w:rPr>
        <w:t>Ecosphere</w:t>
      </w:r>
      <w:r w:rsidRPr="003F7E48">
        <w:t>,</w:t>
      </w:r>
      <w:r w:rsidRPr="003F7E48">
        <w:rPr>
          <w:i/>
        </w:rPr>
        <w:t xml:space="preserve"> 7</w:t>
      </w:r>
      <w:r w:rsidRPr="003F7E48">
        <w:t xml:space="preserve">(1), e01208. </w:t>
      </w:r>
      <w:r w:rsidR="003052D7" w:rsidRPr="003F7E48">
        <w:t>https://doi.org/10.1002/ecs2.1208</w:t>
      </w:r>
    </w:p>
    <w:p w14:paraId="2D3EC5CF" w14:textId="6597BBEF" w:rsidR="00A14897" w:rsidRPr="003F7E48" w:rsidRDefault="00A14897" w:rsidP="00B65397">
      <w:pPr>
        <w:pStyle w:val="EndNoteBibliography"/>
        <w:spacing w:after="0" w:line="480" w:lineRule="auto"/>
        <w:ind w:left="720" w:hanging="720"/>
      </w:pPr>
      <w:r w:rsidRPr="003F7E48">
        <w:t xml:space="preserve">Eldridge, D. J., Ding, J., &amp; Travers, S. K. (2020). Feral horse activity reduces environmental quality in ecosystems globally. </w:t>
      </w:r>
      <w:r w:rsidRPr="003F7E48">
        <w:rPr>
          <w:i/>
        </w:rPr>
        <w:t>Biological Conservation</w:t>
      </w:r>
      <w:r w:rsidRPr="003F7E48">
        <w:t>,</w:t>
      </w:r>
      <w:r w:rsidRPr="003F7E48">
        <w:rPr>
          <w:i/>
        </w:rPr>
        <w:t xml:space="preserve"> 241</w:t>
      </w:r>
      <w:r w:rsidRPr="003F7E48">
        <w:t xml:space="preserve">, 108367. </w:t>
      </w:r>
      <w:hyperlink r:id="rId21" w:tgtFrame="_blank" w:tooltip="Persistent link using digital object identifier" w:history="1">
        <w:r w:rsidR="009E6EB8" w:rsidRPr="003F7E48">
          <w:rPr>
            <w:rStyle w:val="Hyperlink"/>
            <w:color w:val="auto"/>
          </w:rPr>
          <w:t>https://doi.org/10.1016/j.biocon.2019.108367</w:t>
        </w:r>
      </w:hyperlink>
    </w:p>
    <w:p w14:paraId="4DE3D5A3" w14:textId="6AEEDBE9" w:rsidR="00A14897" w:rsidRPr="003F7E48" w:rsidRDefault="00A14897" w:rsidP="00B65397">
      <w:pPr>
        <w:pStyle w:val="EndNoteBibliography"/>
        <w:spacing w:after="0" w:line="480" w:lineRule="auto"/>
        <w:ind w:left="720" w:hanging="720"/>
      </w:pPr>
      <w:r w:rsidRPr="003F7E48">
        <w:t xml:space="preserve">Fairhurst, G. D., Champoux, L., Hobson, K. A., Rail, J. F., Verreault, J., Guillemette, M., . . . Soos, C. (2017). Feather corticosterone during non-breeding correlates with multiple measures of physiology during subsequent breeding in a migratory seabird. </w:t>
      </w:r>
      <w:r w:rsidRPr="003F7E48">
        <w:rPr>
          <w:i/>
        </w:rPr>
        <w:t>Comparative Biochemistry and Physiology a-Molecular &amp; Integrative Physiology</w:t>
      </w:r>
      <w:r w:rsidRPr="003F7E48">
        <w:t>,</w:t>
      </w:r>
      <w:r w:rsidRPr="003F7E48">
        <w:rPr>
          <w:i/>
        </w:rPr>
        <w:t xml:space="preserve"> 208</w:t>
      </w:r>
      <w:r w:rsidRPr="003F7E48">
        <w:t xml:space="preserve">, 1-13. https://doi.org/10.1016/j.cbpa.2017.02.024 </w:t>
      </w:r>
    </w:p>
    <w:p w14:paraId="0B6B63C9" w14:textId="4366D572" w:rsidR="00A14897" w:rsidRPr="003F7E48" w:rsidRDefault="00A14897" w:rsidP="00B65397">
      <w:pPr>
        <w:pStyle w:val="EndNoteBibliography"/>
        <w:spacing w:after="0" w:line="480" w:lineRule="auto"/>
        <w:ind w:left="720" w:hanging="720"/>
      </w:pPr>
      <w:r w:rsidRPr="003F7E48">
        <w:t xml:space="preserve">Fischer, R. A., Apa, A. D., Wakkinen, W. L., Reese, K. P., &amp; Connelly, J. W. (1993). Nesting-area fidelity of sage grouse in southeastern Idaho. </w:t>
      </w:r>
      <w:r w:rsidR="00B66035" w:rsidRPr="003F7E48">
        <w:rPr>
          <w:i/>
        </w:rPr>
        <w:t xml:space="preserve">The </w:t>
      </w:r>
      <w:r w:rsidRPr="003F7E48">
        <w:rPr>
          <w:i/>
        </w:rPr>
        <w:t>Condor</w:t>
      </w:r>
      <w:r w:rsidRPr="003F7E48">
        <w:t>,</w:t>
      </w:r>
      <w:r w:rsidRPr="003F7E48">
        <w:rPr>
          <w:i/>
        </w:rPr>
        <w:t xml:space="preserve"> 95</w:t>
      </w:r>
      <w:r w:rsidRPr="003F7E48">
        <w:t xml:space="preserve">(4), 1038-1041. </w:t>
      </w:r>
      <w:r w:rsidR="009E6EB8" w:rsidRPr="003F7E48">
        <w:t>https://doi.org/10.2307/1369442</w:t>
      </w:r>
    </w:p>
    <w:p w14:paraId="6F5C14A9" w14:textId="4DCB6B2E" w:rsidR="00A14897" w:rsidRPr="003F7E48" w:rsidRDefault="00A14897" w:rsidP="00B65397">
      <w:pPr>
        <w:pStyle w:val="EndNoteBibliography"/>
        <w:spacing w:after="0" w:line="480" w:lineRule="auto"/>
        <w:ind w:left="720" w:hanging="720"/>
      </w:pPr>
      <w:r w:rsidRPr="003F7E48">
        <w:t xml:space="preserve">Freeman, S., &amp; Jackson, W. M. (1990). Univariate metrics are not adequate to measure avian body size. </w:t>
      </w:r>
      <w:r w:rsidRPr="003F7E48">
        <w:rPr>
          <w:i/>
        </w:rPr>
        <w:t>The Auk</w:t>
      </w:r>
      <w:r w:rsidRPr="003F7E48">
        <w:t>,</w:t>
      </w:r>
      <w:r w:rsidRPr="003F7E48">
        <w:rPr>
          <w:i/>
        </w:rPr>
        <w:t xml:space="preserve"> 107</w:t>
      </w:r>
      <w:r w:rsidRPr="003F7E48">
        <w:t xml:space="preserve">(1), 69-74. </w:t>
      </w:r>
      <w:hyperlink r:id="rId22" w:history="1">
        <w:r w:rsidR="009E6EB8" w:rsidRPr="003F7E48">
          <w:rPr>
            <w:rStyle w:val="Hyperlink"/>
            <w:color w:val="auto"/>
          </w:rPr>
          <w:t>https://doi.org/10.1093/auk/107.1.69</w:t>
        </w:r>
      </w:hyperlink>
    </w:p>
    <w:p w14:paraId="594BBB05" w14:textId="067CC359" w:rsidR="00A14897" w:rsidRPr="003F7E48" w:rsidRDefault="00A14897" w:rsidP="00B65397">
      <w:pPr>
        <w:pStyle w:val="EndNoteBibliography"/>
        <w:spacing w:after="0" w:line="480" w:lineRule="auto"/>
        <w:ind w:left="720" w:hanging="720"/>
      </w:pPr>
      <w:r w:rsidRPr="003F7E48">
        <w:t xml:space="preserve">Frye, G. G., Connelly, J. W., Musil, D. D., &amp; Forbey, J. S. (2013). Phytochemistry predicts habitat selection by an avian herbivore at multiple spatial scales. </w:t>
      </w:r>
      <w:r w:rsidRPr="003F7E48">
        <w:rPr>
          <w:i/>
        </w:rPr>
        <w:t>Ecology</w:t>
      </w:r>
      <w:r w:rsidRPr="003F7E48">
        <w:t>,</w:t>
      </w:r>
      <w:r w:rsidRPr="003F7E48">
        <w:rPr>
          <w:i/>
        </w:rPr>
        <w:t xml:space="preserve"> 94</w:t>
      </w:r>
      <w:r w:rsidRPr="003F7E48">
        <w:t xml:space="preserve">(2), 308-314. </w:t>
      </w:r>
      <w:r w:rsidR="009E6EB8" w:rsidRPr="003F7E48">
        <w:t>https://doi.org/10.1890/12-1313.1</w:t>
      </w:r>
    </w:p>
    <w:p w14:paraId="00B2CB4A" w14:textId="41986EED" w:rsidR="00A14897" w:rsidRPr="003F7E48" w:rsidRDefault="00A14897" w:rsidP="00B65397">
      <w:pPr>
        <w:pStyle w:val="EndNoteBibliography"/>
        <w:spacing w:after="0" w:line="480" w:lineRule="auto"/>
        <w:ind w:left="720" w:hanging="720"/>
      </w:pPr>
      <w:r w:rsidRPr="003F7E48">
        <w:t xml:space="preserve">Garrott, R. A. (2018). Wild horse demography: implications for sustainable management within economic constraints. </w:t>
      </w:r>
      <w:r w:rsidRPr="003F7E48">
        <w:rPr>
          <w:i/>
        </w:rPr>
        <w:t>Human–Wildlife Interactions</w:t>
      </w:r>
      <w:r w:rsidRPr="003F7E48">
        <w:t>,</w:t>
      </w:r>
      <w:r w:rsidRPr="003F7E48">
        <w:rPr>
          <w:i/>
        </w:rPr>
        <w:t xml:space="preserve"> 12</w:t>
      </w:r>
      <w:r w:rsidRPr="003F7E48">
        <w:t xml:space="preserve">(1), 7. </w:t>
      </w:r>
      <w:hyperlink r:id="rId23" w:history="1">
        <w:r w:rsidR="009E6EB8" w:rsidRPr="003F7E48">
          <w:rPr>
            <w:rStyle w:val="Hyperlink"/>
            <w:color w:val="auto"/>
          </w:rPr>
          <w:t>https://doi.org/10.26077/z7w0-0w34</w:t>
        </w:r>
      </w:hyperlink>
    </w:p>
    <w:p w14:paraId="57E3DD8B" w14:textId="7F15EEFC" w:rsidR="00A14897" w:rsidRPr="003F7E48" w:rsidRDefault="00A14897" w:rsidP="00B65397">
      <w:pPr>
        <w:pStyle w:val="EndNoteBibliography"/>
        <w:spacing w:after="0" w:line="480" w:lineRule="auto"/>
        <w:ind w:left="720" w:hanging="720"/>
      </w:pPr>
      <w:r w:rsidRPr="003F7E48">
        <w:lastRenderedPageBreak/>
        <w:t xml:space="preserve">Gibson, D., Blomberg, E. J., Atamian, M. T., &amp; Sedinger, J. S. (2016). Nesting habitat selection influences nest and early offspring survival in Greater Sage-Grouse. </w:t>
      </w:r>
      <w:r w:rsidR="00B66035" w:rsidRPr="003F7E48">
        <w:rPr>
          <w:i/>
        </w:rPr>
        <w:t xml:space="preserve">The </w:t>
      </w:r>
      <w:r w:rsidRPr="003F7E48">
        <w:rPr>
          <w:i/>
        </w:rPr>
        <w:t>Condor</w:t>
      </w:r>
      <w:r w:rsidRPr="003F7E48">
        <w:t>,</w:t>
      </w:r>
      <w:r w:rsidRPr="003F7E48">
        <w:rPr>
          <w:i/>
        </w:rPr>
        <w:t xml:space="preserve"> 118</w:t>
      </w:r>
      <w:r w:rsidRPr="003F7E48">
        <w:t xml:space="preserve">(4), 689-702. https://doi.org/10.1650/condor-16-62.1 </w:t>
      </w:r>
    </w:p>
    <w:p w14:paraId="33785DE9" w14:textId="12903CE4" w:rsidR="00A14897" w:rsidRPr="003F7E48" w:rsidRDefault="00A14897" w:rsidP="00B65397">
      <w:pPr>
        <w:pStyle w:val="EndNoteBibliography"/>
        <w:spacing w:after="0" w:line="480" w:lineRule="auto"/>
        <w:ind w:left="720" w:hanging="720"/>
      </w:pPr>
      <w:r w:rsidRPr="003F7E48">
        <w:t xml:space="preserve">Gibson, R. M., &amp; Bradbury, J. W. (1987). Lek organization in sage grouse: variations on a territorial theme. </w:t>
      </w:r>
      <w:r w:rsidRPr="003F7E48">
        <w:rPr>
          <w:i/>
        </w:rPr>
        <w:t>The Auk</w:t>
      </w:r>
      <w:r w:rsidRPr="003F7E48">
        <w:t>,</w:t>
      </w:r>
      <w:r w:rsidRPr="003F7E48">
        <w:rPr>
          <w:i/>
        </w:rPr>
        <w:t xml:space="preserve"> 104</w:t>
      </w:r>
      <w:r w:rsidRPr="003F7E48">
        <w:t xml:space="preserve">(1), 77-84. </w:t>
      </w:r>
      <w:r w:rsidR="009E6EB8" w:rsidRPr="003F7E48">
        <w:t>https://doi.org/10.2307/4087236</w:t>
      </w:r>
    </w:p>
    <w:p w14:paraId="38EA202E" w14:textId="5F6CA765" w:rsidR="00A14897" w:rsidRPr="003F7E48" w:rsidRDefault="00A14897" w:rsidP="00B65397">
      <w:pPr>
        <w:pStyle w:val="EndNoteBibliography"/>
        <w:spacing w:after="0" w:line="480" w:lineRule="auto"/>
        <w:ind w:left="720" w:hanging="720"/>
      </w:pPr>
      <w:r w:rsidRPr="003F7E48">
        <w:t xml:space="preserve">Giesen, K. M., Schoenberg, T. J., &amp; Braun, C. E. (1982). Methods for trapping sage grouse in Colorado. </w:t>
      </w:r>
      <w:r w:rsidRPr="003F7E48">
        <w:rPr>
          <w:i/>
        </w:rPr>
        <w:t>Wildlife Society Bulletin</w:t>
      </w:r>
      <w:r w:rsidRPr="003F7E48">
        <w:t xml:space="preserve">, 224-231. </w:t>
      </w:r>
      <w:r w:rsidR="009E6EB8" w:rsidRPr="003F7E48">
        <w:t>http://www.jstor.org/stable/3781009</w:t>
      </w:r>
    </w:p>
    <w:p w14:paraId="38E88B51" w14:textId="3972A94B" w:rsidR="00A14897" w:rsidRDefault="00A14897" w:rsidP="00B65397">
      <w:pPr>
        <w:pStyle w:val="EndNoteBibliography"/>
        <w:spacing w:after="0" w:line="480" w:lineRule="auto"/>
        <w:ind w:left="720" w:hanging="720"/>
      </w:pPr>
      <w:r w:rsidRPr="003F7E48">
        <w:t xml:space="preserve">Gooch, A. M., Petersen, S. L., Collins, G. H., Smith, T. S., McMillan, B. R., &amp; Eggett, D. L. (2017). The impact of feral horses on pronghorn behavior at water sources. </w:t>
      </w:r>
      <w:r w:rsidRPr="003F7E48">
        <w:rPr>
          <w:i/>
        </w:rPr>
        <w:t>Journal of Arid Environments</w:t>
      </w:r>
      <w:r w:rsidRPr="003F7E48">
        <w:t>,</w:t>
      </w:r>
      <w:r w:rsidRPr="003F7E48">
        <w:rPr>
          <w:i/>
        </w:rPr>
        <w:t xml:space="preserve"> 138</w:t>
      </w:r>
      <w:r w:rsidRPr="003F7E48">
        <w:t xml:space="preserve">, 38-43. </w:t>
      </w:r>
      <w:r w:rsidR="00C96610" w:rsidRPr="00C96610">
        <w:t>https://doi.org/10.1016/j.jaridenv.2016.11.012</w:t>
      </w:r>
    </w:p>
    <w:p w14:paraId="3352608D" w14:textId="6C73675D" w:rsidR="000165C4" w:rsidRPr="003F7E48" w:rsidRDefault="000165C4" w:rsidP="00B65397">
      <w:pPr>
        <w:pStyle w:val="EndNoteBibliography"/>
        <w:spacing w:after="0" w:line="480" w:lineRule="auto"/>
        <w:ind w:left="720" w:hanging="720"/>
      </w:pPr>
      <w:r>
        <w:t xml:space="preserve">Graham, S. P., Freidenfelds, N. A., McCormick, G. L., &amp; Langkilde, T. (2012). The impacts of invaders: basal and acute stress glucocorticoid profiles and immune function in native lizards threatened by invasive ants. </w:t>
      </w:r>
      <w:r>
        <w:rPr>
          <w:i/>
          <w:iCs/>
        </w:rPr>
        <w:t>General and Comparative Endocrinology</w:t>
      </w:r>
      <w:r>
        <w:t>,</w:t>
      </w:r>
      <w:r>
        <w:rPr>
          <w:i/>
          <w:iCs/>
        </w:rPr>
        <w:t xml:space="preserve"> 176</w:t>
      </w:r>
      <w:r>
        <w:t xml:space="preserve">(3), 400-408. </w:t>
      </w:r>
      <w:hyperlink r:id="rId24" w:history="1">
        <w:r>
          <w:rPr>
            <w:rStyle w:val="Hyperlink"/>
          </w:rPr>
          <w:t>https://doi.org/https://doi.org/10.1016/j.ygcen.2011.12.027</w:t>
        </w:r>
      </w:hyperlink>
    </w:p>
    <w:p w14:paraId="164980E2" w14:textId="6D614C6A" w:rsidR="00A14897" w:rsidRPr="003F7E48" w:rsidRDefault="00A14897" w:rsidP="00B65397">
      <w:pPr>
        <w:pStyle w:val="EndNoteBibliography"/>
        <w:spacing w:after="0" w:line="480" w:lineRule="auto"/>
        <w:ind w:left="720" w:hanging="720"/>
      </w:pPr>
      <w:r w:rsidRPr="003F7E48">
        <w:t xml:space="preserve">Gregg, M. A., Barnett, J. K., &amp; Crawford, J. A. (2008). Temporal variation in diet and nutrition of preincubating Greater Sage-grouse. </w:t>
      </w:r>
      <w:r w:rsidRPr="003F7E48">
        <w:rPr>
          <w:i/>
        </w:rPr>
        <w:t>Rangeland Ecology &amp; Management</w:t>
      </w:r>
      <w:r w:rsidRPr="003F7E48">
        <w:t>,</w:t>
      </w:r>
      <w:r w:rsidRPr="003F7E48">
        <w:rPr>
          <w:i/>
        </w:rPr>
        <w:t xml:space="preserve"> 61</w:t>
      </w:r>
      <w:r w:rsidRPr="003F7E48">
        <w:t xml:space="preserve">(5), 535-542. https://doi.org/10.2111/08-037.1 </w:t>
      </w:r>
    </w:p>
    <w:p w14:paraId="3C80C228" w14:textId="077A0C2D" w:rsidR="00A14897" w:rsidRPr="003F7E48" w:rsidRDefault="00A14897" w:rsidP="00B65397">
      <w:pPr>
        <w:pStyle w:val="EndNoteBibliography"/>
        <w:spacing w:after="0" w:line="480" w:lineRule="auto"/>
        <w:ind w:left="720" w:hanging="720"/>
      </w:pPr>
      <w:r w:rsidRPr="003F7E48">
        <w:t xml:space="preserve">Gregg, M. A., &amp; Crawford, J. A. (2009). Survival of Greater Sage-Grouse </w:t>
      </w:r>
      <w:r w:rsidR="00EB0373" w:rsidRPr="003F7E48">
        <w:t>chicks and broods</w:t>
      </w:r>
      <w:r w:rsidRPr="003F7E48">
        <w:t xml:space="preserve"> in the Northern Great Basin. </w:t>
      </w:r>
      <w:r w:rsidRPr="003F7E48">
        <w:rPr>
          <w:i/>
        </w:rPr>
        <w:t>Journal of Wildlife Management</w:t>
      </w:r>
      <w:r w:rsidRPr="003F7E48">
        <w:t>,</w:t>
      </w:r>
      <w:r w:rsidRPr="003F7E48">
        <w:rPr>
          <w:i/>
        </w:rPr>
        <w:t xml:space="preserve"> 73</w:t>
      </w:r>
      <w:r w:rsidRPr="003F7E48">
        <w:t xml:space="preserve">(6), 904-913. https://doi.org/10.2193/2007-410 </w:t>
      </w:r>
    </w:p>
    <w:p w14:paraId="468FF3CC" w14:textId="44E3BEDC" w:rsidR="00A14897" w:rsidRPr="003F7E48" w:rsidRDefault="00A14897" w:rsidP="008E053D">
      <w:pPr>
        <w:pStyle w:val="EndNoteBibliography"/>
        <w:spacing w:after="0" w:line="480" w:lineRule="auto"/>
        <w:ind w:left="720" w:hanging="720"/>
      </w:pPr>
      <w:r w:rsidRPr="003F7E48">
        <w:t xml:space="preserve">Hall, L. K., Larsen, R. T., Knight, R. N., &amp; McMillan, B. R. (2018). Feral horses influence both spatial and temporal patterns of water use by native ungulates in a semi‐arid environment. </w:t>
      </w:r>
      <w:r w:rsidRPr="003F7E48">
        <w:rPr>
          <w:i/>
        </w:rPr>
        <w:t>Ecosphere</w:t>
      </w:r>
      <w:r w:rsidRPr="003F7E48">
        <w:t>,</w:t>
      </w:r>
      <w:r w:rsidRPr="003F7E48">
        <w:rPr>
          <w:i/>
        </w:rPr>
        <w:t xml:space="preserve"> 9</w:t>
      </w:r>
      <w:r w:rsidRPr="003F7E48">
        <w:t xml:space="preserve">(1), e02096. </w:t>
      </w:r>
      <w:r w:rsidR="008E053D" w:rsidRPr="003F7E48">
        <w:t>https://doi.org/10.1002/ecs2.2096</w:t>
      </w:r>
    </w:p>
    <w:p w14:paraId="67BE7501" w14:textId="589BA148" w:rsidR="00A14897" w:rsidRPr="003F7E48" w:rsidRDefault="00A14897" w:rsidP="00B65397">
      <w:pPr>
        <w:pStyle w:val="EndNoteBibliography"/>
        <w:spacing w:after="0" w:line="480" w:lineRule="auto"/>
        <w:ind w:left="720" w:hanging="720"/>
      </w:pPr>
      <w:r w:rsidRPr="003F7E48">
        <w:lastRenderedPageBreak/>
        <w:t xml:space="preserve">Hanley, T. A., &amp; Hanley, K. A. (1982). Food resource partitioning by sympatric ungulates on Great Basin rangeland. </w:t>
      </w:r>
      <w:r w:rsidRPr="003F7E48">
        <w:rPr>
          <w:i/>
        </w:rPr>
        <w:t>Rangeland Ecology &amp; Management</w:t>
      </w:r>
      <w:r w:rsidR="00EB0373" w:rsidRPr="003F7E48">
        <w:rPr>
          <w:i/>
        </w:rPr>
        <w:t>,</w:t>
      </w:r>
      <w:r w:rsidRPr="003F7E48">
        <w:rPr>
          <w:i/>
        </w:rPr>
        <w:t xml:space="preserve"> 35</w:t>
      </w:r>
      <w:r w:rsidRPr="003F7E48">
        <w:t xml:space="preserve">(2), 152-158. </w:t>
      </w:r>
    </w:p>
    <w:p w14:paraId="1ED250B7" w14:textId="746C54A4" w:rsidR="00A14897" w:rsidRPr="003F7E48" w:rsidRDefault="00A14897" w:rsidP="00B65397">
      <w:pPr>
        <w:pStyle w:val="EndNoteBibliography"/>
        <w:spacing w:after="0" w:line="480" w:lineRule="auto"/>
        <w:ind w:left="720" w:hanging="720"/>
      </w:pPr>
      <w:r w:rsidRPr="003F7E48">
        <w:t xml:space="preserve">Hansen, W. K., Bate, L. J., Landry, D. W., Chastel, O., Parenteau, C., &amp; Breuner, C. W. (2016). Feather and faecal corticosterone concentrations predict future reproductive decisions in harlequin ducks (Histrionicus histrionicus). </w:t>
      </w:r>
      <w:r w:rsidRPr="003F7E48">
        <w:rPr>
          <w:i/>
        </w:rPr>
        <w:t>Conservation Physiology</w:t>
      </w:r>
      <w:r w:rsidRPr="003F7E48">
        <w:t>,</w:t>
      </w:r>
      <w:r w:rsidRPr="003F7E48">
        <w:rPr>
          <w:i/>
        </w:rPr>
        <w:t xml:space="preserve"> 4</w:t>
      </w:r>
      <w:r w:rsidRPr="003F7E48">
        <w:t xml:space="preserve">, Article cow015. https://doi.org/10.1093/conphys/cow015 </w:t>
      </w:r>
    </w:p>
    <w:p w14:paraId="3104EEC4" w14:textId="55665F6D" w:rsidR="00A14897" w:rsidRPr="003F7E48" w:rsidRDefault="00A14897" w:rsidP="00B65397">
      <w:pPr>
        <w:pStyle w:val="EndNoteBibliography"/>
        <w:spacing w:after="0" w:line="480" w:lineRule="auto"/>
        <w:ind w:left="720" w:hanging="720"/>
      </w:pPr>
      <w:r w:rsidRPr="003F7E48">
        <w:t xml:space="preserve">Harms, N. J., Legagneux, P., Gilchrist, H. G., Bêty, J., Love, O. P., Forbes, M. R., . . . Soos, C. (2015). Feather corticosterone reveals effect of moulting conditions in the autumn on subsequent reproductive output and survival in an Arctic migratory bird. </w:t>
      </w:r>
      <w:r w:rsidRPr="003F7E48">
        <w:rPr>
          <w:i/>
        </w:rPr>
        <w:t>Proceedings of the Royal Society B: Biological Sciences</w:t>
      </w:r>
      <w:r w:rsidRPr="003F7E48">
        <w:t>,</w:t>
      </w:r>
      <w:r w:rsidRPr="003F7E48">
        <w:rPr>
          <w:i/>
        </w:rPr>
        <w:t xml:space="preserve"> 282</w:t>
      </w:r>
      <w:r w:rsidRPr="003F7E48">
        <w:t xml:space="preserve">(1800), 20142085. </w:t>
      </w:r>
      <w:hyperlink r:id="rId25" w:history="1">
        <w:r w:rsidR="008E053D" w:rsidRPr="003F7E48">
          <w:rPr>
            <w:rStyle w:val="Hyperlink"/>
            <w:color w:val="auto"/>
          </w:rPr>
          <w:t>https://doi.org/10.1098/rspb.2014.2085</w:t>
        </w:r>
      </w:hyperlink>
    </w:p>
    <w:p w14:paraId="58ACE608" w14:textId="66A22AC7" w:rsidR="00A14897" w:rsidRPr="003F7E48" w:rsidRDefault="00A14897" w:rsidP="00B65397">
      <w:pPr>
        <w:pStyle w:val="EndNoteBibliography"/>
        <w:spacing w:after="0" w:line="480" w:lineRule="auto"/>
        <w:ind w:left="720" w:hanging="720"/>
      </w:pPr>
      <w:r w:rsidRPr="003F7E48">
        <w:t xml:space="preserve">Hau, M., Ricklefs, R. E., Wikelski, M., Lee, K. A., &amp; Brawn, J. D. (2010). Corticosterone, testosterone and life-history strategies of birds. </w:t>
      </w:r>
      <w:r w:rsidRPr="003F7E48">
        <w:rPr>
          <w:i/>
        </w:rPr>
        <w:t>Proceedings of the Royal Society B-Biological Sciences</w:t>
      </w:r>
      <w:r w:rsidRPr="003F7E48">
        <w:t>,</w:t>
      </w:r>
      <w:r w:rsidRPr="003F7E48">
        <w:rPr>
          <w:i/>
        </w:rPr>
        <w:t xml:space="preserve"> 277</w:t>
      </w:r>
      <w:r w:rsidRPr="003F7E48">
        <w:t xml:space="preserve">(1697), 3203-3212. https://doi.org/10.1098/rspb.2010.0673 </w:t>
      </w:r>
    </w:p>
    <w:p w14:paraId="32A8A981" w14:textId="143EBFE0" w:rsidR="00A14897" w:rsidRPr="003F7E48" w:rsidRDefault="00A14897" w:rsidP="00B65397">
      <w:pPr>
        <w:pStyle w:val="EndNoteBibliography"/>
        <w:spacing w:after="0" w:line="480" w:lineRule="auto"/>
        <w:ind w:left="720" w:hanging="720"/>
      </w:pPr>
      <w:r w:rsidRPr="003F7E48">
        <w:t xml:space="preserve">Henderson, L. J., Evans, N. P., Heidinger, B. J., Herborn, K. A., &amp; Arnold, K. E. (2017). Do glucocorticoids predict fitness? Linking environmental conditions, corticosterone and reproductive success in the blue tit, Cyanistes caeruleus. </w:t>
      </w:r>
      <w:r w:rsidRPr="003F7E48">
        <w:rPr>
          <w:i/>
        </w:rPr>
        <w:t>Royal Society Open Science</w:t>
      </w:r>
      <w:r w:rsidRPr="003F7E48">
        <w:t>,</w:t>
      </w:r>
      <w:r w:rsidRPr="003F7E48">
        <w:rPr>
          <w:i/>
        </w:rPr>
        <w:t xml:space="preserve"> 4</w:t>
      </w:r>
      <w:r w:rsidRPr="003F7E48">
        <w:t xml:space="preserve">(10), 11, Article 170875. https://doi.org/10.1098/rsos.170875 </w:t>
      </w:r>
    </w:p>
    <w:p w14:paraId="18831B4E" w14:textId="65CB1327" w:rsidR="00A14897" w:rsidRPr="003F7E48" w:rsidRDefault="00A14897" w:rsidP="00B65397">
      <w:pPr>
        <w:pStyle w:val="EndNoteBibliography"/>
        <w:spacing w:after="0" w:line="480" w:lineRule="auto"/>
        <w:ind w:left="720" w:hanging="720"/>
      </w:pPr>
      <w:r w:rsidRPr="003F7E48">
        <w:t xml:space="preserve">Hooten, M. B., &amp; Hobbs, N. T. (2015). A guide to Bayesian model selection for ecologists. </w:t>
      </w:r>
      <w:r w:rsidRPr="003F7E48">
        <w:rPr>
          <w:i/>
        </w:rPr>
        <w:t>Ecological Monographs</w:t>
      </w:r>
      <w:r w:rsidRPr="003F7E48">
        <w:t>,</w:t>
      </w:r>
      <w:r w:rsidRPr="003F7E48">
        <w:rPr>
          <w:i/>
        </w:rPr>
        <w:t xml:space="preserve"> 85</w:t>
      </w:r>
      <w:r w:rsidRPr="003F7E48">
        <w:t xml:space="preserve">(1), 3-28. </w:t>
      </w:r>
      <w:hyperlink r:id="rId26" w:history="1">
        <w:r w:rsidR="008E053D" w:rsidRPr="003F7E48">
          <w:rPr>
            <w:rStyle w:val="Hyperlink"/>
            <w:color w:val="auto"/>
          </w:rPr>
          <w:t>https://doi.org/10.1890/14-0661.1</w:t>
        </w:r>
      </w:hyperlink>
    </w:p>
    <w:p w14:paraId="12322E60" w14:textId="77777777" w:rsidR="008E053D" w:rsidRPr="003F7E48" w:rsidRDefault="00A14897" w:rsidP="008E053D">
      <w:pPr>
        <w:pStyle w:val="EndNoteBibliography"/>
        <w:spacing w:after="0" w:line="480" w:lineRule="auto"/>
        <w:ind w:left="720" w:hanging="720"/>
      </w:pPr>
      <w:r w:rsidRPr="003F7E48">
        <w:t xml:space="preserve">Huntington, J. L., Hegewisch, K. C., Daudert, B., Morton, C. G., Abatzoglou, J. T., McEvoy, D. J., &amp; Erickson, T. (2017). Climate Engine: cloud computing and visualization of climate </w:t>
      </w:r>
      <w:r w:rsidRPr="003F7E48">
        <w:lastRenderedPageBreak/>
        <w:t xml:space="preserve">and remote sensing data for advanced natural resource monitoring and process understanding. </w:t>
      </w:r>
      <w:r w:rsidRPr="003F7E48">
        <w:rPr>
          <w:i/>
        </w:rPr>
        <w:t>Bulletin of the American Meteorological Society</w:t>
      </w:r>
      <w:r w:rsidRPr="003F7E48">
        <w:t>,</w:t>
      </w:r>
      <w:r w:rsidRPr="003F7E48">
        <w:rPr>
          <w:i/>
        </w:rPr>
        <w:t xml:space="preserve"> 98</w:t>
      </w:r>
      <w:r w:rsidRPr="003F7E48">
        <w:t xml:space="preserve">(11), 2397-2410. </w:t>
      </w:r>
      <w:r w:rsidR="008E053D" w:rsidRPr="003F7E48">
        <w:tab/>
      </w:r>
    </w:p>
    <w:p w14:paraId="28EAB7D7" w14:textId="47416297" w:rsidR="00A14897" w:rsidRPr="003F7E48" w:rsidRDefault="008E053D" w:rsidP="008E053D">
      <w:pPr>
        <w:pStyle w:val="EndNoteBibliography"/>
        <w:spacing w:after="0" w:line="480" w:lineRule="auto"/>
        <w:ind w:left="720" w:hanging="720"/>
      </w:pPr>
      <w:r w:rsidRPr="003F7E48">
        <w:tab/>
      </w:r>
      <w:hyperlink r:id="rId27" w:history="1">
        <w:r w:rsidR="003F7E48" w:rsidRPr="003F7E48">
          <w:rPr>
            <w:rStyle w:val="Hyperlink"/>
            <w:color w:val="auto"/>
          </w:rPr>
          <w:t>https://doi.org/10.1175/BAMS-D-15-00324.1</w:t>
        </w:r>
      </w:hyperlink>
    </w:p>
    <w:p w14:paraId="7341DFD6" w14:textId="02211606" w:rsidR="003F7E48" w:rsidRPr="003F7E48" w:rsidRDefault="003F7E48" w:rsidP="008E053D">
      <w:pPr>
        <w:pStyle w:val="EndNoteBibliography"/>
        <w:spacing w:after="0" w:line="480" w:lineRule="auto"/>
        <w:ind w:left="720" w:hanging="720"/>
      </w:pPr>
      <w:r w:rsidRPr="003F7E48">
        <w:t xml:space="preserve">Injaian, A. S., Francis, C. D., Ouyang, J. Q., Dominoni, D. M., Donald, J. W., Fuxjager, M. J., . . . Johnson, M. A. (2020). Baseline and stress-induced corticosterone levels across birds and reptiles do not reflect urbanication levels. </w:t>
      </w:r>
      <w:r w:rsidRPr="003F7E48">
        <w:rPr>
          <w:i/>
          <w:iCs/>
        </w:rPr>
        <w:t>Conservation Physiology</w:t>
      </w:r>
      <w:r w:rsidRPr="003F7E48">
        <w:t>,</w:t>
      </w:r>
      <w:r w:rsidRPr="003F7E48">
        <w:rPr>
          <w:i/>
          <w:iCs/>
        </w:rPr>
        <w:t xml:space="preserve"> 8</w:t>
      </w:r>
      <w:r w:rsidRPr="003F7E48">
        <w:t xml:space="preserve">(1), coz110. </w:t>
      </w:r>
      <w:hyperlink r:id="rId28" w:history="1">
        <w:r w:rsidRPr="003F7E48">
          <w:rPr>
            <w:rStyle w:val="Hyperlink"/>
            <w:color w:val="auto"/>
          </w:rPr>
          <w:t>https://doi.org/https://doi.org/10.1093/conphys/coz110</w:t>
        </w:r>
      </w:hyperlink>
      <w:r w:rsidRPr="003F7E48">
        <w:fldChar w:fldCharType="begin"/>
      </w:r>
      <w:r w:rsidRPr="003F7E48">
        <w:fldChar w:fldCharType="separate"/>
      </w:r>
      <w:r w:rsidRPr="003F7E48">
        <w:t>{Injaian, 2020, Baseline and stress-induced corticosterone levels across birds and reptiles do not reflect urbanication levels}</w:t>
      </w:r>
      <w:r w:rsidRPr="003F7E48">
        <w:fldChar w:fldCharType="end"/>
      </w:r>
      <w:r w:rsidRPr="003F7E48">
        <w:fldChar w:fldCharType="begin"/>
      </w:r>
      <w:r w:rsidRPr="003F7E48">
        <w:fldChar w:fldCharType="separate"/>
      </w:r>
      <w:r w:rsidRPr="003F7E48">
        <w:t>{Injaian, 2020, Baseline and stress-induced corticosterone levels across birds and reptiles do not reflect urbanication levels}</w:t>
      </w:r>
      <w:r w:rsidRPr="003F7E48">
        <w:fldChar w:fldCharType="end"/>
      </w:r>
    </w:p>
    <w:p w14:paraId="6A7DBC1F" w14:textId="4CA51D8C" w:rsidR="00A14897" w:rsidRPr="003F7E48" w:rsidRDefault="00A14897" w:rsidP="00B65397">
      <w:pPr>
        <w:pStyle w:val="EndNoteBibliography"/>
        <w:spacing w:after="0" w:line="480" w:lineRule="auto"/>
        <w:ind w:left="720" w:hanging="720"/>
      </w:pPr>
      <w:r w:rsidRPr="003F7E48">
        <w:t xml:space="preserve">Jankowski, M. D., Russell, R. E., Franson, J. C., Dusek, R. J., Hines, M. K., Gregg, M., &amp; Hofmeister, E. K. (2014). Corticosterone </w:t>
      </w:r>
      <w:r w:rsidR="00EB0373" w:rsidRPr="003F7E48">
        <w:t>metabolite concentra</w:t>
      </w:r>
      <w:r w:rsidRPr="003F7E48">
        <w:t>tions in Greater Sage-</w:t>
      </w:r>
      <w:r w:rsidR="00EB0373" w:rsidRPr="003F7E48">
        <w:t>grouse are positively associated with the presence of cattle grazing</w:t>
      </w:r>
      <w:r w:rsidRPr="003F7E48">
        <w:t xml:space="preserve">. </w:t>
      </w:r>
      <w:r w:rsidRPr="003F7E48">
        <w:rPr>
          <w:i/>
        </w:rPr>
        <w:t>Rangeland Ecology &amp; Management</w:t>
      </w:r>
      <w:r w:rsidRPr="003F7E48">
        <w:t>,</w:t>
      </w:r>
      <w:r w:rsidRPr="003F7E48">
        <w:rPr>
          <w:i/>
        </w:rPr>
        <w:t xml:space="preserve"> 67</w:t>
      </w:r>
      <w:r w:rsidRPr="003F7E48">
        <w:t xml:space="preserve">(3), 237-246. https://doi.org/10.2111/rem-d-13-00137.1 </w:t>
      </w:r>
    </w:p>
    <w:p w14:paraId="6B2DABCC" w14:textId="5FC16117" w:rsidR="00A14897" w:rsidRDefault="00A14897" w:rsidP="00B65397">
      <w:pPr>
        <w:pStyle w:val="EndNoteBibliography"/>
        <w:spacing w:after="0" w:line="480" w:lineRule="auto"/>
        <w:ind w:left="720" w:hanging="720"/>
      </w:pPr>
      <w:r w:rsidRPr="003F7E48">
        <w:t xml:space="preserve">Johns, D. W., Marchant, T. A., Fairhurst, G. D., Speakman, J. R., &amp; Clark, R. G. (2018). Biomarker of burden: Feather corticosterone reflects energetic expenditure and allostatic overload in captive waterfowl. </w:t>
      </w:r>
      <w:r w:rsidRPr="003F7E48">
        <w:rPr>
          <w:i/>
        </w:rPr>
        <w:t>Functional Ecology</w:t>
      </w:r>
      <w:r w:rsidRPr="003F7E48">
        <w:t>,</w:t>
      </w:r>
      <w:r w:rsidRPr="003F7E48">
        <w:rPr>
          <w:i/>
        </w:rPr>
        <w:t xml:space="preserve"> 32</w:t>
      </w:r>
      <w:r w:rsidRPr="003F7E48">
        <w:t xml:space="preserve">(2), 345-357. </w:t>
      </w:r>
      <w:hyperlink r:id="rId29" w:history="1">
        <w:r w:rsidR="002D3701" w:rsidRPr="003843E6">
          <w:rPr>
            <w:rStyle w:val="Hyperlink"/>
          </w:rPr>
          <w:t>https://doi.org/10.1111/1365-2435.12988</w:t>
        </w:r>
      </w:hyperlink>
    </w:p>
    <w:p w14:paraId="47D0DD8F" w14:textId="57504BA5" w:rsidR="002D3701" w:rsidRPr="003F7E48" w:rsidRDefault="002D3701" w:rsidP="00B65397">
      <w:pPr>
        <w:pStyle w:val="EndNoteBibliography"/>
        <w:spacing w:after="0" w:line="480" w:lineRule="auto"/>
        <w:ind w:left="720" w:hanging="720"/>
      </w:pPr>
      <w:r w:rsidRPr="002D3701">
        <w:t xml:space="preserve">Kane, K., Sedinger, </w:t>
      </w:r>
      <w:r w:rsidR="007A2EBE" w:rsidRPr="007A2EBE">
        <w:t>J. S.</w:t>
      </w:r>
      <w:r w:rsidR="007A2EBE">
        <w:t>,</w:t>
      </w:r>
      <w:r w:rsidR="007A2EBE" w:rsidRPr="007A2EBE">
        <w:t xml:space="preserve"> </w:t>
      </w:r>
      <w:r w:rsidRPr="002D3701">
        <w:t xml:space="preserve">Gibson, </w:t>
      </w:r>
      <w:r w:rsidR="007A2EBE">
        <w:t xml:space="preserve">D., </w:t>
      </w:r>
      <w:r w:rsidRPr="002D3701">
        <w:t xml:space="preserve">Blomberg, </w:t>
      </w:r>
      <w:r w:rsidR="007A2EBE" w:rsidRPr="007A2EBE">
        <w:t>E. J.</w:t>
      </w:r>
      <w:r w:rsidR="007A2EBE">
        <w:t>,</w:t>
      </w:r>
      <w:r w:rsidR="007A2EBE" w:rsidRPr="007A2EBE">
        <w:t xml:space="preserve"> </w:t>
      </w:r>
      <w:r w:rsidR="007A2EBE">
        <w:t>&amp;</w:t>
      </w:r>
      <w:r w:rsidRPr="002D3701">
        <w:t xml:space="preserve"> Atamian</w:t>
      </w:r>
      <w:r w:rsidR="007A2EBE" w:rsidRPr="007A2EBE">
        <w:t xml:space="preserve"> M. T.</w:t>
      </w:r>
      <w:r w:rsidRPr="002D3701">
        <w:t xml:space="preserve"> </w:t>
      </w:r>
      <w:r w:rsidR="007A2EBE">
        <w:t>(</w:t>
      </w:r>
      <w:r w:rsidRPr="002D3701">
        <w:t>2017</w:t>
      </w:r>
      <w:r w:rsidR="007A2EBE">
        <w:t>)</w:t>
      </w:r>
      <w:r w:rsidRPr="002D3701">
        <w:t xml:space="preserve">. Fitness landscapes and life table response experiments predict the importance of local areas to population dynamics. </w:t>
      </w:r>
      <w:r w:rsidRPr="008A5F39">
        <w:rPr>
          <w:i/>
        </w:rPr>
        <w:t>Ecosphere 8</w:t>
      </w:r>
      <w:r w:rsidRPr="002D3701">
        <w:t>:e01869.</w:t>
      </w:r>
    </w:p>
    <w:p w14:paraId="61D61CB6" w14:textId="77777777" w:rsidR="00A14897" w:rsidRPr="003F7E48" w:rsidRDefault="00A14897" w:rsidP="00B65397">
      <w:pPr>
        <w:pStyle w:val="EndNoteBibliography"/>
        <w:spacing w:after="0" w:line="480" w:lineRule="auto"/>
        <w:ind w:left="720" w:hanging="720"/>
      </w:pPr>
      <w:r w:rsidRPr="003F7E48">
        <w:t xml:space="preserve">Kellner, K. (2015). jagsUI: a wrapper around rjags to streamline JAGS analyses. </w:t>
      </w:r>
      <w:r w:rsidRPr="003F7E48">
        <w:rPr>
          <w:i/>
        </w:rPr>
        <w:t>R package version</w:t>
      </w:r>
      <w:r w:rsidRPr="003F7E48">
        <w:t>,</w:t>
      </w:r>
      <w:r w:rsidRPr="003F7E48">
        <w:rPr>
          <w:i/>
        </w:rPr>
        <w:t xml:space="preserve"> 1</w:t>
      </w:r>
      <w:r w:rsidRPr="003F7E48">
        <w:t xml:space="preserve">(1), 2015. </w:t>
      </w:r>
    </w:p>
    <w:p w14:paraId="2B69B9FE" w14:textId="33FB21C3" w:rsidR="00A14897" w:rsidRPr="003F7E48" w:rsidRDefault="00A14897" w:rsidP="00B65397">
      <w:pPr>
        <w:pStyle w:val="EndNoteBibliography"/>
        <w:spacing w:after="0" w:line="480" w:lineRule="auto"/>
        <w:ind w:left="720" w:hanging="720"/>
      </w:pPr>
      <w:r w:rsidRPr="003F7E48">
        <w:t xml:space="preserve">King, S. R., Schoenecker, K. A., &amp; Manier, D. J. (2019). Potential spread of cheatgrass and other invasive species by feral horses in western colorado. </w:t>
      </w:r>
      <w:r w:rsidRPr="003F7E48">
        <w:rPr>
          <w:i/>
        </w:rPr>
        <w:t xml:space="preserve">Rangeland </w:t>
      </w:r>
      <w:r w:rsidR="00EB0373" w:rsidRPr="003F7E48">
        <w:rPr>
          <w:i/>
        </w:rPr>
        <w:t>Ecology &amp; Management</w:t>
      </w:r>
      <w:r w:rsidR="00EB0373" w:rsidRPr="003F7E48">
        <w:t>,</w:t>
      </w:r>
      <w:r w:rsidR="00EB0373" w:rsidRPr="003F7E48">
        <w:rPr>
          <w:i/>
        </w:rPr>
        <w:t xml:space="preserve"> </w:t>
      </w:r>
      <w:r w:rsidRPr="003F7E48">
        <w:rPr>
          <w:i/>
        </w:rPr>
        <w:t>72</w:t>
      </w:r>
      <w:r w:rsidRPr="003F7E48">
        <w:t xml:space="preserve">(4), 706-710. </w:t>
      </w:r>
      <w:r w:rsidR="001E18CB" w:rsidRPr="003F7E48">
        <w:t>https://doi.org/10.1016/j.rama.2019.02.006</w:t>
      </w:r>
    </w:p>
    <w:p w14:paraId="205979C8" w14:textId="45069ECA" w:rsidR="00A14897" w:rsidRPr="003F7E48" w:rsidRDefault="00A14897" w:rsidP="00B65397">
      <w:pPr>
        <w:pStyle w:val="EndNoteBibliography"/>
        <w:spacing w:after="0" w:line="480" w:lineRule="auto"/>
        <w:ind w:left="720" w:hanging="720"/>
      </w:pPr>
      <w:r w:rsidRPr="003F7E48">
        <w:lastRenderedPageBreak/>
        <w:t xml:space="preserve">Koren, L., Nakagawa, S., Burke, T., Soma, K. K., Wynne-Edwards, K. E., &amp; Geffen, E. (2012). Non-breeding feather concentrations of testosterone, corticosterone and cortisol are associated with subsequent survival in wild house sparrows. </w:t>
      </w:r>
      <w:r w:rsidRPr="003F7E48">
        <w:rPr>
          <w:i/>
        </w:rPr>
        <w:t>Proceedings of the Royal Society B: Biological Sciences</w:t>
      </w:r>
      <w:r w:rsidRPr="003F7E48">
        <w:t>,</w:t>
      </w:r>
      <w:r w:rsidRPr="003F7E48">
        <w:rPr>
          <w:i/>
        </w:rPr>
        <w:t xml:space="preserve"> 279</w:t>
      </w:r>
      <w:r w:rsidRPr="003F7E48">
        <w:t xml:space="preserve">(1733), 1560-1566. </w:t>
      </w:r>
      <w:hyperlink r:id="rId30" w:history="1">
        <w:r w:rsidR="001E18CB" w:rsidRPr="003F7E48">
          <w:rPr>
            <w:rStyle w:val="Hyperlink"/>
            <w:color w:val="auto"/>
          </w:rPr>
          <w:t>https://doi.org/10.1098/rspb.2011.2062</w:t>
        </w:r>
      </w:hyperlink>
    </w:p>
    <w:p w14:paraId="486E0C3D" w14:textId="272F3CC3" w:rsidR="00A14897" w:rsidRPr="003F7E48" w:rsidRDefault="00A14897" w:rsidP="00B65397">
      <w:pPr>
        <w:pStyle w:val="EndNoteBibliography"/>
        <w:spacing w:after="0" w:line="480" w:lineRule="auto"/>
        <w:ind w:left="720" w:hanging="720"/>
      </w:pPr>
      <w:r w:rsidRPr="003F7E48">
        <w:t xml:space="preserve">Madliger, C. L., &amp; Love, O. P. (2016). Conservation implications of a lack of relationship between baseline glucocorticoids and fitness in a wild passerine. </w:t>
      </w:r>
      <w:r w:rsidRPr="003F7E48">
        <w:rPr>
          <w:i/>
        </w:rPr>
        <w:t>Ecological Applications</w:t>
      </w:r>
      <w:r w:rsidRPr="003F7E48">
        <w:t>,</w:t>
      </w:r>
      <w:r w:rsidRPr="003F7E48">
        <w:rPr>
          <w:i/>
        </w:rPr>
        <w:t xml:space="preserve"> 26</w:t>
      </w:r>
      <w:r w:rsidRPr="003F7E48">
        <w:t xml:space="preserve">(8), 2730-2743. https://doi.org/10.1002/eap.1401 </w:t>
      </w:r>
    </w:p>
    <w:p w14:paraId="00DD2A1C" w14:textId="6C6EBF4D" w:rsidR="00A14897" w:rsidRPr="003F7E48" w:rsidRDefault="00A14897" w:rsidP="00B65397">
      <w:pPr>
        <w:pStyle w:val="EndNoteBibliography"/>
        <w:spacing w:after="0" w:line="480" w:lineRule="auto"/>
        <w:ind w:left="720" w:hanging="720"/>
      </w:pPr>
      <w:r w:rsidRPr="003F7E48">
        <w:t xml:space="preserve">Monclus, L., Carbajal, A., Tallo-Parra, O., Sabes-Alsina, M., Darwich, L., Molina-Lopez, R. A., &amp; Lopez-Bejar, M. (2017). Relationship between feather corticosterone and subsequent health status and survival in wild Eurasian Sparrowhawk. </w:t>
      </w:r>
      <w:r w:rsidRPr="003F7E48">
        <w:rPr>
          <w:i/>
        </w:rPr>
        <w:t>Journal of Ornithology</w:t>
      </w:r>
      <w:r w:rsidRPr="003F7E48">
        <w:t>,</w:t>
      </w:r>
      <w:r w:rsidRPr="003F7E48">
        <w:rPr>
          <w:i/>
        </w:rPr>
        <w:t xml:space="preserve"> 158</w:t>
      </w:r>
      <w:r w:rsidRPr="003F7E48">
        <w:t xml:space="preserve">(3), 773-783. https://doi.org/10.1007/s10336-016-1424-5 </w:t>
      </w:r>
    </w:p>
    <w:p w14:paraId="3B69B2CA" w14:textId="70D20A6D" w:rsidR="00A14897" w:rsidRDefault="00A14897" w:rsidP="00B65397">
      <w:pPr>
        <w:pStyle w:val="EndNoteBibliography"/>
        <w:spacing w:after="0" w:line="480" w:lineRule="auto"/>
        <w:ind w:left="720" w:hanging="720"/>
      </w:pPr>
      <w:r w:rsidRPr="003F7E48">
        <w:t xml:space="preserve">Monroe, A. P., Aldridge, C. L., Assal, T. J., Veblen, K. E., Pyke, D. A., &amp; Casazza, M. L. (2017). Patterns in Greater Sage-grouse population dynamics correspond with public grazing records at broad scales. </w:t>
      </w:r>
      <w:r w:rsidRPr="003F7E48">
        <w:rPr>
          <w:i/>
        </w:rPr>
        <w:t>Ecological Applications</w:t>
      </w:r>
      <w:r w:rsidRPr="003F7E48">
        <w:t>,</w:t>
      </w:r>
      <w:r w:rsidRPr="003F7E48">
        <w:rPr>
          <w:i/>
        </w:rPr>
        <w:t xml:space="preserve"> 27</w:t>
      </w:r>
      <w:r w:rsidRPr="003F7E48">
        <w:t xml:space="preserve">(4), 1096-1107. https://doi.org/10.1002/eap.1512 </w:t>
      </w:r>
    </w:p>
    <w:p w14:paraId="44E6E67E" w14:textId="594585B1" w:rsidR="000165C4" w:rsidRPr="003F7E48" w:rsidRDefault="000165C4" w:rsidP="000165C4">
      <w:pPr>
        <w:pStyle w:val="NormalWeb"/>
        <w:spacing w:before="0" w:beforeAutospacing="0" w:after="0" w:afterAutospacing="0" w:line="480" w:lineRule="auto"/>
        <w:ind w:left="720" w:hanging="720"/>
      </w:pPr>
      <w:r>
        <w:t xml:space="preserve">Narayan, E. J., Jessop, T. S., &amp; Hero, J. (2015). Invasive cane toad triggers chronic physiological stress and decreased reproductive success in an island endemic. </w:t>
      </w:r>
      <w:r>
        <w:rPr>
          <w:i/>
          <w:iCs/>
        </w:rPr>
        <w:t>Functional Ecology</w:t>
      </w:r>
      <w:r>
        <w:t>,</w:t>
      </w:r>
      <w:r>
        <w:rPr>
          <w:i/>
          <w:iCs/>
        </w:rPr>
        <w:t xml:space="preserve"> 29</w:t>
      </w:r>
      <w:r>
        <w:t xml:space="preserve">(11), 1435-1444. </w:t>
      </w:r>
      <w:hyperlink r:id="rId31" w:history="1">
        <w:r>
          <w:rPr>
            <w:rStyle w:val="Hyperlink"/>
          </w:rPr>
          <w:t>https://doi.org/https://doi.org/10.1111/1365-2435.12446</w:t>
        </w:r>
      </w:hyperlink>
      <w:r>
        <w:t xml:space="preserve"> </w:t>
      </w:r>
    </w:p>
    <w:p w14:paraId="00BEAFEA" w14:textId="70DD2263" w:rsidR="00A14897" w:rsidRPr="003F7E48" w:rsidRDefault="00A14897" w:rsidP="00B65397">
      <w:pPr>
        <w:pStyle w:val="EndNoteBibliography"/>
        <w:spacing w:after="0" w:line="480" w:lineRule="auto"/>
        <w:ind w:left="720" w:hanging="720"/>
      </w:pPr>
      <w:r w:rsidRPr="003F7E48">
        <w:t xml:space="preserve">Nevada Department of Wildlife. </w:t>
      </w:r>
      <w:r w:rsidRPr="003F7E48">
        <w:rPr>
          <w:i/>
        </w:rPr>
        <w:t>Sage Grouse Conservation Plans</w:t>
      </w:r>
      <w:r w:rsidRPr="003F7E48">
        <w:t>. Retrieved August 4, 2020 from http://www.ndow.org/Nevada_Wildlife/Sage_Grouse/Conservation_Plans/</w:t>
      </w:r>
    </w:p>
    <w:p w14:paraId="3E3D3A95" w14:textId="77777777" w:rsidR="00512A07" w:rsidRPr="003F7E48" w:rsidRDefault="00A14897" w:rsidP="00512A07">
      <w:pPr>
        <w:pStyle w:val="EndNoteBibliography"/>
        <w:spacing w:after="0" w:line="480" w:lineRule="auto"/>
        <w:ind w:left="720" w:hanging="720"/>
      </w:pPr>
      <w:r w:rsidRPr="003F7E48">
        <w:lastRenderedPageBreak/>
        <w:t xml:space="preserve">Ostermann-Kelm, S., Atwill, E. R., Rubin, E. S., Jorgensen, M. C., &amp; Boyce, W. M. (2008). Interactions between feral horses and desert bighorn sheep at water. </w:t>
      </w:r>
      <w:r w:rsidRPr="003F7E48">
        <w:rPr>
          <w:i/>
        </w:rPr>
        <w:t>Journal of Mammalogy</w:t>
      </w:r>
      <w:r w:rsidRPr="003F7E48">
        <w:t>,</w:t>
      </w:r>
      <w:r w:rsidRPr="003F7E48">
        <w:rPr>
          <w:i/>
        </w:rPr>
        <w:t xml:space="preserve"> 89</w:t>
      </w:r>
      <w:r w:rsidRPr="003F7E48">
        <w:t>(2), 459-466.</w:t>
      </w:r>
      <w:r w:rsidR="00512A07" w:rsidRPr="003F7E48">
        <w:t xml:space="preserve"> </w:t>
      </w:r>
      <w:r w:rsidR="00512A07" w:rsidRPr="003F7E48">
        <w:tab/>
      </w:r>
    </w:p>
    <w:p w14:paraId="267B0919" w14:textId="1CF56643" w:rsidR="00A14897" w:rsidRPr="003F7E48" w:rsidRDefault="00512A07" w:rsidP="00512A07">
      <w:pPr>
        <w:pStyle w:val="EndNoteBibliography"/>
        <w:spacing w:after="0" w:line="480" w:lineRule="auto"/>
        <w:ind w:left="720" w:hanging="720"/>
      </w:pPr>
      <w:r w:rsidRPr="003F7E48">
        <w:tab/>
        <w:t>https://doi.org/10.1644/07-MAMM-A-075R1.1</w:t>
      </w:r>
      <w:r w:rsidR="00A14897" w:rsidRPr="003F7E48">
        <w:rPr>
          <w:highlight w:val="cyan"/>
        </w:rPr>
        <w:t xml:space="preserve"> </w:t>
      </w:r>
    </w:p>
    <w:p w14:paraId="2592C730" w14:textId="47062F5D" w:rsidR="00A14897" w:rsidRPr="003F7E48" w:rsidRDefault="00A14897" w:rsidP="00B65397">
      <w:pPr>
        <w:pStyle w:val="EndNoteBibliography"/>
        <w:spacing w:after="0" w:line="480" w:lineRule="auto"/>
        <w:ind w:left="720" w:hanging="720"/>
      </w:pPr>
      <w:r w:rsidRPr="003F7E48">
        <w:t xml:space="preserve">Plummer, M. (2003). JAGS: A program for analysis of Bayesian graphical models using Gibbs sampling. </w:t>
      </w:r>
      <w:r w:rsidRPr="003F7E48">
        <w:rPr>
          <w:i/>
        </w:rPr>
        <w:t xml:space="preserve">Proceedings </w:t>
      </w:r>
      <w:r w:rsidR="00512A07" w:rsidRPr="003F7E48">
        <w:rPr>
          <w:i/>
        </w:rPr>
        <w:t>of the 3rd International Workshop on Distributed Statistical Computing</w:t>
      </w:r>
      <w:r w:rsidRPr="003F7E48">
        <w:t xml:space="preserve"> </w:t>
      </w:r>
      <w:r w:rsidR="00512A07" w:rsidRPr="003F7E48">
        <w:t>(Vol. 124, No. 125.10, pp. 1-10).</w:t>
      </w:r>
    </w:p>
    <w:p w14:paraId="288FF5B0" w14:textId="5F04CC21" w:rsidR="00A14897" w:rsidRPr="003F7E48" w:rsidRDefault="00A14897" w:rsidP="00B65397">
      <w:pPr>
        <w:pStyle w:val="EndNoteBibliography"/>
        <w:spacing w:after="0" w:line="480" w:lineRule="auto"/>
        <w:ind w:left="720" w:hanging="720"/>
      </w:pPr>
      <w:r w:rsidRPr="003F7E48">
        <w:t xml:space="preserve">PRISM Climate Group. (2011). </w:t>
      </w:r>
      <w:r w:rsidRPr="003F7E48">
        <w:rPr>
          <w:i/>
        </w:rPr>
        <w:t>PRISM climate data</w:t>
      </w:r>
      <w:r w:rsidRPr="003F7E48">
        <w:t>. http://www.prism.oregonstate.edu/</w:t>
      </w:r>
    </w:p>
    <w:p w14:paraId="32FDBAB4" w14:textId="2EEB8D57" w:rsidR="00A14897" w:rsidRPr="003F7E48" w:rsidRDefault="00A14897" w:rsidP="00B66035">
      <w:pPr>
        <w:pStyle w:val="EndNoteBibliography"/>
        <w:spacing w:after="0" w:line="480" w:lineRule="auto"/>
        <w:ind w:left="720" w:hanging="720"/>
      </w:pPr>
      <w:r w:rsidRPr="003F7E48">
        <w:t>R Core Team. (2019). R: A language and environment for statistical</w:t>
      </w:r>
      <w:r w:rsidR="00B66035" w:rsidRPr="003F7E48">
        <w:t xml:space="preserve"> </w:t>
      </w:r>
      <w:r w:rsidRPr="003F7E48">
        <w:t>computing. In: R Foundation for Statistical Computing, Vienna, Austria.</w:t>
      </w:r>
    </w:p>
    <w:p w14:paraId="71DC5599" w14:textId="77777777" w:rsidR="00512A07" w:rsidRPr="003F7E48" w:rsidRDefault="00A14897" w:rsidP="00512A07">
      <w:pPr>
        <w:pStyle w:val="EndNoteBibliography"/>
        <w:spacing w:after="0" w:line="480" w:lineRule="auto"/>
        <w:ind w:left="720" w:hanging="720"/>
      </w:pPr>
      <w:r w:rsidRPr="003F7E48">
        <w:t xml:space="preserve">Remington, T. E., &amp; Braun, C. E. (1985). Sage grouse food selection in winter, North Park, Colorado. </w:t>
      </w:r>
      <w:r w:rsidRPr="003F7E48">
        <w:rPr>
          <w:i/>
        </w:rPr>
        <w:t xml:space="preserve">Journal of </w:t>
      </w:r>
      <w:r w:rsidR="00EB0373" w:rsidRPr="003F7E48">
        <w:rPr>
          <w:i/>
        </w:rPr>
        <w:t>Wildlife Management</w:t>
      </w:r>
      <w:r w:rsidRPr="003F7E48">
        <w:t xml:space="preserve">, 1055-1061. </w:t>
      </w:r>
      <w:r w:rsidR="00512A07" w:rsidRPr="003F7E48">
        <w:tab/>
      </w:r>
    </w:p>
    <w:p w14:paraId="6CE2F69A" w14:textId="02701756" w:rsidR="00A14897" w:rsidRPr="003F7E48" w:rsidRDefault="00512A07" w:rsidP="00512A07">
      <w:pPr>
        <w:pStyle w:val="EndNoteBibliography"/>
        <w:spacing w:after="0" w:line="480" w:lineRule="auto"/>
        <w:ind w:left="720" w:hanging="720"/>
      </w:pPr>
      <w:r w:rsidRPr="003F7E48">
        <w:tab/>
        <w:t>https://doi.org/10.2307/3801395</w:t>
      </w:r>
    </w:p>
    <w:p w14:paraId="7227BA6F" w14:textId="71D47E19" w:rsidR="00A14897" w:rsidRPr="003F7E48" w:rsidRDefault="00A14897" w:rsidP="00B65397">
      <w:pPr>
        <w:pStyle w:val="EndNoteBibliography"/>
        <w:spacing w:after="0" w:line="480" w:lineRule="auto"/>
        <w:ind w:left="720" w:hanging="720"/>
      </w:pPr>
      <w:r w:rsidRPr="003F7E48">
        <w:t xml:space="preserve">Rich, E. L., &amp; Romero, L. M. (2005). Exposure to chronic stress downregulates corticosterone responses to acute stressors. </w:t>
      </w:r>
      <w:r w:rsidRPr="003F7E48">
        <w:rPr>
          <w:i/>
        </w:rPr>
        <w:t>American Journal of Physiology-Regulatory, Integrative and Comparative Physiology</w:t>
      </w:r>
      <w:r w:rsidRPr="003F7E48">
        <w:t>,</w:t>
      </w:r>
      <w:r w:rsidRPr="003F7E48">
        <w:rPr>
          <w:i/>
        </w:rPr>
        <w:t xml:space="preserve"> 288</w:t>
      </w:r>
      <w:r w:rsidRPr="003F7E48">
        <w:t xml:space="preserve">(6), R1628-R1636. </w:t>
      </w:r>
      <w:hyperlink r:id="rId32" w:history="1">
        <w:r w:rsidR="00512A07" w:rsidRPr="003F7E48">
          <w:rPr>
            <w:rStyle w:val="Hyperlink"/>
            <w:color w:val="auto"/>
          </w:rPr>
          <w:t>https://doi.org/10.1152/ajpregu.00484.2004</w:t>
        </w:r>
      </w:hyperlink>
    </w:p>
    <w:p w14:paraId="1690AF80" w14:textId="11B86514" w:rsidR="00A14897" w:rsidRPr="003F7E48" w:rsidRDefault="00A14897" w:rsidP="00B65397">
      <w:pPr>
        <w:pStyle w:val="EndNoteBibliography"/>
        <w:spacing w:after="0" w:line="480" w:lineRule="auto"/>
        <w:ind w:left="720" w:hanging="720"/>
      </w:pPr>
      <w:r w:rsidRPr="003F7E48">
        <w:t xml:space="preserve">Romero, L. M. (2004). Physiological stress in ecology: lessons from biomedical research. </w:t>
      </w:r>
      <w:r w:rsidRPr="003F7E48">
        <w:rPr>
          <w:i/>
        </w:rPr>
        <w:t xml:space="preserve">Trends in </w:t>
      </w:r>
      <w:r w:rsidR="00EB0373" w:rsidRPr="003F7E48">
        <w:rPr>
          <w:i/>
        </w:rPr>
        <w:t>Ecology &amp; Evolution</w:t>
      </w:r>
      <w:r w:rsidRPr="003F7E48">
        <w:t>,</w:t>
      </w:r>
      <w:r w:rsidRPr="003F7E48">
        <w:rPr>
          <w:i/>
        </w:rPr>
        <w:t xml:space="preserve"> 19</w:t>
      </w:r>
      <w:r w:rsidRPr="003F7E48">
        <w:t xml:space="preserve">(5), 249-255. </w:t>
      </w:r>
      <w:hyperlink r:id="rId33" w:tgtFrame="_blank" w:tooltip="Persistent link using digital object identifier" w:history="1">
        <w:r w:rsidR="00512A07" w:rsidRPr="003F7E48">
          <w:rPr>
            <w:rStyle w:val="Hyperlink"/>
            <w:color w:val="auto"/>
          </w:rPr>
          <w:t>https://doi.org/10.1016/j.tree.2004.03.008</w:t>
        </w:r>
      </w:hyperlink>
    </w:p>
    <w:p w14:paraId="6784A5B2" w14:textId="1D939023" w:rsidR="00A14897" w:rsidRPr="003F7E48" w:rsidRDefault="00A14897" w:rsidP="00B65397">
      <w:pPr>
        <w:pStyle w:val="EndNoteBibliography"/>
        <w:spacing w:after="0" w:line="480" w:lineRule="auto"/>
        <w:ind w:left="720" w:hanging="720"/>
      </w:pPr>
      <w:r w:rsidRPr="003F7E48">
        <w:t xml:space="preserve">Rowland, M. M., Wisdom, M. J., Suring, L. H., &amp; Meinke, C. W. (2006). Greater sage-grouse as an umbrella species for sagebrush-associated vertebrates. </w:t>
      </w:r>
      <w:r w:rsidRPr="003F7E48">
        <w:rPr>
          <w:i/>
        </w:rPr>
        <w:t>Biological Conservation</w:t>
      </w:r>
      <w:r w:rsidRPr="003F7E48">
        <w:t>,</w:t>
      </w:r>
      <w:r w:rsidRPr="003F7E48">
        <w:rPr>
          <w:i/>
        </w:rPr>
        <w:t xml:space="preserve"> 129</w:t>
      </w:r>
      <w:r w:rsidRPr="003F7E48">
        <w:t xml:space="preserve">(3), 323-335. </w:t>
      </w:r>
      <w:hyperlink r:id="rId34" w:tgtFrame="_blank" w:tooltip="Persistent link using digital object identifier" w:history="1">
        <w:r w:rsidR="00512A07" w:rsidRPr="003F7E48">
          <w:rPr>
            <w:rStyle w:val="Hyperlink"/>
            <w:color w:val="auto"/>
          </w:rPr>
          <w:t>https://doi.org/10.1016/j.biocon.2005.10.048</w:t>
        </w:r>
      </w:hyperlink>
    </w:p>
    <w:p w14:paraId="4709E9C6" w14:textId="62470E82" w:rsidR="00A14897" w:rsidRDefault="00A14897" w:rsidP="00B65397">
      <w:pPr>
        <w:pStyle w:val="EndNoteBibliography"/>
        <w:spacing w:after="0" w:line="480" w:lineRule="auto"/>
        <w:ind w:left="720" w:hanging="720"/>
      </w:pPr>
      <w:r w:rsidRPr="003F7E48">
        <w:lastRenderedPageBreak/>
        <w:t xml:space="preserve">Royle, J. A., &amp; Dorazio, R. M. (2008). </w:t>
      </w:r>
      <w:r w:rsidRPr="003F7E48">
        <w:rPr>
          <w:i/>
        </w:rPr>
        <w:t>Hierarchical modeling and inference in ecology: the analysis of data from populations, metapopulations and communities</w:t>
      </w:r>
      <w:r w:rsidRPr="003F7E48">
        <w:t>. Elsevier</w:t>
      </w:r>
      <w:r w:rsidR="00512A07" w:rsidRPr="003F7E48">
        <w:t xml:space="preserve"> Science</w:t>
      </w:r>
      <w:r w:rsidRPr="003F7E48">
        <w:t xml:space="preserve">. </w:t>
      </w:r>
    </w:p>
    <w:p w14:paraId="5B047BD9" w14:textId="16C0871F" w:rsidR="000165C4" w:rsidRPr="003F7E48" w:rsidRDefault="000165C4" w:rsidP="00B65397">
      <w:pPr>
        <w:pStyle w:val="EndNoteBibliography"/>
        <w:spacing w:after="0" w:line="480" w:lineRule="auto"/>
        <w:ind w:left="720" w:hanging="720"/>
      </w:pPr>
      <w:r>
        <w:t xml:space="preserve">Santicchia, F., Dantzer, B., van Kesteren, F., Palme, R., Martinoli, A., Ferrari, N., &amp; Wauters, L. A. (2018). Stress in biological invasions: Introduced invasive grey squirrels increase physiological stress in native Eurasian red squirrels. </w:t>
      </w:r>
      <w:r>
        <w:rPr>
          <w:i/>
          <w:iCs/>
        </w:rPr>
        <w:t>Journal of Animal Ecology</w:t>
      </w:r>
      <w:r>
        <w:t>,</w:t>
      </w:r>
      <w:r>
        <w:rPr>
          <w:i/>
          <w:iCs/>
        </w:rPr>
        <w:t xml:space="preserve"> 87</w:t>
      </w:r>
      <w:r>
        <w:t xml:space="preserve">(5), 1342-1352. </w:t>
      </w:r>
      <w:hyperlink r:id="rId35" w:history="1">
        <w:r>
          <w:rPr>
            <w:rStyle w:val="Hyperlink"/>
          </w:rPr>
          <w:t>https://doi.org/https://doi.org/10.1111/1365-2656.12853</w:t>
        </w:r>
      </w:hyperlink>
    </w:p>
    <w:p w14:paraId="2D5F278B" w14:textId="7A967D99" w:rsidR="00A14897" w:rsidRPr="003F7E48" w:rsidRDefault="00A14897" w:rsidP="00B65397">
      <w:pPr>
        <w:pStyle w:val="EndNoteBibliography"/>
        <w:spacing w:after="0" w:line="480" w:lineRule="auto"/>
        <w:ind w:left="720" w:hanging="720"/>
      </w:pPr>
      <w:r w:rsidRPr="003F7E48">
        <w:t xml:space="preserve">Sapolsky, R. M., Romero, L. M., &amp; Munck, A. U. (2000). How do glucocorticoids influence stress responses? Integrating permissive, suppressive, stimulatory, and preparative actions. </w:t>
      </w:r>
      <w:r w:rsidRPr="003F7E48">
        <w:rPr>
          <w:i/>
        </w:rPr>
        <w:t xml:space="preserve">Endocrine </w:t>
      </w:r>
      <w:r w:rsidR="00512A07" w:rsidRPr="003F7E48">
        <w:rPr>
          <w:i/>
        </w:rPr>
        <w:t>R</w:t>
      </w:r>
      <w:r w:rsidRPr="003F7E48">
        <w:rPr>
          <w:i/>
        </w:rPr>
        <w:t>eviews</w:t>
      </w:r>
      <w:r w:rsidRPr="003F7E48">
        <w:t>,</w:t>
      </w:r>
      <w:r w:rsidRPr="003F7E48">
        <w:rPr>
          <w:i/>
        </w:rPr>
        <w:t xml:space="preserve"> 21</w:t>
      </w:r>
      <w:r w:rsidRPr="003F7E48">
        <w:t xml:space="preserve">(1), 55-89. </w:t>
      </w:r>
      <w:hyperlink r:id="rId36" w:history="1">
        <w:r w:rsidR="00512A07" w:rsidRPr="003F7E48">
          <w:rPr>
            <w:rStyle w:val="Hyperlink"/>
            <w:color w:val="auto"/>
          </w:rPr>
          <w:t>https://doi.org/10.1210/edrv.21.1.0389</w:t>
        </w:r>
      </w:hyperlink>
    </w:p>
    <w:p w14:paraId="6C720B58" w14:textId="178B316D" w:rsidR="00A14897" w:rsidRPr="003F7E48" w:rsidRDefault="00A14897" w:rsidP="00B65397">
      <w:pPr>
        <w:pStyle w:val="EndNoteBibliography"/>
        <w:spacing w:after="0" w:line="480" w:lineRule="auto"/>
        <w:ind w:left="720" w:hanging="720"/>
      </w:pPr>
      <w:r w:rsidRPr="003F7E48">
        <w:t xml:space="preserve">Scasta, J. D., Beck, J. L., &amp; Angwin, C. J. (2016). Meta-analysis of diet composition and potential conflict of wild horses with livestock and wild ungulates on western rangelands of North America. </w:t>
      </w:r>
      <w:r w:rsidRPr="003F7E48">
        <w:rPr>
          <w:i/>
        </w:rPr>
        <w:t>Rangeland Ecology &amp; Management</w:t>
      </w:r>
      <w:r w:rsidRPr="003F7E48">
        <w:t>,</w:t>
      </w:r>
      <w:r w:rsidRPr="003F7E48">
        <w:rPr>
          <w:i/>
        </w:rPr>
        <w:t xml:space="preserve"> 69</w:t>
      </w:r>
      <w:r w:rsidRPr="003F7E48">
        <w:t xml:space="preserve">(4), 310-318. </w:t>
      </w:r>
      <w:hyperlink r:id="rId37" w:tgtFrame="_blank" w:tooltip="Persistent link using digital object identifier" w:history="1">
        <w:r w:rsidR="00C04BC3" w:rsidRPr="003F7E48">
          <w:rPr>
            <w:rStyle w:val="Hyperlink"/>
            <w:color w:val="auto"/>
          </w:rPr>
          <w:t>https://doi.org/10.1016/j.rama.2016.01.001</w:t>
        </w:r>
      </w:hyperlink>
    </w:p>
    <w:p w14:paraId="624C8925" w14:textId="77777777" w:rsidR="00A14897" w:rsidRPr="003F7E48" w:rsidRDefault="00A14897" w:rsidP="00B65397">
      <w:pPr>
        <w:pStyle w:val="EndNoteBibliography"/>
        <w:spacing w:after="0" w:line="480" w:lineRule="auto"/>
        <w:ind w:left="720" w:hanging="720"/>
      </w:pPr>
      <w:r w:rsidRPr="003F7E48">
        <w:t>Schroeder, M. A., Young, J. R., &amp; Braun, C. E. (2020). Greater Sage-Grouse  (Ce</w:t>
      </w:r>
      <w:r w:rsidRPr="003F7E48">
        <w:rPr>
          <w:i/>
        </w:rPr>
        <w:t>ntrocercus urophasianus)</w:t>
      </w:r>
      <w:r w:rsidRPr="003F7E48">
        <w:t xml:space="preserve">. In A. F. Poole &amp; F. B. Gill (Eds.), </w:t>
      </w:r>
      <w:r w:rsidRPr="003F7E48">
        <w:rPr>
          <w:i/>
        </w:rPr>
        <w:t>Birds of the World</w:t>
      </w:r>
      <w:r w:rsidRPr="003F7E48">
        <w:t xml:space="preserve"> (version 1.0 ed.). Ithaca, NY, USA: Cornell Lab of Ornithology.</w:t>
      </w:r>
    </w:p>
    <w:p w14:paraId="1A817C4B" w14:textId="6DFEC3E7" w:rsidR="00A14897" w:rsidRPr="003F7E48" w:rsidRDefault="00A14897" w:rsidP="00B65397">
      <w:pPr>
        <w:pStyle w:val="EndNoteBibliography"/>
        <w:spacing w:after="0" w:line="480" w:lineRule="auto"/>
        <w:ind w:left="720" w:hanging="720"/>
      </w:pPr>
      <w:r w:rsidRPr="003F7E48">
        <w:t xml:space="preserve">Sedinger, J. S. (1997). Adaptations to and consequences of an herbivorous diet in grouse and waterfowl. </w:t>
      </w:r>
      <w:r w:rsidR="00B66035" w:rsidRPr="003F7E48">
        <w:rPr>
          <w:i/>
        </w:rPr>
        <w:t xml:space="preserve">The </w:t>
      </w:r>
      <w:r w:rsidRPr="003F7E48">
        <w:rPr>
          <w:i/>
        </w:rPr>
        <w:t>Condor</w:t>
      </w:r>
      <w:r w:rsidRPr="003F7E48">
        <w:t>,</w:t>
      </w:r>
      <w:r w:rsidRPr="003F7E48">
        <w:rPr>
          <w:i/>
        </w:rPr>
        <w:t xml:space="preserve"> 99</w:t>
      </w:r>
      <w:r w:rsidRPr="003F7E48">
        <w:t xml:space="preserve">(2), 314-326. </w:t>
      </w:r>
      <w:hyperlink r:id="rId38" w:history="1">
        <w:r w:rsidR="00C04BC3" w:rsidRPr="003F7E48">
          <w:rPr>
            <w:rStyle w:val="Hyperlink"/>
            <w:color w:val="auto"/>
          </w:rPr>
          <w:t>https://doi.org/10.2307/1369937</w:t>
        </w:r>
      </w:hyperlink>
    </w:p>
    <w:p w14:paraId="702BBC22" w14:textId="0AB09C21" w:rsidR="00C04BC3" w:rsidRPr="003F7E48" w:rsidRDefault="00A14897" w:rsidP="00C04BC3">
      <w:pPr>
        <w:pStyle w:val="EndNoteBibliography"/>
        <w:spacing w:after="0" w:line="480" w:lineRule="auto"/>
        <w:ind w:left="720" w:hanging="720"/>
      </w:pPr>
      <w:r w:rsidRPr="003F7E48">
        <w:t xml:space="preserve">Smith, K. T., Pratt, A. C., LeVan, J. R., Rhea, A. M., &amp; Beck, J. L. (2019). Reconstructing Greater Sage-Grouse chick diets: Diet selection, body condition, and food availability at brood-rearing sites. </w:t>
      </w:r>
      <w:r w:rsidR="00B66035" w:rsidRPr="003F7E48">
        <w:rPr>
          <w:i/>
        </w:rPr>
        <w:t xml:space="preserve">The </w:t>
      </w:r>
      <w:r w:rsidRPr="003F7E48">
        <w:rPr>
          <w:i/>
        </w:rPr>
        <w:t>Condor: Ornithological Applications</w:t>
      </w:r>
      <w:r w:rsidRPr="003F7E48">
        <w:t>,</w:t>
      </w:r>
      <w:r w:rsidRPr="003F7E48">
        <w:rPr>
          <w:i/>
        </w:rPr>
        <w:t xml:space="preserve"> 121</w:t>
      </w:r>
      <w:r w:rsidRPr="003F7E48">
        <w:t xml:space="preserve">(1), duy012. </w:t>
      </w:r>
      <w:r w:rsidR="00C04BC3" w:rsidRPr="003F7E48">
        <w:tab/>
      </w:r>
    </w:p>
    <w:p w14:paraId="278ECA89" w14:textId="5ABC5828" w:rsidR="00A14897" w:rsidRPr="003F7E48" w:rsidRDefault="00C04BC3" w:rsidP="00C04BC3">
      <w:pPr>
        <w:pStyle w:val="EndNoteBibliography"/>
        <w:spacing w:after="0" w:line="480" w:lineRule="auto"/>
        <w:ind w:left="720" w:hanging="720"/>
      </w:pPr>
      <w:r w:rsidRPr="003F7E48">
        <w:tab/>
        <w:t>https://doi.org/10.1093/condor/duy012</w:t>
      </w:r>
    </w:p>
    <w:p w14:paraId="2B90A384" w14:textId="77777777" w:rsidR="00C04BC3" w:rsidRPr="003F7E48" w:rsidRDefault="00A14897" w:rsidP="00C04BC3">
      <w:pPr>
        <w:pStyle w:val="EndNoteBibliography"/>
        <w:spacing w:after="0" w:line="480" w:lineRule="auto"/>
        <w:ind w:left="720" w:hanging="720"/>
      </w:pPr>
      <w:r w:rsidRPr="003F7E48">
        <w:lastRenderedPageBreak/>
        <w:t xml:space="preserve">Snyder, K. A., Evers, L., Chambers, J. C., Dunham, J., Bradford, J. B., &amp; Loik, M. E. (2019). Effects of changing climate on the hydrological cycle in cold desert ecosystems of the Great Basin and Columbia Plateau. </w:t>
      </w:r>
      <w:r w:rsidRPr="003F7E48">
        <w:rPr>
          <w:i/>
        </w:rPr>
        <w:t>Rangeland Ecology &amp; Management</w:t>
      </w:r>
      <w:r w:rsidRPr="003F7E48">
        <w:t>,</w:t>
      </w:r>
      <w:r w:rsidRPr="003F7E48">
        <w:rPr>
          <w:i/>
        </w:rPr>
        <w:t xml:space="preserve"> 72</w:t>
      </w:r>
      <w:r w:rsidRPr="003F7E48">
        <w:t xml:space="preserve">(1), 1-12. </w:t>
      </w:r>
      <w:r w:rsidR="00C04BC3" w:rsidRPr="003F7E48">
        <w:tab/>
      </w:r>
    </w:p>
    <w:p w14:paraId="076173AA" w14:textId="231F958C" w:rsidR="00A14897" w:rsidRPr="003F7E48" w:rsidRDefault="00C04BC3" w:rsidP="00C04BC3">
      <w:pPr>
        <w:pStyle w:val="EndNoteBibliography"/>
        <w:spacing w:after="0" w:line="480" w:lineRule="auto"/>
        <w:ind w:left="720" w:hanging="720"/>
      </w:pPr>
      <w:r w:rsidRPr="003F7E48">
        <w:tab/>
        <w:t>https://doi.org/10.1016/j.rama.2018.07.007</w:t>
      </w:r>
    </w:p>
    <w:p w14:paraId="7AFD917F" w14:textId="181A3215" w:rsidR="00A14897" w:rsidRPr="003F7E48" w:rsidRDefault="00A14897" w:rsidP="00B65397">
      <w:pPr>
        <w:pStyle w:val="EndNoteBibliography"/>
        <w:spacing w:after="0" w:line="480" w:lineRule="auto"/>
        <w:ind w:left="720" w:hanging="720"/>
      </w:pPr>
      <w:r w:rsidRPr="003F7E48">
        <w:t xml:space="preserve">Sorenson, G. H., Dey, C. J., Madliger, C. L., &amp; Love, O. P. (2017). Effectiveness of baseline corticosterone as a monitoring tool for fitness: a meta-analysis in seabirds. </w:t>
      </w:r>
      <w:r w:rsidRPr="003F7E48">
        <w:rPr>
          <w:i/>
        </w:rPr>
        <w:t>Oecologia</w:t>
      </w:r>
      <w:r w:rsidRPr="003F7E48">
        <w:t>,</w:t>
      </w:r>
      <w:r w:rsidRPr="003F7E48">
        <w:rPr>
          <w:i/>
        </w:rPr>
        <w:t xml:space="preserve"> 183</w:t>
      </w:r>
      <w:r w:rsidRPr="003F7E48">
        <w:t xml:space="preserve">(2), 353-365. https://doi.org/10.1007/s00442-016-3774-3 </w:t>
      </w:r>
    </w:p>
    <w:p w14:paraId="410BB7A9" w14:textId="4CA1BCCC" w:rsidR="00A14897" w:rsidRPr="003F7E48" w:rsidRDefault="00A14897" w:rsidP="00B65397">
      <w:pPr>
        <w:pStyle w:val="EndNoteBibliography"/>
        <w:spacing w:after="0" w:line="480" w:lineRule="auto"/>
        <w:ind w:left="720" w:hanging="720"/>
      </w:pPr>
      <w:r w:rsidRPr="003F7E48">
        <w:t xml:space="preserve">Souchay, G., Gauthier, G., &amp; Pradel, R. (2014). To breed or not: a novel approach to estimate breeding propensity and potential trade‐offs in an Arctic‐nesting species. </w:t>
      </w:r>
      <w:r w:rsidRPr="003F7E48">
        <w:rPr>
          <w:i/>
        </w:rPr>
        <w:t>Ecology</w:t>
      </w:r>
      <w:r w:rsidRPr="003F7E48">
        <w:t>,</w:t>
      </w:r>
      <w:r w:rsidRPr="003F7E48">
        <w:rPr>
          <w:i/>
        </w:rPr>
        <w:t xml:space="preserve"> 95</w:t>
      </w:r>
      <w:r w:rsidRPr="003F7E48">
        <w:t xml:space="preserve">(10), 2745-2756. </w:t>
      </w:r>
      <w:r w:rsidR="00C04BC3" w:rsidRPr="003F7E48">
        <w:t>https://doi.org/10.1890/13-1277.1</w:t>
      </w:r>
    </w:p>
    <w:p w14:paraId="656E2644" w14:textId="359AF41F" w:rsidR="00A14897" w:rsidRPr="003F7E48" w:rsidRDefault="00A14897" w:rsidP="00B65397">
      <w:pPr>
        <w:pStyle w:val="EndNoteBibliography"/>
        <w:spacing w:after="0" w:line="480" w:lineRule="auto"/>
        <w:ind w:left="720" w:hanging="720"/>
      </w:pPr>
      <w:r w:rsidRPr="003F7E48">
        <w:t xml:space="preserve">Spear, D., &amp; Chown, S. L. (2009). Non‐indigenous ungulates as a threat to biodiversity. </w:t>
      </w:r>
      <w:r w:rsidRPr="003F7E48">
        <w:rPr>
          <w:i/>
        </w:rPr>
        <w:t>Journal of Zoology</w:t>
      </w:r>
      <w:r w:rsidRPr="003F7E48">
        <w:t>,</w:t>
      </w:r>
      <w:r w:rsidRPr="003F7E48">
        <w:rPr>
          <w:i/>
        </w:rPr>
        <w:t xml:space="preserve"> 279</w:t>
      </w:r>
      <w:r w:rsidRPr="003F7E48">
        <w:t xml:space="preserve">(1), 1-17. </w:t>
      </w:r>
      <w:r w:rsidR="00C04BC3" w:rsidRPr="003F7E48">
        <w:t>https://doi.org/10.1111/j.1469-7998.2009.00604.x</w:t>
      </w:r>
    </w:p>
    <w:p w14:paraId="1E1F7FFA" w14:textId="6D68EA92" w:rsidR="009F5BC5" w:rsidRDefault="009F5BC5" w:rsidP="00B65397">
      <w:pPr>
        <w:pStyle w:val="EndNoteBibliography"/>
        <w:spacing w:after="0" w:line="480" w:lineRule="auto"/>
        <w:ind w:left="720" w:hanging="720"/>
      </w:pPr>
      <w:r>
        <w:t>Street, P.A., Riecke, T.V., Williams, P.J., Behnke, T.L., &amp; Sedinger, J.S. (</w:t>
      </w:r>
      <w:r w:rsidRPr="00110703">
        <w:t>in press</w:t>
      </w:r>
      <w:r>
        <w:t xml:space="preserve">). Estimating survival and adoption rates of dependent juveniles. </w:t>
      </w:r>
      <w:r>
        <w:rPr>
          <w:i/>
        </w:rPr>
        <w:t>Ecology and Evolution.</w:t>
      </w:r>
      <w:r>
        <w:t xml:space="preserve"> </w:t>
      </w:r>
    </w:p>
    <w:p w14:paraId="204519A7" w14:textId="47DA55EF" w:rsidR="00A14897" w:rsidRPr="003F7E48" w:rsidRDefault="00A14897" w:rsidP="00B65397">
      <w:pPr>
        <w:pStyle w:val="EndNoteBibliography"/>
        <w:spacing w:after="0" w:line="480" w:lineRule="auto"/>
        <w:ind w:left="720" w:hanging="720"/>
      </w:pPr>
      <w:r w:rsidRPr="003F7E48">
        <w:t xml:space="preserve">Street, P. A. (2020). </w:t>
      </w:r>
      <w:r w:rsidRPr="003F7E48">
        <w:rPr>
          <w:i/>
        </w:rPr>
        <w:t>Greater Sage-grouse habitat and demographic response to grazing by non-native ungulates</w:t>
      </w:r>
      <w:r w:rsidR="00C04BC3" w:rsidRPr="003F7E48">
        <w:rPr>
          <w:i/>
        </w:rPr>
        <w:t xml:space="preserve">. </w:t>
      </w:r>
      <w:r w:rsidR="00C04BC3" w:rsidRPr="003F7E48">
        <w:t>[Doctoral</w:t>
      </w:r>
      <w:r w:rsidR="00C04BC3" w:rsidRPr="003F7E48">
        <w:rPr>
          <w:i/>
        </w:rPr>
        <w:t xml:space="preserve"> </w:t>
      </w:r>
      <w:r w:rsidR="00C04BC3" w:rsidRPr="003F7E48">
        <w:t>Dissertation, University of Nevada, Reno]</w:t>
      </w:r>
      <w:r w:rsidRPr="003F7E48">
        <w:t xml:space="preserve">. </w:t>
      </w:r>
    </w:p>
    <w:p w14:paraId="1351E205" w14:textId="381A1444" w:rsidR="00A14897" w:rsidRPr="003F7E48" w:rsidRDefault="00A14897" w:rsidP="00B65397">
      <w:pPr>
        <w:pStyle w:val="EndNoteBibliography"/>
        <w:spacing w:after="0" w:line="480" w:lineRule="auto"/>
        <w:ind w:left="720" w:hanging="720"/>
      </w:pPr>
      <w:r w:rsidRPr="003F7E48">
        <w:t xml:space="preserve">U.S. Fish and Wildlife Service. </w:t>
      </w:r>
      <w:r w:rsidRPr="003F7E48">
        <w:rPr>
          <w:i/>
        </w:rPr>
        <w:t>Hart Mountain National Antelope Refuge</w:t>
      </w:r>
      <w:r w:rsidRPr="003F7E48">
        <w:t>. Retrieved June 6, 2021 from https://www.fws.gov/refuge/Hart_Mountain/</w:t>
      </w:r>
    </w:p>
    <w:p w14:paraId="35F60220" w14:textId="493CFF87" w:rsidR="00A14897" w:rsidRDefault="00A14897" w:rsidP="00B65397">
      <w:pPr>
        <w:pStyle w:val="EndNoteBibliography"/>
        <w:spacing w:after="0" w:line="480" w:lineRule="auto"/>
        <w:ind w:left="720" w:hanging="720"/>
      </w:pPr>
      <w:r w:rsidRPr="003F7E48">
        <w:t xml:space="preserve">U.S. Fish and Wildlife Service. </w:t>
      </w:r>
      <w:r w:rsidRPr="003F7E48">
        <w:rPr>
          <w:i/>
        </w:rPr>
        <w:t>Sheldon National Wildlife Refuge</w:t>
      </w:r>
      <w:r w:rsidRPr="003F7E48">
        <w:t xml:space="preserve">. Retrieved June 6, 2021 from </w:t>
      </w:r>
      <w:r w:rsidR="000165C4" w:rsidRPr="00C96610">
        <w:t>https://www.fws.gov/refuge/Sheldon/</w:t>
      </w:r>
    </w:p>
    <w:p w14:paraId="2291FE2C" w14:textId="2231295D" w:rsidR="000165C4" w:rsidRPr="003F7E48" w:rsidRDefault="000165C4" w:rsidP="00B65397">
      <w:pPr>
        <w:pStyle w:val="EndNoteBibliography"/>
        <w:spacing w:after="0" w:line="480" w:lineRule="auto"/>
        <w:ind w:left="720" w:hanging="720"/>
      </w:pPr>
      <w:r>
        <w:t xml:space="preserve">Van Zwol, J. A., Neff, B. D., &amp; Wilson, C. C. (2012). The influence of non-native salmonids on circulating hormone concentrations in juvenile Atlantic salmon. </w:t>
      </w:r>
      <w:r>
        <w:rPr>
          <w:i/>
          <w:iCs/>
        </w:rPr>
        <w:t>Animal Behaviour</w:t>
      </w:r>
      <w:r>
        <w:t>,</w:t>
      </w:r>
      <w:r>
        <w:rPr>
          <w:i/>
          <w:iCs/>
        </w:rPr>
        <w:t xml:space="preserve"> 83</w:t>
      </w:r>
      <w:r>
        <w:t xml:space="preserve">(1), 119-129. </w:t>
      </w:r>
      <w:hyperlink r:id="rId39" w:history="1">
        <w:r>
          <w:rPr>
            <w:rStyle w:val="Hyperlink"/>
          </w:rPr>
          <w:t>https://doi.org/https://doi.org/10.1016/j.anbehav.2011.10.015</w:t>
        </w:r>
      </w:hyperlink>
    </w:p>
    <w:p w14:paraId="7733370E" w14:textId="73B2AA3F" w:rsidR="00A14897" w:rsidRPr="003F7E48" w:rsidRDefault="00A14897" w:rsidP="00B65397">
      <w:pPr>
        <w:pStyle w:val="EndNoteBibliography"/>
        <w:spacing w:after="0" w:line="480" w:lineRule="auto"/>
        <w:ind w:left="720" w:hanging="720"/>
      </w:pPr>
      <w:r w:rsidRPr="003F7E48">
        <w:lastRenderedPageBreak/>
        <w:t xml:space="preserve">Veblen, K. E., Nehring, K. C., McGlone, C. M., &amp; Ritchie, M. E. (2015). Contrasting effects of different mammalian herbivores on sagebrush plant communities. </w:t>
      </w:r>
      <w:r w:rsidRPr="003F7E48">
        <w:rPr>
          <w:i/>
        </w:rPr>
        <w:t>PLoS One</w:t>
      </w:r>
      <w:r w:rsidRPr="003F7E48">
        <w:t>,</w:t>
      </w:r>
      <w:r w:rsidRPr="003F7E48">
        <w:rPr>
          <w:i/>
        </w:rPr>
        <w:t xml:space="preserve"> 10</w:t>
      </w:r>
      <w:r w:rsidRPr="003F7E48">
        <w:t xml:space="preserve">(2), e0118016. </w:t>
      </w:r>
      <w:hyperlink r:id="rId40" w:history="1">
        <w:r w:rsidR="00C04BC3" w:rsidRPr="003F7E48">
          <w:rPr>
            <w:rStyle w:val="Hyperlink"/>
            <w:color w:val="auto"/>
          </w:rPr>
          <w:t>https://doi.org/10.1371/journal.pone.0118016</w:t>
        </w:r>
      </w:hyperlink>
    </w:p>
    <w:p w14:paraId="53EA45AF" w14:textId="494ECB09" w:rsidR="00A14897" w:rsidRPr="003F7E48" w:rsidRDefault="00A14897" w:rsidP="00B65397">
      <w:pPr>
        <w:pStyle w:val="EndNoteBibliography"/>
        <w:spacing w:after="0" w:line="480" w:lineRule="auto"/>
        <w:ind w:left="720" w:hanging="720"/>
      </w:pPr>
      <w:r w:rsidRPr="003F7E48">
        <w:t xml:space="preserve">Vera, F., Zenuto, R., &amp; Antenucci, C. D. (2017). Expanding the actions of cortisol and corticosterone in wild vertebrates: A necessary step to overcome the emerging challenges. </w:t>
      </w:r>
      <w:r w:rsidRPr="003F7E48">
        <w:rPr>
          <w:i/>
        </w:rPr>
        <w:t>General and Comparative Endocrinology</w:t>
      </w:r>
      <w:r w:rsidRPr="003F7E48">
        <w:t>,</w:t>
      </w:r>
      <w:r w:rsidRPr="003F7E48">
        <w:rPr>
          <w:i/>
        </w:rPr>
        <w:t xml:space="preserve"> 246</w:t>
      </w:r>
      <w:r w:rsidRPr="003F7E48">
        <w:t xml:space="preserve">, 337-353. https://doi.org/10.1016/j.ygcen.2017.01.010 </w:t>
      </w:r>
    </w:p>
    <w:p w14:paraId="174A48FF" w14:textId="6923FBC3" w:rsidR="00A14897" w:rsidRPr="003F7E48" w:rsidRDefault="00A14897" w:rsidP="00B65397">
      <w:pPr>
        <w:pStyle w:val="EndNoteBibliography"/>
        <w:spacing w:after="0" w:line="480" w:lineRule="auto"/>
        <w:ind w:left="720" w:hanging="720"/>
      </w:pPr>
      <w:r w:rsidRPr="003F7E48">
        <w:t xml:space="preserve">Volery, L., Jatavallabhula, D., Scillitani, L., Bertolino, S., &amp; Bacher, S. (2021). Ranking alien species based on their risks of causing environmental impacts: A global assessment of alien ungulates. </w:t>
      </w:r>
      <w:r w:rsidRPr="003F7E48">
        <w:rPr>
          <w:i/>
        </w:rPr>
        <w:t>Global Change Biology</w:t>
      </w:r>
      <w:r w:rsidRPr="003F7E48">
        <w:t>,</w:t>
      </w:r>
      <w:r w:rsidRPr="003F7E48">
        <w:rPr>
          <w:i/>
        </w:rPr>
        <w:t xml:space="preserve"> 27</w:t>
      </w:r>
      <w:r w:rsidRPr="003F7E48">
        <w:t xml:space="preserve">(5), 1003-1016. </w:t>
      </w:r>
      <w:r w:rsidR="00C04BC3" w:rsidRPr="003F7E48">
        <w:t>https://doi.org/10.1111/gcb.15467</w:t>
      </w:r>
    </w:p>
    <w:p w14:paraId="13BE800F" w14:textId="2A5D3D6F" w:rsidR="00A14897" w:rsidRPr="003F7E48" w:rsidRDefault="00A14897" w:rsidP="00B65397">
      <w:pPr>
        <w:pStyle w:val="EndNoteBibliography"/>
        <w:spacing w:after="0" w:line="480" w:lineRule="auto"/>
        <w:ind w:left="720" w:hanging="720"/>
      </w:pPr>
      <w:r w:rsidRPr="003F7E48">
        <w:t xml:space="preserve">Warren, J. M., Cutting, K. A., Takekawa, J. Y., De La Cruz, S. E., Williams, T. D., &amp; Koons, D. N. (2014). Previous success and current body condition determine breeding propensity in lesser scaup: evidence for the individual heterogeneity hypothesis. </w:t>
      </w:r>
      <w:r w:rsidRPr="003F7E48">
        <w:rPr>
          <w:i/>
        </w:rPr>
        <w:t>The Auk: Ornithological Advances</w:t>
      </w:r>
      <w:r w:rsidRPr="003F7E48">
        <w:t>,</w:t>
      </w:r>
      <w:r w:rsidRPr="003F7E48">
        <w:rPr>
          <w:i/>
        </w:rPr>
        <w:t xml:space="preserve"> 131</w:t>
      </w:r>
      <w:r w:rsidRPr="003F7E48">
        <w:t xml:space="preserve">(3), 287-297. </w:t>
      </w:r>
      <w:hyperlink r:id="rId41" w:history="1">
        <w:r w:rsidR="00D914F9" w:rsidRPr="003F7E48">
          <w:rPr>
            <w:rStyle w:val="Hyperlink"/>
            <w:color w:val="auto"/>
          </w:rPr>
          <w:t>https://doi.org/10.1642/AUK-13-236.1</w:t>
        </w:r>
      </w:hyperlink>
    </w:p>
    <w:p w14:paraId="08CB73F3" w14:textId="1A565EC3" w:rsidR="00A14897" w:rsidRPr="003F7E48" w:rsidRDefault="00A14897" w:rsidP="00B65397">
      <w:pPr>
        <w:pStyle w:val="EndNoteBibliography"/>
        <w:spacing w:after="0" w:line="480" w:lineRule="auto"/>
        <w:ind w:left="720" w:hanging="720"/>
      </w:pPr>
      <w:r w:rsidRPr="003F7E48">
        <w:t xml:space="preserve">Will, A., Watanuki, Y., Kikuchi, D. M., Sato, N., Ito, M., Callahan, M., . . . Kitaysky, A. (2015). Feather corticosterone reveals stress associated with dietary changes in a breeding seabird. </w:t>
      </w:r>
      <w:r w:rsidRPr="003F7E48">
        <w:rPr>
          <w:i/>
        </w:rPr>
        <w:t>Ecology and Evolution</w:t>
      </w:r>
      <w:r w:rsidRPr="003F7E48">
        <w:t>,</w:t>
      </w:r>
      <w:r w:rsidRPr="003F7E48">
        <w:rPr>
          <w:i/>
        </w:rPr>
        <w:t xml:space="preserve"> 5</w:t>
      </w:r>
      <w:r w:rsidRPr="003F7E48">
        <w:t xml:space="preserve">(19), 4221-4232. https://doi.org/10.1002/ece3.1694 </w:t>
      </w:r>
    </w:p>
    <w:p w14:paraId="25633A4C" w14:textId="3E3C5191" w:rsidR="00A14897" w:rsidRPr="003F7E48" w:rsidRDefault="00A14897" w:rsidP="00B65397">
      <w:pPr>
        <w:pStyle w:val="EndNoteBibliography"/>
        <w:spacing w:after="0" w:line="480" w:lineRule="auto"/>
        <w:ind w:left="720" w:hanging="720"/>
      </w:pPr>
      <w:r w:rsidRPr="003F7E48">
        <w:t xml:space="preserve">Williams, C. T., Kitaysky, A. S., Kettle, A. B., &amp; Buck, C. L. (2008). Corticosterone levels of tufted puffins vary with breeding stage, body condition index, and reproductive performance. </w:t>
      </w:r>
      <w:r w:rsidRPr="003F7E48">
        <w:rPr>
          <w:i/>
        </w:rPr>
        <w:t>General and Comparative Endocrinology</w:t>
      </w:r>
      <w:r w:rsidRPr="003F7E48">
        <w:t>,</w:t>
      </w:r>
      <w:r w:rsidRPr="003F7E48">
        <w:rPr>
          <w:i/>
        </w:rPr>
        <w:t xml:space="preserve"> 158</w:t>
      </w:r>
      <w:r w:rsidRPr="003F7E48">
        <w:t xml:space="preserve">(1), 29-35. </w:t>
      </w:r>
      <w:hyperlink r:id="rId42" w:tgtFrame="_blank" w:tooltip="Persistent link using digital object identifier" w:history="1">
        <w:r w:rsidR="00D914F9" w:rsidRPr="003F7E48">
          <w:rPr>
            <w:rStyle w:val="Hyperlink"/>
            <w:color w:val="auto"/>
          </w:rPr>
          <w:t>https://doi.org/10.1016/j.ygcen.2008.04.018</w:t>
        </w:r>
      </w:hyperlink>
    </w:p>
    <w:p w14:paraId="160AB37D" w14:textId="6656E984" w:rsidR="00A14897" w:rsidRPr="003F7E48" w:rsidRDefault="00A14897" w:rsidP="00B65397">
      <w:pPr>
        <w:pStyle w:val="EndNoteBibliography"/>
        <w:spacing w:after="0" w:line="480" w:lineRule="auto"/>
        <w:ind w:left="720" w:hanging="720"/>
      </w:pPr>
      <w:r w:rsidRPr="003F7E48">
        <w:lastRenderedPageBreak/>
        <w:t xml:space="preserve">Williamson, M. A., Fleishman, E., Mac Nally, R. C., Chambers, J. C., Bradley, B. A., Dobkin, D. S., . . . Leu, M. (2020). Fire, livestock grazing, topography, and precipitation affect occurrence and prevalence of cheatgrass (Bromus tectorum) in the central Great Basin, USA. </w:t>
      </w:r>
      <w:r w:rsidRPr="003F7E48">
        <w:rPr>
          <w:i/>
        </w:rPr>
        <w:t>Biological Invasions</w:t>
      </w:r>
      <w:r w:rsidRPr="003F7E48">
        <w:t>,</w:t>
      </w:r>
      <w:r w:rsidRPr="003F7E48">
        <w:rPr>
          <w:i/>
        </w:rPr>
        <w:t xml:space="preserve"> 22</w:t>
      </w:r>
      <w:r w:rsidRPr="003F7E48">
        <w:t xml:space="preserve">(2), 663-680. </w:t>
      </w:r>
      <w:r w:rsidR="00D914F9" w:rsidRPr="003F7E48">
        <w:t>https://doi.org/10.1007/s10530-019-02120-8</w:t>
      </w:r>
    </w:p>
    <w:p w14:paraId="3BFF197C" w14:textId="3CF348AB" w:rsidR="00A14897" w:rsidRPr="003F7E48" w:rsidRDefault="00A14897" w:rsidP="00B65397">
      <w:pPr>
        <w:pStyle w:val="EndNoteBibliography"/>
        <w:spacing w:after="0" w:line="480" w:lineRule="auto"/>
        <w:ind w:left="720" w:hanging="720"/>
      </w:pPr>
      <w:r w:rsidRPr="003F7E48">
        <w:t xml:space="preserve">Wingfield, J. C., Hunt, K., Breuner, C., Dunlap, K., Fowler, G. S., Freed, L., &amp; Lepson, J. (1997). Environmental stress, field endocrinology, and conservation biology. </w:t>
      </w:r>
      <w:r w:rsidR="00F0272B" w:rsidRPr="003F7E48">
        <w:t>In: J.R. Clemmons &amp; R. Buchholz</w:t>
      </w:r>
      <w:r w:rsidR="00D914F9" w:rsidRPr="003F7E48">
        <w:t xml:space="preserve"> (Eds.)</w:t>
      </w:r>
      <w:r w:rsidR="00F0272B" w:rsidRPr="003F7E48">
        <w:t xml:space="preserve">. </w:t>
      </w:r>
      <w:r w:rsidRPr="003F7E48">
        <w:rPr>
          <w:i/>
        </w:rPr>
        <w:t xml:space="preserve">Behavioral </w:t>
      </w:r>
      <w:r w:rsidR="00EB0373" w:rsidRPr="003F7E48">
        <w:rPr>
          <w:i/>
        </w:rPr>
        <w:t>Approaches to Conservation in the Wild</w:t>
      </w:r>
      <w:r w:rsidR="00F0272B" w:rsidRPr="003F7E48">
        <w:t xml:space="preserve">. </w:t>
      </w:r>
      <w:r w:rsidR="00D914F9" w:rsidRPr="003F7E48">
        <w:t xml:space="preserve">95-131. </w:t>
      </w:r>
      <w:r w:rsidR="00F0272B" w:rsidRPr="003F7E48">
        <w:t>Cambridge University P</w:t>
      </w:r>
      <w:r w:rsidR="00D914F9" w:rsidRPr="003F7E48">
        <w:t>ress.</w:t>
      </w:r>
    </w:p>
    <w:p w14:paraId="4AD0CBEC" w14:textId="0B923536" w:rsidR="00A14897" w:rsidRPr="003F7E48" w:rsidRDefault="00A14897" w:rsidP="00B65397">
      <w:pPr>
        <w:pStyle w:val="EndNoteBibliography"/>
        <w:spacing w:after="0" w:line="480" w:lineRule="auto"/>
        <w:ind w:left="720" w:hanging="720"/>
      </w:pPr>
      <w:r w:rsidRPr="003F7E48">
        <w:t xml:space="preserve">Wingfield, J. C., Perez, J. H., Krause, J. S., Word, K. R., Gonzalez-Gomez, P. L., Lisovski, S., &amp; Chmura, H. E. (2017). How birds cope physiologically and behaviourally with extreme climatic events. </w:t>
      </w:r>
      <w:r w:rsidRPr="003F7E48">
        <w:rPr>
          <w:i/>
        </w:rPr>
        <w:t>Philosophical Transactions of the Royal Society B-Biological Sciences</w:t>
      </w:r>
      <w:r w:rsidRPr="003F7E48">
        <w:t>,</w:t>
      </w:r>
      <w:r w:rsidRPr="003F7E48">
        <w:rPr>
          <w:i/>
        </w:rPr>
        <w:t xml:space="preserve"> 372</w:t>
      </w:r>
      <w:r w:rsidRPr="003F7E48">
        <w:t xml:space="preserve">(1723), Article 20160140. https://doi.org/10.1098/rstb.2016.0140 </w:t>
      </w:r>
    </w:p>
    <w:p w14:paraId="7ABA6E64" w14:textId="14B55CC7" w:rsidR="00A14897" w:rsidRPr="003F7E48" w:rsidRDefault="00A14897" w:rsidP="00B65397">
      <w:pPr>
        <w:pStyle w:val="EndNoteBibliography"/>
        <w:spacing w:after="0" w:line="480" w:lineRule="auto"/>
        <w:ind w:left="720" w:hanging="720"/>
      </w:pPr>
      <w:r w:rsidRPr="003F7E48">
        <w:t xml:space="preserve">Wingfield, J. C., &amp; Sapolsky, R. M. (2003). Reproduction and resistance to stress: when and how. </w:t>
      </w:r>
      <w:r w:rsidRPr="003F7E48">
        <w:rPr>
          <w:i/>
        </w:rPr>
        <w:t xml:space="preserve">Journal of </w:t>
      </w:r>
      <w:r w:rsidR="00EB0373" w:rsidRPr="003F7E48">
        <w:rPr>
          <w:i/>
        </w:rPr>
        <w:t>Neuroendocrinology</w:t>
      </w:r>
      <w:r w:rsidRPr="003F7E48">
        <w:t>,</w:t>
      </w:r>
      <w:r w:rsidRPr="003F7E48">
        <w:rPr>
          <w:i/>
        </w:rPr>
        <w:t xml:space="preserve"> 15</w:t>
      </w:r>
      <w:r w:rsidRPr="003F7E48">
        <w:t xml:space="preserve">(8), 711-724. </w:t>
      </w:r>
      <w:hyperlink r:id="rId43" w:history="1">
        <w:r w:rsidR="00F0272B" w:rsidRPr="003F7E48">
          <w:rPr>
            <w:rStyle w:val="Hyperlink"/>
            <w:color w:val="auto"/>
          </w:rPr>
          <w:t>https://doi.org/10.1046/j.1365-2826.2003.01033.x</w:t>
        </w:r>
      </w:hyperlink>
    </w:p>
    <w:p w14:paraId="759AC3D6" w14:textId="03A5CEE3" w:rsidR="00A14897" w:rsidRPr="003F7E48" w:rsidRDefault="00A14897" w:rsidP="00B65397">
      <w:pPr>
        <w:pStyle w:val="EndNoteBibliography"/>
        <w:spacing w:line="480" w:lineRule="auto"/>
        <w:ind w:left="720" w:hanging="720"/>
      </w:pPr>
      <w:r w:rsidRPr="003F7E48">
        <w:t xml:space="preserve">Zeigenfuss, L. C., Schoenecker, K. A., Ransom, J. I., Ignizio, D. A., &amp; Mask, T. (2014). Influence of nonnative and native ungulate biomass and seasonal precipitation on vegetation production in a Great Basin Ecosystem. </w:t>
      </w:r>
      <w:r w:rsidRPr="003F7E48">
        <w:rPr>
          <w:i/>
        </w:rPr>
        <w:t>Western North American Naturalist</w:t>
      </w:r>
      <w:r w:rsidRPr="003F7E48">
        <w:t>,</w:t>
      </w:r>
      <w:r w:rsidRPr="003F7E48">
        <w:rPr>
          <w:i/>
        </w:rPr>
        <w:t xml:space="preserve"> 74</w:t>
      </w:r>
      <w:r w:rsidRPr="003F7E48">
        <w:t xml:space="preserve">(3), 286-298. </w:t>
      </w:r>
      <w:r w:rsidR="00EB0373" w:rsidRPr="003F7E48">
        <w:rPr>
          <w:shd w:val="clear" w:color="auto" w:fill="FFFFFF"/>
        </w:rPr>
        <w:t>http://www.jstor.org/stable/24644405</w:t>
      </w:r>
    </w:p>
    <w:p w14:paraId="7736E0F9" w14:textId="02C7D355" w:rsidR="009F082F" w:rsidRPr="00487B76" w:rsidRDefault="009F082F" w:rsidP="009F082F">
      <w:pPr>
        <w:spacing w:after="0" w:line="480" w:lineRule="auto"/>
      </w:pPr>
    </w:p>
    <w:p w14:paraId="7C9F8DF4" w14:textId="77777777" w:rsidR="00B66035" w:rsidRDefault="00B66035">
      <w:r>
        <w:br w:type="page"/>
      </w:r>
    </w:p>
    <w:p w14:paraId="3DA40402" w14:textId="1DE4DB03" w:rsidR="003F1DB5" w:rsidRDefault="009958A0" w:rsidP="003F1DB5">
      <w:pPr>
        <w:pStyle w:val="Heading2"/>
      </w:pPr>
      <w:r>
        <w:lastRenderedPageBreak/>
        <w:t>Figures</w:t>
      </w:r>
      <w:r w:rsidR="009F082F">
        <w:t xml:space="preserve"> </w:t>
      </w:r>
      <w:bookmarkStart w:id="7" w:name="demographic-model"/>
      <w:bookmarkStart w:id="8" w:name="Xbc5e180a35abb026a8c711d25a3530038443880"/>
      <w:bookmarkEnd w:id="7"/>
      <w:r w:rsidR="003956C6">
        <w:t>Legends</w:t>
      </w:r>
    </w:p>
    <w:p w14:paraId="26D5E420" w14:textId="77777777" w:rsidR="003039E6" w:rsidRDefault="003F1DB5" w:rsidP="003039E6">
      <w:pPr>
        <w:spacing w:after="0" w:line="480" w:lineRule="auto"/>
      </w:pPr>
      <w:r>
        <w:t xml:space="preserve">Figure 1. Photo of female Greater Sage-grouse with brood in </w:t>
      </w:r>
      <w:r w:rsidR="003039E6">
        <w:t xml:space="preserve">dry </w:t>
      </w:r>
      <w:r>
        <w:t>late summer</w:t>
      </w:r>
      <w:r w:rsidR="003039E6">
        <w:t xml:space="preserve"> habitat</w:t>
      </w:r>
      <w:r>
        <w:t>, northwestern Nevada.</w:t>
      </w:r>
    </w:p>
    <w:p w14:paraId="1B4DFC7E" w14:textId="422E0FDB" w:rsidR="003039E6" w:rsidRDefault="003039E6" w:rsidP="003039E6">
      <w:pPr>
        <w:spacing w:after="0" w:line="480" w:lineRule="auto"/>
        <w:rPr>
          <w:rFonts w:eastAsia="Times New Roman" w:cs="Times New Roman"/>
          <w:snapToGrid w:val="0"/>
          <w:color w:val="000000"/>
          <w:w w:val="0"/>
          <w:sz w:val="0"/>
          <w:szCs w:val="0"/>
          <w:u w:color="000000"/>
          <w:bdr w:val="none" w:sz="0" w:space="0" w:color="000000"/>
          <w:shd w:val="clear" w:color="000000" w:fill="000000"/>
          <w:lang w:val="x-none" w:eastAsia="x-none" w:bidi="x-none"/>
        </w:rPr>
      </w:pPr>
      <w:r>
        <w:t>Figure 2</w:t>
      </w:r>
      <w:r w:rsidR="0035600C">
        <w:t xml:space="preserve">. Study area map showing areas with horses, cows, or both during the course of the study. Bird locations include all </w:t>
      </w:r>
      <w:r w:rsidR="00F669EB">
        <w:t xml:space="preserve">known locations of the birds with fCort measurements. </w:t>
      </w:r>
      <w:r w:rsidR="00521A28">
        <w:t xml:space="preserve">Hart Mountain was the northern-most area, while Sheldon was the approximately </w:t>
      </w:r>
      <w:proofErr w:type="spellStart"/>
      <w:r w:rsidR="00521A28">
        <w:t>rectnaangular</w:t>
      </w:r>
      <w:proofErr w:type="spellEnd"/>
      <w:r w:rsidR="00521A28">
        <w:t xml:space="preserve"> area on the Oregon border.  BLM managed lands containing cattle allotments and horse management areas were the remainder of the area. </w:t>
      </w:r>
      <w:r w:rsidR="0035600C">
        <w:t xml:space="preserve">Note- Hart Mountain did have a few horses (&lt;31) in 2012-2013, but these were not in the same areas as monitored sage-grouse. </w:t>
      </w:r>
      <w:r w:rsidR="002247F5" w:rsidRPr="002247F5">
        <w:rPr>
          <w:rFonts w:eastAsia="Times New Roman" w:cs="Times New Roman"/>
          <w:snapToGrid w:val="0"/>
          <w:color w:val="000000"/>
          <w:w w:val="0"/>
          <w:sz w:val="0"/>
          <w:szCs w:val="0"/>
          <w:u w:color="000000"/>
          <w:bdr w:val="none" w:sz="0" w:space="0" w:color="000000"/>
          <w:shd w:val="clear" w:color="000000" w:fill="000000"/>
          <w:lang w:val="x-none" w:eastAsia="x-none" w:bidi="x-none"/>
        </w:rPr>
        <w:t xml:space="preserve"> </w:t>
      </w:r>
    </w:p>
    <w:p w14:paraId="5709B7A2" w14:textId="5822C68C" w:rsidR="003039E6" w:rsidRDefault="003039E6" w:rsidP="003039E6">
      <w:pPr>
        <w:spacing w:after="0" w:line="480" w:lineRule="auto"/>
      </w:pPr>
      <w:r>
        <w:t>Figure 3</w:t>
      </w:r>
      <w:r w:rsidR="009958A0">
        <w:t xml:space="preserve">. </w:t>
      </w:r>
      <w:r w:rsidR="00C27AB8">
        <w:t>Interaction</w:t>
      </w:r>
      <w:r w:rsidR="009958A0">
        <w:t xml:space="preserve"> effects of horses</w:t>
      </w:r>
      <w:r w:rsidR="00C27AB8">
        <w:t xml:space="preserve"> (horse use days per</w:t>
      </w:r>
      <w:r w:rsidR="009958A0">
        <w:t xml:space="preserve"> </w:t>
      </w:r>
      <w:r w:rsidR="00C27AB8">
        <w:t>km</w:t>
      </w:r>
      <w:r w:rsidR="00C27AB8">
        <w:rPr>
          <w:vertAlign w:val="superscript"/>
        </w:rPr>
        <w:t>2</w:t>
      </w:r>
      <w:r w:rsidR="0020594B">
        <w:t>)</w:t>
      </w:r>
      <w:r w:rsidR="00C27AB8">
        <w:t xml:space="preserve"> </w:t>
      </w:r>
      <w:r w:rsidR="009958A0">
        <w:t>and annual precipitation</w:t>
      </w:r>
      <w:r w:rsidR="00C27AB8">
        <w:t xml:space="preserve"> (mm)</w:t>
      </w:r>
      <w:r w:rsidR="0020594B">
        <w:t xml:space="preserve"> on fCort (</w:t>
      </w:r>
      <w:proofErr w:type="spellStart"/>
      <w:r w:rsidR="0020594B">
        <w:t>pg</w:t>
      </w:r>
      <w:proofErr w:type="spellEnd"/>
      <w:r w:rsidR="0020594B">
        <w:t>/mm feather), at the mean of all other covariates</w:t>
      </w:r>
      <w:r w:rsidR="009958A0">
        <w:t>.</w:t>
      </w:r>
      <w:r w:rsidR="00651F2B">
        <w:t xml:space="preserve"> </w:t>
      </w:r>
      <w:r w:rsidR="00C27AB8">
        <w:t>G</w:t>
      </w:r>
      <w:r w:rsidR="00651F2B">
        <w:t>rid surface re</w:t>
      </w:r>
      <w:r w:rsidR="00AC1FC4">
        <w:t xml:space="preserve">presents the estimated </w:t>
      </w:r>
      <w:r w:rsidR="00C27AB8">
        <w:t xml:space="preserve">interaction of </w:t>
      </w:r>
      <w:r w:rsidR="00AC1FC4">
        <w:t>effects</w:t>
      </w:r>
      <w:r w:rsidR="0020594B">
        <w:t xml:space="preserve"> from the full model</w:t>
      </w:r>
      <w:r w:rsidR="00AC1FC4">
        <w:t xml:space="preserve">. </w:t>
      </w:r>
      <w:r w:rsidR="007C4D03">
        <w:t>P</w:t>
      </w:r>
      <w:r w:rsidR="00651F2B">
        <w:t>oints are observed values</w:t>
      </w:r>
      <w:r w:rsidR="00AC1FC4">
        <w:t xml:space="preserve"> of fCort</w:t>
      </w:r>
      <w:r w:rsidR="007C4D03">
        <w:t xml:space="preserve"> with lines to corresponding location on the grid surface</w:t>
      </w:r>
      <w:r w:rsidR="0087037F">
        <w:t xml:space="preserve">; right color bar represents </w:t>
      </w:r>
      <w:r w:rsidR="007C4D03">
        <w:t xml:space="preserve">these fCort measurements in </w:t>
      </w:r>
      <w:proofErr w:type="spellStart"/>
      <w:r w:rsidR="007C4D03">
        <w:t>pg</w:t>
      </w:r>
      <w:proofErr w:type="spellEnd"/>
      <w:r w:rsidR="007C4D03">
        <w:t>/mm</w:t>
      </w:r>
      <w:r w:rsidR="00651F2B">
        <w:t>.</w:t>
      </w:r>
      <w:bookmarkStart w:id="9" w:name="Xd0f3c872d8274efcf80f2160e2a4835f46c6b19"/>
      <w:bookmarkEnd w:id="8"/>
    </w:p>
    <w:p w14:paraId="248218B6" w14:textId="0CEF8C5E" w:rsidR="003039E6" w:rsidRDefault="003039E6" w:rsidP="003039E6">
      <w:pPr>
        <w:spacing w:after="0" w:line="480" w:lineRule="auto"/>
      </w:pPr>
      <w:r>
        <w:t>Figure 4</w:t>
      </w:r>
      <w:r w:rsidR="009958A0">
        <w:t xml:space="preserve">. </w:t>
      </w:r>
      <w:r w:rsidR="0020594B">
        <w:t>Interaction effects of cows (cow use days per km</w:t>
      </w:r>
      <w:r w:rsidR="0020594B">
        <w:rPr>
          <w:vertAlign w:val="superscript"/>
        </w:rPr>
        <w:t>2</w:t>
      </w:r>
      <w:r w:rsidR="0020594B">
        <w:t>) and annual precipitation (mm) on fCort (</w:t>
      </w:r>
      <w:proofErr w:type="spellStart"/>
      <w:r w:rsidR="0020594B">
        <w:t>pg</w:t>
      </w:r>
      <w:proofErr w:type="spellEnd"/>
      <w:r w:rsidR="0020594B">
        <w:t xml:space="preserve">/mm feather), at the mean of all other covariates. Grid surface represents the estimated interaction of effects from the full model. </w:t>
      </w:r>
      <w:r w:rsidR="007C4D03">
        <w:t xml:space="preserve">Points are observed values of fCort with lines to corresponding location on the grid surface; right color bar represents these fCort measurements in </w:t>
      </w:r>
      <w:proofErr w:type="spellStart"/>
      <w:r w:rsidR="007C4D03">
        <w:t>pg</w:t>
      </w:r>
      <w:proofErr w:type="spellEnd"/>
      <w:r w:rsidR="007C4D03">
        <w:t>/mm.</w:t>
      </w:r>
      <w:bookmarkStart w:id="10" w:name="Xbcccf9ae05dce48764f1171c80c34ba9e2cc4e7"/>
      <w:bookmarkEnd w:id="9"/>
    </w:p>
    <w:p w14:paraId="1248E5B5" w14:textId="6B2161F2" w:rsidR="003039E6" w:rsidRDefault="003039E6" w:rsidP="003039E6">
      <w:pPr>
        <w:spacing w:after="0" w:line="480" w:lineRule="auto"/>
      </w:pPr>
      <w:r>
        <w:t>Figure 5</w:t>
      </w:r>
      <w:r w:rsidR="009958A0">
        <w:t xml:space="preserve">. </w:t>
      </w:r>
      <w:r w:rsidR="0020594B">
        <w:t>Interaction effects of horses (horse use days per km</w:t>
      </w:r>
      <w:r w:rsidR="0020594B">
        <w:rPr>
          <w:vertAlign w:val="superscript"/>
        </w:rPr>
        <w:t>2</w:t>
      </w:r>
      <w:r w:rsidR="0020594B">
        <w:t>) and annual grass cover (% cover) on fCort (</w:t>
      </w:r>
      <w:proofErr w:type="spellStart"/>
      <w:r w:rsidR="0020594B">
        <w:t>pg</w:t>
      </w:r>
      <w:proofErr w:type="spellEnd"/>
      <w:r w:rsidR="0020594B">
        <w:t xml:space="preserve">/mm feather), at the mean of all other covariates. Grid surface represents the estimated interaction of effects from the full model. </w:t>
      </w:r>
      <w:r w:rsidR="007C4D03">
        <w:t xml:space="preserve">Points are observed values of fCort with lines to corresponding location on the grid surface; right color bar represents these fCort measurements in </w:t>
      </w:r>
      <w:proofErr w:type="spellStart"/>
      <w:r w:rsidR="007C4D03">
        <w:t>pg</w:t>
      </w:r>
      <w:proofErr w:type="spellEnd"/>
      <w:r w:rsidR="007C4D03">
        <w:t>/mm.</w:t>
      </w:r>
    </w:p>
    <w:p w14:paraId="73182F1A" w14:textId="784005B6" w:rsidR="009958A0" w:rsidRDefault="003039E6" w:rsidP="00A21C0E">
      <w:pPr>
        <w:pStyle w:val="Heading5"/>
        <w:numPr>
          <w:ilvl w:val="0"/>
          <w:numId w:val="0"/>
        </w:numPr>
        <w:spacing w:line="480" w:lineRule="auto"/>
      </w:pPr>
      <w:bookmarkStart w:id="11" w:name="Xdd9af2b810c5a6c077a64604ff955ed28307276"/>
      <w:bookmarkEnd w:id="10"/>
      <w:r>
        <w:lastRenderedPageBreak/>
        <w:t>Figure 6</w:t>
      </w:r>
      <w:r w:rsidR="009958A0">
        <w:t xml:space="preserve">. </w:t>
      </w:r>
      <w:r w:rsidR="00560DCE">
        <w:t>Posterior d</w:t>
      </w:r>
      <w:r w:rsidR="009958A0">
        <w:t xml:space="preserve">istributions </w:t>
      </w:r>
      <w:r w:rsidR="00560DCE">
        <w:t xml:space="preserve">for parameters </w:t>
      </w:r>
      <w:r w:rsidR="00346F2D">
        <w:t xml:space="preserve">from the models using </w:t>
      </w:r>
      <w:r w:rsidR="009958A0">
        <w:t>fCort as a predictor of demographic rates</w:t>
      </w:r>
      <w:r w:rsidR="00346F2D">
        <w:t xml:space="preserve"> – adult survival (known-fate binomial), breeding propensity (Bernoulli), nest success (Bernoulli), and overall breeding success (zero-inflated Poisson and Bernoulli)</w:t>
      </w:r>
      <w:r w:rsidR="0020594B">
        <w:t xml:space="preserve"> in the breeding year following fCort deposition</w:t>
      </w:r>
      <w:r w:rsidR="00346F2D">
        <w:t xml:space="preserve"> (Table 2)</w:t>
      </w:r>
      <w:r w:rsidR="009958A0">
        <w:t>.</w:t>
      </w:r>
    </w:p>
    <w:p w14:paraId="32D8930E" w14:textId="1EE79278" w:rsidR="003956C6" w:rsidRDefault="003956C6" w:rsidP="003956C6">
      <w:pPr>
        <w:pStyle w:val="Heading5"/>
        <w:numPr>
          <w:ilvl w:val="0"/>
          <w:numId w:val="0"/>
        </w:numPr>
        <w:spacing w:line="480" w:lineRule="auto"/>
      </w:pPr>
      <w:bookmarkStart w:id="12" w:name="mean-fcort-extrapolation."/>
      <w:bookmarkEnd w:id="11"/>
      <w:bookmarkEnd w:id="12"/>
      <w:r>
        <w:t xml:space="preserve">Appendix l: </w:t>
      </w:r>
      <w:r w:rsidR="003039E6">
        <w:t>Figure 1</w:t>
      </w:r>
      <w:r>
        <w:t xml:space="preserve">. Sigma optimization. Upper plot shows the mean absolute prediction error assessed for sigma values from 0.001 to 1. Lower plot shows the range of beta estimates associated with each sigma in different colors for each beta value. Sigma = 0.1 minimized the absolute prediction error of the beta estimates for the covariates and was used for the main model. </w:t>
      </w:r>
    </w:p>
    <w:p w14:paraId="407C5408" w14:textId="75608242" w:rsidR="003956C6" w:rsidRDefault="003956C6" w:rsidP="003956C6">
      <w:pPr>
        <w:pStyle w:val="Heading2"/>
      </w:pPr>
      <w:r>
        <w:br w:type="page"/>
      </w:r>
    </w:p>
    <w:p w14:paraId="125E9544" w14:textId="1BDB208C" w:rsidR="00D05CAE" w:rsidRDefault="003956C6" w:rsidP="003956C6">
      <w:pPr>
        <w:pStyle w:val="Heading2"/>
      </w:pPr>
      <w:r>
        <w:lastRenderedPageBreak/>
        <w:t>Tables</w:t>
      </w:r>
    </w:p>
    <w:p w14:paraId="53777BE5" w14:textId="77777777" w:rsidR="009F082F" w:rsidRDefault="009F082F" w:rsidP="009F082F">
      <w:pPr>
        <w:spacing w:line="480" w:lineRule="auto"/>
      </w:pPr>
      <w:r>
        <w:t>Table 1. Model estimates for the full fCort model with covariates. LCI and UCI represent lower and upper 95% credible intervals, respectively. Pr &lt; 0 and Pr &gt;0 were the proportions of the posterior distribution below and above zero, respectively.</w:t>
      </w:r>
    </w:p>
    <w:tbl>
      <w:tblPr>
        <w:tblStyle w:val="PlainTable5"/>
        <w:tblW w:w="0" w:type="auto"/>
        <w:tblInd w:w="0" w:type="dxa"/>
        <w:tblLook w:val="04A0" w:firstRow="1" w:lastRow="0" w:firstColumn="1" w:lastColumn="0" w:noHBand="0" w:noVBand="1"/>
      </w:tblPr>
      <w:tblGrid>
        <w:gridCol w:w="2556"/>
        <w:gridCol w:w="1056"/>
        <w:gridCol w:w="960"/>
        <w:gridCol w:w="960"/>
        <w:gridCol w:w="960"/>
        <w:gridCol w:w="960"/>
        <w:gridCol w:w="960"/>
      </w:tblGrid>
      <w:tr w:rsidR="009F082F" w14:paraId="2E435AB7" w14:textId="77777777" w:rsidTr="00464C6D">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556" w:type="dxa"/>
            <w:tcBorders>
              <w:top w:val="nil"/>
              <w:left w:val="nil"/>
            </w:tcBorders>
            <w:noWrap/>
            <w:hideMark/>
          </w:tcPr>
          <w:p w14:paraId="29D8DCE1" w14:textId="77777777" w:rsidR="009F082F" w:rsidRDefault="009F082F" w:rsidP="00464C6D">
            <w:pPr>
              <w:spacing w:line="480" w:lineRule="auto"/>
            </w:pPr>
            <w:r>
              <w:t>Term</w:t>
            </w:r>
          </w:p>
        </w:tc>
        <w:tc>
          <w:tcPr>
            <w:tcW w:w="1056" w:type="dxa"/>
            <w:tcBorders>
              <w:top w:val="nil"/>
              <w:left w:val="nil"/>
              <w:right w:val="nil"/>
            </w:tcBorders>
            <w:noWrap/>
            <w:hideMark/>
          </w:tcPr>
          <w:p w14:paraId="7F9E71A9"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pPr>
            <w:r>
              <w:t>Estimate</w:t>
            </w:r>
          </w:p>
        </w:tc>
        <w:tc>
          <w:tcPr>
            <w:tcW w:w="960" w:type="dxa"/>
            <w:tcBorders>
              <w:top w:val="nil"/>
              <w:left w:val="nil"/>
              <w:right w:val="nil"/>
            </w:tcBorders>
            <w:noWrap/>
            <w:hideMark/>
          </w:tcPr>
          <w:p w14:paraId="7C7B5CFF"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pPr>
            <w:r>
              <w:t>SD</w:t>
            </w:r>
          </w:p>
        </w:tc>
        <w:tc>
          <w:tcPr>
            <w:tcW w:w="960" w:type="dxa"/>
            <w:tcBorders>
              <w:top w:val="nil"/>
              <w:left w:val="nil"/>
              <w:right w:val="nil"/>
            </w:tcBorders>
            <w:noWrap/>
            <w:hideMark/>
          </w:tcPr>
          <w:p w14:paraId="23ABA58A"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pPr>
            <w:r>
              <w:t>LCI</w:t>
            </w:r>
          </w:p>
        </w:tc>
        <w:tc>
          <w:tcPr>
            <w:tcW w:w="960" w:type="dxa"/>
            <w:tcBorders>
              <w:top w:val="nil"/>
              <w:left w:val="nil"/>
              <w:right w:val="nil"/>
            </w:tcBorders>
            <w:noWrap/>
            <w:hideMark/>
          </w:tcPr>
          <w:p w14:paraId="0AFA5F33"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pPr>
            <w:r>
              <w:t>UCI</w:t>
            </w:r>
          </w:p>
        </w:tc>
        <w:tc>
          <w:tcPr>
            <w:tcW w:w="960" w:type="dxa"/>
            <w:tcBorders>
              <w:top w:val="nil"/>
              <w:left w:val="nil"/>
              <w:right w:val="nil"/>
            </w:tcBorders>
            <w:noWrap/>
            <w:hideMark/>
          </w:tcPr>
          <w:p w14:paraId="4222E69E"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pPr>
            <w:r>
              <w:t>Pr &lt;0</w:t>
            </w:r>
          </w:p>
        </w:tc>
        <w:tc>
          <w:tcPr>
            <w:tcW w:w="960" w:type="dxa"/>
            <w:tcBorders>
              <w:top w:val="nil"/>
              <w:left w:val="nil"/>
              <w:right w:val="nil"/>
            </w:tcBorders>
            <w:noWrap/>
            <w:hideMark/>
          </w:tcPr>
          <w:p w14:paraId="4FF612FD"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pPr>
            <w:r>
              <w:t>Pr &gt;0</w:t>
            </w:r>
          </w:p>
        </w:tc>
      </w:tr>
      <w:tr w:rsidR="009F082F" w14:paraId="0E7FF547" w14:textId="77777777" w:rsidTr="00464C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68FBDA0C" w14:textId="77777777" w:rsidR="009F082F" w:rsidRDefault="009F082F" w:rsidP="00464C6D">
            <w:pPr>
              <w:spacing w:line="480" w:lineRule="auto"/>
              <w:jc w:val="left"/>
            </w:pPr>
            <w:r>
              <w:t>Intercept</w:t>
            </w:r>
          </w:p>
        </w:tc>
        <w:tc>
          <w:tcPr>
            <w:tcW w:w="1056" w:type="dxa"/>
            <w:noWrap/>
            <w:hideMark/>
          </w:tcPr>
          <w:p w14:paraId="20E8E7B6"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3.779</w:t>
            </w:r>
          </w:p>
        </w:tc>
        <w:tc>
          <w:tcPr>
            <w:tcW w:w="960" w:type="dxa"/>
            <w:noWrap/>
            <w:hideMark/>
          </w:tcPr>
          <w:p w14:paraId="220DF36E"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0.107</w:t>
            </w:r>
          </w:p>
        </w:tc>
        <w:tc>
          <w:tcPr>
            <w:tcW w:w="960" w:type="dxa"/>
            <w:noWrap/>
            <w:hideMark/>
          </w:tcPr>
          <w:p w14:paraId="0C40934A"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3.574</w:t>
            </w:r>
          </w:p>
        </w:tc>
        <w:tc>
          <w:tcPr>
            <w:tcW w:w="960" w:type="dxa"/>
            <w:noWrap/>
            <w:hideMark/>
          </w:tcPr>
          <w:p w14:paraId="245F2692"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3.99</w:t>
            </w:r>
          </w:p>
        </w:tc>
        <w:tc>
          <w:tcPr>
            <w:tcW w:w="960" w:type="dxa"/>
            <w:noWrap/>
            <w:hideMark/>
          </w:tcPr>
          <w:p w14:paraId="71577AB7"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w:t>
            </w:r>
          </w:p>
        </w:tc>
        <w:tc>
          <w:tcPr>
            <w:tcW w:w="960" w:type="dxa"/>
            <w:noWrap/>
            <w:hideMark/>
          </w:tcPr>
          <w:p w14:paraId="440BA9DA"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1</w:t>
            </w:r>
          </w:p>
        </w:tc>
      </w:tr>
      <w:tr w:rsidR="009F082F" w14:paraId="34843D39" w14:textId="77777777" w:rsidTr="00464C6D">
        <w:trPr>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5DF1598A" w14:textId="77777777" w:rsidR="009F082F" w:rsidRDefault="009F082F" w:rsidP="00464C6D">
            <w:pPr>
              <w:spacing w:line="480" w:lineRule="auto"/>
              <w:jc w:val="left"/>
            </w:pPr>
            <w:r>
              <w:t>Cows</w:t>
            </w:r>
          </w:p>
        </w:tc>
        <w:tc>
          <w:tcPr>
            <w:tcW w:w="1056" w:type="dxa"/>
            <w:noWrap/>
            <w:hideMark/>
          </w:tcPr>
          <w:p w14:paraId="0F04FE8B"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0.016</w:t>
            </w:r>
          </w:p>
        </w:tc>
        <w:tc>
          <w:tcPr>
            <w:tcW w:w="960" w:type="dxa"/>
            <w:noWrap/>
            <w:hideMark/>
          </w:tcPr>
          <w:p w14:paraId="4DA5D431"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0.064</w:t>
            </w:r>
          </w:p>
        </w:tc>
        <w:tc>
          <w:tcPr>
            <w:tcW w:w="960" w:type="dxa"/>
            <w:noWrap/>
            <w:hideMark/>
          </w:tcPr>
          <w:p w14:paraId="6DCA3064"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-0.107</w:t>
            </w:r>
          </w:p>
        </w:tc>
        <w:tc>
          <w:tcPr>
            <w:tcW w:w="960" w:type="dxa"/>
            <w:noWrap/>
            <w:hideMark/>
          </w:tcPr>
          <w:p w14:paraId="00AF6F4F"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0.143</w:t>
            </w:r>
          </w:p>
        </w:tc>
        <w:tc>
          <w:tcPr>
            <w:tcW w:w="960" w:type="dxa"/>
            <w:noWrap/>
            <w:hideMark/>
          </w:tcPr>
          <w:p w14:paraId="654DCA4B"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0.405</w:t>
            </w:r>
          </w:p>
        </w:tc>
        <w:tc>
          <w:tcPr>
            <w:tcW w:w="960" w:type="dxa"/>
            <w:noWrap/>
            <w:hideMark/>
          </w:tcPr>
          <w:p w14:paraId="7456799C"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0.595</w:t>
            </w:r>
          </w:p>
        </w:tc>
      </w:tr>
      <w:tr w:rsidR="009F082F" w14:paraId="65F983E6" w14:textId="77777777" w:rsidTr="00464C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502D8EBF" w14:textId="77777777" w:rsidR="009F082F" w:rsidRDefault="009F082F" w:rsidP="00464C6D">
            <w:pPr>
              <w:spacing w:line="480" w:lineRule="auto"/>
              <w:jc w:val="left"/>
            </w:pPr>
            <w:r>
              <w:t>Horses</w:t>
            </w:r>
          </w:p>
        </w:tc>
        <w:tc>
          <w:tcPr>
            <w:tcW w:w="1056" w:type="dxa"/>
            <w:noWrap/>
            <w:hideMark/>
          </w:tcPr>
          <w:p w14:paraId="7ECA0375"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-0.056</w:t>
            </w:r>
          </w:p>
        </w:tc>
        <w:tc>
          <w:tcPr>
            <w:tcW w:w="960" w:type="dxa"/>
            <w:noWrap/>
            <w:hideMark/>
          </w:tcPr>
          <w:p w14:paraId="26F3AA0C"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0.077</w:t>
            </w:r>
          </w:p>
        </w:tc>
        <w:tc>
          <w:tcPr>
            <w:tcW w:w="960" w:type="dxa"/>
            <w:noWrap/>
            <w:hideMark/>
          </w:tcPr>
          <w:p w14:paraId="6CCF62A7"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-0.206</w:t>
            </w:r>
          </w:p>
        </w:tc>
        <w:tc>
          <w:tcPr>
            <w:tcW w:w="960" w:type="dxa"/>
            <w:noWrap/>
            <w:hideMark/>
          </w:tcPr>
          <w:p w14:paraId="6B0887C4"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0.096</w:t>
            </w:r>
          </w:p>
        </w:tc>
        <w:tc>
          <w:tcPr>
            <w:tcW w:w="960" w:type="dxa"/>
            <w:noWrap/>
            <w:hideMark/>
          </w:tcPr>
          <w:p w14:paraId="414D6802"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0.764</w:t>
            </w:r>
          </w:p>
        </w:tc>
        <w:tc>
          <w:tcPr>
            <w:tcW w:w="960" w:type="dxa"/>
            <w:noWrap/>
            <w:hideMark/>
          </w:tcPr>
          <w:p w14:paraId="519BEDAA"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0.236</w:t>
            </w:r>
          </w:p>
        </w:tc>
      </w:tr>
      <w:tr w:rsidR="009F082F" w14:paraId="664E8FEB" w14:textId="77777777" w:rsidTr="00464C6D">
        <w:trPr>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3045F309" w14:textId="77777777" w:rsidR="009F082F" w:rsidRDefault="009F082F" w:rsidP="00464C6D">
            <w:pPr>
              <w:spacing w:line="480" w:lineRule="auto"/>
              <w:jc w:val="left"/>
            </w:pPr>
            <w:r>
              <w:t>Body Condition</w:t>
            </w:r>
          </w:p>
        </w:tc>
        <w:tc>
          <w:tcPr>
            <w:tcW w:w="1056" w:type="dxa"/>
            <w:noWrap/>
            <w:hideMark/>
          </w:tcPr>
          <w:p w14:paraId="06896A01"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-0.037</w:t>
            </w:r>
          </w:p>
        </w:tc>
        <w:tc>
          <w:tcPr>
            <w:tcW w:w="960" w:type="dxa"/>
            <w:noWrap/>
            <w:hideMark/>
          </w:tcPr>
          <w:p w14:paraId="60B451A6"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0.061</w:t>
            </w:r>
          </w:p>
        </w:tc>
        <w:tc>
          <w:tcPr>
            <w:tcW w:w="960" w:type="dxa"/>
            <w:noWrap/>
            <w:hideMark/>
          </w:tcPr>
          <w:p w14:paraId="00AD2A5F"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-0.159</w:t>
            </w:r>
          </w:p>
        </w:tc>
        <w:tc>
          <w:tcPr>
            <w:tcW w:w="960" w:type="dxa"/>
            <w:noWrap/>
            <w:hideMark/>
          </w:tcPr>
          <w:p w14:paraId="0E3F228E"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0.081</w:t>
            </w:r>
          </w:p>
        </w:tc>
        <w:tc>
          <w:tcPr>
            <w:tcW w:w="960" w:type="dxa"/>
            <w:noWrap/>
            <w:hideMark/>
          </w:tcPr>
          <w:p w14:paraId="271D633A"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0.726</w:t>
            </w:r>
          </w:p>
        </w:tc>
        <w:tc>
          <w:tcPr>
            <w:tcW w:w="960" w:type="dxa"/>
            <w:noWrap/>
            <w:hideMark/>
          </w:tcPr>
          <w:p w14:paraId="2D746B8B" w14:textId="77777777" w:rsidR="009F082F"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t>0.274</w:t>
            </w:r>
          </w:p>
        </w:tc>
      </w:tr>
      <w:tr w:rsidR="009F082F" w14:paraId="26403005" w14:textId="77777777" w:rsidTr="00464C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6EF41973" w14:textId="77777777" w:rsidR="009F082F" w:rsidRDefault="009F082F" w:rsidP="00464C6D">
            <w:pPr>
              <w:spacing w:line="480" w:lineRule="auto"/>
              <w:jc w:val="left"/>
            </w:pPr>
            <w:r>
              <w:t>Age</w:t>
            </w:r>
          </w:p>
        </w:tc>
        <w:tc>
          <w:tcPr>
            <w:tcW w:w="1056" w:type="dxa"/>
            <w:noWrap/>
            <w:hideMark/>
          </w:tcPr>
          <w:p w14:paraId="258148AA"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-0.004</w:t>
            </w:r>
          </w:p>
        </w:tc>
        <w:tc>
          <w:tcPr>
            <w:tcW w:w="960" w:type="dxa"/>
            <w:noWrap/>
            <w:hideMark/>
          </w:tcPr>
          <w:p w14:paraId="6BCD6D35"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0.087</w:t>
            </w:r>
          </w:p>
        </w:tc>
        <w:tc>
          <w:tcPr>
            <w:tcW w:w="960" w:type="dxa"/>
            <w:noWrap/>
            <w:hideMark/>
          </w:tcPr>
          <w:p w14:paraId="42E38716"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-0.174</w:t>
            </w:r>
          </w:p>
        </w:tc>
        <w:tc>
          <w:tcPr>
            <w:tcW w:w="960" w:type="dxa"/>
            <w:noWrap/>
            <w:hideMark/>
          </w:tcPr>
          <w:p w14:paraId="2DC22226"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0.168</w:t>
            </w:r>
          </w:p>
        </w:tc>
        <w:tc>
          <w:tcPr>
            <w:tcW w:w="960" w:type="dxa"/>
            <w:noWrap/>
            <w:hideMark/>
          </w:tcPr>
          <w:p w14:paraId="0BA4C667"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0.517</w:t>
            </w:r>
          </w:p>
        </w:tc>
        <w:tc>
          <w:tcPr>
            <w:tcW w:w="960" w:type="dxa"/>
            <w:noWrap/>
            <w:hideMark/>
          </w:tcPr>
          <w:p w14:paraId="4B5C128B" w14:textId="77777777" w:rsidR="009F082F"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t>0.483</w:t>
            </w:r>
          </w:p>
        </w:tc>
      </w:tr>
      <w:tr w:rsidR="009F082F" w:rsidRPr="001A5AB6" w14:paraId="1B951EF4" w14:textId="77777777" w:rsidTr="00464C6D">
        <w:trPr>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077EFB46" w14:textId="77777777" w:rsidR="009F082F" w:rsidRPr="001A5AB6" w:rsidRDefault="009F082F" w:rsidP="00464C6D">
            <w:pPr>
              <w:spacing w:line="480" w:lineRule="auto"/>
              <w:jc w:val="left"/>
            </w:pPr>
            <w:r w:rsidRPr="001A5AB6">
              <w:t>Annual Grass</w:t>
            </w:r>
          </w:p>
        </w:tc>
        <w:tc>
          <w:tcPr>
            <w:tcW w:w="1056" w:type="dxa"/>
            <w:noWrap/>
            <w:hideMark/>
          </w:tcPr>
          <w:p w14:paraId="2D7A5C89"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-0.078</w:t>
            </w:r>
          </w:p>
        </w:tc>
        <w:tc>
          <w:tcPr>
            <w:tcW w:w="960" w:type="dxa"/>
            <w:noWrap/>
            <w:hideMark/>
          </w:tcPr>
          <w:p w14:paraId="4A3CBEC6"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0.073</w:t>
            </w:r>
          </w:p>
        </w:tc>
        <w:tc>
          <w:tcPr>
            <w:tcW w:w="960" w:type="dxa"/>
            <w:noWrap/>
            <w:hideMark/>
          </w:tcPr>
          <w:p w14:paraId="176F84F4" w14:textId="77777777" w:rsidR="009F082F" w:rsidRPr="003829B5"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3829B5">
              <w:t>-0.219</w:t>
            </w:r>
          </w:p>
        </w:tc>
        <w:tc>
          <w:tcPr>
            <w:tcW w:w="960" w:type="dxa"/>
            <w:noWrap/>
            <w:hideMark/>
          </w:tcPr>
          <w:p w14:paraId="2C4C4202" w14:textId="77777777" w:rsidR="009F082F" w:rsidRPr="003829B5"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3829B5">
              <w:t>0.065</w:t>
            </w:r>
          </w:p>
        </w:tc>
        <w:tc>
          <w:tcPr>
            <w:tcW w:w="960" w:type="dxa"/>
            <w:noWrap/>
            <w:hideMark/>
          </w:tcPr>
          <w:p w14:paraId="048D1781" w14:textId="77777777" w:rsidR="009F082F" w:rsidRPr="00B625FC"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B625FC">
              <w:t>0.86</w:t>
            </w:r>
          </w:p>
        </w:tc>
        <w:tc>
          <w:tcPr>
            <w:tcW w:w="960" w:type="dxa"/>
            <w:noWrap/>
            <w:hideMark/>
          </w:tcPr>
          <w:p w14:paraId="33CB5BFF" w14:textId="77777777" w:rsidR="009F082F" w:rsidRPr="00F62567"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F62567">
              <w:t>0.14</w:t>
            </w:r>
          </w:p>
        </w:tc>
      </w:tr>
      <w:tr w:rsidR="009F082F" w:rsidRPr="001A5AB6" w14:paraId="302F5F24" w14:textId="77777777" w:rsidTr="00464C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42D13DE6" w14:textId="77777777" w:rsidR="009F082F" w:rsidRPr="001A5AB6" w:rsidRDefault="009F082F" w:rsidP="00464C6D">
            <w:pPr>
              <w:spacing w:line="480" w:lineRule="auto"/>
              <w:jc w:val="left"/>
            </w:pPr>
            <w:r w:rsidRPr="001A5AB6">
              <w:t>Annual Precipitation</w:t>
            </w:r>
          </w:p>
        </w:tc>
        <w:tc>
          <w:tcPr>
            <w:tcW w:w="1056" w:type="dxa"/>
            <w:noWrap/>
            <w:hideMark/>
          </w:tcPr>
          <w:p w14:paraId="7040706D"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-0.125</w:t>
            </w:r>
          </w:p>
        </w:tc>
        <w:tc>
          <w:tcPr>
            <w:tcW w:w="960" w:type="dxa"/>
            <w:noWrap/>
            <w:hideMark/>
          </w:tcPr>
          <w:p w14:paraId="7325F790"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0.068</w:t>
            </w:r>
          </w:p>
        </w:tc>
        <w:tc>
          <w:tcPr>
            <w:tcW w:w="960" w:type="dxa"/>
            <w:noWrap/>
            <w:hideMark/>
          </w:tcPr>
          <w:p w14:paraId="129733CB"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-0.258</w:t>
            </w:r>
          </w:p>
        </w:tc>
        <w:tc>
          <w:tcPr>
            <w:tcW w:w="960" w:type="dxa"/>
            <w:noWrap/>
            <w:hideMark/>
          </w:tcPr>
          <w:p w14:paraId="4DAABC8D"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0.008</w:t>
            </w:r>
          </w:p>
        </w:tc>
        <w:tc>
          <w:tcPr>
            <w:tcW w:w="960" w:type="dxa"/>
            <w:noWrap/>
            <w:hideMark/>
          </w:tcPr>
          <w:p w14:paraId="2A1043D7"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rPr>
                <w:bCs/>
              </w:rPr>
            </w:pPr>
            <w:r w:rsidRPr="001A5AB6">
              <w:rPr>
                <w:bCs/>
              </w:rPr>
              <w:t>0.967</w:t>
            </w:r>
          </w:p>
        </w:tc>
        <w:tc>
          <w:tcPr>
            <w:tcW w:w="960" w:type="dxa"/>
            <w:noWrap/>
            <w:hideMark/>
          </w:tcPr>
          <w:p w14:paraId="4D07680B"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0.033</w:t>
            </w:r>
          </w:p>
        </w:tc>
      </w:tr>
      <w:tr w:rsidR="009F082F" w:rsidRPr="001A5AB6" w14:paraId="1183B76F" w14:textId="77777777" w:rsidTr="00464C6D">
        <w:trPr>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2461A632" w14:textId="77777777" w:rsidR="009F082F" w:rsidRPr="001A5AB6" w:rsidRDefault="009F082F" w:rsidP="00464C6D">
            <w:pPr>
              <w:spacing w:line="480" w:lineRule="auto"/>
              <w:jc w:val="left"/>
            </w:pPr>
            <w:r w:rsidRPr="001A5AB6">
              <w:t>Horses * Precipitation</w:t>
            </w:r>
          </w:p>
        </w:tc>
        <w:tc>
          <w:tcPr>
            <w:tcW w:w="1056" w:type="dxa"/>
            <w:noWrap/>
            <w:hideMark/>
          </w:tcPr>
          <w:p w14:paraId="513195E5"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-0.125</w:t>
            </w:r>
          </w:p>
        </w:tc>
        <w:tc>
          <w:tcPr>
            <w:tcW w:w="960" w:type="dxa"/>
            <w:noWrap/>
            <w:hideMark/>
          </w:tcPr>
          <w:p w14:paraId="765041D6"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0.069</w:t>
            </w:r>
          </w:p>
        </w:tc>
        <w:tc>
          <w:tcPr>
            <w:tcW w:w="960" w:type="dxa"/>
            <w:noWrap/>
            <w:hideMark/>
          </w:tcPr>
          <w:p w14:paraId="7FFAB22A"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-0.261</w:t>
            </w:r>
          </w:p>
        </w:tc>
        <w:tc>
          <w:tcPr>
            <w:tcW w:w="960" w:type="dxa"/>
            <w:noWrap/>
            <w:hideMark/>
          </w:tcPr>
          <w:p w14:paraId="4F91E62D"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0.01</w:t>
            </w:r>
          </w:p>
        </w:tc>
        <w:tc>
          <w:tcPr>
            <w:tcW w:w="960" w:type="dxa"/>
            <w:noWrap/>
            <w:hideMark/>
          </w:tcPr>
          <w:p w14:paraId="2B381BFF"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rPr>
                <w:bCs/>
              </w:rPr>
            </w:pPr>
            <w:r w:rsidRPr="001A5AB6">
              <w:rPr>
                <w:bCs/>
              </w:rPr>
              <w:t>0.965</w:t>
            </w:r>
          </w:p>
        </w:tc>
        <w:tc>
          <w:tcPr>
            <w:tcW w:w="960" w:type="dxa"/>
            <w:noWrap/>
            <w:hideMark/>
          </w:tcPr>
          <w:p w14:paraId="2296E2B3"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0.035</w:t>
            </w:r>
          </w:p>
        </w:tc>
      </w:tr>
      <w:tr w:rsidR="009F082F" w:rsidRPr="001A5AB6" w14:paraId="0C233BB1" w14:textId="77777777" w:rsidTr="00464C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0520DEF7" w14:textId="77777777" w:rsidR="009F082F" w:rsidRPr="001A5AB6" w:rsidRDefault="009F082F" w:rsidP="00464C6D">
            <w:pPr>
              <w:spacing w:line="480" w:lineRule="auto"/>
              <w:jc w:val="left"/>
            </w:pPr>
            <w:r w:rsidRPr="001A5AB6">
              <w:t>Horses * Annual Grass</w:t>
            </w:r>
          </w:p>
        </w:tc>
        <w:tc>
          <w:tcPr>
            <w:tcW w:w="1056" w:type="dxa"/>
            <w:noWrap/>
            <w:hideMark/>
          </w:tcPr>
          <w:p w14:paraId="591661B3"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0.075</w:t>
            </w:r>
          </w:p>
        </w:tc>
        <w:tc>
          <w:tcPr>
            <w:tcW w:w="960" w:type="dxa"/>
            <w:noWrap/>
            <w:hideMark/>
          </w:tcPr>
          <w:p w14:paraId="4AAF042A"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0.086</w:t>
            </w:r>
          </w:p>
        </w:tc>
        <w:tc>
          <w:tcPr>
            <w:tcW w:w="960" w:type="dxa"/>
            <w:noWrap/>
            <w:hideMark/>
          </w:tcPr>
          <w:p w14:paraId="373FADEE"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-0.095</w:t>
            </w:r>
          </w:p>
        </w:tc>
        <w:tc>
          <w:tcPr>
            <w:tcW w:w="960" w:type="dxa"/>
            <w:noWrap/>
            <w:hideMark/>
          </w:tcPr>
          <w:p w14:paraId="210041CE"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0.243</w:t>
            </w:r>
          </w:p>
        </w:tc>
        <w:tc>
          <w:tcPr>
            <w:tcW w:w="960" w:type="dxa"/>
            <w:noWrap/>
            <w:hideMark/>
          </w:tcPr>
          <w:p w14:paraId="21E9341C"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pPr>
            <w:r w:rsidRPr="001A5AB6">
              <w:t>0.19</w:t>
            </w:r>
          </w:p>
        </w:tc>
        <w:tc>
          <w:tcPr>
            <w:tcW w:w="960" w:type="dxa"/>
            <w:noWrap/>
            <w:hideMark/>
          </w:tcPr>
          <w:p w14:paraId="0A80D976" w14:textId="77777777" w:rsidR="009F082F" w:rsidRPr="001A5AB6" w:rsidRDefault="009F082F" w:rsidP="00464C6D">
            <w:pPr>
              <w:spacing w:line="480" w:lineRule="auto"/>
              <w:cnfStyle w:val="000000100000" w:firstRow="0" w:lastRow="0" w:firstColumn="0" w:lastColumn="0" w:oddVBand="0" w:evenVBand="0" w:oddHBand="1" w:evenHBand="0" w:firstRowFirstColumn="0" w:firstRowLastColumn="0" w:lastRowFirstColumn="0" w:lastRowLastColumn="0"/>
              <w:rPr>
                <w:bCs/>
              </w:rPr>
            </w:pPr>
            <w:r w:rsidRPr="001A5AB6">
              <w:rPr>
                <w:bCs/>
              </w:rPr>
              <w:t>0.81</w:t>
            </w:r>
          </w:p>
        </w:tc>
      </w:tr>
      <w:tr w:rsidR="009F082F" w:rsidRPr="001A5AB6" w14:paraId="3186E30B" w14:textId="77777777" w:rsidTr="00464C6D">
        <w:trPr>
          <w:trHeight w:val="300"/>
        </w:trPr>
        <w:tc>
          <w:tcPr>
            <w:cnfStyle w:val="001000000000" w:firstRow="0" w:lastRow="0" w:firstColumn="1" w:lastColumn="0" w:oddVBand="0" w:evenVBand="0" w:oddHBand="0" w:evenHBand="0" w:firstRowFirstColumn="0" w:firstRowLastColumn="0" w:lastRowFirstColumn="0" w:lastRowLastColumn="0"/>
            <w:tcW w:w="2556" w:type="dxa"/>
            <w:tcBorders>
              <w:top w:val="nil"/>
              <w:left w:val="nil"/>
              <w:bottom w:val="nil"/>
            </w:tcBorders>
            <w:noWrap/>
            <w:hideMark/>
          </w:tcPr>
          <w:p w14:paraId="3EB5B524" w14:textId="77777777" w:rsidR="009F082F" w:rsidRPr="001A5AB6" w:rsidRDefault="009F082F" w:rsidP="00464C6D">
            <w:pPr>
              <w:spacing w:line="480" w:lineRule="auto"/>
              <w:jc w:val="left"/>
            </w:pPr>
            <w:r w:rsidRPr="001A5AB6">
              <w:t>Cows* Precipitation</w:t>
            </w:r>
          </w:p>
        </w:tc>
        <w:tc>
          <w:tcPr>
            <w:tcW w:w="1056" w:type="dxa"/>
            <w:noWrap/>
            <w:hideMark/>
          </w:tcPr>
          <w:p w14:paraId="5BF2F6A0"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-0.043</w:t>
            </w:r>
          </w:p>
        </w:tc>
        <w:tc>
          <w:tcPr>
            <w:tcW w:w="960" w:type="dxa"/>
            <w:noWrap/>
            <w:hideMark/>
          </w:tcPr>
          <w:p w14:paraId="12EC3C15"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0.06</w:t>
            </w:r>
          </w:p>
        </w:tc>
        <w:tc>
          <w:tcPr>
            <w:tcW w:w="960" w:type="dxa"/>
            <w:noWrap/>
            <w:hideMark/>
          </w:tcPr>
          <w:p w14:paraId="0BC9B0F2"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-0.161</w:t>
            </w:r>
          </w:p>
        </w:tc>
        <w:tc>
          <w:tcPr>
            <w:tcW w:w="960" w:type="dxa"/>
            <w:noWrap/>
            <w:hideMark/>
          </w:tcPr>
          <w:p w14:paraId="5395FA0C"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0.073</w:t>
            </w:r>
          </w:p>
        </w:tc>
        <w:tc>
          <w:tcPr>
            <w:tcW w:w="960" w:type="dxa"/>
            <w:noWrap/>
            <w:hideMark/>
          </w:tcPr>
          <w:p w14:paraId="3BA678CC"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0.759</w:t>
            </w:r>
          </w:p>
        </w:tc>
        <w:tc>
          <w:tcPr>
            <w:tcW w:w="960" w:type="dxa"/>
            <w:noWrap/>
            <w:hideMark/>
          </w:tcPr>
          <w:p w14:paraId="7C750D29" w14:textId="77777777" w:rsidR="009F082F" w:rsidRPr="001A5AB6" w:rsidRDefault="009F082F" w:rsidP="00464C6D">
            <w:pPr>
              <w:spacing w:line="480" w:lineRule="auto"/>
              <w:cnfStyle w:val="000000000000" w:firstRow="0" w:lastRow="0" w:firstColumn="0" w:lastColumn="0" w:oddVBand="0" w:evenVBand="0" w:oddHBand="0" w:evenHBand="0" w:firstRowFirstColumn="0" w:firstRowLastColumn="0" w:lastRowFirstColumn="0" w:lastRowLastColumn="0"/>
            </w:pPr>
            <w:r w:rsidRPr="001A5AB6">
              <w:t>0.241</w:t>
            </w:r>
          </w:p>
        </w:tc>
      </w:tr>
    </w:tbl>
    <w:p w14:paraId="692FD5C9" w14:textId="0CBE3610" w:rsidR="009F082F" w:rsidRDefault="009F082F" w:rsidP="009F082F">
      <w:pPr>
        <w:spacing w:line="480" w:lineRule="auto"/>
      </w:pPr>
    </w:p>
    <w:p w14:paraId="782CC23A" w14:textId="51ED6524" w:rsidR="003956C6" w:rsidRDefault="003956C6" w:rsidP="009F082F">
      <w:pPr>
        <w:spacing w:line="480" w:lineRule="auto"/>
      </w:pPr>
    </w:p>
    <w:p w14:paraId="1B4DF9F6" w14:textId="70F05663" w:rsidR="003956C6" w:rsidRDefault="003956C6" w:rsidP="009F082F">
      <w:pPr>
        <w:spacing w:line="480" w:lineRule="auto"/>
      </w:pPr>
    </w:p>
    <w:p w14:paraId="4F2F0255" w14:textId="4180286E" w:rsidR="003956C6" w:rsidRDefault="003956C6" w:rsidP="009F082F">
      <w:pPr>
        <w:spacing w:line="480" w:lineRule="auto"/>
      </w:pPr>
    </w:p>
    <w:p w14:paraId="6C9BE8AA" w14:textId="13EAD252" w:rsidR="003956C6" w:rsidRDefault="003956C6" w:rsidP="009F082F">
      <w:pPr>
        <w:spacing w:line="480" w:lineRule="auto"/>
      </w:pPr>
    </w:p>
    <w:p w14:paraId="32934FBC" w14:textId="77777777" w:rsidR="003956C6" w:rsidRDefault="003956C6" w:rsidP="009F082F">
      <w:pPr>
        <w:spacing w:line="480" w:lineRule="auto"/>
      </w:pPr>
    </w:p>
    <w:p w14:paraId="6B297189" w14:textId="77777777" w:rsidR="009F082F" w:rsidRDefault="009F082F" w:rsidP="009F082F">
      <w:pPr>
        <w:spacing w:line="480" w:lineRule="auto"/>
      </w:pPr>
      <w:r>
        <w:lastRenderedPageBreak/>
        <w:t>Table 2. Estimated effects of fCort on each demographic rate. LCI and UCI represent lower and upper 95% credible intervals, respectively. Pr &lt; 0 and Pr &gt;0 were the proportions of the posterior distribution below and above zero, respectively.</w:t>
      </w:r>
    </w:p>
    <w:tbl>
      <w:tblPr>
        <w:tblStyle w:val="PlainTable5"/>
        <w:tblW w:w="7896" w:type="dxa"/>
        <w:tblInd w:w="0" w:type="dxa"/>
        <w:tblLook w:val="04A0" w:firstRow="1" w:lastRow="0" w:firstColumn="1" w:lastColumn="0" w:noHBand="0" w:noVBand="1"/>
      </w:tblPr>
      <w:tblGrid>
        <w:gridCol w:w="2250"/>
        <w:gridCol w:w="1056"/>
        <w:gridCol w:w="960"/>
        <w:gridCol w:w="960"/>
        <w:gridCol w:w="960"/>
        <w:gridCol w:w="960"/>
        <w:gridCol w:w="960"/>
      </w:tblGrid>
      <w:tr w:rsidR="009F082F" w14:paraId="2E70BEF2" w14:textId="77777777" w:rsidTr="00464C6D">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250" w:type="dxa"/>
            <w:tcBorders>
              <w:top w:val="nil"/>
              <w:left w:val="nil"/>
            </w:tcBorders>
            <w:noWrap/>
            <w:hideMark/>
          </w:tcPr>
          <w:p w14:paraId="2FF575BA" w14:textId="77777777" w:rsidR="009F082F" w:rsidRDefault="009F082F" w:rsidP="00464C6D">
            <w:pPr>
              <w:spacing w:line="480" w:lineRule="auto"/>
              <w:rPr>
                <w:rFonts w:eastAsia="Times New Roman" w:cs="Times New Roman"/>
                <w:color w:val="000000"/>
                <w:szCs w:val="24"/>
              </w:rPr>
            </w:pPr>
            <w:r>
              <w:rPr>
                <w:rFonts w:eastAsia="Times New Roman" w:cs="Times New Roman"/>
                <w:color w:val="000000"/>
                <w:szCs w:val="24"/>
              </w:rPr>
              <w:t>Demographic rate</w:t>
            </w:r>
          </w:p>
        </w:tc>
        <w:tc>
          <w:tcPr>
            <w:tcW w:w="846" w:type="dxa"/>
            <w:tcBorders>
              <w:top w:val="nil"/>
              <w:left w:val="nil"/>
              <w:right w:val="nil"/>
            </w:tcBorders>
            <w:noWrap/>
            <w:hideMark/>
          </w:tcPr>
          <w:p w14:paraId="76B23C34"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Estimate</w:t>
            </w:r>
          </w:p>
        </w:tc>
        <w:tc>
          <w:tcPr>
            <w:tcW w:w="960" w:type="dxa"/>
            <w:tcBorders>
              <w:top w:val="nil"/>
              <w:left w:val="nil"/>
              <w:right w:val="nil"/>
            </w:tcBorders>
            <w:noWrap/>
            <w:hideMark/>
          </w:tcPr>
          <w:p w14:paraId="2EBC9CB7"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SD</w:t>
            </w:r>
          </w:p>
        </w:tc>
        <w:tc>
          <w:tcPr>
            <w:tcW w:w="960" w:type="dxa"/>
            <w:tcBorders>
              <w:top w:val="nil"/>
              <w:left w:val="nil"/>
              <w:right w:val="nil"/>
            </w:tcBorders>
            <w:noWrap/>
            <w:hideMark/>
          </w:tcPr>
          <w:p w14:paraId="14D4DBD8"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LCI</w:t>
            </w:r>
          </w:p>
        </w:tc>
        <w:tc>
          <w:tcPr>
            <w:tcW w:w="960" w:type="dxa"/>
            <w:tcBorders>
              <w:top w:val="nil"/>
              <w:left w:val="nil"/>
              <w:right w:val="nil"/>
            </w:tcBorders>
            <w:noWrap/>
            <w:hideMark/>
          </w:tcPr>
          <w:p w14:paraId="4502AC42"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UCI</w:t>
            </w:r>
          </w:p>
        </w:tc>
        <w:tc>
          <w:tcPr>
            <w:tcW w:w="960" w:type="dxa"/>
            <w:tcBorders>
              <w:top w:val="nil"/>
              <w:left w:val="nil"/>
              <w:right w:val="nil"/>
            </w:tcBorders>
            <w:noWrap/>
            <w:hideMark/>
          </w:tcPr>
          <w:p w14:paraId="12974210"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Pr &lt; 0</w:t>
            </w:r>
          </w:p>
        </w:tc>
        <w:tc>
          <w:tcPr>
            <w:tcW w:w="960" w:type="dxa"/>
            <w:tcBorders>
              <w:top w:val="nil"/>
              <w:left w:val="nil"/>
              <w:right w:val="nil"/>
            </w:tcBorders>
            <w:noWrap/>
            <w:hideMark/>
          </w:tcPr>
          <w:p w14:paraId="4FCE0A5F" w14:textId="77777777" w:rsidR="009F082F" w:rsidRDefault="009F082F" w:rsidP="00464C6D">
            <w:pPr>
              <w:spacing w:line="48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Pr &gt; 0</w:t>
            </w:r>
          </w:p>
        </w:tc>
      </w:tr>
      <w:tr w:rsidR="009F082F" w14:paraId="1BB3A33D" w14:textId="77777777" w:rsidTr="00464C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50" w:type="dxa"/>
            <w:tcBorders>
              <w:top w:val="nil"/>
              <w:left w:val="nil"/>
              <w:bottom w:val="nil"/>
            </w:tcBorders>
            <w:noWrap/>
            <w:hideMark/>
          </w:tcPr>
          <w:p w14:paraId="365A1AFD" w14:textId="77777777" w:rsidR="009F082F" w:rsidRDefault="009F082F" w:rsidP="00464C6D">
            <w:pPr>
              <w:spacing w:line="480" w:lineRule="auto"/>
              <w:rPr>
                <w:rFonts w:eastAsia="Times New Roman" w:cs="Times New Roman"/>
                <w:color w:val="000000"/>
                <w:szCs w:val="24"/>
              </w:rPr>
            </w:pPr>
            <w:r>
              <w:rPr>
                <w:rFonts w:eastAsia="Times New Roman" w:cs="Times New Roman"/>
                <w:color w:val="000000"/>
                <w:szCs w:val="24"/>
              </w:rPr>
              <w:t>Adult Survival</w:t>
            </w:r>
          </w:p>
        </w:tc>
        <w:tc>
          <w:tcPr>
            <w:tcW w:w="846" w:type="dxa"/>
            <w:noWrap/>
            <w:hideMark/>
          </w:tcPr>
          <w:p w14:paraId="39CA23EB"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0.001</w:t>
            </w:r>
          </w:p>
        </w:tc>
        <w:tc>
          <w:tcPr>
            <w:tcW w:w="960" w:type="dxa"/>
            <w:noWrap/>
            <w:hideMark/>
          </w:tcPr>
          <w:p w14:paraId="1AD0B734"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0.001</w:t>
            </w:r>
          </w:p>
        </w:tc>
        <w:tc>
          <w:tcPr>
            <w:tcW w:w="960" w:type="dxa"/>
            <w:noWrap/>
            <w:hideMark/>
          </w:tcPr>
          <w:p w14:paraId="54110EA5"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-0.002</w:t>
            </w:r>
          </w:p>
        </w:tc>
        <w:tc>
          <w:tcPr>
            <w:tcW w:w="960" w:type="dxa"/>
            <w:noWrap/>
            <w:hideMark/>
          </w:tcPr>
          <w:p w14:paraId="2D6BB818"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0.004</w:t>
            </w:r>
          </w:p>
        </w:tc>
        <w:tc>
          <w:tcPr>
            <w:tcW w:w="960" w:type="dxa"/>
            <w:noWrap/>
            <w:hideMark/>
          </w:tcPr>
          <w:p w14:paraId="188236A1"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0.252</w:t>
            </w:r>
          </w:p>
        </w:tc>
        <w:tc>
          <w:tcPr>
            <w:tcW w:w="960" w:type="dxa"/>
            <w:noWrap/>
            <w:hideMark/>
          </w:tcPr>
          <w:p w14:paraId="56768405"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0.748</w:t>
            </w:r>
          </w:p>
        </w:tc>
      </w:tr>
      <w:tr w:rsidR="009F082F" w14:paraId="5CB3710E" w14:textId="77777777" w:rsidTr="00464C6D">
        <w:trPr>
          <w:trHeight w:val="300"/>
        </w:trPr>
        <w:tc>
          <w:tcPr>
            <w:cnfStyle w:val="001000000000" w:firstRow="0" w:lastRow="0" w:firstColumn="1" w:lastColumn="0" w:oddVBand="0" w:evenVBand="0" w:oddHBand="0" w:evenHBand="0" w:firstRowFirstColumn="0" w:firstRowLastColumn="0" w:lastRowFirstColumn="0" w:lastRowLastColumn="0"/>
            <w:tcW w:w="2250" w:type="dxa"/>
            <w:tcBorders>
              <w:top w:val="nil"/>
              <w:left w:val="nil"/>
              <w:bottom w:val="nil"/>
            </w:tcBorders>
            <w:noWrap/>
            <w:hideMark/>
          </w:tcPr>
          <w:p w14:paraId="558A1275" w14:textId="77777777" w:rsidR="009F082F" w:rsidRDefault="009F082F" w:rsidP="00464C6D">
            <w:pPr>
              <w:spacing w:line="480" w:lineRule="auto"/>
              <w:rPr>
                <w:rFonts w:eastAsia="Times New Roman" w:cs="Times New Roman"/>
                <w:color w:val="000000"/>
                <w:szCs w:val="24"/>
              </w:rPr>
            </w:pPr>
            <w:r>
              <w:rPr>
                <w:rFonts w:eastAsia="Times New Roman" w:cs="Times New Roman"/>
                <w:color w:val="000000"/>
                <w:szCs w:val="24"/>
              </w:rPr>
              <w:t>Breeding Probability</w:t>
            </w:r>
          </w:p>
        </w:tc>
        <w:tc>
          <w:tcPr>
            <w:tcW w:w="846" w:type="dxa"/>
            <w:noWrap/>
            <w:hideMark/>
          </w:tcPr>
          <w:p w14:paraId="2CF2EE4B"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w:t>
            </w:r>
          </w:p>
        </w:tc>
        <w:tc>
          <w:tcPr>
            <w:tcW w:w="960" w:type="dxa"/>
            <w:noWrap/>
            <w:hideMark/>
          </w:tcPr>
          <w:p w14:paraId="7EAC7A46"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0.002</w:t>
            </w:r>
          </w:p>
        </w:tc>
        <w:tc>
          <w:tcPr>
            <w:tcW w:w="960" w:type="dxa"/>
            <w:noWrap/>
            <w:hideMark/>
          </w:tcPr>
          <w:p w14:paraId="39DBD720"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-0.003</w:t>
            </w:r>
          </w:p>
        </w:tc>
        <w:tc>
          <w:tcPr>
            <w:tcW w:w="960" w:type="dxa"/>
            <w:noWrap/>
            <w:hideMark/>
          </w:tcPr>
          <w:p w14:paraId="41D8BEAA"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0.003</w:t>
            </w:r>
          </w:p>
        </w:tc>
        <w:tc>
          <w:tcPr>
            <w:tcW w:w="960" w:type="dxa"/>
            <w:noWrap/>
            <w:hideMark/>
          </w:tcPr>
          <w:p w14:paraId="33176A02"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0.435</w:t>
            </w:r>
          </w:p>
        </w:tc>
        <w:tc>
          <w:tcPr>
            <w:tcW w:w="960" w:type="dxa"/>
            <w:noWrap/>
            <w:hideMark/>
          </w:tcPr>
          <w:p w14:paraId="244A97EF"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0.565</w:t>
            </w:r>
          </w:p>
        </w:tc>
      </w:tr>
      <w:tr w:rsidR="009F082F" w14:paraId="2D6D9028" w14:textId="77777777" w:rsidTr="00464C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50" w:type="dxa"/>
            <w:tcBorders>
              <w:top w:val="nil"/>
              <w:left w:val="nil"/>
              <w:bottom w:val="nil"/>
            </w:tcBorders>
            <w:noWrap/>
            <w:hideMark/>
          </w:tcPr>
          <w:p w14:paraId="6B051FFE" w14:textId="77777777" w:rsidR="009F082F" w:rsidRDefault="009F082F" w:rsidP="00464C6D">
            <w:pPr>
              <w:spacing w:line="480" w:lineRule="auto"/>
              <w:rPr>
                <w:rFonts w:eastAsia="Times New Roman" w:cs="Times New Roman"/>
                <w:color w:val="000000"/>
                <w:szCs w:val="24"/>
              </w:rPr>
            </w:pPr>
            <w:r>
              <w:rPr>
                <w:rFonts w:eastAsia="Times New Roman" w:cs="Times New Roman"/>
                <w:color w:val="000000"/>
                <w:szCs w:val="24"/>
              </w:rPr>
              <w:t>Nest Success</w:t>
            </w:r>
          </w:p>
        </w:tc>
        <w:tc>
          <w:tcPr>
            <w:tcW w:w="846" w:type="dxa"/>
            <w:noWrap/>
            <w:hideMark/>
          </w:tcPr>
          <w:p w14:paraId="3EA9416B"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-0.002</w:t>
            </w:r>
          </w:p>
        </w:tc>
        <w:tc>
          <w:tcPr>
            <w:tcW w:w="960" w:type="dxa"/>
            <w:noWrap/>
            <w:hideMark/>
          </w:tcPr>
          <w:p w14:paraId="7E3F804E"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0.002</w:t>
            </w:r>
          </w:p>
        </w:tc>
        <w:tc>
          <w:tcPr>
            <w:tcW w:w="960" w:type="dxa"/>
            <w:noWrap/>
            <w:hideMark/>
          </w:tcPr>
          <w:p w14:paraId="652A39C1"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-0.006</w:t>
            </w:r>
          </w:p>
        </w:tc>
        <w:tc>
          <w:tcPr>
            <w:tcW w:w="960" w:type="dxa"/>
            <w:noWrap/>
            <w:hideMark/>
          </w:tcPr>
          <w:p w14:paraId="1FF6800D"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0.001</w:t>
            </w:r>
          </w:p>
        </w:tc>
        <w:tc>
          <w:tcPr>
            <w:tcW w:w="960" w:type="dxa"/>
            <w:noWrap/>
            <w:hideMark/>
          </w:tcPr>
          <w:p w14:paraId="4E9B2B85" w14:textId="77777777" w:rsidR="009F082F" w:rsidRPr="001A5AB6"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sidRPr="001A5AB6">
              <w:rPr>
                <w:rFonts w:eastAsia="Times New Roman" w:cs="Times New Roman"/>
                <w:color w:val="000000"/>
                <w:szCs w:val="24"/>
              </w:rPr>
              <w:t>0.873</w:t>
            </w:r>
          </w:p>
        </w:tc>
        <w:tc>
          <w:tcPr>
            <w:tcW w:w="960" w:type="dxa"/>
            <w:noWrap/>
            <w:hideMark/>
          </w:tcPr>
          <w:p w14:paraId="31E15B05" w14:textId="77777777" w:rsidR="009F082F" w:rsidRDefault="009F082F" w:rsidP="00464C6D">
            <w:pPr>
              <w:spacing w:line="480"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0.127</w:t>
            </w:r>
          </w:p>
        </w:tc>
      </w:tr>
      <w:tr w:rsidR="009F082F" w14:paraId="620E0E44" w14:textId="77777777" w:rsidTr="00464C6D">
        <w:trPr>
          <w:trHeight w:val="300"/>
        </w:trPr>
        <w:tc>
          <w:tcPr>
            <w:cnfStyle w:val="001000000000" w:firstRow="0" w:lastRow="0" w:firstColumn="1" w:lastColumn="0" w:oddVBand="0" w:evenVBand="0" w:oddHBand="0" w:evenHBand="0" w:firstRowFirstColumn="0" w:firstRowLastColumn="0" w:lastRowFirstColumn="0" w:lastRowLastColumn="0"/>
            <w:tcW w:w="2250" w:type="dxa"/>
            <w:tcBorders>
              <w:top w:val="nil"/>
              <w:left w:val="nil"/>
              <w:bottom w:val="nil"/>
            </w:tcBorders>
            <w:noWrap/>
            <w:hideMark/>
          </w:tcPr>
          <w:p w14:paraId="5F4010FE" w14:textId="77777777" w:rsidR="009F082F" w:rsidRDefault="009F082F" w:rsidP="00464C6D">
            <w:pPr>
              <w:spacing w:line="480" w:lineRule="auto"/>
              <w:rPr>
                <w:rFonts w:eastAsia="Times New Roman" w:cs="Times New Roman"/>
                <w:color w:val="000000"/>
                <w:szCs w:val="24"/>
              </w:rPr>
            </w:pPr>
            <w:r>
              <w:rPr>
                <w:rFonts w:eastAsia="Times New Roman" w:cs="Times New Roman"/>
                <w:color w:val="000000"/>
                <w:szCs w:val="24"/>
              </w:rPr>
              <w:t>Breeding Success</w:t>
            </w:r>
          </w:p>
        </w:tc>
        <w:tc>
          <w:tcPr>
            <w:tcW w:w="846" w:type="dxa"/>
            <w:noWrap/>
            <w:hideMark/>
          </w:tcPr>
          <w:p w14:paraId="37D8BE89"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-0.001</w:t>
            </w:r>
          </w:p>
        </w:tc>
        <w:tc>
          <w:tcPr>
            <w:tcW w:w="960" w:type="dxa"/>
            <w:noWrap/>
            <w:hideMark/>
          </w:tcPr>
          <w:p w14:paraId="11125494"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0.001</w:t>
            </w:r>
          </w:p>
        </w:tc>
        <w:tc>
          <w:tcPr>
            <w:tcW w:w="960" w:type="dxa"/>
            <w:noWrap/>
            <w:hideMark/>
          </w:tcPr>
          <w:p w14:paraId="07437E32"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-0.004</w:t>
            </w:r>
          </w:p>
        </w:tc>
        <w:tc>
          <w:tcPr>
            <w:tcW w:w="960" w:type="dxa"/>
            <w:noWrap/>
            <w:hideMark/>
          </w:tcPr>
          <w:p w14:paraId="434D0221"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0.002</w:t>
            </w:r>
          </w:p>
        </w:tc>
        <w:tc>
          <w:tcPr>
            <w:tcW w:w="960" w:type="dxa"/>
            <w:noWrap/>
            <w:hideMark/>
          </w:tcPr>
          <w:p w14:paraId="7C578E24"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0.691</w:t>
            </w:r>
          </w:p>
        </w:tc>
        <w:tc>
          <w:tcPr>
            <w:tcW w:w="960" w:type="dxa"/>
            <w:noWrap/>
            <w:hideMark/>
          </w:tcPr>
          <w:p w14:paraId="45F4F955" w14:textId="77777777" w:rsidR="009F082F" w:rsidRDefault="009F082F" w:rsidP="00464C6D">
            <w:pPr>
              <w:spacing w:line="480"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Cs w:val="24"/>
              </w:rPr>
            </w:pPr>
            <w:r>
              <w:rPr>
                <w:rFonts w:eastAsia="Times New Roman" w:cs="Times New Roman"/>
                <w:color w:val="000000"/>
                <w:szCs w:val="24"/>
              </w:rPr>
              <w:t>0.309</w:t>
            </w:r>
          </w:p>
        </w:tc>
      </w:tr>
    </w:tbl>
    <w:p w14:paraId="58B214BE" w14:textId="302B0CC7" w:rsidR="0062741B" w:rsidRPr="0062741B" w:rsidRDefault="0062741B" w:rsidP="0062741B">
      <w:pPr>
        <w:tabs>
          <w:tab w:val="left" w:pos="1275"/>
        </w:tabs>
      </w:pPr>
    </w:p>
    <w:sectPr w:rsidR="0062741B" w:rsidRPr="0062741B" w:rsidSect="00316D98">
      <w:headerReference w:type="default" r:id="rId44"/>
      <w:footerReference w:type="default" r:id="rId45"/>
      <w:pgSz w:w="12240" w:h="15840"/>
      <w:pgMar w:top="1440" w:right="1440" w:bottom="1440" w:left="1440" w:header="720" w:footer="720" w:gutter="0"/>
      <w:lnNumType w:countBy="1" w:restart="continuous"/>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C42CD" w16cex:dateUtc="2022-02-16T19:55:00Z"/>
  <w16cex:commentExtensible w16cex:durableId="25EC4311" w16cex:dateUtc="2022-03-28T21:22:00Z"/>
  <w16cex:commentExtensible w16cex:durableId="25EC42CE" w16cex:dateUtc="2022-02-16T19:56:00Z"/>
  <w16cex:commentExtensible w16cex:durableId="25EC42CF" w16cex:dateUtc="2022-02-16T19:57:00Z"/>
  <w16cex:commentExtensible w16cex:durableId="25EC42D0" w16cex:dateUtc="2022-03-03T18:47:00Z"/>
  <w16cex:commentExtensible w16cex:durableId="25EC42D1" w16cex:dateUtc="2022-03-26T23:48:00Z"/>
  <w16cex:commentExtensible w16cex:durableId="25EC438D" w16cex:dateUtc="2022-03-28T21:24:00Z"/>
  <w16cex:commentExtensible w16cex:durableId="25EC42D2" w16cex:dateUtc="2022-02-16T20:03:00Z"/>
  <w16cex:commentExtensible w16cex:durableId="25EC42D3" w16cex:dateUtc="2022-02-16T20:13:00Z"/>
  <w16cex:commentExtensible w16cex:durableId="25EC42D4" w16cex:dateUtc="2022-02-16T20:15:00Z"/>
  <w16cex:commentExtensible w16cex:durableId="25EC42D5" w16cex:dateUtc="2022-02-16T19:50:00Z"/>
  <w16cex:commentExtensible w16cex:durableId="25EC42D6" w16cex:dateUtc="2022-02-16T1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49FA0A" w16cid:durableId="25EC42CD"/>
  <w16cid:commentId w16cid:paraId="751D19D3" w16cid:durableId="25EC4311"/>
  <w16cid:commentId w16cid:paraId="2FCB83FB" w16cid:durableId="25EC42CE"/>
  <w16cid:commentId w16cid:paraId="249C293A" w16cid:durableId="25EC42CF"/>
  <w16cid:commentId w16cid:paraId="65829AC1" w16cid:durableId="25EC42D0"/>
  <w16cid:commentId w16cid:paraId="2AB509CA" w16cid:durableId="25EC42D1"/>
  <w16cid:commentId w16cid:paraId="72DC572A" w16cid:durableId="25EC438D"/>
  <w16cid:commentId w16cid:paraId="6E6F93B7" w16cid:durableId="25EC42D2"/>
  <w16cid:commentId w16cid:paraId="237C810A" w16cid:durableId="25EC42D3"/>
  <w16cid:commentId w16cid:paraId="0ACDA113" w16cid:durableId="25EC42D4"/>
  <w16cid:commentId w16cid:paraId="3F2BACE4" w16cid:durableId="25EC42D5"/>
  <w16cid:commentId w16cid:paraId="7CB18522" w16cid:durableId="25EC42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500B9" w14:textId="77777777" w:rsidR="00AA1043" w:rsidRDefault="00AA1043" w:rsidP="00030571">
      <w:pPr>
        <w:spacing w:after="0" w:line="240" w:lineRule="auto"/>
      </w:pPr>
      <w:r>
        <w:separator/>
      </w:r>
    </w:p>
  </w:endnote>
  <w:endnote w:type="continuationSeparator" w:id="0">
    <w:p w14:paraId="34753AE3" w14:textId="77777777" w:rsidR="00AA1043" w:rsidRDefault="00AA1043" w:rsidP="00030571">
      <w:pPr>
        <w:spacing w:after="0" w:line="240" w:lineRule="auto"/>
      </w:pPr>
      <w:r>
        <w:continuationSeparator/>
      </w:r>
    </w:p>
  </w:endnote>
  <w:endnote w:type="continuationNotice" w:id="1">
    <w:p w14:paraId="72C18890" w14:textId="77777777" w:rsidR="00AA1043" w:rsidRDefault="00AA10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929530"/>
      <w:docPartObj>
        <w:docPartGallery w:val="Page Numbers (Bottom of Page)"/>
        <w:docPartUnique/>
      </w:docPartObj>
    </w:sdtPr>
    <w:sdtEndPr>
      <w:rPr>
        <w:noProof/>
      </w:rPr>
    </w:sdtEndPr>
    <w:sdtContent>
      <w:p w14:paraId="3202C75E" w14:textId="6B365649" w:rsidR="004046A6" w:rsidRDefault="004046A6">
        <w:pPr>
          <w:pStyle w:val="Footer"/>
          <w:jc w:val="center"/>
        </w:pPr>
        <w:r>
          <w:fldChar w:fldCharType="begin"/>
        </w:r>
        <w:r>
          <w:instrText xml:space="preserve"> PAGE   \* MERGEFORMAT </w:instrText>
        </w:r>
        <w:r>
          <w:fldChar w:fldCharType="separate"/>
        </w:r>
        <w:r w:rsidR="003039E6">
          <w:rPr>
            <w:noProof/>
          </w:rPr>
          <w:t>24</w:t>
        </w:r>
        <w:r>
          <w:rPr>
            <w:noProof/>
          </w:rPr>
          <w:fldChar w:fldCharType="end"/>
        </w:r>
      </w:p>
    </w:sdtContent>
  </w:sdt>
  <w:p w14:paraId="7F7BB910" w14:textId="77777777" w:rsidR="004046A6" w:rsidRDefault="004046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0DD58" w14:textId="77777777" w:rsidR="00AA1043" w:rsidRDefault="00AA1043" w:rsidP="00030571">
      <w:pPr>
        <w:spacing w:after="0" w:line="240" w:lineRule="auto"/>
      </w:pPr>
      <w:r>
        <w:separator/>
      </w:r>
    </w:p>
  </w:footnote>
  <w:footnote w:type="continuationSeparator" w:id="0">
    <w:p w14:paraId="4BFEA42E" w14:textId="77777777" w:rsidR="00AA1043" w:rsidRDefault="00AA1043" w:rsidP="00030571">
      <w:pPr>
        <w:spacing w:after="0" w:line="240" w:lineRule="auto"/>
      </w:pPr>
      <w:r>
        <w:continuationSeparator/>
      </w:r>
    </w:p>
  </w:footnote>
  <w:footnote w:type="continuationNotice" w:id="1">
    <w:p w14:paraId="67CF2283" w14:textId="77777777" w:rsidR="00AA1043" w:rsidRDefault="00AA10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3B5D5" w14:textId="77777777" w:rsidR="004046A6" w:rsidRDefault="004046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F1D65"/>
    <w:multiLevelType w:val="hybridMultilevel"/>
    <w:tmpl w:val="7B340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A47C0"/>
    <w:multiLevelType w:val="hybridMultilevel"/>
    <w:tmpl w:val="928C9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0E1B9B"/>
    <w:multiLevelType w:val="multilevel"/>
    <w:tmpl w:val="AE022F5E"/>
    <w:lvl w:ilvl="0">
      <w:start w:val="3"/>
      <w:numFmt w:val="decimal"/>
      <w:pStyle w:val="Heading1"/>
      <w:suff w:val="space"/>
      <w:lvlText w:val="Chapter %1: "/>
      <w:lvlJc w:val="left"/>
      <w:pPr>
        <w:ind w:left="0" w:firstLine="0"/>
      </w:pPr>
      <w:rPr>
        <w:rFonts w:ascii="Times New Roman" w:hAnsi="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4"/>
      <w:suff w:val="space"/>
      <w:lvlText w:val="Table %1-%2."/>
      <w:lvlJc w:val="left"/>
      <w:pPr>
        <w:ind w:left="0" w:firstLine="0"/>
      </w:pPr>
      <w:rPr>
        <w:rFonts w:hint="default"/>
      </w:rPr>
    </w:lvl>
    <w:lvl w:ilvl="2">
      <w:start w:val="1"/>
      <w:numFmt w:val="decimal"/>
      <w:lvlRestart w:val="1"/>
      <w:pStyle w:val="Heading5"/>
      <w:isLgl/>
      <w:suff w:val="space"/>
      <w:lvlText w:val="Figure %1-%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41760D83"/>
    <w:multiLevelType w:val="hybridMultilevel"/>
    <w:tmpl w:val="38A6BD1C"/>
    <w:lvl w:ilvl="0" w:tplc="C30C3A8A">
      <w:start w:val="123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827FC4"/>
    <w:multiLevelType w:val="hybridMultilevel"/>
    <w:tmpl w:val="6E46EA36"/>
    <w:lvl w:ilvl="0" w:tplc="7772EFD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DA2B9B"/>
    <w:multiLevelType w:val="hybridMultilevel"/>
    <w:tmpl w:val="4BF8F482"/>
    <w:lvl w:ilvl="0" w:tplc="2C9A8D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8C64409"/>
    <w:multiLevelType w:val="hybridMultilevel"/>
    <w:tmpl w:val="A00450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682EAC"/>
    <w:multiLevelType w:val="hybridMultilevel"/>
    <w:tmpl w:val="9B58F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466378"/>
    <w:multiLevelType w:val="multilevel"/>
    <w:tmpl w:val="E662E5C4"/>
    <w:lvl w:ilvl="0">
      <w:start w:val="1"/>
      <w:numFmt w:val="decimal"/>
      <w:suff w:val="space"/>
      <w:lvlText w:val="Table %1."/>
      <w:lvlJc w:val="left"/>
      <w:pPr>
        <w:ind w:left="0" w:firstLine="0"/>
      </w:pPr>
      <w:rPr>
        <w:rFonts w:hint="default"/>
      </w:rPr>
    </w:lvl>
    <w:lvl w:ilvl="1">
      <w:start w:val="1"/>
      <w:numFmt w:val="decimal"/>
      <w:suff w:val="space"/>
      <w:lvlText w:val="Figure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num>
  <w:num w:numId="3">
    <w:abstractNumId w:val="2"/>
  </w:num>
  <w:num w:numId="4">
    <w:abstractNumId w:val="0"/>
  </w:num>
  <w:num w:numId="5">
    <w:abstractNumId w:val="8"/>
  </w:num>
  <w:num w:numId="6">
    <w:abstractNumId w:val="3"/>
  </w:num>
  <w:num w:numId="7">
    <w:abstractNumId w:val="4"/>
  </w:num>
  <w:num w:numId="8">
    <w:abstractNumId w:val="1"/>
  </w:num>
  <w:num w:numId="9">
    <w:abstractNumId w:val="6"/>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QwNTA2MjK2NDU0tzBT0lEKTi0uzszPAykwNq0FAC6N6jUtAAAA"/>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2190F"/>
    <w:rsid w:val="00001218"/>
    <w:rsid w:val="00001FE9"/>
    <w:rsid w:val="00014326"/>
    <w:rsid w:val="0001497A"/>
    <w:rsid w:val="000165C4"/>
    <w:rsid w:val="0002190F"/>
    <w:rsid w:val="00022CFE"/>
    <w:rsid w:val="0002403C"/>
    <w:rsid w:val="0002437B"/>
    <w:rsid w:val="00024800"/>
    <w:rsid w:val="000274A3"/>
    <w:rsid w:val="00030135"/>
    <w:rsid w:val="00030532"/>
    <w:rsid w:val="00030571"/>
    <w:rsid w:val="00033F1B"/>
    <w:rsid w:val="00036AD5"/>
    <w:rsid w:val="00043540"/>
    <w:rsid w:val="00045313"/>
    <w:rsid w:val="00052A33"/>
    <w:rsid w:val="000547A9"/>
    <w:rsid w:val="00055712"/>
    <w:rsid w:val="0005623F"/>
    <w:rsid w:val="000566B0"/>
    <w:rsid w:val="000569A6"/>
    <w:rsid w:val="00057B2C"/>
    <w:rsid w:val="00061D03"/>
    <w:rsid w:val="0006557A"/>
    <w:rsid w:val="00066FC7"/>
    <w:rsid w:val="000706BE"/>
    <w:rsid w:val="00070D28"/>
    <w:rsid w:val="000710E7"/>
    <w:rsid w:val="00071501"/>
    <w:rsid w:val="0007341A"/>
    <w:rsid w:val="0007432C"/>
    <w:rsid w:val="000828EF"/>
    <w:rsid w:val="0008582A"/>
    <w:rsid w:val="00086FC4"/>
    <w:rsid w:val="000A449B"/>
    <w:rsid w:val="000A4596"/>
    <w:rsid w:val="000A5235"/>
    <w:rsid w:val="000A69E3"/>
    <w:rsid w:val="000C0520"/>
    <w:rsid w:val="000C2736"/>
    <w:rsid w:val="000C2D7D"/>
    <w:rsid w:val="000C3480"/>
    <w:rsid w:val="000C3CE8"/>
    <w:rsid w:val="000C5903"/>
    <w:rsid w:val="000C73EA"/>
    <w:rsid w:val="000D22A8"/>
    <w:rsid w:val="000D4127"/>
    <w:rsid w:val="000D4917"/>
    <w:rsid w:val="000D7447"/>
    <w:rsid w:val="000E2A1C"/>
    <w:rsid w:val="000E5405"/>
    <w:rsid w:val="000E60E1"/>
    <w:rsid w:val="000F2B1D"/>
    <w:rsid w:val="000F5121"/>
    <w:rsid w:val="000F5B08"/>
    <w:rsid w:val="00101078"/>
    <w:rsid w:val="00102094"/>
    <w:rsid w:val="00104BF4"/>
    <w:rsid w:val="00106E37"/>
    <w:rsid w:val="00110703"/>
    <w:rsid w:val="001128CB"/>
    <w:rsid w:val="00114EDF"/>
    <w:rsid w:val="00124DF8"/>
    <w:rsid w:val="00125E30"/>
    <w:rsid w:val="00126378"/>
    <w:rsid w:val="001301CC"/>
    <w:rsid w:val="00130393"/>
    <w:rsid w:val="00130606"/>
    <w:rsid w:val="00130C02"/>
    <w:rsid w:val="00132D86"/>
    <w:rsid w:val="00133BC1"/>
    <w:rsid w:val="00140C87"/>
    <w:rsid w:val="00141C14"/>
    <w:rsid w:val="001421E0"/>
    <w:rsid w:val="00142A03"/>
    <w:rsid w:val="00142FD0"/>
    <w:rsid w:val="00144DD6"/>
    <w:rsid w:val="0014692B"/>
    <w:rsid w:val="0015119B"/>
    <w:rsid w:val="001562DE"/>
    <w:rsid w:val="00157991"/>
    <w:rsid w:val="00163311"/>
    <w:rsid w:val="00164986"/>
    <w:rsid w:val="0017089F"/>
    <w:rsid w:val="001770A8"/>
    <w:rsid w:val="00177794"/>
    <w:rsid w:val="00181F9E"/>
    <w:rsid w:val="00182AD2"/>
    <w:rsid w:val="00184BA4"/>
    <w:rsid w:val="001870A2"/>
    <w:rsid w:val="0018730E"/>
    <w:rsid w:val="00187633"/>
    <w:rsid w:val="00190E11"/>
    <w:rsid w:val="00193001"/>
    <w:rsid w:val="00194732"/>
    <w:rsid w:val="001962A0"/>
    <w:rsid w:val="001964F5"/>
    <w:rsid w:val="00196689"/>
    <w:rsid w:val="001A2754"/>
    <w:rsid w:val="001A5AB6"/>
    <w:rsid w:val="001A7E0D"/>
    <w:rsid w:val="001B45AF"/>
    <w:rsid w:val="001B7F20"/>
    <w:rsid w:val="001D074D"/>
    <w:rsid w:val="001D279D"/>
    <w:rsid w:val="001D4A86"/>
    <w:rsid w:val="001D797F"/>
    <w:rsid w:val="001E14FF"/>
    <w:rsid w:val="001E18CB"/>
    <w:rsid w:val="001E29B0"/>
    <w:rsid w:val="001E2C10"/>
    <w:rsid w:val="001E43A7"/>
    <w:rsid w:val="001E48D8"/>
    <w:rsid w:val="001E5276"/>
    <w:rsid w:val="001E733B"/>
    <w:rsid w:val="001F0028"/>
    <w:rsid w:val="001F68DD"/>
    <w:rsid w:val="001F73BA"/>
    <w:rsid w:val="0020594B"/>
    <w:rsid w:val="00206740"/>
    <w:rsid w:val="00206C27"/>
    <w:rsid w:val="002071D4"/>
    <w:rsid w:val="00207A16"/>
    <w:rsid w:val="00211463"/>
    <w:rsid w:val="00211695"/>
    <w:rsid w:val="00211C26"/>
    <w:rsid w:val="00221FAF"/>
    <w:rsid w:val="002247F5"/>
    <w:rsid w:val="0022616F"/>
    <w:rsid w:val="002264EE"/>
    <w:rsid w:val="00231650"/>
    <w:rsid w:val="0023298E"/>
    <w:rsid w:val="00232C59"/>
    <w:rsid w:val="00241A36"/>
    <w:rsid w:val="00242F4E"/>
    <w:rsid w:val="00246299"/>
    <w:rsid w:val="002521EB"/>
    <w:rsid w:val="00253DB1"/>
    <w:rsid w:val="0025596A"/>
    <w:rsid w:val="00256775"/>
    <w:rsid w:val="0026176C"/>
    <w:rsid w:val="002632CC"/>
    <w:rsid w:val="0026395D"/>
    <w:rsid w:val="00266E5A"/>
    <w:rsid w:val="002709F4"/>
    <w:rsid w:val="0027315D"/>
    <w:rsid w:val="00273B37"/>
    <w:rsid w:val="002763E1"/>
    <w:rsid w:val="002769D9"/>
    <w:rsid w:val="00277765"/>
    <w:rsid w:val="00282277"/>
    <w:rsid w:val="00282403"/>
    <w:rsid w:val="00284C70"/>
    <w:rsid w:val="00285D5A"/>
    <w:rsid w:val="00286262"/>
    <w:rsid w:val="0028650C"/>
    <w:rsid w:val="00287973"/>
    <w:rsid w:val="00290691"/>
    <w:rsid w:val="00292577"/>
    <w:rsid w:val="00295A3F"/>
    <w:rsid w:val="002A0EF0"/>
    <w:rsid w:val="002A19DC"/>
    <w:rsid w:val="002A61AB"/>
    <w:rsid w:val="002A7BDB"/>
    <w:rsid w:val="002B01D5"/>
    <w:rsid w:val="002B3C79"/>
    <w:rsid w:val="002C0193"/>
    <w:rsid w:val="002C038F"/>
    <w:rsid w:val="002C3C1B"/>
    <w:rsid w:val="002C443B"/>
    <w:rsid w:val="002C5356"/>
    <w:rsid w:val="002C680D"/>
    <w:rsid w:val="002D004C"/>
    <w:rsid w:val="002D2626"/>
    <w:rsid w:val="002D3701"/>
    <w:rsid w:val="002D5B49"/>
    <w:rsid w:val="002D5F0A"/>
    <w:rsid w:val="002E47BD"/>
    <w:rsid w:val="002E5ED7"/>
    <w:rsid w:val="002F32FB"/>
    <w:rsid w:val="002F58AC"/>
    <w:rsid w:val="002F6540"/>
    <w:rsid w:val="003009E1"/>
    <w:rsid w:val="003026D4"/>
    <w:rsid w:val="003029C1"/>
    <w:rsid w:val="003039E6"/>
    <w:rsid w:val="003052D7"/>
    <w:rsid w:val="003155D8"/>
    <w:rsid w:val="00316C6B"/>
    <w:rsid w:val="00316D98"/>
    <w:rsid w:val="0031746E"/>
    <w:rsid w:val="00317B6A"/>
    <w:rsid w:val="00320B96"/>
    <w:rsid w:val="00322B8D"/>
    <w:rsid w:val="00325EB8"/>
    <w:rsid w:val="00326B2E"/>
    <w:rsid w:val="0032760D"/>
    <w:rsid w:val="00330578"/>
    <w:rsid w:val="00330A3B"/>
    <w:rsid w:val="00331EF7"/>
    <w:rsid w:val="00332387"/>
    <w:rsid w:val="00332B26"/>
    <w:rsid w:val="00332ED8"/>
    <w:rsid w:val="00336940"/>
    <w:rsid w:val="00336ADA"/>
    <w:rsid w:val="00346F2D"/>
    <w:rsid w:val="0034765A"/>
    <w:rsid w:val="00350A86"/>
    <w:rsid w:val="003537EB"/>
    <w:rsid w:val="0035600C"/>
    <w:rsid w:val="00362C9D"/>
    <w:rsid w:val="00363AD7"/>
    <w:rsid w:val="00371F38"/>
    <w:rsid w:val="003723B8"/>
    <w:rsid w:val="00372CEC"/>
    <w:rsid w:val="00373B83"/>
    <w:rsid w:val="00374260"/>
    <w:rsid w:val="00374CE6"/>
    <w:rsid w:val="0037525C"/>
    <w:rsid w:val="00375A18"/>
    <w:rsid w:val="003829B5"/>
    <w:rsid w:val="0038483B"/>
    <w:rsid w:val="0038517A"/>
    <w:rsid w:val="00385838"/>
    <w:rsid w:val="00387B7E"/>
    <w:rsid w:val="003956C6"/>
    <w:rsid w:val="00395DCA"/>
    <w:rsid w:val="003A0A5D"/>
    <w:rsid w:val="003A1A72"/>
    <w:rsid w:val="003A2370"/>
    <w:rsid w:val="003A2599"/>
    <w:rsid w:val="003A42A2"/>
    <w:rsid w:val="003A5974"/>
    <w:rsid w:val="003B17A8"/>
    <w:rsid w:val="003B3048"/>
    <w:rsid w:val="003B4C55"/>
    <w:rsid w:val="003B6C7E"/>
    <w:rsid w:val="003C2320"/>
    <w:rsid w:val="003C6153"/>
    <w:rsid w:val="003C66FE"/>
    <w:rsid w:val="003E02CB"/>
    <w:rsid w:val="003E15E0"/>
    <w:rsid w:val="003E6B5A"/>
    <w:rsid w:val="003F1DB0"/>
    <w:rsid w:val="003F1DB5"/>
    <w:rsid w:val="003F2079"/>
    <w:rsid w:val="003F7E48"/>
    <w:rsid w:val="003F7EF1"/>
    <w:rsid w:val="00400145"/>
    <w:rsid w:val="00401BE7"/>
    <w:rsid w:val="004035D7"/>
    <w:rsid w:val="00404304"/>
    <w:rsid w:val="004046A6"/>
    <w:rsid w:val="00404858"/>
    <w:rsid w:val="004060CB"/>
    <w:rsid w:val="004107FC"/>
    <w:rsid w:val="0041224F"/>
    <w:rsid w:val="00412ABD"/>
    <w:rsid w:val="00414248"/>
    <w:rsid w:val="004208F1"/>
    <w:rsid w:val="00423C7E"/>
    <w:rsid w:val="0042448C"/>
    <w:rsid w:val="00427409"/>
    <w:rsid w:val="004305CF"/>
    <w:rsid w:val="00431FBF"/>
    <w:rsid w:val="00434729"/>
    <w:rsid w:val="00435C1F"/>
    <w:rsid w:val="0043613E"/>
    <w:rsid w:val="00437B92"/>
    <w:rsid w:val="004430D8"/>
    <w:rsid w:val="00444158"/>
    <w:rsid w:val="0044694D"/>
    <w:rsid w:val="00446C83"/>
    <w:rsid w:val="00446F42"/>
    <w:rsid w:val="00450461"/>
    <w:rsid w:val="00450F66"/>
    <w:rsid w:val="00452F04"/>
    <w:rsid w:val="0045321E"/>
    <w:rsid w:val="004535BB"/>
    <w:rsid w:val="004542CE"/>
    <w:rsid w:val="004562CD"/>
    <w:rsid w:val="00461EA7"/>
    <w:rsid w:val="0046232A"/>
    <w:rsid w:val="004623D0"/>
    <w:rsid w:val="00464962"/>
    <w:rsid w:val="00464C6D"/>
    <w:rsid w:val="0047157B"/>
    <w:rsid w:val="004722D2"/>
    <w:rsid w:val="004731E9"/>
    <w:rsid w:val="00473AE7"/>
    <w:rsid w:val="004754CE"/>
    <w:rsid w:val="004758BA"/>
    <w:rsid w:val="0047605E"/>
    <w:rsid w:val="00476653"/>
    <w:rsid w:val="00477643"/>
    <w:rsid w:val="0047769C"/>
    <w:rsid w:val="004800BE"/>
    <w:rsid w:val="00484F63"/>
    <w:rsid w:val="00487B76"/>
    <w:rsid w:val="00494590"/>
    <w:rsid w:val="00494AE1"/>
    <w:rsid w:val="00496F36"/>
    <w:rsid w:val="004A0469"/>
    <w:rsid w:val="004A3990"/>
    <w:rsid w:val="004A48EA"/>
    <w:rsid w:val="004A7247"/>
    <w:rsid w:val="004A745C"/>
    <w:rsid w:val="004B26DD"/>
    <w:rsid w:val="004B2783"/>
    <w:rsid w:val="004B4C1E"/>
    <w:rsid w:val="004B53EB"/>
    <w:rsid w:val="004C44C8"/>
    <w:rsid w:val="004C53F2"/>
    <w:rsid w:val="004C5701"/>
    <w:rsid w:val="004C5DD5"/>
    <w:rsid w:val="004D36AE"/>
    <w:rsid w:val="004D3B1A"/>
    <w:rsid w:val="004D6EF3"/>
    <w:rsid w:val="004E0135"/>
    <w:rsid w:val="004E04BD"/>
    <w:rsid w:val="004E1665"/>
    <w:rsid w:val="004E42E2"/>
    <w:rsid w:val="004E4C5A"/>
    <w:rsid w:val="004E69B4"/>
    <w:rsid w:val="004E71FC"/>
    <w:rsid w:val="004F1431"/>
    <w:rsid w:val="004F26CC"/>
    <w:rsid w:val="004F5A2A"/>
    <w:rsid w:val="004F5F22"/>
    <w:rsid w:val="004F73F6"/>
    <w:rsid w:val="00500890"/>
    <w:rsid w:val="00501A58"/>
    <w:rsid w:val="00507B48"/>
    <w:rsid w:val="00510B48"/>
    <w:rsid w:val="00511A93"/>
    <w:rsid w:val="00512A07"/>
    <w:rsid w:val="00515B46"/>
    <w:rsid w:val="0052142C"/>
    <w:rsid w:val="00521A28"/>
    <w:rsid w:val="0053183A"/>
    <w:rsid w:val="00534472"/>
    <w:rsid w:val="005402DF"/>
    <w:rsid w:val="00540406"/>
    <w:rsid w:val="00540B63"/>
    <w:rsid w:val="00540BBB"/>
    <w:rsid w:val="00541055"/>
    <w:rsid w:val="00545715"/>
    <w:rsid w:val="0055021A"/>
    <w:rsid w:val="005535A7"/>
    <w:rsid w:val="00553F5B"/>
    <w:rsid w:val="0055621A"/>
    <w:rsid w:val="00560DCE"/>
    <w:rsid w:val="0056172C"/>
    <w:rsid w:val="0056648A"/>
    <w:rsid w:val="0056791B"/>
    <w:rsid w:val="005701BA"/>
    <w:rsid w:val="005710FD"/>
    <w:rsid w:val="00574969"/>
    <w:rsid w:val="00577DFC"/>
    <w:rsid w:val="00580E82"/>
    <w:rsid w:val="005827ED"/>
    <w:rsid w:val="005850CD"/>
    <w:rsid w:val="00585808"/>
    <w:rsid w:val="00585862"/>
    <w:rsid w:val="00586C36"/>
    <w:rsid w:val="005903D1"/>
    <w:rsid w:val="00591CB0"/>
    <w:rsid w:val="00594099"/>
    <w:rsid w:val="0059590F"/>
    <w:rsid w:val="00595A54"/>
    <w:rsid w:val="00596298"/>
    <w:rsid w:val="005A084F"/>
    <w:rsid w:val="005A6134"/>
    <w:rsid w:val="005A7932"/>
    <w:rsid w:val="005B0F24"/>
    <w:rsid w:val="005B420B"/>
    <w:rsid w:val="005B5A5B"/>
    <w:rsid w:val="005C0B3E"/>
    <w:rsid w:val="005C1BF0"/>
    <w:rsid w:val="005C34C1"/>
    <w:rsid w:val="005C375F"/>
    <w:rsid w:val="005D2DC2"/>
    <w:rsid w:val="005E130D"/>
    <w:rsid w:val="005E1BE6"/>
    <w:rsid w:val="005E1EE4"/>
    <w:rsid w:val="005E3FAB"/>
    <w:rsid w:val="005F1092"/>
    <w:rsid w:val="005F4A4B"/>
    <w:rsid w:val="005F4B9F"/>
    <w:rsid w:val="005F6C30"/>
    <w:rsid w:val="006020F8"/>
    <w:rsid w:val="00610C4D"/>
    <w:rsid w:val="00617933"/>
    <w:rsid w:val="00620FCD"/>
    <w:rsid w:val="00624F4C"/>
    <w:rsid w:val="00626F12"/>
    <w:rsid w:val="0062741B"/>
    <w:rsid w:val="006305E2"/>
    <w:rsid w:val="006358F3"/>
    <w:rsid w:val="006363FC"/>
    <w:rsid w:val="006365ED"/>
    <w:rsid w:val="00644625"/>
    <w:rsid w:val="00644910"/>
    <w:rsid w:val="006451E2"/>
    <w:rsid w:val="00647BF9"/>
    <w:rsid w:val="00647EBC"/>
    <w:rsid w:val="0065134A"/>
    <w:rsid w:val="00651F2B"/>
    <w:rsid w:val="0065588B"/>
    <w:rsid w:val="00660B54"/>
    <w:rsid w:val="006611CF"/>
    <w:rsid w:val="00665B8C"/>
    <w:rsid w:val="006676AE"/>
    <w:rsid w:val="00671976"/>
    <w:rsid w:val="00674B39"/>
    <w:rsid w:val="00674BFE"/>
    <w:rsid w:val="00676D18"/>
    <w:rsid w:val="00677B11"/>
    <w:rsid w:val="00677E97"/>
    <w:rsid w:val="00682316"/>
    <w:rsid w:val="00682DDE"/>
    <w:rsid w:val="00684F51"/>
    <w:rsid w:val="00685151"/>
    <w:rsid w:val="0068536E"/>
    <w:rsid w:val="00691196"/>
    <w:rsid w:val="0069255B"/>
    <w:rsid w:val="00695552"/>
    <w:rsid w:val="00696F6B"/>
    <w:rsid w:val="006A0A60"/>
    <w:rsid w:val="006A2BBE"/>
    <w:rsid w:val="006A4814"/>
    <w:rsid w:val="006A5D30"/>
    <w:rsid w:val="006A61EE"/>
    <w:rsid w:val="006A6C7C"/>
    <w:rsid w:val="006A6DD4"/>
    <w:rsid w:val="006B13F9"/>
    <w:rsid w:val="006B2343"/>
    <w:rsid w:val="006B2934"/>
    <w:rsid w:val="006B2F1A"/>
    <w:rsid w:val="006C1E79"/>
    <w:rsid w:val="006C6075"/>
    <w:rsid w:val="006C6C37"/>
    <w:rsid w:val="006D09F1"/>
    <w:rsid w:val="006D447A"/>
    <w:rsid w:val="006D4C81"/>
    <w:rsid w:val="006E0241"/>
    <w:rsid w:val="006E181E"/>
    <w:rsid w:val="006E21C1"/>
    <w:rsid w:val="006E3FFD"/>
    <w:rsid w:val="006E403C"/>
    <w:rsid w:val="006E408F"/>
    <w:rsid w:val="006E536C"/>
    <w:rsid w:val="006E5ADA"/>
    <w:rsid w:val="006E7405"/>
    <w:rsid w:val="006F3CF0"/>
    <w:rsid w:val="006F422D"/>
    <w:rsid w:val="006F5488"/>
    <w:rsid w:val="006F6330"/>
    <w:rsid w:val="006F7A29"/>
    <w:rsid w:val="007042F1"/>
    <w:rsid w:val="00705AF5"/>
    <w:rsid w:val="00706310"/>
    <w:rsid w:val="00710015"/>
    <w:rsid w:val="00715E7E"/>
    <w:rsid w:val="007171F7"/>
    <w:rsid w:val="00722899"/>
    <w:rsid w:val="0072394D"/>
    <w:rsid w:val="00730CE0"/>
    <w:rsid w:val="007336BE"/>
    <w:rsid w:val="007338E4"/>
    <w:rsid w:val="007355E4"/>
    <w:rsid w:val="007378B7"/>
    <w:rsid w:val="007413A9"/>
    <w:rsid w:val="00741B1D"/>
    <w:rsid w:val="00744964"/>
    <w:rsid w:val="00744DC9"/>
    <w:rsid w:val="00746D35"/>
    <w:rsid w:val="0075074A"/>
    <w:rsid w:val="00750AB6"/>
    <w:rsid w:val="0075180E"/>
    <w:rsid w:val="007521DC"/>
    <w:rsid w:val="00753947"/>
    <w:rsid w:val="0075444B"/>
    <w:rsid w:val="007550D1"/>
    <w:rsid w:val="00756484"/>
    <w:rsid w:val="00757603"/>
    <w:rsid w:val="0077415C"/>
    <w:rsid w:val="00783BEE"/>
    <w:rsid w:val="00785BE7"/>
    <w:rsid w:val="00793BBE"/>
    <w:rsid w:val="00795285"/>
    <w:rsid w:val="007A12E1"/>
    <w:rsid w:val="007A2EBE"/>
    <w:rsid w:val="007A450A"/>
    <w:rsid w:val="007A67AA"/>
    <w:rsid w:val="007A7FC4"/>
    <w:rsid w:val="007B5F94"/>
    <w:rsid w:val="007B7641"/>
    <w:rsid w:val="007B7771"/>
    <w:rsid w:val="007C0877"/>
    <w:rsid w:val="007C25E8"/>
    <w:rsid w:val="007C2C60"/>
    <w:rsid w:val="007C4D03"/>
    <w:rsid w:val="007C60B9"/>
    <w:rsid w:val="007D0F02"/>
    <w:rsid w:val="007D4E29"/>
    <w:rsid w:val="007D6593"/>
    <w:rsid w:val="007D681A"/>
    <w:rsid w:val="007E150D"/>
    <w:rsid w:val="007E1EF5"/>
    <w:rsid w:val="007E241B"/>
    <w:rsid w:val="007E661C"/>
    <w:rsid w:val="007E69DB"/>
    <w:rsid w:val="007F35BE"/>
    <w:rsid w:val="007F478E"/>
    <w:rsid w:val="007F4FB7"/>
    <w:rsid w:val="007F5E71"/>
    <w:rsid w:val="00800F06"/>
    <w:rsid w:val="00801282"/>
    <w:rsid w:val="00803630"/>
    <w:rsid w:val="008055F7"/>
    <w:rsid w:val="008172F5"/>
    <w:rsid w:val="00820933"/>
    <w:rsid w:val="00825CA3"/>
    <w:rsid w:val="00825E0C"/>
    <w:rsid w:val="00830A4E"/>
    <w:rsid w:val="00831B84"/>
    <w:rsid w:val="00832DF3"/>
    <w:rsid w:val="0083449E"/>
    <w:rsid w:val="008356C1"/>
    <w:rsid w:val="0083619E"/>
    <w:rsid w:val="00836DD0"/>
    <w:rsid w:val="008425FF"/>
    <w:rsid w:val="00842B51"/>
    <w:rsid w:val="0084335B"/>
    <w:rsid w:val="00843738"/>
    <w:rsid w:val="008459DA"/>
    <w:rsid w:val="008459F6"/>
    <w:rsid w:val="00847591"/>
    <w:rsid w:val="00852D38"/>
    <w:rsid w:val="0086025B"/>
    <w:rsid w:val="00860277"/>
    <w:rsid w:val="00861AD9"/>
    <w:rsid w:val="00862F92"/>
    <w:rsid w:val="00863A3F"/>
    <w:rsid w:val="00864AE0"/>
    <w:rsid w:val="00866A36"/>
    <w:rsid w:val="00867915"/>
    <w:rsid w:val="0087037F"/>
    <w:rsid w:val="00870BE3"/>
    <w:rsid w:val="00870C0D"/>
    <w:rsid w:val="00870F4B"/>
    <w:rsid w:val="00872201"/>
    <w:rsid w:val="00872216"/>
    <w:rsid w:val="00890C64"/>
    <w:rsid w:val="008944A5"/>
    <w:rsid w:val="008A1508"/>
    <w:rsid w:val="008A1821"/>
    <w:rsid w:val="008A1854"/>
    <w:rsid w:val="008A5999"/>
    <w:rsid w:val="008A5F39"/>
    <w:rsid w:val="008B5B0F"/>
    <w:rsid w:val="008B5BB8"/>
    <w:rsid w:val="008B728E"/>
    <w:rsid w:val="008B7C5D"/>
    <w:rsid w:val="008C0B31"/>
    <w:rsid w:val="008C10FF"/>
    <w:rsid w:val="008C217F"/>
    <w:rsid w:val="008C7793"/>
    <w:rsid w:val="008D0288"/>
    <w:rsid w:val="008D08A7"/>
    <w:rsid w:val="008D08F2"/>
    <w:rsid w:val="008D1888"/>
    <w:rsid w:val="008D1E55"/>
    <w:rsid w:val="008D41BE"/>
    <w:rsid w:val="008D4967"/>
    <w:rsid w:val="008D5321"/>
    <w:rsid w:val="008D6EB6"/>
    <w:rsid w:val="008D7989"/>
    <w:rsid w:val="008E053D"/>
    <w:rsid w:val="008E3DE9"/>
    <w:rsid w:val="008E5677"/>
    <w:rsid w:val="008F05A7"/>
    <w:rsid w:val="008F07D0"/>
    <w:rsid w:val="008F74BB"/>
    <w:rsid w:val="008F7C4F"/>
    <w:rsid w:val="008F7D00"/>
    <w:rsid w:val="00901ABF"/>
    <w:rsid w:val="00906317"/>
    <w:rsid w:val="00907F10"/>
    <w:rsid w:val="00910CEA"/>
    <w:rsid w:val="00911424"/>
    <w:rsid w:val="009120E7"/>
    <w:rsid w:val="00912F2B"/>
    <w:rsid w:val="00912FC7"/>
    <w:rsid w:val="00917227"/>
    <w:rsid w:val="0092196B"/>
    <w:rsid w:val="009247E9"/>
    <w:rsid w:val="00926AE1"/>
    <w:rsid w:val="009318A8"/>
    <w:rsid w:val="00935879"/>
    <w:rsid w:val="00941F28"/>
    <w:rsid w:val="0094329F"/>
    <w:rsid w:val="0094506C"/>
    <w:rsid w:val="009457B5"/>
    <w:rsid w:val="00945B4A"/>
    <w:rsid w:val="0095012D"/>
    <w:rsid w:val="00952193"/>
    <w:rsid w:val="00953263"/>
    <w:rsid w:val="00955A2F"/>
    <w:rsid w:val="00956A72"/>
    <w:rsid w:val="009607BB"/>
    <w:rsid w:val="009620B0"/>
    <w:rsid w:val="00963E3D"/>
    <w:rsid w:val="00970798"/>
    <w:rsid w:val="009715F6"/>
    <w:rsid w:val="00971F2F"/>
    <w:rsid w:val="00976CEB"/>
    <w:rsid w:val="0097763A"/>
    <w:rsid w:val="00983687"/>
    <w:rsid w:val="009876AD"/>
    <w:rsid w:val="009904DD"/>
    <w:rsid w:val="009908A1"/>
    <w:rsid w:val="00995041"/>
    <w:rsid w:val="009958A0"/>
    <w:rsid w:val="00995981"/>
    <w:rsid w:val="009A01B0"/>
    <w:rsid w:val="009A05BD"/>
    <w:rsid w:val="009A0A73"/>
    <w:rsid w:val="009A3C9F"/>
    <w:rsid w:val="009A4279"/>
    <w:rsid w:val="009A5947"/>
    <w:rsid w:val="009A7EC9"/>
    <w:rsid w:val="009B1533"/>
    <w:rsid w:val="009B2804"/>
    <w:rsid w:val="009B70CF"/>
    <w:rsid w:val="009C0D54"/>
    <w:rsid w:val="009C15F6"/>
    <w:rsid w:val="009C3EC0"/>
    <w:rsid w:val="009D10D1"/>
    <w:rsid w:val="009D1637"/>
    <w:rsid w:val="009D3F5E"/>
    <w:rsid w:val="009D400C"/>
    <w:rsid w:val="009D45DD"/>
    <w:rsid w:val="009D6627"/>
    <w:rsid w:val="009D7607"/>
    <w:rsid w:val="009E0BE9"/>
    <w:rsid w:val="009E349A"/>
    <w:rsid w:val="009E5730"/>
    <w:rsid w:val="009E58E2"/>
    <w:rsid w:val="009E688F"/>
    <w:rsid w:val="009E6EB8"/>
    <w:rsid w:val="009E70C1"/>
    <w:rsid w:val="009F082F"/>
    <w:rsid w:val="009F0849"/>
    <w:rsid w:val="009F227B"/>
    <w:rsid w:val="009F2B4E"/>
    <w:rsid w:val="009F5BC5"/>
    <w:rsid w:val="009F5C86"/>
    <w:rsid w:val="00A0169D"/>
    <w:rsid w:val="00A018AD"/>
    <w:rsid w:val="00A01FAC"/>
    <w:rsid w:val="00A10F72"/>
    <w:rsid w:val="00A129F9"/>
    <w:rsid w:val="00A13194"/>
    <w:rsid w:val="00A143C5"/>
    <w:rsid w:val="00A14897"/>
    <w:rsid w:val="00A14F32"/>
    <w:rsid w:val="00A14F87"/>
    <w:rsid w:val="00A15C72"/>
    <w:rsid w:val="00A1780F"/>
    <w:rsid w:val="00A21C0E"/>
    <w:rsid w:val="00A23711"/>
    <w:rsid w:val="00A23C9A"/>
    <w:rsid w:val="00A24716"/>
    <w:rsid w:val="00A24754"/>
    <w:rsid w:val="00A25BF2"/>
    <w:rsid w:val="00A25EE9"/>
    <w:rsid w:val="00A2692E"/>
    <w:rsid w:val="00A26FAA"/>
    <w:rsid w:val="00A278D7"/>
    <w:rsid w:val="00A33BEF"/>
    <w:rsid w:val="00A35881"/>
    <w:rsid w:val="00A364DE"/>
    <w:rsid w:val="00A37C94"/>
    <w:rsid w:val="00A40B84"/>
    <w:rsid w:val="00A40F42"/>
    <w:rsid w:val="00A41881"/>
    <w:rsid w:val="00A4297D"/>
    <w:rsid w:val="00A4313B"/>
    <w:rsid w:val="00A4389C"/>
    <w:rsid w:val="00A4474C"/>
    <w:rsid w:val="00A552DB"/>
    <w:rsid w:val="00A56AD0"/>
    <w:rsid w:val="00A616FA"/>
    <w:rsid w:val="00A6197C"/>
    <w:rsid w:val="00A6210A"/>
    <w:rsid w:val="00A62F11"/>
    <w:rsid w:val="00A6393B"/>
    <w:rsid w:val="00A63F49"/>
    <w:rsid w:val="00A6685E"/>
    <w:rsid w:val="00A66DF7"/>
    <w:rsid w:val="00A67680"/>
    <w:rsid w:val="00A71A22"/>
    <w:rsid w:val="00A72CB8"/>
    <w:rsid w:val="00A766B7"/>
    <w:rsid w:val="00A84166"/>
    <w:rsid w:val="00A8477F"/>
    <w:rsid w:val="00A860B5"/>
    <w:rsid w:val="00A8726D"/>
    <w:rsid w:val="00A879F5"/>
    <w:rsid w:val="00A87ACB"/>
    <w:rsid w:val="00A9173B"/>
    <w:rsid w:val="00A97465"/>
    <w:rsid w:val="00AA1043"/>
    <w:rsid w:val="00AA3576"/>
    <w:rsid w:val="00AA62BC"/>
    <w:rsid w:val="00AA78F6"/>
    <w:rsid w:val="00AB37C1"/>
    <w:rsid w:val="00AC1FC4"/>
    <w:rsid w:val="00AC3FA7"/>
    <w:rsid w:val="00AD0DA5"/>
    <w:rsid w:val="00AD1039"/>
    <w:rsid w:val="00AD3FFA"/>
    <w:rsid w:val="00AE0024"/>
    <w:rsid w:val="00AE12E0"/>
    <w:rsid w:val="00AE45DB"/>
    <w:rsid w:val="00AE50C5"/>
    <w:rsid w:val="00AE522F"/>
    <w:rsid w:val="00AE6156"/>
    <w:rsid w:val="00AF117E"/>
    <w:rsid w:val="00AF4050"/>
    <w:rsid w:val="00AF4C46"/>
    <w:rsid w:val="00AF5B8B"/>
    <w:rsid w:val="00B01930"/>
    <w:rsid w:val="00B06F84"/>
    <w:rsid w:val="00B103A9"/>
    <w:rsid w:val="00B1124F"/>
    <w:rsid w:val="00B12B5D"/>
    <w:rsid w:val="00B15D27"/>
    <w:rsid w:val="00B16A48"/>
    <w:rsid w:val="00B1776B"/>
    <w:rsid w:val="00B2028D"/>
    <w:rsid w:val="00B21094"/>
    <w:rsid w:val="00B23997"/>
    <w:rsid w:val="00B246F5"/>
    <w:rsid w:val="00B249B7"/>
    <w:rsid w:val="00B24FEC"/>
    <w:rsid w:val="00B30A08"/>
    <w:rsid w:val="00B319CC"/>
    <w:rsid w:val="00B3395F"/>
    <w:rsid w:val="00B3400D"/>
    <w:rsid w:val="00B35EA3"/>
    <w:rsid w:val="00B36CBF"/>
    <w:rsid w:val="00B37051"/>
    <w:rsid w:val="00B37D8D"/>
    <w:rsid w:val="00B42EF5"/>
    <w:rsid w:val="00B433C1"/>
    <w:rsid w:val="00B453F8"/>
    <w:rsid w:val="00B4688B"/>
    <w:rsid w:val="00B47E85"/>
    <w:rsid w:val="00B50790"/>
    <w:rsid w:val="00B50B25"/>
    <w:rsid w:val="00B52907"/>
    <w:rsid w:val="00B52BC0"/>
    <w:rsid w:val="00B52F95"/>
    <w:rsid w:val="00B57403"/>
    <w:rsid w:val="00B6181E"/>
    <w:rsid w:val="00B625FC"/>
    <w:rsid w:val="00B62E6A"/>
    <w:rsid w:val="00B63AFC"/>
    <w:rsid w:val="00B63AFF"/>
    <w:rsid w:val="00B63FC5"/>
    <w:rsid w:val="00B641E9"/>
    <w:rsid w:val="00B64C38"/>
    <w:rsid w:val="00B64C43"/>
    <w:rsid w:val="00B65397"/>
    <w:rsid w:val="00B65578"/>
    <w:rsid w:val="00B65A05"/>
    <w:rsid w:val="00B66035"/>
    <w:rsid w:val="00B7600D"/>
    <w:rsid w:val="00B766E6"/>
    <w:rsid w:val="00B76C2F"/>
    <w:rsid w:val="00B80F81"/>
    <w:rsid w:val="00B820F1"/>
    <w:rsid w:val="00B8238D"/>
    <w:rsid w:val="00B922D9"/>
    <w:rsid w:val="00B930AC"/>
    <w:rsid w:val="00B94824"/>
    <w:rsid w:val="00B95B6B"/>
    <w:rsid w:val="00B96156"/>
    <w:rsid w:val="00B96748"/>
    <w:rsid w:val="00BA245A"/>
    <w:rsid w:val="00BA25F9"/>
    <w:rsid w:val="00BA3A20"/>
    <w:rsid w:val="00BA7CC1"/>
    <w:rsid w:val="00BB1EE9"/>
    <w:rsid w:val="00BB33E0"/>
    <w:rsid w:val="00BB60A3"/>
    <w:rsid w:val="00BC3029"/>
    <w:rsid w:val="00BC4713"/>
    <w:rsid w:val="00BC5A0E"/>
    <w:rsid w:val="00BD2189"/>
    <w:rsid w:val="00BD2767"/>
    <w:rsid w:val="00BD30A5"/>
    <w:rsid w:val="00BD30AC"/>
    <w:rsid w:val="00BD6166"/>
    <w:rsid w:val="00BD7249"/>
    <w:rsid w:val="00BD724A"/>
    <w:rsid w:val="00BE28FB"/>
    <w:rsid w:val="00BE500D"/>
    <w:rsid w:val="00BF03D4"/>
    <w:rsid w:val="00BF1368"/>
    <w:rsid w:val="00C00AD4"/>
    <w:rsid w:val="00C00D22"/>
    <w:rsid w:val="00C01A2C"/>
    <w:rsid w:val="00C04BC3"/>
    <w:rsid w:val="00C04C5A"/>
    <w:rsid w:val="00C075CC"/>
    <w:rsid w:val="00C114DA"/>
    <w:rsid w:val="00C14C78"/>
    <w:rsid w:val="00C16621"/>
    <w:rsid w:val="00C26F4F"/>
    <w:rsid w:val="00C27AB8"/>
    <w:rsid w:val="00C27B25"/>
    <w:rsid w:val="00C305E0"/>
    <w:rsid w:val="00C34EA2"/>
    <w:rsid w:val="00C355BB"/>
    <w:rsid w:val="00C42A9C"/>
    <w:rsid w:val="00C505C7"/>
    <w:rsid w:val="00C50B1C"/>
    <w:rsid w:val="00C524E1"/>
    <w:rsid w:val="00C53FD3"/>
    <w:rsid w:val="00C54CB2"/>
    <w:rsid w:val="00C56A41"/>
    <w:rsid w:val="00C6263F"/>
    <w:rsid w:val="00C62764"/>
    <w:rsid w:val="00C64BF7"/>
    <w:rsid w:val="00C669E1"/>
    <w:rsid w:val="00C70CA9"/>
    <w:rsid w:val="00C70D81"/>
    <w:rsid w:val="00C712FE"/>
    <w:rsid w:val="00C72FA2"/>
    <w:rsid w:val="00C744E7"/>
    <w:rsid w:val="00C752F3"/>
    <w:rsid w:val="00C755EC"/>
    <w:rsid w:val="00C75B5F"/>
    <w:rsid w:val="00C776BA"/>
    <w:rsid w:val="00C82178"/>
    <w:rsid w:val="00C845FE"/>
    <w:rsid w:val="00C850D1"/>
    <w:rsid w:val="00C87238"/>
    <w:rsid w:val="00C87C6A"/>
    <w:rsid w:val="00C9124F"/>
    <w:rsid w:val="00C91B18"/>
    <w:rsid w:val="00C96610"/>
    <w:rsid w:val="00C97235"/>
    <w:rsid w:val="00CA274C"/>
    <w:rsid w:val="00CA2FE2"/>
    <w:rsid w:val="00CA3F4C"/>
    <w:rsid w:val="00CA7CCD"/>
    <w:rsid w:val="00CB0E35"/>
    <w:rsid w:val="00CB1F63"/>
    <w:rsid w:val="00CB55D4"/>
    <w:rsid w:val="00CB5AB1"/>
    <w:rsid w:val="00CC00FF"/>
    <w:rsid w:val="00CC0A5C"/>
    <w:rsid w:val="00CC1E75"/>
    <w:rsid w:val="00CC2769"/>
    <w:rsid w:val="00CC2F7A"/>
    <w:rsid w:val="00CC6D19"/>
    <w:rsid w:val="00CC7E03"/>
    <w:rsid w:val="00CD307E"/>
    <w:rsid w:val="00CD5291"/>
    <w:rsid w:val="00CD7606"/>
    <w:rsid w:val="00CE1540"/>
    <w:rsid w:val="00CE1983"/>
    <w:rsid w:val="00CE419B"/>
    <w:rsid w:val="00CE50F9"/>
    <w:rsid w:val="00CF22D7"/>
    <w:rsid w:val="00CF438A"/>
    <w:rsid w:val="00CF5B45"/>
    <w:rsid w:val="00CF6057"/>
    <w:rsid w:val="00CF66D7"/>
    <w:rsid w:val="00CF6E74"/>
    <w:rsid w:val="00D01D15"/>
    <w:rsid w:val="00D031EB"/>
    <w:rsid w:val="00D050B2"/>
    <w:rsid w:val="00D0548B"/>
    <w:rsid w:val="00D05CAE"/>
    <w:rsid w:val="00D073FC"/>
    <w:rsid w:val="00D130D2"/>
    <w:rsid w:val="00D1438F"/>
    <w:rsid w:val="00D205AA"/>
    <w:rsid w:val="00D215A2"/>
    <w:rsid w:val="00D26AA8"/>
    <w:rsid w:val="00D26CA2"/>
    <w:rsid w:val="00D273A4"/>
    <w:rsid w:val="00D3462A"/>
    <w:rsid w:val="00D3545D"/>
    <w:rsid w:val="00D36480"/>
    <w:rsid w:val="00D36E37"/>
    <w:rsid w:val="00D40C3B"/>
    <w:rsid w:val="00D418BC"/>
    <w:rsid w:val="00D41A37"/>
    <w:rsid w:val="00D4260A"/>
    <w:rsid w:val="00D52FE4"/>
    <w:rsid w:val="00D56988"/>
    <w:rsid w:val="00D574E1"/>
    <w:rsid w:val="00D57643"/>
    <w:rsid w:val="00D62CCB"/>
    <w:rsid w:val="00D64636"/>
    <w:rsid w:val="00D647CB"/>
    <w:rsid w:val="00D65F4A"/>
    <w:rsid w:val="00D7054C"/>
    <w:rsid w:val="00D719FD"/>
    <w:rsid w:val="00D74141"/>
    <w:rsid w:val="00D743A1"/>
    <w:rsid w:val="00D752A1"/>
    <w:rsid w:val="00D764FE"/>
    <w:rsid w:val="00D765EC"/>
    <w:rsid w:val="00D828D0"/>
    <w:rsid w:val="00D847A6"/>
    <w:rsid w:val="00D85841"/>
    <w:rsid w:val="00D86431"/>
    <w:rsid w:val="00D87923"/>
    <w:rsid w:val="00D91252"/>
    <w:rsid w:val="00D914F9"/>
    <w:rsid w:val="00D930C5"/>
    <w:rsid w:val="00D933AD"/>
    <w:rsid w:val="00D933B0"/>
    <w:rsid w:val="00D940B7"/>
    <w:rsid w:val="00D942FA"/>
    <w:rsid w:val="00D95273"/>
    <w:rsid w:val="00D95415"/>
    <w:rsid w:val="00D970CD"/>
    <w:rsid w:val="00DA2CEB"/>
    <w:rsid w:val="00DA3CC3"/>
    <w:rsid w:val="00DA478B"/>
    <w:rsid w:val="00DB479C"/>
    <w:rsid w:val="00DB5CF8"/>
    <w:rsid w:val="00DC01F6"/>
    <w:rsid w:val="00DC0D4A"/>
    <w:rsid w:val="00DC4E16"/>
    <w:rsid w:val="00DC56F9"/>
    <w:rsid w:val="00DC7125"/>
    <w:rsid w:val="00DC7BFA"/>
    <w:rsid w:val="00DD1C11"/>
    <w:rsid w:val="00DD1D95"/>
    <w:rsid w:val="00DD414F"/>
    <w:rsid w:val="00DD4FA7"/>
    <w:rsid w:val="00DE556B"/>
    <w:rsid w:val="00DE57A7"/>
    <w:rsid w:val="00DE6F39"/>
    <w:rsid w:val="00DF0FB6"/>
    <w:rsid w:val="00DF3147"/>
    <w:rsid w:val="00DF31FD"/>
    <w:rsid w:val="00DF42FE"/>
    <w:rsid w:val="00DF4FCE"/>
    <w:rsid w:val="00DF74C8"/>
    <w:rsid w:val="00E0427B"/>
    <w:rsid w:val="00E0444C"/>
    <w:rsid w:val="00E05707"/>
    <w:rsid w:val="00E073B4"/>
    <w:rsid w:val="00E10937"/>
    <w:rsid w:val="00E13054"/>
    <w:rsid w:val="00E131C8"/>
    <w:rsid w:val="00E163C7"/>
    <w:rsid w:val="00E16566"/>
    <w:rsid w:val="00E17A3C"/>
    <w:rsid w:val="00E17C20"/>
    <w:rsid w:val="00E213A3"/>
    <w:rsid w:val="00E25426"/>
    <w:rsid w:val="00E25C9E"/>
    <w:rsid w:val="00E260B5"/>
    <w:rsid w:val="00E26BA1"/>
    <w:rsid w:val="00E30C21"/>
    <w:rsid w:val="00E32002"/>
    <w:rsid w:val="00E33CD6"/>
    <w:rsid w:val="00E343E2"/>
    <w:rsid w:val="00E3457C"/>
    <w:rsid w:val="00E34B13"/>
    <w:rsid w:val="00E34FB3"/>
    <w:rsid w:val="00E369B0"/>
    <w:rsid w:val="00E37A79"/>
    <w:rsid w:val="00E40A8F"/>
    <w:rsid w:val="00E43470"/>
    <w:rsid w:val="00E43A15"/>
    <w:rsid w:val="00E448B0"/>
    <w:rsid w:val="00E44A9A"/>
    <w:rsid w:val="00E500C5"/>
    <w:rsid w:val="00E50929"/>
    <w:rsid w:val="00E50CEA"/>
    <w:rsid w:val="00E50E26"/>
    <w:rsid w:val="00E511F5"/>
    <w:rsid w:val="00E51851"/>
    <w:rsid w:val="00E53E88"/>
    <w:rsid w:val="00E56BA1"/>
    <w:rsid w:val="00E56D04"/>
    <w:rsid w:val="00E5793A"/>
    <w:rsid w:val="00E61995"/>
    <w:rsid w:val="00E61F89"/>
    <w:rsid w:val="00E623EA"/>
    <w:rsid w:val="00E624FE"/>
    <w:rsid w:val="00E6320F"/>
    <w:rsid w:val="00E632EB"/>
    <w:rsid w:val="00E72FF5"/>
    <w:rsid w:val="00E73216"/>
    <w:rsid w:val="00E74744"/>
    <w:rsid w:val="00E76766"/>
    <w:rsid w:val="00E81224"/>
    <w:rsid w:val="00E81DEB"/>
    <w:rsid w:val="00E81FFF"/>
    <w:rsid w:val="00E829BD"/>
    <w:rsid w:val="00E852AB"/>
    <w:rsid w:val="00E8567E"/>
    <w:rsid w:val="00E86B82"/>
    <w:rsid w:val="00E9037A"/>
    <w:rsid w:val="00E952F3"/>
    <w:rsid w:val="00E976BC"/>
    <w:rsid w:val="00E97E69"/>
    <w:rsid w:val="00EA0948"/>
    <w:rsid w:val="00EA11E3"/>
    <w:rsid w:val="00EA4E96"/>
    <w:rsid w:val="00EA68A8"/>
    <w:rsid w:val="00EA6950"/>
    <w:rsid w:val="00EA7F37"/>
    <w:rsid w:val="00EB0373"/>
    <w:rsid w:val="00EB19E7"/>
    <w:rsid w:val="00EB20FB"/>
    <w:rsid w:val="00EB247D"/>
    <w:rsid w:val="00EB68BE"/>
    <w:rsid w:val="00EC1AF5"/>
    <w:rsid w:val="00EC53A6"/>
    <w:rsid w:val="00ED265B"/>
    <w:rsid w:val="00ED29C2"/>
    <w:rsid w:val="00ED3C2F"/>
    <w:rsid w:val="00ED6CD7"/>
    <w:rsid w:val="00ED7131"/>
    <w:rsid w:val="00EE2444"/>
    <w:rsid w:val="00EE3068"/>
    <w:rsid w:val="00EE773C"/>
    <w:rsid w:val="00EF0E73"/>
    <w:rsid w:val="00EF0FEA"/>
    <w:rsid w:val="00EF3188"/>
    <w:rsid w:val="00EF5CBA"/>
    <w:rsid w:val="00EF71CB"/>
    <w:rsid w:val="00F00587"/>
    <w:rsid w:val="00F00721"/>
    <w:rsid w:val="00F00BA3"/>
    <w:rsid w:val="00F0272B"/>
    <w:rsid w:val="00F02EA1"/>
    <w:rsid w:val="00F0683B"/>
    <w:rsid w:val="00F11385"/>
    <w:rsid w:val="00F1397F"/>
    <w:rsid w:val="00F15ADB"/>
    <w:rsid w:val="00F1682D"/>
    <w:rsid w:val="00F21B5B"/>
    <w:rsid w:val="00F222F6"/>
    <w:rsid w:val="00F2432A"/>
    <w:rsid w:val="00F2593A"/>
    <w:rsid w:val="00F30AAA"/>
    <w:rsid w:val="00F33C17"/>
    <w:rsid w:val="00F40556"/>
    <w:rsid w:val="00F42BCD"/>
    <w:rsid w:val="00F42E80"/>
    <w:rsid w:val="00F503DF"/>
    <w:rsid w:val="00F52157"/>
    <w:rsid w:val="00F5384C"/>
    <w:rsid w:val="00F61456"/>
    <w:rsid w:val="00F61896"/>
    <w:rsid w:val="00F62567"/>
    <w:rsid w:val="00F6529F"/>
    <w:rsid w:val="00F669EB"/>
    <w:rsid w:val="00F67DB9"/>
    <w:rsid w:val="00F708B3"/>
    <w:rsid w:val="00F71806"/>
    <w:rsid w:val="00F720FC"/>
    <w:rsid w:val="00F8059B"/>
    <w:rsid w:val="00F83567"/>
    <w:rsid w:val="00F854DF"/>
    <w:rsid w:val="00F90F60"/>
    <w:rsid w:val="00F95A48"/>
    <w:rsid w:val="00F96A1F"/>
    <w:rsid w:val="00FA22F1"/>
    <w:rsid w:val="00FA2DEC"/>
    <w:rsid w:val="00FA428D"/>
    <w:rsid w:val="00FA5BF6"/>
    <w:rsid w:val="00FB0F58"/>
    <w:rsid w:val="00FB29BE"/>
    <w:rsid w:val="00FB52E0"/>
    <w:rsid w:val="00FB5F1D"/>
    <w:rsid w:val="00FB7413"/>
    <w:rsid w:val="00FC0BDE"/>
    <w:rsid w:val="00FC2140"/>
    <w:rsid w:val="00FC2FB5"/>
    <w:rsid w:val="00FC67A2"/>
    <w:rsid w:val="00FD1655"/>
    <w:rsid w:val="00FD43FD"/>
    <w:rsid w:val="00FD4B05"/>
    <w:rsid w:val="00FD710A"/>
    <w:rsid w:val="00FE075F"/>
    <w:rsid w:val="00FE123B"/>
    <w:rsid w:val="00FE1D65"/>
    <w:rsid w:val="00FE392C"/>
    <w:rsid w:val="00FE477D"/>
    <w:rsid w:val="00FF033D"/>
    <w:rsid w:val="00FF0587"/>
    <w:rsid w:val="00FF139D"/>
    <w:rsid w:val="00FF1448"/>
    <w:rsid w:val="00FF1732"/>
    <w:rsid w:val="00FF1A2B"/>
    <w:rsid w:val="00FF3F14"/>
    <w:rsid w:val="00FF4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483F4"/>
  <w15:chartTrackingRefBased/>
  <w15:docId w15:val="{3786AFF5-2D42-425D-A94C-91B54FFCE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444"/>
    <w:rPr>
      <w:rFonts w:ascii="Times New Roman" w:hAnsi="Times New Roman"/>
      <w:sz w:val="24"/>
    </w:rPr>
  </w:style>
  <w:style w:type="paragraph" w:styleId="Heading1">
    <w:name w:val="heading 1"/>
    <w:aliases w:val="Chapters"/>
    <w:basedOn w:val="Normal"/>
    <w:next w:val="Normal"/>
    <w:link w:val="Heading1Char"/>
    <w:uiPriority w:val="9"/>
    <w:qFormat/>
    <w:rsid w:val="00AD1039"/>
    <w:pPr>
      <w:numPr>
        <w:numId w:val="3"/>
      </w:numPr>
      <w:spacing w:after="0" w:line="240" w:lineRule="auto"/>
      <w:outlineLvl w:val="0"/>
    </w:pPr>
    <w:rPr>
      <w:rFonts w:cs="Times New Roman"/>
      <w:caps/>
      <w:sz w:val="32"/>
      <w:szCs w:val="32"/>
    </w:rPr>
  </w:style>
  <w:style w:type="paragraph" w:styleId="Heading2">
    <w:name w:val="heading 2"/>
    <w:aliases w:val="IMRD"/>
    <w:basedOn w:val="Normal"/>
    <w:next w:val="Normal"/>
    <w:link w:val="Heading2Char"/>
    <w:uiPriority w:val="9"/>
    <w:unhideWhenUsed/>
    <w:qFormat/>
    <w:rsid w:val="0002190F"/>
    <w:pPr>
      <w:outlineLvl w:val="1"/>
    </w:pPr>
    <w:rPr>
      <w:rFonts w:cs="Times New Roman"/>
      <w:sz w:val="28"/>
      <w:szCs w:val="28"/>
    </w:rPr>
  </w:style>
  <w:style w:type="paragraph" w:styleId="Heading3">
    <w:name w:val="heading 3"/>
    <w:aliases w:val="Sub-heading"/>
    <w:basedOn w:val="ListParagraph"/>
    <w:next w:val="Normal"/>
    <w:link w:val="Heading3Char"/>
    <w:uiPriority w:val="9"/>
    <w:unhideWhenUsed/>
    <w:qFormat/>
    <w:rsid w:val="0002190F"/>
    <w:pPr>
      <w:ind w:left="0"/>
      <w:outlineLvl w:val="2"/>
    </w:pPr>
    <w:rPr>
      <w:b/>
      <w:i/>
    </w:rPr>
  </w:style>
  <w:style w:type="paragraph" w:styleId="Heading4">
    <w:name w:val="heading 4"/>
    <w:aliases w:val="Tables"/>
    <w:basedOn w:val="ListParagraph"/>
    <w:next w:val="Normal"/>
    <w:link w:val="Heading4Char"/>
    <w:uiPriority w:val="9"/>
    <w:unhideWhenUsed/>
    <w:qFormat/>
    <w:rsid w:val="0002190F"/>
    <w:pPr>
      <w:numPr>
        <w:ilvl w:val="1"/>
        <w:numId w:val="3"/>
      </w:numPr>
      <w:outlineLvl w:val="3"/>
    </w:pPr>
  </w:style>
  <w:style w:type="paragraph" w:styleId="Heading5">
    <w:name w:val="heading 5"/>
    <w:aliases w:val="Figures"/>
    <w:basedOn w:val="Normal"/>
    <w:next w:val="Normal"/>
    <w:link w:val="Heading5Char"/>
    <w:uiPriority w:val="9"/>
    <w:unhideWhenUsed/>
    <w:qFormat/>
    <w:rsid w:val="0002190F"/>
    <w:pPr>
      <w:keepNext/>
      <w:keepLines/>
      <w:numPr>
        <w:ilvl w:val="2"/>
        <w:numId w:val="3"/>
      </w:numPr>
      <w:spacing w:before="40" w:after="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5F6C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02190F"/>
    <w:rPr>
      <w:rFonts w:cs="Times New Roman"/>
      <w:szCs w:val="24"/>
    </w:rPr>
  </w:style>
  <w:style w:type="paragraph" w:styleId="BalloonText">
    <w:name w:val="Balloon Text"/>
    <w:basedOn w:val="Normal"/>
    <w:link w:val="BalloonTextChar"/>
    <w:uiPriority w:val="99"/>
    <w:semiHidden/>
    <w:unhideWhenUsed/>
    <w:rsid w:val="00021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190F"/>
    <w:rPr>
      <w:rFonts w:ascii="Segoe UI" w:hAnsi="Segoe UI" w:cs="Segoe UI"/>
      <w:sz w:val="18"/>
      <w:szCs w:val="18"/>
    </w:rPr>
  </w:style>
  <w:style w:type="character" w:customStyle="1" w:styleId="citationsource-book1">
    <w:name w:val="citation_source-book1"/>
    <w:basedOn w:val="DefaultParagraphFont"/>
    <w:rsid w:val="0002190F"/>
    <w:rPr>
      <w:i/>
      <w:iCs/>
    </w:rPr>
  </w:style>
  <w:style w:type="character" w:styleId="CommentReference">
    <w:name w:val="annotation reference"/>
    <w:basedOn w:val="DefaultParagraphFont"/>
    <w:uiPriority w:val="99"/>
    <w:semiHidden/>
    <w:unhideWhenUsed/>
    <w:rsid w:val="0002190F"/>
    <w:rPr>
      <w:sz w:val="16"/>
      <w:szCs w:val="16"/>
    </w:rPr>
  </w:style>
  <w:style w:type="paragraph" w:styleId="CommentText">
    <w:name w:val="annotation text"/>
    <w:basedOn w:val="Normal"/>
    <w:link w:val="CommentTextChar"/>
    <w:uiPriority w:val="99"/>
    <w:unhideWhenUsed/>
    <w:rsid w:val="0002190F"/>
    <w:pPr>
      <w:spacing w:line="240" w:lineRule="auto"/>
    </w:pPr>
    <w:rPr>
      <w:sz w:val="20"/>
      <w:szCs w:val="20"/>
    </w:rPr>
  </w:style>
  <w:style w:type="character" w:customStyle="1" w:styleId="CommentTextChar">
    <w:name w:val="Comment Text Char"/>
    <w:basedOn w:val="DefaultParagraphFont"/>
    <w:link w:val="CommentText"/>
    <w:uiPriority w:val="99"/>
    <w:rsid w:val="0002190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2190F"/>
    <w:rPr>
      <w:b/>
      <w:bCs/>
    </w:rPr>
  </w:style>
  <w:style w:type="character" w:customStyle="1" w:styleId="CommentSubjectChar">
    <w:name w:val="Comment Subject Char"/>
    <w:basedOn w:val="CommentTextChar"/>
    <w:link w:val="CommentSubject"/>
    <w:uiPriority w:val="99"/>
    <w:semiHidden/>
    <w:rsid w:val="0002190F"/>
    <w:rPr>
      <w:rFonts w:ascii="Times New Roman" w:hAnsi="Times New Roman"/>
      <w:b/>
      <w:bCs/>
      <w:sz w:val="20"/>
      <w:szCs w:val="20"/>
    </w:rPr>
  </w:style>
  <w:style w:type="paragraph" w:customStyle="1" w:styleId="EndNoteBibliography">
    <w:name w:val="EndNote Bibliography"/>
    <w:basedOn w:val="Normal"/>
    <w:link w:val="EndNoteBibliographyChar"/>
    <w:rsid w:val="0002190F"/>
    <w:pPr>
      <w:spacing w:line="240" w:lineRule="auto"/>
    </w:pPr>
    <w:rPr>
      <w:rFonts w:cs="Times New Roman"/>
      <w:noProof/>
    </w:rPr>
  </w:style>
  <w:style w:type="character" w:customStyle="1" w:styleId="EndNoteBibliographyChar">
    <w:name w:val="EndNote Bibliography Char"/>
    <w:basedOn w:val="DefaultParagraphFont"/>
    <w:link w:val="EndNoteBibliography"/>
    <w:rsid w:val="0002190F"/>
    <w:rPr>
      <w:rFonts w:ascii="Times New Roman" w:hAnsi="Times New Roman" w:cs="Times New Roman"/>
      <w:noProof/>
      <w:sz w:val="24"/>
    </w:rPr>
  </w:style>
  <w:style w:type="paragraph" w:customStyle="1" w:styleId="EndNoteBibliographyTitle">
    <w:name w:val="EndNote Bibliography Title"/>
    <w:basedOn w:val="Normal"/>
    <w:link w:val="EndNoteBibliographyTitleChar"/>
    <w:rsid w:val="0002190F"/>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02190F"/>
    <w:rPr>
      <w:rFonts w:ascii="Times New Roman" w:hAnsi="Times New Roman" w:cs="Times New Roman"/>
      <w:noProof/>
      <w:sz w:val="24"/>
    </w:rPr>
  </w:style>
  <w:style w:type="paragraph" w:styleId="Footer">
    <w:name w:val="footer"/>
    <w:basedOn w:val="Normal"/>
    <w:link w:val="FooterChar"/>
    <w:uiPriority w:val="99"/>
    <w:unhideWhenUsed/>
    <w:rsid w:val="000219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90F"/>
    <w:rPr>
      <w:rFonts w:ascii="Times New Roman" w:hAnsi="Times New Roman"/>
      <w:sz w:val="24"/>
    </w:rPr>
  </w:style>
  <w:style w:type="paragraph" w:styleId="Header">
    <w:name w:val="header"/>
    <w:basedOn w:val="Normal"/>
    <w:link w:val="HeaderChar"/>
    <w:uiPriority w:val="99"/>
    <w:unhideWhenUsed/>
    <w:rsid w:val="000219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90F"/>
    <w:rPr>
      <w:rFonts w:ascii="Times New Roman" w:hAnsi="Times New Roman"/>
      <w:sz w:val="24"/>
    </w:rPr>
  </w:style>
  <w:style w:type="character" w:customStyle="1" w:styleId="Heading1Char">
    <w:name w:val="Heading 1 Char"/>
    <w:aliases w:val="Chapters Char"/>
    <w:basedOn w:val="DefaultParagraphFont"/>
    <w:link w:val="Heading1"/>
    <w:uiPriority w:val="9"/>
    <w:rsid w:val="00AD1039"/>
    <w:rPr>
      <w:rFonts w:ascii="Times New Roman" w:hAnsi="Times New Roman" w:cs="Times New Roman"/>
      <w:caps/>
      <w:sz w:val="32"/>
      <w:szCs w:val="32"/>
    </w:rPr>
  </w:style>
  <w:style w:type="character" w:customStyle="1" w:styleId="Heading2Char">
    <w:name w:val="Heading 2 Char"/>
    <w:aliases w:val="IMRD Char"/>
    <w:basedOn w:val="DefaultParagraphFont"/>
    <w:link w:val="Heading2"/>
    <w:uiPriority w:val="9"/>
    <w:rsid w:val="0002190F"/>
    <w:rPr>
      <w:rFonts w:ascii="Times New Roman" w:hAnsi="Times New Roman" w:cs="Times New Roman"/>
      <w:sz w:val="28"/>
      <w:szCs w:val="28"/>
    </w:rPr>
  </w:style>
  <w:style w:type="paragraph" w:styleId="ListParagraph">
    <w:name w:val="List Paragraph"/>
    <w:basedOn w:val="Normal"/>
    <w:uiPriority w:val="34"/>
    <w:qFormat/>
    <w:rsid w:val="0002190F"/>
    <w:pPr>
      <w:ind w:left="720"/>
      <w:contextualSpacing/>
    </w:pPr>
  </w:style>
  <w:style w:type="character" w:customStyle="1" w:styleId="Heading3Char">
    <w:name w:val="Heading 3 Char"/>
    <w:aliases w:val="Sub-heading Char"/>
    <w:basedOn w:val="DefaultParagraphFont"/>
    <w:link w:val="Heading3"/>
    <w:uiPriority w:val="9"/>
    <w:rsid w:val="0002190F"/>
    <w:rPr>
      <w:rFonts w:ascii="Times New Roman" w:hAnsi="Times New Roman"/>
      <w:b/>
      <w:i/>
      <w:sz w:val="24"/>
    </w:rPr>
  </w:style>
  <w:style w:type="character" w:customStyle="1" w:styleId="Heading4Char">
    <w:name w:val="Heading 4 Char"/>
    <w:aliases w:val="Tables Char"/>
    <w:basedOn w:val="DefaultParagraphFont"/>
    <w:link w:val="Heading4"/>
    <w:uiPriority w:val="9"/>
    <w:rsid w:val="0002190F"/>
    <w:rPr>
      <w:rFonts w:ascii="Times New Roman" w:hAnsi="Times New Roman"/>
      <w:sz w:val="24"/>
    </w:rPr>
  </w:style>
  <w:style w:type="character" w:customStyle="1" w:styleId="Heading5Char">
    <w:name w:val="Heading 5 Char"/>
    <w:aliases w:val="Figures Char"/>
    <w:basedOn w:val="DefaultParagraphFont"/>
    <w:link w:val="Heading5"/>
    <w:uiPriority w:val="9"/>
    <w:rsid w:val="0002190F"/>
    <w:rPr>
      <w:rFonts w:ascii="Times New Roman" w:eastAsiaTheme="majorEastAsia" w:hAnsi="Times New Roman" w:cstheme="majorBidi"/>
      <w:color w:val="000000" w:themeColor="text1"/>
      <w:sz w:val="24"/>
    </w:rPr>
  </w:style>
  <w:style w:type="character" w:styleId="Hyperlink">
    <w:name w:val="Hyperlink"/>
    <w:basedOn w:val="DefaultParagraphFont"/>
    <w:uiPriority w:val="99"/>
    <w:unhideWhenUsed/>
    <w:rsid w:val="0002190F"/>
    <w:rPr>
      <w:color w:val="0563C1" w:themeColor="hyperlink"/>
      <w:u w:val="single"/>
    </w:rPr>
  </w:style>
  <w:style w:type="character" w:customStyle="1" w:styleId="nlmpublisher-loc">
    <w:name w:val="nlm_publisher-loc"/>
    <w:basedOn w:val="DefaultParagraphFont"/>
    <w:rsid w:val="0002190F"/>
  </w:style>
  <w:style w:type="character" w:customStyle="1" w:styleId="nlmpublisher-name">
    <w:name w:val="nlm_publisher-name"/>
    <w:basedOn w:val="DefaultParagraphFont"/>
    <w:rsid w:val="0002190F"/>
  </w:style>
  <w:style w:type="character" w:customStyle="1" w:styleId="nlmyear">
    <w:name w:val="nlm_year"/>
    <w:basedOn w:val="DefaultParagraphFont"/>
    <w:rsid w:val="0002190F"/>
  </w:style>
  <w:style w:type="paragraph" w:styleId="NoSpacing">
    <w:name w:val="No Spacing"/>
    <w:uiPriority w:val="1"/>
    <w:qFormat/>
    <w:rsid w:val="001421E0"/>
    <w:pPr>
      <w:spacing w:after="0" w:line="240" w:lineRule="auto"/>
    </w:pPr>
    <w:rPr>
      <w:rFonts w:ascii="Times New Roman" w:hAnsi="Times New Roman"/>
      <w:sz w:val="24"/>
    </w:rPr>
  </w:style>
  <w:style w:type="paragraph" w:styleId="NormalWeb">
    <w:name w:val="Normal (Web)"/>
    <w:basedOn w:val="Normal"/>
    <w:uiPriority w:val="99"/>
    <w:unhideWhenUsed/>
    <w:rsid w:val="0002190F"/>
    <w:pPr>
      <w:spacing w:before="100" w:beforeAutospacing="1" w:after="100" w:afterAutospacing="1" w:line="240" w:lineRule="auto"/>
    </w:pPr>
    <w:rPr>
      <w:rFonts w:eastAsia="Times New Roman" w:cs="Times New Roman"/>
      <w:szCs w:val="24"/>
    </w:rPr>
  </w:style>
  <w:style w:type="character" w:styleId="PlaceholderText">
    <w:name w:val="Placeholder Text"/>
    <w:basedOn w:val="DefaultParagraphFont"/>
    <w:uiPriority w:val="99"/>
    <w:semiHidden/>
    <w:rsid w:val="0002190F"/>
    <w:rPr>
      <w:color w:val="808080"/>
    </w:rPr>
  </w:style>
  <w:style w:type="table" w:customStyle="1" w:styleId="PlainTable41">
    <w:name w:val="Plain Table 41"/>
    <w:basedOn w:val="TableNormal"/>
    <w:uiPriority w:val="44"/>
    <w:rsid w:val="0002190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02190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190F"/>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unhideWhenUsed/>
    <w:rsid w:val="0002190F"/>
    <w:pPr>
      <w:spacing w:after="100"/>
    </w:pPr>
  </w:style>
  <w:style w:type="paragraph" w:styleId="TOC2">
    <w:name w:val="toc 2"/>
    <w:basedOn w:val="Normal"/>
    <w:next w:val="Normal"/>
    <w:autoRedefine/>
    <w:uiPriority w:val="39"/>
    <w:unhideWhenUsed/>
    <w:rsid w:val="0002190F"/>
    <w:pPr>
      <w:spacing w:after="100"/>
      <w:ind w:left="240"/>
    </w:pPr>
  </w:style>
  <w:style w:type="paragraph" w:styleId="TOC3">
    <w:name w:val="toc 3"/>
    <w:basedOn w:val="Normal"/>
    <w:next w:val="Normal"/>
    <w:autoRedefine/>
    <w:uiPriority w:val="39"/>
    <w:unhideWhenUsed/>
    <w:rsid w:val="0002190F"/>
    <w:pPr>
      <w:spacing w:after="100"/>
      <w:ind w:left="480"/>
    </w:pPr>
  </w:style>
  <w:style w:type="paragraph" w:styleId="TOC4">
    <w:name w:val="toc 4"/>
    <w:basedOn w:val="Normal"/>
    <w:next w:val="Normal"/>
    <w:autoRedefine/>
    <w:uiPriority w:val="39"/>
    <w:unhideWhenUsed/>
    <w:rsid w:val="0002190F"/>
    <w:pPr>
      <w:spacing w:after="100"/>
      <w:ind w:left="720"/>
    </w:pPr>
  </w:style>
  <w:style w:type="paragraph" w:styleId="TOC5">
    <w:name w:val="toc 5"/>
    <w:basedOn w:val="Normal"/>
    <w:next w:val="Normal"/>
    <w:autoRedefine/>
    <w:uiPriority w:val="39"/>
    <w:unhideWhenUsed/>
    <w:rsid w:val="0002190F"/>
    <w:pPr>
      <w:spacing w:after="100"/>
      <w:ind w:left="960"/>
    </w:pPr>
  </w:style>
  <w:style w:type="paragraph" w:styleId="TOCHeading">
    <w:name w:val="TOC Heading"/>
    <w:basedOn w:val="Heading1"/>
    <w:next w:val="Normal"/>
    <w:uiPriority w:val="39"/>
    <w:unhideWhenUsed/>
    <w:qFormat/>
    <w:rsid w:val="0002190F"/>
    <w:pPr>
      <w:keepNext/>
      <w:keepLines/>
      <w:numPr>
        <w:numId w:val="0"/>
      </w:numPr>
      <w:spacing w:before="240" w:line="259" w:lineRule="auto"/>
      <w:outlineLvl w:val="9"/>
    </w:pPr>
    <w:rPr>
      <w:rFonts w:asciiTheme="majorHAnsi" w:eastAsiaTheme="majorEastAsia" w:hAnsiTheme="majorHAnsi" w:cstheme="majorBidi"/>
      <w:color w:val="2E74B5" w:themeColor="accent1" w:themeShade="BF"/>
    </w:rPr>
  </w:style>
  <w:style w:type="paragraph" w:customStyle="1" w:styleId="Default">
    <w:name w:val="Default"/>
    <w:rsid w:val="00AD1039"/>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30A4E"/>
    <w:rPr>
      <w:rFonts w:ascii="Times New Roman" w:hAnsi="Times New Roman"/>
      <w:i/>
      <w:iCs/>
      <w:sz w:val="24"/>
    </w:rPr>
  </w:style>
  <w:style w:type="character" w:customStyle="1" w:styleId="Heading6Char">
    <w:name w:val="Heading 6 Char"/>
    <w:basedOn w:val="DefaultParagraphFont"/>
    <w:link w:val="Heading6"/>
    <w:uiPriority w:val="9"/>
    <w:semiHidden/>
    <w:rsid w:val="005F6C30"/>
    <w:rPr>
      <w:rFonts w:asciiTheme="majorHAnsi" w:eastAsiaTheme="majorEastAsia" w:hAnsiTheme="majorHAnsi" w:cstheme="majorBidi"/>
      <w:color w:val="1F4D78" w:themeColor="accent1" w:themeShade="7F"/>
      <w:sz w:val="24"/>
    </w:rPr>
  </w:style>
  <w:style w:type="table" w:styleId="PlainTable5">
    <w:name w:val="Plain Table 5"/>
    <w:basedOn w:val="TableNormal"/>
    <w:uiPriority w:val="45"/>
    <w:rsid w:val="009958A0"/>
    <w:pPr>
      <w:spacing w:after="0" w:line="240" w:lineRule="auto"/>
    </w:p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on">
    <w:name w:val="Revision"/>
    <w:hidden/>
    <w:uiPriority w:val="99"/>
    <w:semiHidden/>
    <w:rsid w:val="00D933B0"/>
    <w:pPr>
      <w:spacing w:after="0" w:line="240" w:lineRule="auto"/>
    </w:pPr>
    <w:rPr>
      <w:rFonts w:ascii="Times New Roman" w:hAnsi="Times New Roman"/>
      <w:sz w:val="24"/>
    </w:rPr>
  </w:style>
  <w:style w:type="character" w:styleId="LineNumber">
    <w:name w:val="line number"/>
    <w:basedOn w:val="DefaultParagraphFont"/>
    <w:uiPriority w:val="99"/>
    <w:semiHidden/>
    <w:unhideWhenUsed/>
    <w:rsid w:val="00316D98"/>
  </w:style>
  <w:style w:type="character" w:customStyle="1" w:styleId="epub-sectionitem">
    <w:name w:val="epub-section__item"/>
    <w:basedOn w:val="DefaultParagraphFont"/>
    <w:rsid w:val="00512A07"/>
  </w:style>
  <w:style w:type="character" w:customStyle="1" w:styleId="c-bibliographic-informationvalue">
    <w:name w:val="c-bibliographic-information__value"/>
    <w:basedOn w:val="DefaultParagraphFont"/>
    <w:rsid w:val="00305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19082">
      <w:bodyDiv w:val="1"/>
      <w:marLeft w:val="0"/>
      <w:marRight w:val="0"/>
      <w:marTop w:val="0"/>
      <w:marBottom w:val="0"/>
      <w:divBdr>
        <w:top w:val="none" w:sz="0" w:space="0" w:color="auto"/>
        <w:left w:val="none" w:sz="0" w:space="0" w:color="auto"/>
        <w:bottom w:val="none" w:sz="0" w:space="0" w:color="auto"/>
        <w:right w:val="none" w:sz="0" w:space="0" w:color="auto"/>
      </w:divBdr>
      <w:divsChild>
        <w:div w:id="1486749819">
          <w:marLeft w:val="0"/>
          <w:marRight w:val="0"/>
          <w:marTop w:val="0"/>
          <w:marBottom w:val="0"/>
          <w:divBdr>
            <w:top w:val="none" w:sz="0" w:space="0" w:color="auto"/>
            <w:left w:val="none" w:sz="0" w:space="0" w:color="auto"/>
            <w:bottom w:val="none" w:sz="0" w:space="0" w:color="auto"/>
            <w:right w:val="none" w:sz="0" w:space="0" w:color="auto"/>
          </w:divBdr>
        </w:div>
      </w:divsChild>
    </w:div>
    <w:div w:id="39674035">
      <w:bodyDiv w:val="1"/>
      <w:marLeft w:val="0"/>
      <w:marRight w:val="0"/>
      <w:marTop w:val="0"/>
      <w:marBottom w:val="0"/>
      <w:divBdr>
        <w:top w:val="none" w:sz="0" w:space="0" w:color="auto"/>
        <w:left w:val="none" w:sz="0" w:space="0" w:color="auto"/>
        <w:bottom w:val="none" w:sz="0" w:space="0" w:color="auto"/>
        <w:right w:val="none" w:sz="0" w:space="0" w:color="auto"/>
      </w:divBdr>
    </w:div>
    <w:div w:id="129396927">
      <w:bodyDiv w:val="1"/>
      <w:marLeft w:val="0"/>
      <w:marRight w:val="0"/>
      <w:marTop w:val="0"/>
      <w:marBottom w:val="0"/>
      <w:divBdr>
        <w:top w:val="none" w:sz="0" w:space="0" w:color="auto"/>
        <w:left w:val="none" w:sz="0" w:space="0" w:color="auto"/>
        <w:bottom w:val="none" w:sz="0" w:space="0" w:color="auto"/>
        <w:right w:val="none" w:sz="0" w:space="0" w:color="auto"/>
      </w:divBdr>
      <w:divsChild>
        <w:div w:id="955525653">
          <w:marLeft w:val="0"/>
          <w:marRight w:val="0"/>
          <w:marTop w:val="0"/>
          <w:marBottom w:val="0"/>
          <w:divBdr>
            <w:top w:val="none" w:sz="0" w:space="0" w:color="auto"/>
            <w:left w:val="none" w:sz="0" w:space="0" w:color="auto"/>
            <w:bottom w:val="none" w:sz="0" w:space="0" w:color="auto"/>
            <w:right w:val="none" w:sz="0" w:space="0" w:color="auto"/>
          </w:divBdr>
        </w:div>
      </w:divsChild>
    </w:div>
    <w:div w:id="250045977">
      <w:bodyDiv w:val="1"/>
      <w:marLeft w:val="0"/>
      <w:marRight w:val="0"/>
      <w:marTop w:val="0"/>
      <w:marBottom w:val="0"/>
      <w:divBdr>
        <w:top w:val="none" w:sz="0" w:space="0" w:color="auto"/>
        <w:left w:val="none" w:sz="0" w:space="0" w:color="auto"/>
        <w:bottom w:val="none" w:sz="0" w:space="0" w:color="auto"/>
        <w:right w:val="none" w:sz="0" w:space="0" w:color="auto"/>
      </w:divBdr>
    </w:div>
    <w:div w:id="293289629">
      <w:bodyDiv w:val="1"/>
      <w:marLeft w:val="0"/>
      <w:marRight w:val="0"/>
      <w:marTop w:val="0"/>
      <w:marBottom w:val="0"/>
      <w:divBdr>
        <w:top w:val="none" w:sz="0" w:space="0" w:color="auto"/>
        <w:left w:val="none" w:sz="0" w:space="0" w:color="auto"/>
        <w:bottom w:val="none" w:sz="0" w:space="0" w:color="auto"/>
        <w:right w:val="none" w:sz="0" w:space="0" w:color="auto"/>
      </w:divBdr>
    </w:div>
    <w:div w:id="297272140">
      <w:bodyDiv w:val="1"/>
      <w:marLeft w:val="0"/>
      <w:marRight w:val="0"/>
      <w:marTop w:val="0"/>
      <w:marBottom w:val="0"/>
      <w:divBdr>
        <w:top w:val="none" w:sz="0" w:space="0" w:color="auto"/>
        <w:left w:val="none" w:sz="0" w:space="0" w:color="auto"/>
        <w:bottom w:val="none" w:sz="0" w:space="0" w:color="auto"/>
        <w:right w:val="none" w:sz="0" w:space="0" w:color="auto"/>
      </w:divBdr>
    </w:div>
    <w:div w:id="364916246">
      <w:bodyDiv w:val="1"/>
      <w:marLeft w:val="0"/>
      <w:marRight w:val="0"/>
      <w:marTop w:val="0"/>
      <w:marBottom w:val="0"/>
      <w:divBdr>
        <w:top w:val="none" w:sz="0" w:space="0" w:color="auto"/>
        <w:left w:val="none" w:sz="0" w:space="0" w:color="auto"/>
        <w:bottom w:val="none" w:sz="0" w:space="0" w:color="auto"/>
        <w:right w:val="none" w:sz="0" w:space="0" w:color="auto"/>
      </w:divBdr>
    </w:div>
    <w:div w:id="392461925">
      <w:bodyDiv w:val="1"/>
      <w:marLeft w:val="0"/>
      <w:marRight w:val="0"/>
      <w:marTop w:val="0"/>
      <w:marBottom w:val="0"/>
      <w:divBdr>
        <w:top w:val="none" w:sz="0" w:space="0" w:color="auto"/>
        <w:left w:val="none" w:sz="0" w:space="0" w:color="auto"/>
        <w:bottom w:val="none" w:sz="0" w:space="0" w:color="auto"/>
        <w:right w:val="none" w:sz="0" w:space="0" w:color="auto"/>
      </w:divBdr>
    </w:div>
    <w:div w:id="408844428">
      <w:bodyDiv w:val="1"/>
      <w:marLeft w:val="0"/>
      <w:marRight w:val="0"/>
      <w:marTop w:val="0"/>
      <w:marBottom w:val="0"/>
      <w:divBdr>
        <w:top w:val="none" w:sz="0" w:space="0" w:color="auto"/>
        <w:left w:val="none" w:sz="0" w:space="0" w:color="auto"/>
        <w:bottom w:val="none" w:sz="0" w:space="0" w:color="auto"/>
        <w:right w:val="none" w:sz="0" w:space="0" w:color="auto"/>
      </w:divBdr>
    </w:div>
    <w:div w:id="434986808">
      <w:bodyDiv w:val="1"/>
      <w:marLeft w:val="0"/>
      <w:marRight w:val="0"/>
      <w:marTop w:val="0"/>
      <w:marBottom w:val="0"/>
      <w:divBdr>
        <w:top w:val="none" w:sz="0" w:space="0" w:color="auto"/>
        <w:left w:val="none" w:sz="0" w:space="0" w:color="auto"/>
        <w:bottom w:val="none" w:sz="0" w:space="0" w:color="auto"/>
        <w:right w:val="none" w:sz="0" w:space="0" w:color="auto"/>
      </w:divBdr>
    </w:div>
    <w:div w:id="536432014">
      <w:bodyDiv w:val="1"/>
      <w:marLeft w:val="0"/>
      <w:marRight w:val="0"/>
      <w:marTop w:val="0"/>
      <w:marBottom w:val="0"/>
      <w:divBdr>
        <w:top w:val="none" w:sz="0" w:space="0" w:color="auto"/>
        <w:left w:val="none" w:sz="0" w:space="0" w:color="auto"/>
        <w:bottom w:val="none" w:sz="0" w:space="0" w:color="auto"/>
        <w:right w:val="none" w:sz="0" w:space="0" w:color="auto"/>
      </w:divBdr>
    </w:div>
    <w:div w:id="610018515">
      <w:bodyDiv w:val="1"/>
      <w:marLeft w:val="0"/>
      <w:marRight w:val="0"/>
      <w:marTop w:val="0"/>
      <w:marBottom w:val="0"/>
      <w:divBdr>
        <w:top w:val="none" w:sz="0" w:space="0" w:color="auto"/>
        <w:left w:val="none" w:sz="0" w:space="0" w:color="auto"/>
        <w:bottom w:val="none" w:sz="0" w:space="0" w:color="auto"/>
        <w:right w:val="none" w:sz="0" w:space="0" w:color="auto"/>
      </w:divBdr>
    </w:div>
    <w:div w:id="614483847">
      <w:bodyDiv w:val="1"/>
      <w:marLeft w:val="0"/>
      <w:marRight w:val="0"/>
      <w:marTop w:val="0"/>
      <w:marBottom w:val="0"/>
      <w:divBdr>
        <w:top w:val="none" w:sz="0" w:space="0" w:color="auto"/>
        <w:left w:val="none" w:sz="0" w:space="0" w:color="auto"/>
        <w:bottom w:val="none" w:sz="0" w:space="0" w:color="auto"/>
        <w:right w:val="none" w:sz="0" w:space="0" w:color="auto"/>
      </w:divBdr>
    </w:div>
    <w:div w:id="708191279">
      <w:bodyDiv w:val="1"/>
      <w:marLeft w:val="0"/>
      <w:marRight w:val="0"/>
      <w:marTop w:val="0"/>
      <w:marBottom w:val="0"/>
      <w:divBdr>
        <w:top w:val="none" w:sz="0" w:space="0" w:color="auto"/>
        <w:left w:val="none" w:sz="0" w:space="0" w:color="auto"/>
        <w:bottom w:val="none" w:sz="0" w:space="0" w:color="auto"/>
        <w:right w:val="none" w:sz="0" w:space="0" w:color="auto"/>
      </w:divBdr>
      <w:divsChild>
        <w:div w:id="67777121">
          <w:marLeft w:val="0"/>
          <w:marRight w:val="0"/>
          <w:marTop w:val="0"/>
          <w:marBottom w:val="0"/>
          <w:divBdr>
            <w:top w:val="none" w:sz="0" w:space="0" w:color="auto"/>
            <w:left w:val="none" w:sz="0" w:space="0" w:color="auto"/>
            <w:bottom w:val="none" w:sz="0" w:space="0" w:color="auto"/>
            <w:right w:val="none" w:sz="0" w:space="0" w:color="auto"/>
          </w:divBdr>
        </w:div>
      </w:divsChild>
    </w:div>
    <w:div w:id="738092378">
      <w:bodyDiv w:val="1"/>
      <w:marLeft w:val="0"/>
      <w:marRight w:val="0"/>
      <w:marTop w:val="0"/>
      <w:marBottom w:val="0"/>
      <w:divBdr>
        <w:top w:val="none" w:sz="0" w:space="0" w:color="auto"/>
        <w:left w:val="none" w:sz="0" w:space="0" w:color="auto"/>
        <w:bottom w:val="none" w:sz="0" w:space="0" w:color="auto"/>
        <w:right w:val="none" w:sz="0" w:space="0" w:color="auto"/>
      </w:divBdr>
      <w:divsChild>
        <w:div w:id="44915342">
          <w:marLeft w:val="0"/>
          <w:marRight w:val="0"/>
          <w:marTop w:val="0"/>
          <w:marBottom w:val="0"/>
          <w:divBdr>
            <w:top w:val="none" w:sz="0" w:space="0" w:color="auto"/>
            <w:left w:val="none" w:sz="0" w:space="0" w:color="auto"/>
            <w:bottom w:val="none" w:sz="0" w:space="0" w:color="auto"/>
            <w:right w:val="none" w:sz="0" w:space="0" w:color="auto"/>
          </w:divBdr>
        </w:div>
      </w:divsChild>
    </w:div>
    <w:div w:id="897060069">
      <w:bodyDiv w:val="1"/>
      <w:marLeft w:val="0"/>
      <w:marRight w:val="0"/>
      <w:marTop w:val="0"/>
      <w:marBottom w:val="0"/>
      <w:divBdr>
        <w:top w:val="none" w:sz="0" w:space="0" w:color="auto"/>
        <w:left w:val="none" w:sz="0" w:space="0" w:color="auto"/>
        <w:bottom w:val="none" w:sz="0" w:space="0" w:color="auto"/>
        <w:right w:val="none" w:sz="0" w:space="0" w:color="auto"/>
      </w:divBdr>
    </w:div>
    <w:div w:id="942735619">
      <w:bodyDiv w:val="1"/>
      <w:marLeft w:val="0"/>
      <w:marRight w:val="0"/>
      <w:marTop w:val="0"/>
      <w:marBottom w:val="0"/>
      <w:divBdr>
        <w:top w:val="none" w:sz="0" w:space="0" w:color="auto"/>
        <w:left w:val="none" w:sz="0" w:space="0" w:color="auto"/>
        <w:bottom w:val="none" w:sz="0" w:space="0" w:color="auto"/>
        <w:right w:val="none" w:sz="0" w:space="0" w:color="auto"/>
      </w:divBdr>
    </w:div>
    <w:div w:id="1011033052">
      <w:bodyDiv w:val="1"/>
      <w:marLeft w:val="0"/>
      <w:marRight w:val="0"/>
      <w:marTop w:val="0"/>
      <w:marBottom w:val="0"/>
      <w:divBdr>
        <w:top w:val="none" w:sz="0" w:space="0" w:color="auto"/>
        <w:left w:val="none" w:sz="0" w:space="0" w:color="auto"/>
        <w:bottom w:val="none" w:sz="0" w:space="0" w:color="auto"/>
        <w:right w:val="none" w:sz="0" w:space="0" w:color="auto"/>
      </w:divBdr>
      <w:divsChild>
        <w:div w:id="469634307">
          <w:marLeft w:val="0"/>
          <w:marRight w:val="0"/>
          <w:marTop w:val="0"/>
          <w:marBottom w:val="0"/>
          <w:divBdr>
            <w:top w:val="none" w:sz="0" w:space="0" w:color="auto"/>
            <w:left w:val="none" w:sz="0" w:space="0" w:color="auto"/>
            <w:bottom w:val="none" w:sz="0" w:space="0" w:color="auto"/>
            <w:right w:val="none" w:sz="0" w:space="0" w:color="auto"/>
          </w:divBdr>
          <w:divsChild>
            <w:div w:id="6748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827820">
      <w:bodyDiv w:val="1"/>
      <w:marLeft w:val="0"/>
      <w:marRight w:val="0"/>
      <w:marTop w:val="0"/>
      <w:marBottom w:val="0"/>
      <w:divBdr>
        <w:top w:val="none" w:sz="0" w:space="0" w:color="auto"/>
        <w:left w:val="none" w:sz="0" w:space="0" w:color="auto"/>
        <w:bottom w:val="none" w:sz="0" w:space="0" w:color="auto"/>
        <w:right w:val="none" w:sz="0" w:space="0" w:color="auto"/>
      </w:divBdr>
    </w:div>
    <w:div w:id="1126001777">
      <w:bodyDiv w:val="1"/>
      <w:marLeft w:val="0"/>
      <w:marRight w:val="0"/>
      <w:marTop w:val="0"/>
      <w:marBottom w:val="0"/>
      <w:divBdr>
        <w:top w:val="none" w:sz="0" w:space="0" w:color="auto"/>
        <w:left w:val="none" w:sz="0" w:space="0" w:color="auto"/>
        <w:bottom w:val="none" w:sz="0" w:space="0" w:color="auto"/>
        <w:right w:val="none" w:sz="0" w:space="0" w:color="auto"/>
      </w:divBdr>
    </w:div>
    <w:div w:id="1171144884">
      <w:bodyDiv w:val="1"/>
      <w:marLeft w:val="0"/>
      <w:marRight w:val="0"/>
      <w:marTop w:val="0"/>
      <w:marBottom w:val="0"/>
      <w:divBdr>
        <w:top w:val="none" w:sz="0" w:space="0" w:color="auto"/>
        <w:left w:val="none" w:sz="0" w:space="0" w:color="auto"/>
        <w:bottom w:val="none" w:sz="0" w:space="0" w:color="auto"/>
        <w:right w:val="none" w:sz="0" w:space="0" w:color="auto"/>
      </w:divBdr>
      <w:divsChild>
        <w:div w:id="477109076">
          <w:marLeft w:val="0"/>
          <w:marRight w:val="0"/>
          <w:marTop w:val="0"/>
          <w:marBottom w:val="0"/>
          <w:divBdr>
            <w:top w:val="none" w:sz="0" w:space="0" w:color="auto"/>
            <w:left w:val="none" w:sz="0" w:space="0" w:color="auto"/>
            <w:bottom w:val="none" w:sz="0" w:space="0" w:color="auto"/>
            <w:right w:val="none" w:sz="0" w:space="0" w:color="auto"/>
          </w:divBdr>
        </w:div>
      </w:divsChild>
    </w:div>
    <w:div w:id="1196818721">
      <w:bodyDiv w:val="1"/>
      <w:marLeft w:val="0"/>
      <w:marRight w:val="0"/>
      <w:marTop w:val="0"/>
      <w:marBottom w:val="0"/>
      <w:divBdr>
        <w:top w:val="none" w:sz="0" w:space="0" w:color="auto"/>
        <w:left w:val="none" w:sz="0" w:space="0" w:color="auto"/>
        <w:bottom w:val="none" w:sz="0" w:space="0" w:color="auto"/>
        <w:right w:val="none" w:sz="0" w:space="0" w:color="auto"/>
      </w:divBdr>
      <w:divsChild>
        <w:div w:id="470949612">
          <w:marLeft w:val="0"/>
          <w:marRight w:val="0"/>
          <w:marTop w:val="0"/>
          <w:marBottom w:val="0"/>
          <w:divBdr>
            <w:top w:val="none" w:sz="0" w:space="0" w:color="auto"/>
            <w:left w:val="none" w:sz="0" w:space="0" w:color="auto"/>
            <w:bottom w:val="none" w:sz="0" w:space="0" w:color="auto"/>
            <w:right w:val="none" w:sz="0" w:space="0" w:color="auto"/>
          </w:divBdr>
        </w:div>
        <w:div w:id="631835614">
          <w:marLeft w:val="0"/>
          <w:marRight w:val="0"/>
          <w:marTop w:val="0"/>
          <w:marBottom w:val="0"/>
          <w:divBdr>
            <w:top w:val="none" w:sz="0" w:space="0" w:color="auto"/>
            <w:left w:val="none" w:sz="0" w:space="0" w:color="auto"/>
            <w:bottom w:val="none" w:sz="0" w:space="0" w:color="auto"/>
            <w:right w:val="none" w:sz="0" w:space="0" w:color="auto"/>
          </w:divBdr>
        </w:div>
        <w:div w:id="1197353883">
          <w:marLeft w:val="0"/>
          <w:marRight w:val="0"/>
          <w:marTop w:val="0"/>
          <w:marBottom w:val="0"/>
          <w:divBdr>
            <w:top w:val="none" w:sz="0" w:space="0" w:color="auto"/>
            <w:left w:val="none" w:sz="0" w:space="0" w:color="auto"/>
            <w:bottom w:val="none" w:sz="0" w:space="0" w:color="auto"/>
            <w:right w:val="none" w:sz="0" w:space="0" w:color="auto"/>
          </w:divBdr>
        </w:div>
        <w:div w:id="1253509846">
          <w:marLeft w:val="0"/>
          <w:marRight w:val="0"/>
          <w:marTop w:val="0"/>
          <w:marBottom w:val="0"/>
          <w:divBdr>
            <w:top w:val="none" w:sz="0" w:space="0" w:color="auto"/>
            <w:left w:val="none" w:sz="0" w:space="0" w:color="auto"/>
            <w:bottom w:val="none" w:sz="0" w:space="0" w:color="auto"/>
            <w:right w:val="none" w:sz="0" w:space="0" w:color="auto"/>
          </w:divBdr>
        </w:div>
        <w:div w:id="1818836023">
          <w:marLeft w:val="0"/>
          <w:marRight w:val="0"/>
          <w:marTop w:val="0"/>
          <w:marBottom w:val="0"/>
          <w:divBdr>
            <w:top w:val="none" w:sz="0" w:space="0" w:color="auto"/>
            <w:left w:val="none" w:sz="0" w:space="0" w:color="auto"/>
            <w:bottom w:val="none" w:sz="0" w:space="0" w:color="auto"/>
            <w:right w:val="none" w:sz="0" w:space="0" w:color="auto"/>
          </w:divBdr>
        </w:div>
        <w:div w:id="1853758456">
          <w:marLeft w:val="0"/>
          <w:marRight w:val="0"/>
          <w:marTop w:val="0"/>
          <w:marBottom w:val="0"/>
          <w:divBdr>
            <w:top w:val="none" w:sz="0" w:space="0" w:color="auto"/>
            <w:left w:val="none" w:sz="0" w:space="0" w:color="auto"/>
            <w:bottom w:val="none" w:sz="0" w:space="0" w:color="auto"/>
            <w:right w:val="none" w:sz="0" w:space="0" w:color="auto"/>
          </w:divBdr>
        </w:div>
      </w:divsChild>
    </w:div>
    <w:div w:id="1231112149">
      <w:bodyDiv w:val="1"/>
      <w:marLeft w:val="0"/>
      <w:marRight w:val="0"/>
      <w:marTop w:val="0"/>
      <w:marBottom w:val="0"/>
      <w:divBdr>
        <w:top w:val="none" w:sz="0" w:space="0" w:color="auto"/>
        <w:left w:val="none" w:sz="0" w:space="0" w:color="auto"/>
        <w:bottom w:val="none" w:sz="0" w:space="0" w:color="auto"/>
        <w:right w:val="none" w:sz="0" w:space="0" w:color="auto"/>
      </w:divBdr>
      <w:divsChild>
        <w:div w:id="1396004036">
          <w:marLeft w:val="0"/>
          <w:marRight w:val="0"/>
          <w:marTop w:val="0"/>
          <w:marBottom w:val="0"/>
          <w:divBdr>
            <w:top w:val="none" w:sz="0" w:space="0" w:color="auto"/>
            <w:left w:val="none" w:sz="0" w:space="0" w:color="auto"/>
            <w:bottom w:val="none" w:sz="0" w:space="0" w:color="auto"/>
            <w:right w:val="none" w:sz="0" w:space="0" w:color="auto"/>
          </w:divBdr>
        </w:div>
      </w:divsChild>
    </w:div>
    <w:div w:id="1265726061">
      <w:bodyDiv w:val="1"/>
      <w:marLeft w:val="0"/>
      <w:marRight w:val="0"/>
      <w:marTop w:val="0"/>
      <w:marBottom w:val="0"/>
      <w:divBdr>
        <w:top w:val="none" w:sz="0" w:space="0" w:color="auto"/>
        <w:left w:val="none" w:sz="0" w:space="0" w:color="auto"/>
        <w:bottom w:val="none" w:sz="0" w:space="0" w:color="auto"/>
        <w:right w:val="none" w:sz="0" w:space="0" w:color="auto"/>
      </w:divBdr>
    </w:div>
    <w:div w:id="1276130376">
      <w:bodyDiv w:val="1"/>
      <w:marLeft w:val="0"/>
      <w:marRight w:val="0"/>
      <w:marTop w:val="0"/>
      <w:marBottom w:val="0"/>
      <w:divBdr>
        <w:top w:val="none" w:sz="0" w:space="0" w:color="auto"/>
        <w:left w:val="none" w:sz="0" w:space="0" w:color="auto"/>
        <w:bottom w:val="none" w:sz="0" w:space="0" w:color="auto"/>
        <w:right w:val="none" w:sz="0" w:space="0" w:color="auto"/>
      </w:divBdr>
    </w:div>
    <w:div w:id="1382367516">
      <w:bodyDiv w:val="1"/>
      <w:marLeft w:val="0"/>
      <w:marRight w:val="0"/>
      <w:marTop w:val="0"/>
      <w:marBottom w:val="0"/>
      <w:divBdr>
        <w:top w:val="none" w:sz="0" w:space="0" w:color="auto"/>
        <w:left w:val="none" w:sz="0" w:space="0" w:color="auto"/>
        <w:bottom w:val="none" w:sz="0" w:space="0" w:color="auto"/>
        <w:right w:val="none" w:sz="0" w:space="0" w:color="auto"/>
      </w:divBdr>
    </w:div>
    <w:div w:id="1539468881">
      <w:bodyDiv w:val="1"/>
      <w:marLeft w:val="0"/>
      <w:marRight w:val="0"/>
      <w:marTop w:val="0"/>
      <w:marBottom w:val="0"/>
      <w:divBdr>
        <w:top w:val="none" w:sz="0" w:space="0" w:color="auto"/>
        <w:left w:val="none" w:sz="0" w:space="0" w:color="auto"/>
        <w:bottom w:val="none" w:sz="0" w:space="0" w:color="auto"/>
        <w:right w:val="none" w:sz="0" w:space="0" w:color="auto"/>
      </w:divBdr>
      <w:divsChild>
        <w:div w:id="1911500212">
          <w:marLeft w:val="0"/>
          <w:marRight w:val="0"/>
          <w:marTop w:val="0"/>
          <w:marBottom w:val="0"/>
          <w:divBdr>
            <w:top w:val="none" w:sz="0" w:space="0" w:color="auto"/>
            <w:left w:val="none" w:sz="0" w:space="0" w:color="auto"/>
            <w:bottom w:val="none" w:sz="0" w:space="0" w:color="auto"/>
            <w:right w:val="none" w:sz="0" w:space="0" w:color="auto"/>
          </w:divBdr>
        </w:div>
      </w:divsChild>
    </w:div>
    <w:div w:id="1676372337">
      <w:bodyDiv w:val="1"/>
      <w:marLeft w:val="0"/>
      <w:marRight w:val="0"/>
      <w:marTop w:val="0"/>
      <w:marBottom w:val="0"/>
      <w:divBdr>
        <w:top w:val="none" w:sz="0" w:space="0" w:color="auto"/>
        <w:left w:val="none" w:sz="0" w:space="0" w:color="auto"/>
        <w:bottom w:val="none" w:sz="0" w:space="0" w:color="auto"/>
        <w:right w:val="none" w:sz="0" w:space="0" w:color="auto"/>
      </w:divBdr>
    </w:div>
    <w:div w:id="1683124214">
      <w:bodyDiv w:val="1"/>
      <w:marLeft w:val="0"/>
      <w:marRight w:val="0"/>
      <w:marTop w:val="0"/>
      <w:marBottom w:val="0"/>
      <w:divBdr>
        <w:top w:val="none" w:sz="0" w:space="0" w:color="auto"/>
        <w:left w:val="none" w:sz="0" w:space="0" w:color="auto"/>
        <w:bottom w:val="none" w:sz="0" w:space="0" w:color="auto"/>
        <w:right w:val="none" w:sz="0" w:space="0" w:color="auto"/>
      </w:divBdr>
    </w:div>
    <w:div w:id="1714571953">
      <w:bodyDiv w:val="1"/>
      <w:marLeft w:val="0"/>
      <w:marRight w:val="0"/>
      <w:marTop w:val="0"/>
      <w:marBottom w:val="0"/>
      <w:divBdr>
        <w:top w:val="none" w:sz="0" w:space="0" w:color="auto"/>
        <w:left w:val="none" w:sz="0" w:space="0" w:color="auto"/>
        <w:bottom w:val="none" w:sz="0" w:space="0" w:color="auto"/>
        <w:right w:val="none" w:sz="0" w:space="0" w:color="auto"/>
      </w:divBdr>
    </w:div>
    <w:div w:id="1724333197">
      <w:bodyDiv w:val="1"/>
      <w:marLeft w:val="0"/>
      <w:marRight w:val="0"/>
      <w:marTop w:val="0"/>
      <w:marBottom w:val="0"/>
      <w:divBdr>
        <w:top w:val="none" w:sz="0" w:space="0" w:color="auto"/>
        <w:left w:val="none" w:sz="0" w:space="0" w:color="auto"/>
        <w:bottom w:val="none" w:sz="0" w:space="0" w:color="auto"/>
        <w:right w:val="none" w:sz="0" w:space="0" w:color="auto"/>
      </w:divBdr>
      <w:divsChild>
        <w:div w:id="12809006">
          <w:marLeft w:val="0"/>
          <w:marRight w:val="0"/>
          <w:marTop w:val="0"/>
          <w:marBottom w:val="0"/>
          <w:divBdr>
            <w:top w:val="none" w:sz="0" w:space="0" w:color="auto"/>
            <w:left w:val="none" w:sz="0" w:space="0" w:color="auto"/>
            <w:bottom w:val="none" w:sz="0" w:space="0" w:color="auto"/>
            <w:right w:val="none" w:sz="0" w:space="0" w:color="auto"/>
          </w:divBdr>
        </w:div>
      </w:divsChild>
    </w:div>
    <w:div w:id="1726442531">
      <w:bodyDiv w:val="1"/>
      <w:marLeft w:val="0"/>
      <w:marRight w:val="0"/>
      <w:marTop w:val="0"/>
      <w:marBottom w:val="0"/>
      <w:divBdr>
        <w:top w:val="none" w:sz="0" w:space="0" w:color="auto"/>
        <w:left w:val="none" w:sz="0" w:space="0" w:color="auto"/>
        <w:bottom w:val="none" w:sz="0" w:space="0" w:color="auto"/>
        <w:right w:val="none" w:sz="0" w:space="0" w:color="auto"/>
      </w:divBdr>
    </w:div>
    <w:div w:id="1760297182">
      <w:bodyDiv w:val="1"/>
      <w:marLeft w:val="0"/>
      <w:marRight w:val="0"/>
      <w:marTop w:val="0"/>
      <w:marBottom w:val="0"/>
      <w:divBdr>
        <w:top w:val="none" w:sz="0" w:space="0" w:color="auto"/>
        <w:left w:val="none" w:sz="0" w:space="0" w:color="auto"/>
        <w:bottom w:val="none" w:sz="0" w:space="0" w:color="auto"/>
        <w:right w:val="none" w:sz="0" w:space="0" w:color="auto"/>
      </w:divBdr>
      <w:divsChild>
        <w:div w:id="236981083">
          <w:marLeft w:val="0"/>
          <w:marRight w:val="0"/>
          <w:marTop w:val="0"/>
          <w:marBottom w:val="0"/>
          <w:divBdr>
            <w:top w:val="none" w:sz="0" w:space="0" w:color="auto"/>
            <w:left w:val="none" w:sz="0" w:space="0" w:color="auto"/>
            <w:bottom w:val="none" w:sz="0" w:space="0" w:color="auto"/>
            <w:right w:val="none" w:sz="0" w:space="0" w:color="auto"/>
          </w:divBdr>
        </w:div>
      </w:divsChild>
    </w:div>
    <w:div w:id="1844666699">
      <w:bodyDiv w:val="1"/>
      <w:marLeft w:val="0"/>
      <w:marRight w:val="0"/>
      <w:marTop w:val="0"/>
      <w:marBottom w:val="0"/>
      <w:divBdr>
        <w:top w:val="none" w:sz="0" w:space="0" w:color="auto"/>
        <w:left w:val="none" w:sz="0" w:space="0" w:color="auto"/>
        <w:bottom w:val="none" w:sz="0" w:space="0" w:color="auto"/>
        <w:right w:val="none" w:sz="0" w:space="0" w:color="auto"/>
      </w:divBdr>
    </w:div>
    <w:div w:id="1949848750">
      <w:bodyDiv w:val="1"/>
      <w:marLeft w:val="0"/>
      <w:marRight w:val="0"/>
      <w:marTop w:val="0"/>
      <w:marBottom w:val="0"/>
      <w:divBdr>
        <w:top w:val="none" w:sz="0" w:space="0" w:color="auto"/>
        <w:left w:val="none" w:sz="0" w:space="0" w:color="auto"/>
        <w:bottom w:val="none" w:sz="0" w:space="0" w:color="auto"/>
        <w:right w:val="none" w:sz="0" w:space="0" w:color="auto"/>
      </w:divBdr>
    </w:div>
    <w:div w:id="1968048785">
      <w:bodyDiv w:val="1"/>
      <w:marLeft w:val="0"/>
      <w:marRight w:val="0"/>
      <w:marTop w:val="0"/>
      <w:marBottom w:val="0"/>
      <w:divBdr>
        <w:top w:val="none" w:sz="0" w:space="0" w:color="auto"/>
        <w:left w:val="none" w:sz="0" w:space="0" w:color="auto"/>
        <w:bottom w:val="none" w:sz="0" w:space="0" w:color="auto"/>
        <w:right w:val="none" w:sz="0" w:space="0" w:color="auto"/>
      </w:divBdr>
    </w:div>
    <w:div w:id="2012104879">
      <w:bodyDiv w:val="1"/>
      <w:marLeft w:val="0"/>
      <w:marRight w:val="0"/>
      <w:marTop w:val="0"/>
      <w:marBottom w:val="0"/>
      <w:divBdr>
        <w:top w:val="none" w:sz="0" w:space="0" w:color="auto"/>
        <w:left w:val="none" w:sz="0" w:space="0" w:color="auto"/>
        <w:bottom w:val="none" w:sz="0" w:space="0" w:color="auto"/>
        <w:right w:val="none" w:sz="0" w:space="0" w:color="auto"/>
      </w:divBdr>
    </w:div>
    <w:div w:id="2013994222">
      <w:bodyDiv w:val="1"/>
      <w:marLeft w:val="0"/>
      <w:marRight w:val="0"/>
      <w:marTop w:val="0"/>
      <w:marBottom w:val="0"/>
      <w:divBdr>
        <w:top w:val="none" w:sz="0" w:space="0" w:color="auto"/>
        <w:left w:val="none" w:sz="0" w:space="0" w:color="auto"/>
        <w:bottom w:val="none" w:sz="0" w:space="0" w:color="auto"/>
        <w:right w:val="none" w:sz="0" w:space="0" w:color="auto"/>
      </w:divBdr>
      <w:divsChild>
        <w:div w:id="1895653175">
          <w:marLeft w:val="0"/>
          <w:marRight w:val="0"/>
          <w:marTop w:val="0"/>
          <w:marBottom w:val="0"/>
          <w:divBdr>
            <w:top w:val="none" w:sz="0" w:space="0" w:color="auto"/>
            <w:left w:val="none" w:sz="0" w:space="0" w:color="auto"/>
            <w:bottom w:val="none" w:sz="0" w:space="0" w:color="auto"/>
            <w:right w:val="none" w:sz="0" w:space="0" w:color="auto"/>
          </w:divBdr>
        </w:div>
      </w:divsChild>
    </w:div>
    <w:div w:id="2028872348">
      <w:bodyDiv w:val="1"/>
      <w:marLeft w:val="0"/>
      <w:marRight w:val="0"/>
      <w:marTop w:val="0"/>
      <w:marBottom w:val="0"/>
      <w:divBdr>
        <w:top w:val="none" w:sz="0" w:space="0" w:color="auto"/>
        <w:left w:val="none" w:sz="0" w:space="0" w:color="auto"/>
        <w:bottom w:val="none" w:sz="0" w:space="0" w:color="auto"/>
        <w:right w:val="none" w:sz="0" w:space="0" w:color="auto"/>
      </w:divBdr>
    </w:div>
    <w:div w:id="205641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rama.2017.02.001" TargetMode="External"/><Relationship Id="rId18" Type="http://schemas.openxmlformats.org/officeDocument/2006/relationships/hyperlink" Target="https://doi.org/10.1016/j.ygcen.2013.07.011" TargetMode="External"/><Relationship Id="rId26" Type="http://schemas.openxmlformats.org/officeDocument/2006/relationships/hyperlink" Target="https://doi.org/10.1890/14-0661.1" TargetMode="External"/><Relationship Id="rId39" Type="http://schemas.openxmlformats.org/officeDocument/2006/relationships/hyperlink" Target="https://doi.org/https:/doi.org/10.1016/j.anbehav.2011.10.015" TargetMode="External"/><Relationship Id="rId21" Type="http://schemas.openxmlformats.org/officeDocument/2006/relationships/hyperlink" Target="https://doi.org/10.1016/j.biocon.2019.108367" TargetMode="External"/><Relationship Id="rId34" Type="http://schemas.openxmlformats.org/officeDocument/2006/relationships/hyperlink" Target="https://doi.org/10.1016/j.biocon.2005.10.048" TargetMode="External"/><Relationship Id="rId42" Type="http://schemas.openxmlformats.org/officeDocument/2006/relationships/hyperlink" Target="https://doi.org/10.1016/j.ygcen.2008.04.018"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525/9780520950573" TargetMode="External"/><Relationship Id="rId29" Type="http://schemas.openxmlformats.org/officeDocument/2006/relationships/hyperlink" Target="https://doi.org/10.1111/1365-2435.12988" TargetMode="External"/><Relationship Id="rId11" Type="http://schemas.openxmlformats.org/officeDocument/2006/relationships/hyperlink" Target="https://doi.org/10.1016/j.foreco.2014.06.017" TargetMode="External"/><Relationship Id="rId24" Type="http://schemas.openxmlformats.org/officeDocument/2006/relationships/hyperlink" Target="https://doi.org/https:/doi.org/10.1016/j.ygcen.2011.12.027" TargetMode="External"/><Relationship Id="rId32" Type="http://schemas.openxmlformats.org/officeDocument/2006/relationships/hyperlink" Target="https://doi.org/10.1152/ajpregu.00484.2004" TargetMode="External"/><Relationship Id="rId37" Type="http://schemas.openxmlformats.org/officeDocument/2006/relationships/hyperlink" Target="https://doi.org/10.1016/j.rama.2016.01.001" TargetMode="External"/><Relationship Id="rId40" Type="http://schemas.openxmlformats.org/officeDocument/2006/relationships/hyperlink" Target="https://doi.org/10.1371/journal.pone.0118016" TargetMode="External"/><Relationship Id="rId45" Type="http://schemas.openxmlformats.org/officeDocument/2006/relationships/footer" Target="footer1.xml"/><Relationship Id="rId53"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doi.org/10.1111/gcb.15075" TargetMode="External"/><Relationship Id="rId23" Type="http://schemas.openxmlformats.org/officeDocument/2006/relationships/hyperlink" Target="https://doi.org/10.26077/z7w0-0w34" TargetMode="External"/><Relationship Id="rId28" Type="http://schemas.openxmlformats.org/officeDocument/2006/relationships/hyperlink" Target="https://doi.org/https:/doi.org/10.1093/conphys/coz110" TargetMode="External"/><Relationship Id="rId36" Type="http://schemas.openxmlformats.org/officeDocument/2006/relationships/hyperlink" Target="https://doi.org/10.1210/edrv.21.1.0389" TargetMode="External"/><Relationship Id="rId10" Type="http://schemas.openxmlformats.org/officeDocument/2006/relationships/hyperlink" Target="https://doi.org/10.1016/j.jaridenv.2005.11.006" TargetMode="External"/><Relationship Id="rId19" Type="http://schemas.openxmlformats.org/officeDocument/2006/relationships/hyperlink" Target="https://doi.org/10.1016/j.ygcen.2006.12.003" TargetMode="External"/><Relationship Id="rId31" Type="http://schemas.openxmlformats.org/officeDocument/2006/relationships/hyperlink" Target="https://doi.org/https:/doi.org/10.1111/1365-2435.12446" TargetMode="External"/><Relationship Id="rId44" Type="http://schemas.openxmlformats.org/officeDocument/2006/relationships/header" Target="header1.xml"/><Relationship Id="rId52"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doi.org/10.3398/064.077.0412" TargetMode="External"/><Relationship Id="rId14" Type="http://schemas.openxmlformats.org/officeDocument/2006/relationships/hyperlink" Target="https://doi.org/10.1016/j.rama.2018.09.004" TargetMode="External"/><Relationship Id="rId22" Type="http://schemas.openxmlformats.org/officeDocument/2006/relationships/hyperlink" Target="https://doi.org/10.1093/auk/107.1.69" TargetMode="External"/><Relationship Id="rId27" Type="http://schemas.openxmlformats.org/officeDocument/2006/relationships/hyperlink" Target="https://doi.org/10.1175/BAMS-D-15-00324.1" TargetMode="External"/><Relationship Id="rId30" Type="http://schemas.openxmlformats.org/officeDocument/2006/relationships/hyperlink" Target="https://doi.org/10.1098/rspb.2011.2062" TargetMode="External"/><Relationship Id="rId35" Type="http://schemas.openxmlformats.org/officeDocument/2006/relationships/hyperlink" Target="https://doi.org/https:/doi.org/10.1111/1365-2656.12853" TargetMode="External"/><Relationship Id="rId43" Type="http://schemas.openxmlformats.org/officeDocument/2006/relationships/hyperlink" Target="https://doi.org/10.1046/j.1365-2826.2003.01033.x" TargetMode="External"/><Relationship Id="rId8" Type="http://schemas.openxmlformats.org/officeDocument/2006/relationships/hyperlink" Target="mailto:tlbehnke@gmail.com" TargetMode="External"/><Relationship Id="rId3" Type="http://schemas.openxmlformats.org/officeDocument/2006/relationships/styles" Target="styles.xml"/><Relationship Id="rId12" Type="http://schemas.openxmlformats.org/officeDocument/2006/relationships/hyperlink" Target="https://doi.org/10.1525/auk.2013.12188" TargetMode="External"/><Relationship Id="rId17" Type="http://schemas.openxmlformats.org/officeDocument/2006/relationships/hyperlink" Target="https://doi.org/10.1016/j.ygcen.2013.02.021" TargetMode="External"/><Relationship Id="rId25" Type="http://schemas.openxmlformats.org/officeDocument/2006/relationships/hyperlink" Target="https://doi.org/10.1098/rspb.2014.2085" TargetMode="External"/><Relationship Id="rId33" Type="http://schemas.openxmlformats.org/officeDocument/2006/relationships/hyperlink" Target="https://doi.org/10.1016/j.tree.2004.03.008" TargetMode="External"/><Relationship Id="rId38" Type="http://schemas.openxmlformats.org/officeDocument/2006/relationships/hyperlink" Target="https://doi.org/10.2307/1369937" TargetMode="External"/><Relationship Id="rId46" Type="http://schemas.openxmlformats.org/officeDocument/2006/relationships/fontTable" Target="fontTable.xml"/><Relationship Id="rId20" Type="http://schemas.openxmlformats.org/officeDocument/2006/relationships/hyperlink" Target="https://doi.org/10.1016/j.rama.2015.07.003" TargetMode="External"/><Relationship Id="rId41" Type="http://schemas.openxmlformats.org/officeDocument/2006/relationships/hyperlink" Target="https://doi.org/10.1642/AUK-13-236.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21380-4AA1-4029-897A-A43CF4383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37</Pages>
  <Words>9667</Words>
  <Characters>55105</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Behnke, Tessa</dc:creator>
  <cp:keywords/>
  <dc:description/>
  <cp:lastModifiedBy>Behnke, Tessa</cp:lastModifiedBy>
  <cp:revision>8</cp:revision>
  <cp:lastPrinted>2020-09-18T18:40:00Z</cp:lastPrinted>
  <dcterms:created xsi:type="dcterms:W3CDTF">2022-04-14T02:09:00Z</dcterms:created>
  <dcterms:modified xsi:type="dcterms:W3CDTF">2022-04-14T18:17:00Z</dcterms:modified>
</cp:coreProperties>
</file>