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B11386" w14:textId="1F46DFDC" w:rsidR="00AE6ABA" w:rsidRDefault="00AE6ABA">
      <w:r>
        <w:rPr>
          <w:noProof/>
        </w:rPr>
        <w:drawing>
          <wp:inline distT="0" distB="0" distL="0" distR="0" wp14:anchorId="749FFA0A" wp14:editId="5770C735">
            <wp:extent cx="4897120" cy="3264555"/>
            <wp:effectExtent l="0" t="0" r="508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7150" cy="326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6CF23" w14:textId="3189C81D" w:rsidR="00AE6ABA" w:rsidRDefault="00AE6ABA"/>
    <w:p w14:paraId="49CB240C" w14:textId="18B52ABF" w:rsidR="00AE6ABA" w:rsidRPr="00AE6ABA" w:rsidRDefault="00AE6ABA" w:rsidP="00AE6ABA">
      <w:pPr>
        <w:pStyle w:val="NormalWeb"/>
        <w:shd w:val="clear" w:color="auto" w:fill="FFFFFF"/>
        <w:rPr>
          <w:lang w:val="en-US"/>
        </w:rPr>
      </w:pPr>
      <w:r w:rsidRPr="00AE6ABA">
        <w:rPr>
          <w:rFonts w:ascii="HelveticaNeue" w:hAnsi="HelveticaNeue"/>
          <w:sz w:val="22"/>
          <w:szCs w:val="22"/>
          <w:lang w:val="en-US"/>
        </w:rPr>
        <w:t>F</w:t>
      </w:r>
      <w:r>
        <w:rPr>
          <w:rFonts w:ascii="HelveticaNeue" w:hAnsi="HelveticaNeue"/>
          <w:sz w:val="22"/>
          <w:szCs w:val="22"/>
          <w:lang w:val="en-US"/>
        </w:rPr>
        <w:t>IGURE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1</w:t>
      </w:r>
      <w:r>
        <w:rPr>
          <w:rFonts w:ascii="HelveticaNeue" w:hAnsi="HelveticaNeue"/>
          <w:sz w:val="22"/>
          <w:szCs w:val="22"/>
          <w:lang w:val="en-US"/>
        </w:rPr>
        <w:t xml:space="preserve"> (A)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Clinical evaluation lateral view of tooth 14</w:t>
      </w:r>
      <w:r>
        <w:rPr>
          <w:rFonts w:ascii="HelveticaNeue" w:hAnsi="HelveticaNeue"/>
          <w:sz w:val="22"/>
          <w:szCs w:val="22"/>
          <w:lang w:val="en-US"/>
        </w:rPr>
        <w:t>.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</w:t>
      </w:r>
    </w:p>
    <w:p w14:paraId="0DCED7C1" w14:textId="2226C836" w:rsidR="00AE6ABA" w:rsidRDefault="00AE6ABA">
      <w:pPr>
        <w:rPr>
          <w:lang w:val="en-US"/>
        </w:rPr>
      </w:pPr>
      <w:r>
        <w:rPr>
          <w:noProof/>
        </w:rPr>
        <w:drawing>
          <wp:inline distT="0" distB="0" distL="0" distR="0" wp14:anchorId="1FCAF56F" wp14:editId="58F2A8BB">
            <wp:extent cx="4921914" cy="3281083"/>
            <wp:effectExtent l="0" t="0" r="571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6732" cy="328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B76B1" w14:textId="0FF44F02" w:rsidR="00AE6ABA" w:rsidRDefault="00AE6ABA">
      <w:pPr>
        <w:rPr>
          <w:lang w:val="en-US"/>
        </w:rPr>
      </w:pPr>
    </w:p>
    <w:p w14:paraId="3220CD01" w14:textId="08EC2B98" w:rsidR="00AE6ABA" w:rsidRPr="00AE6ABA" w:rsidRDefault="00AE6ABA" w:rsidP="00AE6ABA">
      <w:pPr>
        <w:pStyle w:val="NormalWeb"/>
        <w:shd w:val="clear" w:color="auto" w:fill="FFFFFF"/>
        <w:rPr>
          <w:lang w:val="en-US"/>
        </w:rPr>
      </w:pPr>
      <w:r w:rsidRPr="00AE6ABA">
        <w:rPr>
          <w:rFonts w:ascii="HelveticaNeue" w:hAnsi="HelveticaNeue"/>
          <w:sz w:val="22"/>
          <w:szCs w:val="22"/>
          <w:lang w:val="en-US"/>
        </w:rPr>
        <w:t>. F</w:t>
      </w:r>
      <w:r>
        <w:rPr>
          <w:rFonts w:ascii="HelveticaNeue" w:hAnsi="HelveticaNeue"/>
          <w:sz w:val="22"/>
          <w:szCs w:val="22"/>
          <w:lang w:val="en-US"/>
        </w:rPr>
        <w:t>IGURE 1 (B)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Master model occlusal view of tooth 14</w:t>
      </w:r>
      <w:r>
        <w:rPr>
          <w:rFonts w:ascii="HelveticaNeue" w:hAnsi="HelveticaNeue"/>
          <w:sz w:val="22"/>
          <w:szCs w:val="22"/>
          <w:lang w:val="en-US"/>
        </w:rPr>
        <w:t>.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</w:t>
      </w:r>
    </w:p>
    <w:p w14:paraId="2A87ADBC" w14:textId="77777777" w:rsidR="00AE6ABA" w:rsidRPr="00AE6ABA" w:rsidRDefault="00AE6ABA">
      <w:pPr>
        <w:rPr>
          <w:lang w:val="en-US"/>
        </w:rPr>
      </w:pPr>
    </w:p>
    <w:p w14:paraId="77B3B206" w14:textId="772C57BA" w:rsidR="0011397E" w:rsidRDefault="00AE6ABA">
      <w:r>
        <w:rPr>
          <w:noProof/>
        </w:rPr>
        <w:lastRenderedPageBreak/>
        <w:drawing>
          <wp:inline distT="0" distB="0" distL="0" distR="0" wp14:anchorId="5AA5071B" wp14:editId="2E2994C9">
            <wp:extent cx="3048000" cy="457200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128C1" w14:textId="703FFD46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  <w:r w:rsidRPr="00AE6ABA">
        <w:rPr>
          <w:rFonts w:ascii="HelveticaNeue" w:hAnsi="HelveticaNeue"/>
          <w:sz w:val="22"/>
          <w:szCs w:val="22"/>
          <w:lang w:val="en-US"/>
        </w:rPr>
        <w:t>F</w:t>
      </w:r>
      <w:r>
        <w:rPr>
          <w:rFonts w:ascii="HelveticaNeue" w:hAnsi="HelveticaNeue"/>
          <w:sz w:val="22"/>
          <w:szCs w:val="22"/>
          <w:lang w:val="en-US"/>
        </w:rPr>
        <w:t>IGURE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1</w:t>
      </w:r>
      <w:r>
        <w:rPr>
          <w:rFonts w:ascii="HelveticaNeue" w:hAnsi="HelveticaNeue"/>
          <w:sz w:val="22"/>
          <w:szCs w:val="22"/>
          <w:lang w:val="en-US"/>
        </w:rPr>
        <w:t xml:space="preserve"> (C)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Radiographic evaluation of tooth 14. </w:t>
      </w:r>
    </w:p>
    <w:p w14:paraId="61E4637C" w14:textId="11C96C08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77423C87" w14:textId="173F9B1E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  <w:r>
        <w:rPr>
          <w:rFonts w:ascii="HelveticaNeue" w:hAnsi="HelveticaNeue"/>
          <w:noProof/>
          <w:sz w:val="22"/>
          <w:szCs w:val="22"/>
          <w:lang w:val="en-US"/>
        </w:rPr>
        <w:lastRenderedPageBreak/>
        <w:drawing>
          <wp:inline distT="0" distB="0" distL="0" distR="0" wp14:anchorId="4326AE27" wp14:editId="0ABE3E85">
            <wp:extent cx="5396230" cy="3597275"/>
            <wp:effectExtent l="0" t="0" r="127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39623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B2A4B" w14:textId="72CB9B01" w:rsidR="00AE6ABA" w:rsidRPr="00AE6ABA" w:rsidRDefault="00AE6ABA" w:rsidP="00AE6ABA">
      <w:pPr>
        <w:pStyle w:val="NormalWeb"/>
        <w:shd w:val="clear" w:color="auto" w:fill="FFFFFF"/>
        <w:rPr>
          <w:lang w:val="en-US"/>
        </w:rPr>
      </w:pPr>
      <w:r w:rsidRPr="00AE6ABA">
        <w:rPr>
          <w:rFonts w:ascii="HelveticaNeue" w:hAnsi="HelveticaNeue"/>
          <w:sz w:val="22"/>
          <w:szCs w:val="22"/>
          <w:lang w:val="en-US"/>
        </w:rPr>
        <w:t>F</w:t>
      </w:r>
      <w:r>
        <w:rPr>
          <w:rFonts w:ascii="HelveticaNeue" w:hAnsi="HelveticaNeue"/>
          <w:sz w:val="22"/>
          <w:szCs w:val="22"/>
          <w:lang w:val="en-US"/>
        </w:rPr>
        <w:t>IGURE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2</w:t>
      </w:r>
      <w:r>
        <w:rPr>
          <w:rFonts w:ascii="HelveticaNeue" w:hAnsi="HelveticaNeue"/>
          <w:sz w:val="22"/>
          <w:szCs w:val="22"/>
          <w:lang w:val="en-US"/>
        </w:rPr>
        <w:t xml:space="preserve"> (A)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Clinical evaluation lateral view of tooth 35. </w:t>
      </w:r>
    </w:p>
    <w:p w14:paraId="7E2E8245" w14:textId="0FD2F73D" w:rsidR="00AE6ABA" w:rsidRPr="00AE6ABA" w:rsidRDefault="00AE6ABA" w:rsidP="00AE6ABA">
      <w:pPr>
        <w:pStyle w:val="NormalWeb"/>
        <w:shd w:val="clear" w:color="auto" w:fill="FFFFFF"/>
      </w:pPr>
      <w:r>
        <w:rPr>
          <w:rFonts w:ascii="HelveticaNeue" w:hAnsi="HelveticaNeue"/>
          <w:b/>
          <w:bCs/>
          <w:color w:val="FCFFFF"/>
          <w:sz w:val="26"/>
          <w:szCs w:val="26"/>
        </w:rPr>
        <w:t>c</w:t>
      </w:r>
    </w:p>
    <w:p w14:paraId="5A98BD3D" w14:textId="3C21229A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  <w:r>
        <w:rPr>
          <w:rFonts w:ascii="HelveticaNeue" w:hAnsi="HelveticaNeue"/>
          <w:noProof/>
          <w:sz w:val="22"/>
          <w:szCs w:val="22"/>
          <w:lang w:val="en-US"/>
        </w:rPr>
        <w:drawing>
          <wp:inline distT="0" distB="0" distL="0" distR="0" wp14:anchorId="5E394F93" wp14:editId="7FF1472B">
            <wp:extent cx="5396230" cy="3597275"/>
            <wp:effectExtent l="0" t="0" r="127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D9BD3" w14:textId="148783E3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51AE73E4" w14:textId="0C219EBF" w:rsidR="00AE6ABA" w:rsidRPr="00AE6ABA" w:rsidRDefault="00AE6ABA" w:rsidP="00AE6ABA">
      <w:pPr>
        <w:pStyle w:val="NormalWeb"/>
        <w:shd w:val="clear" w:color="auto" w:fill="FFFFFF"/>
        <w:rPr>
          <w:lang w:val="en-US"/>
        </w:rPr>
      </w:pPr>
      <w:r>
        <w:rPr>
          <w:rFonts w:ascii="HelveticaNeue" w:hAnsi="HelveticaNeue"/>
          <w:sz w:val="22"/>
          <w:szCs w:val="22"/>
          <w:lang w:val="en-US"/>
        </w:rPr>
        <w:t>FIGURE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2</w:t>
      </w:r>
      <w:r>
        <w:rPr>
          <w:rFonts w:ascii="HelveticaNeue" w:hAnsi="HelveticaNeue"/>
          <w:sz w:val="22"/>
          <w:szCs w:val="22"/>
          <w:lang w:val="en-US"/>
        </w:rPr>
        <w:t xml:space="preserve"> (B)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Master model occlusal view of tooth 35. </w:t>
      </w:r>
    </w:p>
    <w:p w14:paraId="795D9E7E" w14:textId="77777777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3680121B" w14:textId="6A43556C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3430F23E" w14:textId="54E63DBD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  <w:r>
        <w:rPr>
          <w:rFonts w:ascii="HelveticaNeue" w:hAnsi="HelveticaNeue"/>
          <w:noProof/>
          <w:sz w:val="22"/>
          <w:szCs w:val="22"/>
          <w:lang w:val="en-US"/>
        </w:rPr>
        <w:drawing>
          <wp:inline distT="0" distB="0" distL="0" distR="0" wp14:anchorId="1702A7BB" wp14:editId="39FB60F8">
            <wp:extent cx="2844800" cy="425883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226" cy="4286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5B9FE" w14:textId="481EA383" w:rsidR="00AE6ABA" w:rsidRPr="00AE6ABA" w:rsidRDefault="00AE6ABA" w:rsidP="00AE6ABA">
      <w:pPr>
        <w:pStyle w:val="NormalWeb"/>
        <w:shd w:val="clear" w:color="auto" w:fill="FFFFFF"/>
        <w:rPr>
          <w:lang w:val="en-US"/>
        </w:rPr>
      </w:pPr>
      <w:r>
        <w:rPr>
          <w:rFonts w:ascii="HelveticaNeue" w:hAnsi="HelveticaNeue"/>
          <w:sz w:val="22"/>
          <w:szCs w:val="22"/>
          <w:lang w:val="en-US"/>
        </w:rPr>
        <w:t>FIGURE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2</w:t>
      </w:r>
      <w:r>
        <w:rPr>
          <w:rFonts w:ascii="HelveticaNeue" w:hAnsi="HelveticaNeue"/>
          <w:sz w:val="22"/>
          <w:szCs w:val="22"/>
          <w:lang w:val="en-US"/>
        </w:rPr>
        <w:t xml:space="preserve"> (C)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Radiographic evaluation of tooth 35. </w:t>
      </w:r>
    </w:p>
    <w:p w14:paraId="1FDB51C2" w14:textId="77777777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2C14348F" w14:textId="77777777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643472DF" w14:textId="4B27CC13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50CCC06E" w14:textId="59FF1965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2A7E24F0" w14:textId="445BDE95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1376DA57" w14:textId="51A2F7C6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74083B4C" w14:textId="7AD7C0AD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4207A69B" w14:textId="3A8F6898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2AAC525B" w14:textId="2FE03D4F" w:rsidR="00AE6ABA" w:rsidRDefault="00AE6ABA" w:rsidP="00AE6ABA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</w:p>
    <w:p w14:paraId="489CC7C8" w14:textId="77777777" w:rsidR="00AE6ABA" w:rsidRPr="00AE6ABA" w:rsidRDefault="00AE6ABA" w:rsidP="00AE6ABA">
      <w:pPr>
        <w:pStyle w:val="NormalWeb"/>
        <w:shd w:val="clear" w:color="auto" w:fill="FFFFFF"/>
        <w:rPr>
          <w:lang w:val="en-US"/>
        </w:rPr>
      </w:pPr>
    </w:p>
    <w:p w14:paraId="74A5DA29" w14:textId="2993EE6F" w:rsidR="00AE6ABA" w:rsidRDefault="00AE6ABA">
      <w:pPr>
        <w:rPr>
          <w:rFonts w:ascii="Times New Roman" w:eastAsia="Times New Roman" w:hAnsi="Times New Roman" w:cs="Times New Roman"/>
          <w:lang w:val="en-US" w:eastAsia="es-ES_tradnl"/>
        </w:rPr>
      </w:pPr>
      <w:r>
        <w:rPr>
          <w:rFonts w:ascii="Times New Roman" w:eastAsia="Times New Roman" w:hAnsi="Times New Roman" w:cs="Times New Roman"/>
          <w:noProof/>
          <w:lang w:val="en-US" w:eastAsia="es-ES_tradnl"/>
        </w:rPr>
        <w:lastRenderedPageBreak/>
        <w:drawing>
          <wp:inline distT="0" distB="0" distL="0" distR="0" wp14:anchorId="5C5949F2" wp14:editId="57A32A20">
            <wp:extent cx="5396230" cy="3597275"/>
            <wp:effectExtent l="0" t="0" r="127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EE5E0" w14:textId="504CF079" w:rsidR="00AE6ABA" w:rsidRDefault="00AE6ABA">
      <w:pPr>
        <w:rPr>
          <w:rFonts w:ascii="Times New Roman" w:eastAsia="Times New Roman" w:hAnsi="Times New Roman" w:cs="Times New Roman"/>
          <w:lang w:val="en-US" w:eastAsia="es-ES_tradnl"/>
        </w:rPr>
      </w:pPr>
    </w:p>
    <w:p w14:paraId="0A54B55D" w14:textId="77897EB1" w:rsidR="00AE6ABA" w:rsidRPr="00AE6ABA" w:rsidRDefault="00AE6ABA" w:rsidP="00AE6ABA">
      <w:pPr>
        <w:pStyle w:val="NormalWeb"/>
        <w:shd w:val="clear" w:color="auto" w:fill="FFFFFF"/>
        <w:rPr>
          <w:lang w:val="en-US"/>
        </w:rPr>
      </w:pPr>
      <w:r>
        <w:rPr>
          <w:rFonts w:ascii="HelveticaNeue" w:hAnsi="HelveticaNeue"/>
          <w:sz w:val="22"/>
          <w:szCs w:val="22"/>
          <w:lang w:val="en-US"/>
        </w:rPr>
        <w:t>FIGURE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</w:t>
      </w:r>
      <w:proofErr w:type="gramStart"/>
      <w:r w:rsidRPr="00AE6ABA">
        <w:rPr>
          <w:rFonts w:ascii="HelveticaNeue" w:hAnsi="HelveticaNeue"/>
          <w:sz w:val="22"/>
          <w:szCs w:val="22"/>
          <w:lang w:val="en-US"/>
        </w:rPr>
        <w:t>3</w:t>
      </w:r>
      <w:r>
        <w:rPr>
          <w:rFonts w:ascii="HelveticaNeue" w:hAnsi="HelveticaNeue"/>
          <w:sz w:val="22"/>
          <w:szCs w:val="22"/>
          <w:lang w:val="en-US"/>
        </w:rPr>
        <w:t xml:space="preserve"> </w:t>
      </w:r>
      <w:r w:rsidRPr="00AE6ABA">
        <w:rPr>
          <w:rFonts w:ascii="HelveticaNeue" w:hAnsi="HelveticaNeue"/>
          <w:sz w:val="22"/>
          <w:szCs w:val="22"/>
          <w:lang w:val="en-US"/>
        </w:rPr>
        <w:t xml:space="preserve"> 3</w:t>
      </w:r>
      <w:proofErr w:type="gramEnd"/>
      <w:r w:rsidRPr="00AE6ABA">
        <w:rPr>
          <w:rFonts w:ascii="HelveticaNeue" w:hAnsi="HelveticaNeue"/>
          <w:sz w:val="22"/>
          <w:szCs w:val="22"/>
          <w:lang w:val="en-US"/>
        </w:rPr>
        <w:t xml:space="preserve">D replica of tooth 35 in the receptor bed of tooth 14. </w:t>
      </w:r>
    </w:p>
    <w:p w14:paraId="32B2213B" w14:textId="77777777" w:rsidR="00AE6ABA" w:rsidRPr="00AE6ABA" w:rsidRDefault="00AE6ABA">
      <w:pPr>
        <w:rPr>
          <w:rFonts w:ascii="Times New Roman" w:eastAsia="Times New Roman" w:hAnsi="Times New Roman" w:cs="Times New Roman"/>
          <w:lang w:val="en-US" w:eastAsia="es-ES_tradnl"/>
        </w:rPr>
      </w:pPr>
    </w:p>
    <w:p w14:paraId="7AD31C00" w14:textId="632A625C" w:rsidR="00AE6ABA" w:rsidRDefault="00AE6ABA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56E5659A" wp14:editId="3C63FE95">
            <wp:extent cx="3048000" cy="457200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C4128" w14:textId="0A10DA5F" w:rsidR="00AE6ABA" w:rsidRDefault="00AE6ABA">
      <w:pPr>
        <w:rPr>
          <w:lang w:val="en-US"/>
        </w:rPr>
      </w:pPr>
    </w:p>
    <w:p w14:paraId="6EC91431" w14:textId="0C8B6D62" w:rsidR="00E03E65" w:rsidRPr="00E03E65" w:rsidRDefault="00E03E65" w:rsidP="00E03E65">
      <w:pPr>
        <w:pStyle w:val="NormalWeb"/>
        <w:shd w:val="clear" w:color="auto" w:fill="FFFFFF"/>
        <w:rPr>
          <w:lang w:val="en-US"/>
        </w:rPr>
      </w:pPr>
      <w:r w:rsidRPr="00E03E65">
        <w:rPr>
          <w:rFonts w:ascii="HelveticaNeue" w:hAnsi="HelveticaNeue"/>
          <w:sz w:val="22"/>
          <w:szCs w:val="22"/>
          <w:lang w:val="en-US"/>
        </w:rPr>
        <w:t>F</w:t>
      </w:r>
      <w:r>
        <w:rPr>
          <w:rFonts w:ascii="HelveticaNeue" w:hAnsi="HelveticaNeue"/>
          <w:sz w:val="22"/>
          <w:szCs w:val="22"/>
          <w:lang w:val="en-US"/>
        </w:rPr>
        <w:t xml:space="preserve">IGURE </w:t>
      </w:r>
      <w:r w:rsidRPr="00E03E65">
        <w:rPr>
          <w:rFonts w:ascii="HelveticaNeue" w:hAnsi="HelveticaNeue"/>
          <w:sz w:val="22"/>
          <w:szCs w:val="22"/>
          <w:lang w:val="en-US"/>
        </w:rPr>
        <w:t xml:space="preserve">4 Radiographic evaluation of the immediate </w:t>
      </w:r>
      <w:proofErr w:type="spellStart"/>
      <w:r w:rsidRPr="00E03E65">
        <w:rPr>
          <w:rFonts w:ascii="HelveticaNeue" w:hAnsi="HelveticaNeue"/>
          <w:sz w:val="22"/>
          <w:szCs w:val="22"/>
          <w:lang w:val="en-US"/>
        </w:rPr>
        <w:t>autotransplantation</w:t>
      </w:r>
      <w:proofErr w:type="spellEnd"/>
      <w:r w:rsidRPr="00E03E65">
        <w:rPr>
          <w:rFonts w:ascii="HelveticaNeue" w:hAnsi="HelveticaNeue"/>
          <w:sz w:val="22"/>
          <w:szCs w:val="22"/>
          <w:lang w:val="en-US"/>
        </w:rPr>
        <w:t xml:space="preserve"> of donor tooth 35 in the receptor bed of tooth 14. </w:t>
      </w:r>
    </w:p>
    <w:p w14:paraId="43961793" w14:textId="50ED0497" w:rsidR="00AE6ABA" w:rsidRDefault="00E03E65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24FE0006" wp14:editId="6CB4033C">
            <wp:extent cx="5396230" cy="3597275"/>
            <wp:effectExtent l="0" t="0" r="127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5EEFF" w14:textId="3D3E73D2" w:rsidR="00E03E65" w:rsidRDefault="00E03E65">
      <w:pPr>
        <w:rPr>
          <w:lang w:val="en-US"/>
        </w:rPr>
      </w:pPr>
    </w:p>
    <w:p w14:paraId="1FEE0832" w14:textId="0CCF5776" w:rsidR="00E03E65" w:rsidRDefault="00E03E65">
      <w:pPr>
        <w:rPr>
          <w:lang w:val="en-US"/>
        </w:rPr>
      </w:pPr>
    </w:p>
    <w:p w14:paraId="229FC343" w14:textId="27B6C6FB" w:rsidR="00E03E65" w:rsidRDefault="00E03E65" w:rsidP="00E03E65">
      <w:pPr>
        <w:pStyle w:val="NormalWeb"/>
        <w:shd w:val="clear" w:color="auto" w:fill="FFFFFF"/>
        <w:rPr>
          <w:rFonts w:ascii="HelveticaNeue" w:hAnsi="HelveticaNeue"/>
          <w:sz w:val="22"/>
          <w:szCs w:val="22"/>
        </w:rPr>
      </w:pPr>
      <w:r>
        <w:rPr>
          <w:rFonts w:ascii="HelveticaNeue" w:hAnsi="HelveticaNeue"/>
          <w:sz w:val="22"/>
          <w:szCs w:val="22"/>
        </w:rPr>
        <w:t>F</w:t>
      </w:r>
      <w:r>
        <w:rPr>
          <w:rFonts w:ascii="HelveticaNeue" w:hAnsi="HelveticaNeue"/>
          <w:sz w:val="22"/>
          <w:szCs w:val="22"/>
        </w:rPr>
        <w:t>IGURE</w:t>
      </w:r>
      <w:r>
        <w:rPr>
          <w:rFonts w:ascii="HelveticaNeue" w:hAnsi="HelveticaNeue"/>
          <w:sz w:val="22"/>
          <w:szCs w:val="22"/>
        </w:rPr>
        <w:t xml:space="preserve"> 5</w:t>
      </w:r>
      <w:r>
        <w:rPr>
          <w:rFonts w:ascii="HelveticaNeue" w:hAnsi="HelveticaNeue"/>
          <w:sz w:val="22"/>
          <w:szCs w:val="22"/>
        </w:rPr>
        <w:t xml:space="preserve"> </w:t>
      </w:r>
      <w:r>
        <w:rPr>
          <w:rFonts w:ascii="HelveticaNeue" w:hAnsi="HelveticaNeue"/>
          <w:sz w:val="22"/>
          <w:szCs w:val="22"/>
        </w:rPr>
        <w:t xml:space="preserve"> Immediate passive splinting. </w:t>
      </w:r>
    </w:p>
    <w:p w14:paraId="29FC4122" w14:textId="4D5B86CC" w:rsidR="00E03E65" w:rsidRDefault="00E03E65" w:rsidP="00E03E65">
      <w:pPr>
        <w:pStyle w:val="NormalWeb"/>
        <w:shd w:val="clear" w:color="auto" w:fill="FFFFFF"/>
        <w:rPr>
          <w:rFonts w:ascii="HelveticaNeue" w:hAnsi="HelveticaNeue"/>
          <w:sz w:val="22"/>
          <w:szCs w:val="22"/>
        </w:rPr>
      </w:pPr>
    </w:p>
    <w:p w14:paraId="4428B0E4" w14:textId="6816E395" w:rsidR="00E03E65" w:rsidRDefault="00E03E65" w:rsidP="00E03E65">
      <w:pPr>
        <w:pStyle w:val="NormalWeb"/>
        <w:shd w:val="clear" w:color="auto" w:fill="FFFFFF"/>
      </w:pPr>
      <w:r>
        <w:rPr>
          <w:noProof/>
        </w:rPr>
        <w:lastRenderedPageBreak/>
        <w:drawing>
          <wp:inline distT="0" distB="0" distL="0" distR="0" wp14:anchorId="357CC2BC" wp14:editId="63D5A0E2">
            <wp:extent cx="3048000" cy="457200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 1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C9A05" w14:textId="4734B4C8" w:rsidR="00E03E65" w:rsidRPr="00E03E65" w:rsidRDefault="00E03E65" w:rsidP="00E03E65">
      <w:pPr>
        <w:pStyle w:val="NormalWeb"/>
        <w:shd w:val="clear" w:color="auto" w:fill="FFFFFF"/>
        <w:rPr>
          <w:lang w:val="en-US"/>
        </w:rPr>
      </w:pPr>
      <w:r w:rsidRPr="00E03E65">
        <w:rPr>
          <w:rFonts w:ascii="HelveticaNeue" w:hAnsi="HelveticaNeue"/>
          <w:sz w:val="22"/>
          <w:szCs w:val="22"/>
          <w:lang w:val="en-US"/>
        </w:rPr>
        <w:t xml:space="preserve">FIGURE </w:t>
      </w:r>
      <w:proofErr w:type="gramStart"/>
      <w:r w:rsidRPr="00E03E65">
        <w:rPr>
          <w:rFonts w:ascii="HelveticaNeue" w:hAnsi="HelveticaNeue"/>
          <w:sz w:val="22"/>
          <w:szCs w:val="22"/>
          <w:lang w:val="en-US"/>
        </w:rPr>
        <w:t>6  (</w:t>
      </w:r>
      <w:proofErr w:type="gramEnd"/>
      <w:r w:rsidRPr="00E03E65">
        <w:rPr>
          <w:rFonts w:ascii="HelveticaNeue" w:hAnsi="HelveticaNeue"/>
          <w:sz w:val="22"/>
          <w:szCs w:val="22"/>
          <w:lang w:val="en-US"/>
        </w:rPr>
        <w:t xml:space="preserve">A) </w:t>
      </w:r>
      <w:r w:rsidRPr="00E03E65">
        <w:rPr>
          <w:rFonts w:ascii="HelveticaNeue" w:hAnsi="HelveticaNeue"/>
          <w:sz w:val="22"/>
          <w:szCs w:val="22"/>
          <w:lang w:val="en-US"/>
        </w:rPr>
        <w:t xml:space="preserve"> Radiographic evaluation after </w:t>
      </w:r>
      <w:r>
        <w:rPr>
          <w:rFonts w:ascii="HelveticaNeue" w:hAnsi="HelveticaNeue"/>
          <w:sz w:val="22"/>
          <w:szCs w:val="22"/>
          <w:lang w:val="en-US"/>
        </w:rPr>
        <w:t>1</w:t>
      </w:r>
      <w:r w:rsidRPr="00E03E65">
        <w:rPr>
          <w:rFonts w:ascii="HelveticaNeue" w:hAnsi="HelveticaNeue"/>
          <w:sz w:val="22"/>
          <w:szCs w:val="22"/>
          <w:lang w:val="en-US"/>
        </w:rPr>
        <w:t xml:space="preserve">-years of follow-up. </w:t>
      </w:r>
    </w:p>
    <w:p w14:paraId="491D7019" w14:textId="1D3D9074" w:rsidR="00E03E65" w:rsidRPr="00E03E65" w:rsidRDefault="00E03E65" w:rsidP="00E03E65">
      <w:pPr>
        <w:pStyle w:val="NormalWeb"/>
        <w:shd w:val="clear" w:color="auto" w:fill="FFFFFF"/>
        <w:rPr>
          <w:rFonts w:ascii="HelveticaNeue" w:hAnsi="HelveticaNeue"/>
          <w:sz w:val="22"/>
          <w:szCs w:val="22"/>
          <w:lang w:val="en-US"/>
        </w:rPr>
      </w:pPr>
      <w:r w:rsidRPr="00E03E65">
        <w:rPr>
          <w:rFonts w:ascii="HelveticaNeue" w:hAnsi="HelveticaNeue"/>
          <w:sz w:val="22"/>
          <w:szCs w:val="22"/>
          <w:lang w:val="en-US"/>
        </w:rPr>
        <w:t xml:space="preserve">. </w:t>
      </w:r>
    </w:p>
    <w:p w14:paraId="4B4F2AF5" w14:textId="73F9C278" w:rsidR="00E03E65" w:rsidRDefault="00E03E65" w:rsidP="00E03E65">
      <w:pPr>
        <w:pStyle w:val="NormalWeb"/>
        <w:shd w:val="clear" w:color="auto" w:fill="FFFFFF"/>
      </w:pPr>
      <w:r>
        <w:rPr>
          <w:noProof/>
        </w:rPr>
        <w:lastRenderedPageBreak/>
        <w:drawing>
          <wp:inline distT="0" distB="0" distL="0" distR="0" wp14:anchorId="53B481BE" wp14:editId="56364440">
            <wp:extent cx="3048000" cy="457200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6598C" w14:textId="23DB048A" w:rsidR="00E03E65" w:rsidRDefault="00E03E65" w:rsidP="00E03E65">
      <w:pPr>
        <w:pStyle w:val="NormalWeb"/>
        <w:shd w:val="clear" w:color="auto" w:fill="FFFFFF"/>
      </w:pPr>
    </w:p>
    <w:p w14:paraId="4503D4C0" w14:textId="5BF3C524" w:rsidR="00E03E65" w:rsidRPr="00E03E65" w:rsidRDefault="00E03E65" w:rsidP="00E03E65">
      <w:pPr>
        <w:pStyle w:val="NormalWeb"/>
        <w:shd w:val="clear" w:color="auto" w:fill="FFFFFF"/>
        <w:rPr>
          <w:lang w:val="en-US"/>
        </w:rPr>
      </w:pPr>
      <w:r w:rsidRPr="00E03E65">
        <w:rPr>
          <w:rFonts w:ascii="HelveticaNeue" w:hAnsi="HelveticaNeue"/>
          <w:sz w:val="22"/>
          <w:szCs w:val="22"/>
          <w:lang w:val="en-US"/>
        </w:rPr>
        <w:t xml:space="preserve">FIGURE </w:t>
      </w:r>
      <w:proofErr w:type="gramStart"/>
      <w:r w:rsidRPr="00E03E65">
        <w:rPr>
          <w:rFonts w:ascii="HelveticaNeue" w:hAnsi="HelveticaNeue"/>
          <w:sz w:val="22"/>
          <w:szCs w:val="22"/>
          <w:lang w:val="en-US"/>
        </w:rPr>
        <w:t>6  (</w:t>
      </w:r>
      <w:proofErr w:type="gramEnd"/>
      <w:r>
        <w:rPr>
          <w:rFonts w:ascii="HelveticaNeue" w:hAnsi="HelveticaNeue"/>
          <w:sz w:val="22"/>
          <w:szCs w:val="22"/>
          <w:lang w:val="en-US"/>
        </w:rPr>
        <w:t>B</w:t>
      </w:r>
      <w:r w:rsidRPr="00E03E65">
        <w:rPr>
          <w:rFonts w:ascii="HelveticaNeue" w:hAnsi="HelveticaNeue"/>
          <w:sz w:val="22"/>
          <w:szCs w:val="22"/>
          <w:lang w:val="en-US"/>
        </w:rPr>
        <w:t xml:space="preserve">)  Radiographic evaluation after </w:t>
      </w:r>
      <w:r>
        <w:rPr>
          <w:rFonts w:ascii="HelveticaNeue" w:hAnsi="HelveticaNeue"/>
          <w:sz w:val="22"/>
          <w:szCs w:val="22"/>
          <w:lang w:val="en-US"/>
        </w:rPr>
        <w:t>2</w:t>
      </w:r>
      <w:r w:rsidRPr="00E03E65">
        <w:rPr>
          <w:rFonts w:ascii="HelveticaNeue" w:hAnsi="HelveticaNeue"/>
          <w:sz w:val="22"/>
          <w:szCs w:val="22"/>
          <w:lang w:val="en-US"/>
        </w:rPr>
        <w:t xml:space="preserve">-years of follow-up. </w:t>
      </w:r>
    </w:p>
    <w:p w14:paraId="2449F9E0" w14:textId="31DEEF3D" w:rsidR="00E03E65" w:rsidRDefault="00E03E65" w:rsidP="00E03E65">
      <w:pPr>
        <w:pStyle w:val="NormalWeb"/>
        <w:shd w:val="clear" w:color="auto" w:fill="FFFFFF"/>
        <w:rPr>
          <w:lang w:val="en-US"/>
        </w:rPr>
      </w:pPr>
    </w:p>
    <w:p w14:paraId="508CC5FC" w14:textId="129A4126" w:rsidR="00E03E65" w:rsidRDefault="00E03E65" w:rsidP="00E03E65">
      <w:pPr>
        <w:pStyle w:val="NormalWeb"/>
        <w:shd w:val="clear" w:color="auto" w:fill="FFFFFF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4A6342CB" wp14:editId="4FFC06B6">
            <wp:extent cx="5396230" cy="3597275"/>
            <wp:effectExtent l="0" t="0" r="127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 1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1F7CA" w14:textId="3CAD5BD2" w:rsidR="00E03E65" w:rsidRDefault="00E03E65" w:rsidP="00E03E65">
      <w:pPr>
        <w:pStyle w:val="NormalWeb"/>
        <w:shd w:val="clear" w:color="auto" w:fill="FFFFFF"/>
        <w:rPr>
          <w:lang w:val="en-US"/>
        </w:rPr>
      </w:pPr>
    </w:p>
    <w:p w14:paraId="454AF971" w14:textId="299EB941" w:rsidR="00E03E65" w:rsidRPr="00E03E65" w:rsidRDefault="00E03E65" w:rsidP="00E03E65">
      <w:pPr>
        <w:pStyle w:val="NormalWeb"/>
        <w:shd w:val="clear" w:color="auto" w:fill="FFFFFF"/>
        <w:rPr>
          <w:lang w:val="en-US"/>
        </w:rPr>
      </w:pPr>
      <w:r w:rsidRPr="00E03E65">
        <w:rPr>
          <w:rFonts w:ascii="HelveticaNeue" w:hAnsi="HelveticaNeue"/>
          <w:sz w:val="22"/>
          <w:szCs w:val="22"/>
          <w:lang w:val="en-US"/>
        </w:rPr>
        <w:t>F</w:t>
      </w:r>
      <w:r>
        <w:rPr>
          <w:rFonts w:ascii="HelveticaNeue" w:hAnsi="HelveticaNeue"/>
          <w:sz w:val="22"/>
          <w:szCs w:val="22"/>
          <w:lang w:val="en-US"/>
        </w:rPr>
        <w:t>IGURE</w:t>
      </w:r>
      <w:r w:rsidRPr="00E03E65">
        <w:rPr>
          <w:rFonts w:ascii="HelveticaNeue" w:hAnsi="HelveticaNeue"/>
          <w:sz w:val="22"/>
          <w:szCs w:val="22"/>
          <w:lang w:val="en-US"/>
        </w:rPr>
        <w:t xml:space="preserve"> 7 Clinical evaluation after 2-years of follow-up. </w:t>
      </w:r>
    </w:p>
    <w:p w14:paraId="61A85AC2" w14:textId="77777777" w:rsidR="00E03E65" w:rsidRPr="00E03E65" w:rsidRDefault="00E03E65" w:rsidP="00E03E65">
      <w:pPr>
        <w:pStyle w:val="NormalWeb"/>
        <w:shd w:val="clear" w:color="auto" w:fill="FFFFFF"/>
        <w:rPr>
          <w:lang w:val="en-US"/>
        </w:rPr>
      </w:pPr>
    </w:p>
    <w:p w14:paraId="095B0BBC" w14:textId="77777777" w:rsidR="00E03E65" w:rsidRPr="00AE6ABA" w:rsidRDefault="00E03E65">
      <w:pPr>
        <w:rPr>
          <w:lang w:val="en-US"/>
        </w:rPr>
      </w:pPr>
    </w:p>
    <w:sectPr w:rsidR="00E03E65" w:rsidRPr="00AE6ABA" w:rsidSect="00867624">
      <w:pgSz w:w="11900" w:h="16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HelveticaNeue">
    <w:altName w:val="Arial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6ABA"/>
    <w:rsid w:val="0011397E"/>
    <w:rsid w:val="00867624"/>
    <w:rsid w:val="00AE6ABA"/>
    <w:rsid w:val="00E03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4:docId w14:val="74A187C6"/>
  <w15:chartTrackingRefBased/>
  <w15:docId w15:val="{4AA5D091-C9D2-154F-8430-01DBE4F96C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s-P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E6AB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15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96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106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1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088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346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9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3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00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92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85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86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58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083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36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17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59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473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439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2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45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452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46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18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778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02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009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5484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489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933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53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737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906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015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991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85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808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268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66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10</Pages>
  <Words>124</Words>
  <Characters>688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2022-01-21T05:12:00Z</dcterms:created>
  <dcterms:modified xsi:type="dcterms:W3CDTF">2022-01-21T05:35:00Z</dcterms:modified>
</cp:coreProperties>
</file>