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65346C" w14:textId="782A8327" w:rsidR="00BF5C37" w:rsidRPr="00726423" w:rsidRDefault="00BF5C37" w:rsidP="00977790">
      <w:pPr>
        <w:spacing w:line="480" w:lineRule="auto"/>
        <w:jc w:val="center"/>
        <w:rPr>
          <w:rFonts w:ascii="Arial" w:hAnsi="Arial" w:cs="Arial"/>
          <w:b/>
          <w:bCs/>
          <w:color w:val="000000" w:themeColor="text1"/>
          <w:sz w:val="22"/>
          <w:szCs w:val="22"/>
        </w:rPr>
      </w:pPr>
      <w:r w:rsidRPr="00726423">
        <w:rPr>
          <w:rFonts w:ascii="Arial" w:hAnsi="Arial" w:cs="Arial"/>
          <w:b/>
          <w:bCs/>
          <w:color w:val="000000" w:themeColor="text1"/>
          <w:sz w:val="22"/>
          <w:szCs w:val="22"/>
        </w:rPr>
        <w:t xml:space="preserve">Metabolic regulation by </w:t>
      </w:r>
      <w:r w:rsidR="006D4F11" w:rsidRPr="00726423">
        <w:rPr>
          <w:rFonts w:ascii="Arial" w:hAnsi="Arial" w:cs="Arial"/>
          <w:b/>
          <w:bCs/>
          <w:color w:val="000000" w:themeColor="text1"/>
          <w:sz w:val="22"/>
          <w:szCs w:val="22"/>
        </w:rPr>
        <w:t>p</w:t>
      </w:r>
      <w:r w:rsidRPr="00726423">
        <w:rPr>
          <w:rFonts w:ascii="Arial" w:hAnsi="Arial" w:cs="Arial"/>
          <w:b/>
          <w:bCs/>
          <w:color w:val="000000" w:themeColor="text1"/>
          <w:sz w:val="22"/>
          <w:szCs w:val="22"/>
        </w:rPr>
        <w:t>rostaglandin E</w:t>
      </w:r>
      <w:r w:rsidRPr="00726423">
        <w:rPr>
          <w:rFonts w:ascii="Arial" w:hAnsi="Arial" w:cs="Arial"/>
          <w:b/>
          <w:bCs/>
          <w:color w:val="000000" w:themeColor="text1"/>
          <w:sz w:val="22"/>
          <w:szCs w:val="22"/>
          <w:vertAlign w:val="subscript"/>
        </w:rPr>
        <w:t>2</w:t>
      </w:r>
      <w:r w:rsidRPr="00726423">
        <w:rPr>
          <w:rFonts w:ascii="Arial" w:hAnsi="Arial" w:cs="Arial"/>
          <w:b/>
          <w:bCs/>
          <w:color w:val="000000" w:themeColor="text1"/>
          <w:sz w:val="22"/>
          <w:szCs w:val="22"/>
        </w:rPr>
        <w:t xml:space="preserve"> </w:t>
      </w:r>
      <w:r w:rsidR="00AA5053" w:rsidRPr="00726423">
        <w:rPr>
          <w:rFonts w:ascii="Arial" w:hAnsi="Arial" w:cs="Arial"/>
          <w:b/>
          <w:bCs/>
          <w:color w:val="000000" w:themeColor="text1"/>
          <w:sz w:val="22"/>
          <w:szCs w:val="22"/>
        </w:rPr>
        <w:t>impair</w:t>
      </w:r>
      <w:r w:rsidRPr="00726423">
        <w:rPr>
          <w:rFonts w:ascii="Arial" w:hAnsi="Arial" w:cs="Arial"/>
          <w:b/>
          <w:bCs/>
          <w:color w:val="000000" w:themeColor="text1"/>
          <w:sz w:val="22"/>
          <w:szCs w:val="22"/>
        </w:rPr>
        <w:t xml:space="preserve">s </w:t>
      </w:r>
      <w:r w:rsidR="00AA5053" w:rsidRPr="00726423">
        <w:rPr>
          <w:rFonts w:ascii="Arial" w:hAnsi="Arial" w:cs="Arial"/>
          <w:b/>
          <w:bCs/>
          <w:color w:val="000000" w:themeColor="text1"/>
          <w:sz w:val="22"/>
          <w:szCs w:val="22"/>
        </w:rPr>
        <w:t xml:space="preserve">lung </w:t>
      </w:r>
      <w:r w:rsidRPr="00726423">
        <w:rPr>
          <w:rFonts w:ascii="Arial" w:hAnsi="Arial" w:cs="Arial"/>
          <w:b/>
          <w:bCs/>
          <w:color w:val="000000" w:themeColor="text1"/>
          <w:sz w:val="22"/>
          <w:szCs w:val="22"/>
        </w:rPr>
        <w:t>group 2 innate lymphoid cell responses</w:t>
      </w:r>
    </w:p>
    <w:p w14:paraId="000160FD" w14:textId="77777777" w:rsidR="0034418A" w:rsidRPr="00726423" w:rsidRDefault="0034418A" w:rsidP="00977790">
      <w:pPr>
        <w:spacing w:line="480" w:lineRule="auto"/>
        <w:jc w:val="both"/>
        <w:rPr>
          <w:rFonts w:ascii="Arial" w:hAnsi="Arial" w:cs="Arial"/>
          <w:color w:val="000000" w:themeColor="text1"/>
          <w:sz w:val="22"/>
          <w:szCs w:val="22"/>
        </w:rPr>
      </w:pPr>
    </w:p>
    <w:p w14:paraId="251209C5" w14:textId="77777777" w:rsidR="00A97FBF" w:rsidRPr="0020766D" w:rsidRDefault="00A97FBF" w:rsidP="00A97FBF">
      <w:pPr>
        <w:spacing w:line="480" w:lineRule="auto"/>
        <w:jc w:val="both"/>
        <w:rPr>
          <w:rFonts w:ascii="Arial" w:hAnsi="Arial" w:cs="Arial"/>
          <w:color w:val="000000" w:themeColor="text1"/>
          <w:sz w:val="22"/>
          <w:szCs w:val="22"/>
          <w:vertAlign w:val="superscript"/>
        </w:rPr>
      </w:pPr>
      <w:r w:rsidRPr="0020766D">
        <w:rPr>
          <w:rFonts w:ascii="Arial" w:hAnsi="Arial" w:cs="Arial"/>
          <w:color w:val="000000" w:themeColor="text1"/>
          <w:sz w:val="22"/>
          <w:szCs w:val="22"/>
        </w:rPr>
        <w:t>Calum T. Robb,</w:t>
      </w:r>
      <w:r w:rsidRPr="0020766D">
        <w:rPr>
          <w:rFonts w:ascii="Arial" w:hAnsi="Arial" w:cs="Arial"/>
          <w:color w:val="000000" w:themeColor="text1"/>
          <w:sz w:val="22"/>
          <w:szCs w:val="22"/>
          <w:vertAlign w:val="superscript"/>
        </w:rPr>
        <w:t>1</w:t>
      </w:r>
      <w:r w:rsidRPr="0020766D">
        <w:rPr>
          <w:rFonts w:ascii="Arial" w:hAnsi="Arial" w:cs="Arial"/>
          <w:color w:val="000000" w:themeColor="text1"/>
          <w:sz w:val="22"/>
          <w:szCs w:val="22"/>
        </w:rPr>
        <w:t xml:space="preserve"> You Zhou,</w:t>
      </w:r>
      <w:r w:rsidRPr="0020766D">
        <w:rPr>
          <w:rFonts w:ascii="Arial" w:hAnsi="Arial" w:cs="Arial"/>
          <w:color w:val="000000" w:themeColor="text1"/>
          <w:sz w:val="22"/>
          <w:szCs w:val="22"/>
          <w:vertAlign w:val="superscript"/>
        </w:rPr>
        <w:t>2</w:t>
      </w:r>
      <w:r w:rsidRPr="0020766D">
        <w:rPr>
          <w:rFonts w:ascii="Arial" w:hAnsi="Arial" w:cs="Arial"/>
          <w:color w:val="000000" w:themeColor="text1"/>
          <w:sz w:val="22"/>
          <w:szCs w:val="22"/>
        </w:rPr>
        <w:t xml:space="preserve"> Jennifer M. Felton,</w:t>
      </w:r>
      <w:r w:rsidRPr="0020766D">
        <w:rPr>
          <w:rFonts w:ascii="Arial" w:hAnsi="Arial" w:cs="Arial"/>
          <w:color w:val="000000" w:themeColor="text1"/>
          <w:sz w:val="22"/>
          <w:szCs w:val="22"/>
          <w:vertAlign w:val="superscript"/>
        </w:rPr>
        <w:t>1</w:t>
      </w:r>
      <w:r w:rsidRPr="0020766D">
        <w:rPr>
          <w:rFonts w:ascii="Arial" w:hAnsi="Arial" w:cs="Arial"/>
          <w:color w:val="000000" w:themeColor="text1"/>
          <w:sz w:val="22"/>
          <w:szCs w:val="22"/>
        </w:rPr>
        <w:t xml:space="preserve"> </w:t>
      </w:r>
      <w:proofErr w:type="spellStart"/>
      <w:r w:rsidRPr="0020766D">
        <w:rPr>
          <w:rFonts w:ascii="Arial" w:hAnsi="Arial" w:cs="Arial"/>
          <w:color w:val="000000" w:themeColor="text1"/>
          <w:sz w:val="22"/>
          <w:szCs w:val="22"/>
        </w:rPr>
        <w:t>Birong</w:t>
      </w:r>
      <w:proofErr w:type="spellEnd"/>
      <w:r w:rsidRPr="0020766D">
        <w:rPr>
          <w:rFonts w:ascii="Arial" w:hAnsi="Arial" w:cs="Arial"/>
          <w:color w:val="000000" w:themeColor="text1"/>
          <w:sz w:val="22"/>
          <w:szCs w:val="22"/>
        </w:rPr>
        <w:t xml:space="preserve"> Zhang,</w:t>
      </w:r>
      <w:r w:rsidRPr="0020766D">
        <w:rPr>
          <w:rFonts w:ascii="Arial" w:hAnsi="Arial" w:cs="Arial"/>
          <w:color w:val="000000" w:themeColor="text1"/>
          <w:sz w:val="22"/>
          <w:szCs w:val="22"/>
          <w:vertAlign w:val="superscript"/>
        </w:rPr>
        <w:t>2</w:t>
      </w:r>
      <w:r w:rsidRPr="0020766D">
        <w:rPr>
          <w:rFonts w:ascii="Arial" w:hAnsi="Arial" w:cs="Arial"/>
          <w:color w:val="000000" w:themeColor="text1"/>
          <w:sz w:val="22"/>
          <w:szCs w:val="22"/>
        </w:rPr>
        <w:t xml:space="preserve"> Marie Goepp,</w:t>
      </w:r>
      <w:r w:rsidRPr="0020766D">
        <w:rPr>
          <w:rFonts w:ascii="Arial" w:hAnsi="Arial" w:cs="Arial"/>
          <w:color w:val="000000" w:themeColor="text1"/>
          <w:sz w:val="22"/>
          <w:szCs w:val="22"/>
          <w:vertAlign w:val="superscript"/>
        </w:rPr>
        <w:t>1</w:t>
      </w:r>
      <w:r w:rsidRPr="0020766D">
        <w:rPr>
          <w:rFonts w:ascii="Arial" w:hAnsi="Arial" w:cs="Arial"/>
          <w:color w:val="000000" w:themeColor="text1"/>
          <w:sz w:val="22"/>
          <w:szCs w:val="22"/>
        </w:rPr>
        <w:t xml:space="preserve"> </w:t>
      </w:r>
      <w:proofErr w:type="spellStart"/>
      <w:r w:rsidRPr="0020766D">
        <w:rPr>
          <w:rFonts w:ascii="Arial" w:hAnsi="Arial" w:cs="Arial"/>
          <w:color w:val="000000" w:themeColor="text1"/>
          <w:sz w:val="22"/>
          <w:szCs w:val="22"/>
        </w:rPr>
        <w:t>Privjyot</w:t>
      </w:r>
      <w:proofErr w:type="spellEnd"/>
      <w:r w:rsidRPr="0020766D">
        <w:rPr>
          <w:rFonts w:ascii="Arial" w:hAnsi="Arial" w:cs="Arial"/>
          <w:color w:val="000000" w:themeColor="text1"/>
          <w:sz w:val="22"/>
          <w:szCs w:val="22"/>
        </w:rPr>
        <w:t xml:space="preserve"> Jheeta,</w:t>
      </w:r>
      <w:r w:rsidRPr="0020766D">
        <w:rPr>
          <w:rFonts w:ascii="Arial" w:hAnsi="Arial" w:cs="Arial"/>
          <w:color w:val="000000" w:themeColor="text1"/>
          <w:sz w:val="22"/>
          <w:szCs w:val="22"/>
          <w:vertAlign w:val="superscript"/>
        </w:rPr>
        <w:t>1</w:t>
      </w:r>
      <w:r w:rsidRPr="0020766D">
        <w:rPr>
          <w:rFonts w:ascii="Arial" w:hAnsi="Arial" w:cs="Arial"/>
          <w:color w:val="000000" w:themeColor="text1"/>
          <w:sz w:val="22"/>
          <w:szCs w:val="22"/>
        </w:rPr>
        <w:t xml:space="preserve"> Danielle J. Smyth,</w:t>
      </w:r>
      <w:r w:rsidRPr="0020766D">
        <w:rPr>
          <w:rFonts w:ascii="Arial" w:hAnsi="Arial" w:cs="Arial"/>
          <w:color w:val="000000" w:themeColor="text1"/>
          <w:sz w:val="22"/>
          <w:szCs w:val="22"/>
          <w:vertAlign w:val="superscript"/>
        </w:rPr>
        <w:t>3</w:t>
      </w:r>
      <w:r w:rsidRPr="0020766D">
        <w:rPr>
          <w:rFonts w:ascii="Arial" w:hAnsi="Arial" w:cs="Arial"/>
          <w:color w:val="000000" w:themeColor="text1"/>
          <w:sz w:val="22"/>
          <w:szCs w:val="22"/>
        </w:rPr>
        <w:t xml:space="preserve"> Richard M. Breyer,</w:t>
      </w:r>
      <w:r w:rsidRPr="0020766D">
        <w:rPr>
          <w:rFonts w:ascii="Arial" w:hAnsi="Arial" w:cs="Arial"/>
          <w:color w:val="000000" w:themeColor="text1"/>
          <w:sz w:val="22"/>
          <w:szCs w:val="22"/>
          <w:vertAlign w:val="superscript"/>
        </w:rPr>
        <w:t>4</w:t>
      </w:r>
      <w:r w:rsidRPr="0020766D">
        <w:rPr>
          <w:rFonts w:ascii="Arial" w:hAnsi="Arial" w:cs="Arial"/>
          <w:color w:val="000000" w:themeColor="text1"/>
          <w:sz w:val="22"/>
          <w:szCs w:val="22"/>
        </w:rPr>
        <w:t xml:space="preserve"> </w:t>
      </w:r>
      <w:proofErr w:type="spellStart"/>
      <w:r w:rsidRPr="0020766D">
        <w:rPr>
          <w:rFonts w:ascii="Arial" w:hAnsi="Arial" w:cs="Arial"/>
          <w:color w:val="000000" w:themeColor="text1"/>
          <w:sz w:val="22"/>
          <w:szCs w:val="22"/>
        </w:rPr>
        <w:t>Shuh</w:t>
      </w:r>
      <w:proofErr w:type="spellEnd"/>
      <w:r w:rsidRPr="0020766D">
        <w:rPr>
          <w:rFonts w:ascii="Arial" w:hAnsi="Arial" w:cs="Arial"/>
          <w:color w:val="000000" w:themeColor="text1"/>
          <w:sz w:val="22"/>
          <w:szCs w:val="22"/>
        </w:rPr>
        <w:t xml:space="preserve"> Narumiya,</w:t>
      </w:r>
      <w:r w:rsidRPr="0020766D">
        <w:rPr>
          <w:rFonts w:ascii="Arial" w:hAnsi="Arial" w:cs="Arial"/>
          <w:color w:val="000000" w:themeColor="text1"/>
          <w:sz w:val="22"/>
          <w:szCs w:val="22"/>
          <w:vertAlign w:val="superscript"/>
        </w:rPr>
        <w:t>5</w:t>
      </w:r>
      <w:r w:rsidRPr="0020766D">
        <w:rPr>
          <w:rFonts w:ascii="Arial" w:hAnsi="Arial" w:cs="Arial"/>
          <w:color w:val="000000" w:themeColor="text1"/>
          <w:sz w:val="22"/>
          <w:szCs w:val="22"/>
        </w:rPr>
        <w:t xml:space="preserve"> Henry J. McSorley,</w:t>
      </w:r>
      <w:r w:rsidRPr="0020766D">
        <w:rPr>
          <w:rFonts w:ascii="Arial" w:hAnsi="Arial" w:cs="Arial"/>
          <w:color w:val="000000" w:themeColor="text1"/>
          <w:sz w:val="22"/>
          <w:szCs w:val="22"/>
          <w:vertAlign w:val="superscript"/>
        </w:rPr>
        <w:t>3</w:t>
      </w:r>
      <w:r w:rsidRPr="0020766D">
        <w:rPr>
          <w:rFonts w:ascii="Arial" w:hAnsi="Arial" w:cs="Arial"/>
          <w:color w:val="000000" w:themeColor="text1"/>
          <w:sz w:val="22"/>
          <w:szCs w:val="22"/>
        </w:rPr>
        <w:t xml:space="preserve"> Rick M. Maizels,</w:t>
      </w:r>
      <w:r w:rsidRPr="0020766D">
        <w:rPr>
          <w:rFonts w:ascii="Arial" w:hAnsi="Arial" w:cs="Arial"/>
          <w:color w:val="000000" w:themeColor="text1"/>
          <w:sz w:val="22"/>
          <w:szCs w:val="22"/>
          <w:vertAlign w:val="superscript"/>
        </w:rPr>
        <w:t>6</w:t>
      </w:r>
      <w:r w:rsidRPr="0020766D">
        <w:rPr>
          <w:rFonts w:ascii="Arial" w:hAnsi="Arial" w:cs="Arial"/>
          <w:color w:val="000000" w:themeColor="text1"/>
          <w:sz w:val="22"/>
          <w:szCs w:val="22"/>
        </w:rPr>
        <w:t xml:space="preserve"> </w:t>
      </w:r>
      <w:proofErr w:type="spellStart"/>
      <w:r w:rsidRPr="0020766D">
        <w:rPr>
          <w:rFonts w:ascii="Arial" w:hAnsi="Arial" w:cs="Arial"/>
          <w:color w:val="000000" w:themeColor="text1"/>
          <w:sz w:val="22"/>
          <w:szCs w:val="22"/>
        </w:rPr>
        <w:t>Jürgen</w:t>
      </w:r>
      <w:proofErr w:type="spellEnd"/>
      <w:r w:rsidRPr="0020766D">
        <w:rPr>
          <w:rFonts w:ascii="Arial" w:hAnsi="Arial" w:cs="Arial"/>
          <w:color w:val="000000" w:themeColor="text1"/>
          <w:sz w:val="22"/>
          <w:szCs w:val="22"/>
        </w:rPr>
        <w:t xml:space="preserve"> K.J. Schwarze,</w:t>
      </w:r>
      <w:r w:rsidRPr="0020766D">
        <w:rPr>
          <w:rFonts w:ascii="Arial" w:hAnsi="Arial" w:cs="Arial"/>
          <w:color w:val="000000" w:themeColor="text1"/>
          <w:sz w:val="22"/>
          <w:szCs w:val="22"/>
          <w:vertAlign w:val="superscript"/>
        </w:rPr>
        <w:t>1</w:t>
      </w:r>
      <w:r w:rsidRPr="0020766D">
        <w:rPr>
          <w:rFonts w:ascii="Arial" w:hAnsi="Arial" w:cs="Arial"/>
          <w:color w:val="000000" w:themeColor="text1"/>
          <w:sz w:val="22"/>
          <w:szCs w:val="22"/>
        </w:rPr>
        <w:t xml:space="preserve"> Adriano G. Rossi,</w:t>
      </w:r>
      <w:r w:rsidRPr="0020766D">
        <w:rPr>
          <w:rFonts w:ascii="Arial" w:hAnsi="Arial" w:cs="Arial"/>
          <w:color w:val="000000" w:themeColor="text1"/>
          <w:sz w:val="22"/>
          <w:szCs w:val="22"/>
          <w:vertAlign w:val="superscript"/>
        </w:rPr>
        <w:t>1</w:t>
      </w:r>
      <w:r w:rsidRPr="0020766D">
        <w:rPr>
          <w:rFonts w:ascii="Arial" w:hAnsi="Arial" w:cs="Arial"/>
          <w:color w:val="000000" w:themeColor="text1"/>
          <w:sz w:val="22"/>
          <w:szCs w:val="22"/>
        </w:rPr>
        <w:t xml:space="preserve"> </w:t>
      </w:r>
      <w:proofErr w:type="spellStart"/>
      <w:r w:rsidRPr="0020766D">
        <w:rPr>
          <w:rFonts w:ascii="Arial" w:hAnsi="Arial" w:cs="Arial"/>
          <w:color w:val="000000" w:themeColor="text1"/>
          <w:sz w:val="22"/>
          <w:szCs w:val="22"/>
        </w:rPr>
        <w:t>Chengcan</w:t>
      </w:r>
      <w:proofErr w:type="spellEnd"/>
      <w:r w:rsidRPr="0020766D">
        <w:rPr>
          <w:rFonts w:ascii="Arial" w:hAnsi="Arial" w:cs="Arial"/>
          <w:color w:val="000000" w:themeColor="text1"/>
          <w:sz w:val="22"/>
          <w:szCs w:val="22"/>
        </w:rPr>
        <w:t xml:space="preserve"> Yao,</w:t>
      </w:r>
      <w:r w:rsidRPr="0020766D">
        <w:rPr>
          <w:rFonts w:ascii="Arial" w:hAnsi="Arial" w:cs="Arial"/>
          <w:color w:val="000000" w:themeColor="text1"/>
          <w:sz w:val="22"/>
          <w:szCs w:val="22"/>
          <w:vertAlign w:val="superscript"/>
        </w:rPr>
        <w:t>1</w:t>
      </w:r>
    </w:p>
    <w:p w14:paraId="400DA288" w14:textId="77777777" w:rsidR="00A97FBF" w:rsidRPr="0020766D" w:rsidRDefault="00A97FBF" w:rsidP="00A97FBF">
      <w:pPr>
        <w:spacing w:line="480" w:lineRule="auto"/>
        <w:jc w:val="both"/>
        <w:rPr>
          <w:rFonts w:ascii="Arial" w:hAnsi="Arial" w:cs="Arial"/>
          <w:color w:val="000000" w:themeColor="text1"/>
          <w:sz w:val="22"/>
          <w:szCs w:val="22"/>
        </w:rPr>
      </w:pPr>
    </w:p>
    <w:p w14:paraId="66211EAF" w14:textId="77777777" w:rsidR="00A97FBF" w:rsidRPr="0020766D" w:rsidRDefault="00A97FBF" w:rsidP="00646623">
      <w:pPr>
        <w:spacing w:line="360" w:lineRule="auto"/>
        <w:jc w:val="both"/>
        <w:rPr>
          <w:rFonts w:ascii="Arial" w:hAnsi="Arial" w:cs="Arial"/>
          <w:color w:val="000000" w:themeColor="text1"/>
          <w:sz w:val="22"/>
          <w:szCs w:val="22"/>
        </w:rPr>
      </w:pPr>
      <w:r w:rsidRPr="0020766D">
        <w:rPr>
          <w:rFonts w:ascii="Arial" w:hAnsi="Arial" w:cs="Arial"/>
          <w:color w:val="000000" w:themeColor="text1"/>
          <w:sz w:val="22"/>
          <w:szCs w:val="22"/>
          <w:vertAlign w:val="superscript"/>
        </w:rPr>
        <w:t>1</w:t>
      </w:r>
      <w:r w:rsidRPr="0020766D">
        <w:rPr>
          <w:rFonts w:ascii="Arial" w:hAnsi="Arial" w:cs="Arial"/>
          <w:color w:val="000000" w:themeColor="text1"/>
          <w:sz w:val="22"/>
          <w:szCs w:val="22"/>
        </w:rPr>
        <w:t>Centre for Inflammation Research, Queen’s Medical Research Institute, The University of Edinburgh, Edinburgh EH16 4TJ, UK.</w:t>
      </w:r>
    </w:p>
    <w:p w14:paraId="1FA31344" w14:textId="77777777" w:rsidR="00A97FBF" w:rsidRPr="0020766D" w:rsidRDefault="00A97FBF" w:rsidP="00646623">
      <w:pPr>
        <w:spacing w:line="360" w:lineRule="auto"/>
        <w:jc w:val="both"/>
        <w:rPr>
          <w:rFonts w:ascii="Arial" w:hAnsi="Arial" w:cs="Arial"/>
          <w:color w:val="000000" w:themeColor="text1"/>
          <w:sz w:val="22"/>
          <w:szCs w:val="22"/>
        </w:rPr>
      </w:pPr>
      <w:r w:rsidRPr="0020766D">
        <w:rPr>
          <w:rFonts w:ascii="Arial" w:hAnsi="Arial" w:cs="Arial"/>
          <w:color w:val="000000" w:themeColor="text1"/>
          <w:sz w:val="22"/>
          <w:szCs w:val="22"/>
          <w:vertAlign w:val="superscript"/>
        </w:rPr>
        <w:t>2</w:t>
      </w:r>
      <w:r w:rsidRPr="0020766D">
        <w:rPr>
          <w:rFonts w:ascii="Arial" w:hAnsi="Arial" w:cs="Arial"/>
          <w:color w:val="000000" w:themeColor="text1"/>
          <w:sz w:val="22"/>
          <w:szCs w:val="22"/>
        </w:rPr>
        <w:t>Systems Immunity University Research Institute and Division of Infection and Immunity, Cardiff University, Cardiff CF14 4XN, UK.</w:t>
      </w:r>
    </w:p>
    <w:p w14:paraId="4E26DC90" w14:textId="77777777" w:rsidR="00A97FBF" w:rsidRPr="0020766D" w:rsidRDefault="00A97FBF" w:rsidP="00646623">
      <w:pPr>
        <w:spacing w:line="360" w:lineRule="auto"/>
        <w:jc w:val="both"/>
        <w:rPr>
          <w:rFonts w:ascii="Arial" w:hAnsi="Arial" w:cs="Arial"/>
          <w:color w:val="000000" w:themeColor="text1"/>
          <w:sz w:val="22"/>
          <w:szCs w:val="22"/>
        </w:rPr>
      </w:pPr>
      <w:r w:rsidRPr="0020766D">
        <w:rPr>
          <w:rFonts w:ascii="Arial" w:hAnsi="Arial" w:cs="Arial"/>
          <w:color w:val="000000" w:themeColor="text1"/>
          <w:sz w:val="22"/>
          <w:szCs w:val="22"/>
          <w:vertAlign w:val="superscript"/>
        </w:rPr>
        <w:t>3</w:t>
      </w:r>
      <w:r w:rsidRPr="0020766D">
        <w:rPr>
          <w:rFonts w:ascii="Arial" w:hAnsi="Arial" w:cs="Arial"/>
          <w:color w:val="000000" w:themeColor="text1"/>
          <w:sz w:val="22"/>
          <w:szCs w:val="22"/>
        </w:rPr>
        <w:t xml:space="preserve">Division of Cell </w:t>
      </w:r>
      <w:proofErr w:type="spellStart"/>
      <w:r w:rsidRPr="0020766D">
        <w:rPr>
          <w:rFonts w:ascii="Arial" w:hAnsi="Arial" w:cs="Arial"/>
          <w:color w:val="000000" w:themeColor="text1"/>
          <w:sz w:val="22"/>
          <w:szCs w:val="22"/>
        </w:rPr>
        <w:t>Signaling</w:t>
      </w:r>
      <w:proofErr w:type="spellEnd"/>
      <w:r w:rsidRPr="0020766D">
        <w:rPr>
          <w:rFonts w:ascii="Arial" w:hAnsi="Arial" w:cs="Arial"/>
          <w:color w:val="000000" w:themeColor="text1"/>
          <w:sz w:val="22"/>
          <w:szCs w:val="22"/>
        </w:rPr>
        <w:t xml:space="preserve"> and Immunology, School of Life Sciences, </w:t>
      </w:r>
      <w:proofErr w:type="spellStart"/>
      <w:r w:rsidRPr="0020766D">
        <w:rPr>
          <w:rFonts w:ascii="Arial" w:hAnsi="Arial" w:cs="Arial"/>
          <w:color w:val="000000" w:themeColor="text1"/>
          <w:sz w:val="22"/>
          <w:szCs w:val="22"/>
        </w:rPr>
        <w:t>Wellcome</w:t>
      </w:r>
      <w:proofErr w:type="spellEnd"/>
      <w:r w:rsidRPr="0020766D">
        <w:rPr>
          <w:rFonts w:ascii="Arial" w:hAnsi="Arial" w:cs="Arial"/>
          <w:color w:val="000000" w:themeColor="text1"/>
          <w:sz w:val="22"/>
          <w:szCs w:val="22"/>
        </w:rPr>
        <w:t xml:space="preserve"> Trust Building, University of Dundee, Dundee DD1 5EH, UK</w:t>
      </w:r>
    </w:p>
    <w:p w14:paraId="43E85761" w14:textId="77777777" w:rsidR="00A97FBF" w:rsidRPr="0020766D" w:rsidRDefault="00A97FBF" w:rsidP="00646623">
      <w:pPr>
        <w:spacing w:line="360" w:lineRule="auto"/>
        <w:jc w:val="both"/>
        <w:rPr>
          <w:rFonts w:ascii="Arial" w:hAnsi="Arial" w:cs="Arial"/>
          <w:color w:val="000000" w:themeColor="text1"/>
          <w:sz w:val="22"/>
          <w:szCs w:val="22"/>
        </w:rPr>
      </w:pPr>
      <w:r w:rsidRPr="0020766D">
        <w:rPr>
          <w:rFonts w:ascii="Arial" w:hAnsi="Arial" w:cs="Arial"/>
          <w:color w:val="000000" w:themeColor="text1"/>
          <w:sz w:val="22"/>
          <w:szCs w:val="22"/>
          <w:vertAlign w:val="superscript"/>
        </w:rPr>
        <w:t>4</w:t>
      </w:r>
      <w:r w:rsidRPr="0020766D">
        <w:rPr>
          <w:rFonts w:ascii="Arial" w:hAnsi="Arial" w:cs="Arial"/>
          <w:color w:val="000000" w:themeColor="text1"/>
          <w:sz w:val="22"/>
          <w:szCs w:val="22"/>
        </w:rPr>
        <w:t xml:space="preserve">Department of Veterans Affairs, Tennessee Valley Health Authority, and Department of Medicine, Vanderbilt University Medical </w:t>
      </w:r>
      <w:proofErr w:type="spellStart"/>
      <w:r w:rsidRPr="0020766D">
        <w:rPr>
          <w:rFonts w:ascii="Arial" w:hAnsi="Arial" w:cs="Arial"/>
          <w:color w:val="000000" w:themeColor="text1"/>
          <w:sz w:val="22"/>
          <w:szCs w:val="22"/>
        </w:rPr>
        <w:t>Center</w:t>
      </w:r>
      <w:proofErr w:type="spellEnd"/>
      <w:r w:rsidRPr="0020766D">
        <w:rPr>
          <w:rFonts w:ascii="Arial" w:hAnsi="Arial" w:cs="Arial"/>
          <w:color w:val="000000" w:themeColor="text1"/>
          <w:sz w:val="22"/>
          <w:szCs w:val="22"/>
        </w:rPr>
        <w:t xml:space="preserve">, Nashville, TN, USA. </w:t>
      </w:r>
    </w:p>
    <w:p w14:paraId="436D00A0" w14:textId="77777777" w:rsidR="00A97FBF" w:rsidRPr="0020766D" w:rsidRDefault="00A97FBF" w:rsidP="00646623">
      <w:pPr>
        <w:spacing w:line="360" w:lineRule="auto"/>
        <w:jc w:val="both"/>
        <w:rPr>
          <w:rFonts w:ascii="Arial" w:hAnsi="Arial" w:cs="Arial"/>
          <w:color w:val="000000" w:themeColor="text1"/>
          <w:sz w:val="22"/>
          <w:szCs w:val="22"/>
        </w:rPr>
      </w:pPr>
      <w:r w:rsidRPr="0020766D">
        <w:rPr>
          <w:rFonts w:ascii="Arial" w:hAnsi="Arial" w:cs="Arial"/>
          <w:color w:val="000000" w:themeColor="text1"/>
          <w:sz w:val="22"/>
          <w:szCs w:val="22"/>
          <w:vertAlign w:val="superscript"/>
        </w:rPr>
        <w:t>5</w:t>
      </w:r>
      <w:r w:rsidRPr="0020766D">
        <w:rPr>
          <w:rFonts w:ascii="Arial" w:hAnsi="Arial" w:cs="Arial"/>
          <w:color w:val="000000" w:themeColor="text1"/>
          <w:sz w:val="22"/>
          <w:szCs w:val="22"/>
        </w:rPr>
        <w:t xml:space="preserve">Alliance Laboratory for Advanced Medical Research and Department of Drug Discovery Medicine, Medical Innovation </w:t>
      </w:r>
      <w:proofErr w:type="spellStart"/>
      <w:r w:rsidRPr="0020766D">
        <w:rPr>
          <w:rFonts w:ascii="Arial" w:hAnsi="Arial" w:cs="Arial"/>
          <w:color w:val="000000" w:themeColor="text1"/>
          <w:sz w:val="22"/>
          <w:szCs w:val="22"/>
        </w:rPr>
        <w:t>Center</w:t>
      </w:r>
      <w:proofErr w:type="spellEnd"/>
      <w:r w:rsidRPr="0020766D">
        <w:rPr>
          <w:rFonts w:ascii="Arial" w:hAnsi="Arial" w:cs="Arial"/>
          <w:color w:val="000000" w:themeColor="text1"/>
          <w:sz w:val="22"/>
          <w:szCs w:val="22"/>
        </w:rPr>
        <w:t>, Kyoto University Graduate School of Medicine, Kyoto 606-8507, Japan.</w:t>
      </w:r>
    </w:p>
    <w:p w14:paraId="47BDD28A" w14:textId="77777777" w:rsidR="00A97FBF" w:rsidRPr="0020766D" w:rsidRDefault="00A97FBF" w:rsidP="00646623">
      <w:pPr>
        <w:spacing w:line="360" w:lineRule="auto"/>
        <w:jc w:val="both"/>
        <w:rPr>
          <w:rFonts w:ascii="Arial" w:hAnsi="Arial" w:cs="Arial"/>
          <w:color w:val="000000" w:themeColor="text1"/>
          <w:sz w:val="22"/>
          <w:szCs w:val="22"/>
        </w:rPr>
      </w:pPr>
      <w:r w:rsidRPr="0020766D">
        <w:rPr>
          <w:rFonts w:ascii="Arial" w:hAnsi="Arial" w:cs="Arial"/>
          <w:color w:val="000000" w:themeColor="text1"/>
          <w:sz w:val="22"/>
          <w:szCs w:val="22"/>
          <w:vertAlign w:val="superscript"/>
        </w:rPr>
        <w:t>6</w:t>
      </w:r>
      <w:r w:rsidRPr="0020766D">
        <w:rPr>
          <w:rFonts w:ascii="Arial" w:hAnsi="Arial" w:cs="Arial"/>
          <w:color w:val="000000" w:themeColor="text1"/>
          <w:sz w:val="22"/>
          <w:szCs w:val="22"/>
        </w:rPr>
        <w:t xml:space="preserve">Wellcome Centre for Molecular Parasitology, Institute for Infection, Immunity and Inflammation, University of Glasgow, Glasgow G12 8TA, UK. </w:t>
      </w:r>
    </w:p>
    <w:p w14:paraId="39A991CD" w14:textId="092DB771" w:rsidR="003A2D11" w:rsidRDefault="003A2D11" w:rsidP="003A2D11">
      <w:pPr>
        <w:spacing w:line="360" w:lineRule="auto"/>
        <w:jc w:val="both"/>
        <w:rPr>
          <w:rFonts w:ascii="Arial" w:hAnsi="Arial" w:cs="Arial"/>
          <w:sz w:val="22"/>
          <w:szCs w:val="22"/>
        </w:rPr>
      </w:pPr>
    </w:p>
    <w:p w14:paraId="39E3295E" w14:textId="77777777" w:rsidR="00646623" w:rsidRPr="003348CA" w:rsidRDefault="00646623" w:rsidP="003A2D11">
      <w:pPr>
        <w:spacing w:line="360" w:lineRule="auto"/>
        <w:jc w:val="both"/>
        <w:rPr>
          <w:rFonts w:ascii="Arial" w:hAnsi="Arial" w:cs="Arial"/>
          <w:sz w:val="22"/>
          <w:szCs w:val="22"/>
        </w:rPr>
      </w:pPr>
    </w:p>
    <w:p w14:paraId="5F3702AA" w14:textId="77777777" w:rsidR="003A2D11" w:rsidRDefault="003A2D11" w:rsidP="003A2D11">
      <w:pPr>
        <w:spacing w:line="360" w:lineRule="auto"/>
        <w:jc w:val="both"/>
        <w:rPr>
          <w:rFonts w:ascii="Arial" w:hAnsi="Arial" w:cs="Arial"/>
          <w:sz w:val="22"/>
          <w:szCs w:val="22"/>
        </w:rPr>
      </w:pPr>
      <w:r w:rsidRPr="003348CA">
        <w:rPr>
          <w:rFonts w:ascii="Arial" w:hAnsi="Arial" w:cs="Arial"/>
          <w:sz w:val="22"/>
          <w:szCs w:val="22"/>
        </w:rPr>
        <w:t xml:space="preserve">Corresponding author: </w:t>
      </w:r>
      <w:proofErr w:type="spellStart"/>
      <w:r w:rsidRPr="003348CA">
        <w:rPr>
          <w:rFonts w:ascii="Arial" w:hAnsi="Arial" w:cs="Arial"/>
          <w:sz w:val="22"/>
          <w:szCs w:val="22"/>
        </w:rPr>
        <w:t>Chengcan</w:t>
      </w:r>
      <w:proofErr w:type="spellEnd"/>
      <w:r w:rsidRPr="003348CA">
        <w:rPr>
          <w:rFonts w:ascii="Arial" w:hAnsi="Arial" w:cs="Arial"/>
          <w:sz w:val="22"/>
          <w:szCs w:val="22"/>
        </w:rPr>
        <w:t xml:space="preserve"> Yao, PhD, The University of Edinburgh Centre for Inflammation Research, Queen’s Medical Research Institute, Edinburgh </w:t>
      </w:r>
      <w:proofErr w:type="spellStart"/>
      <w:r w:rsidRPr="003348CA">
        <w:rPr>
          <w:rFonts w:ascii="Arial" w:hAnsi="Arial" w:cs="Arial"/>
          <w:sz w:val="22"/>
          <w:szCs w:val="22"/>
        </w:rPr>
        <w:t>BioQuarter</w:t>
      </w:r>
      <w:proofErr w:type="spellEnd"/>
      <w:r w:rsidRPr="003348CA">
        <w:rPr>
          <w:rFonts w:ascii="Arial" w:hAnsi="Arial" w:cs="Arial"/>
          <w:sz w:val="22"/>
          <w:szCs w:val="22"/>
        </w:rPr>
        <w:t xml:space="preserve">, 47 Little France Crescent, Edinburgh EH16 4TJ, United Kingdom. E-mail: </w:t>
      </w:r>
      <w:r w:rsidRPr="00E4697E">
        <w:rPr>
          <w:rFonts w:ascii="Arial" w:hAnsi="Arial" w:cs="Arial"/>
          <w:sz w:val="22"/>
          <w:szCs w:val="22"/>
        </w:rPr>
        <w:t>Chengcan.Yao@ed.ac.uk</w:t>
      </w:r>
      <w:r w:rsidRPr="003348CA">
        <w:rPr>
          <w:rFonts w:ascii="Arial" w:hAnsi="Arial" w:cs="Arial"/>
          <w:sz w:val="22"/>
          <w:szCs w:val="22"/>
        </w:rPr>
        <w:t>.</w:t>
      </w:r>
    </w:p>
    <w:p w14:paraId="099E639F" w14:textId="77777777" w:rsidR="003A2D11" w:rsidRDefault="003A2D11" w:rsidP="003A2D11">
      <w:pPr>
        <w:spacing w:line="360" w:lineRule="auto"/>
        <w:jc w:val="both"/>
        <w:rPr>
          <w:rFonts w:ascii="Arial" w:hAnsi="Arial" w:cs="Arial"/>
          <w:sz w:val="22"/>
          <w:szCs w:val="22"/>
        </w:rPr>
      </w:pPr>
    </w:p>
    <w:p w14:paraId="1C608881" w14:textId="77777777" w:rsidR="003A2D11" w:rsidRPr="003A2D11" w:rsidRDefault="003A2D11" w:rsidP="003A2D11">
      <w:pPr>
        <w:spacing w:line="360" w:lineRule="auto"/>
        <w:jc w:val="both"/>
        <w:rPr>
          <w:rFonts w:ascii="Arial" w:hAnsi="Arial" w:cs="Arial"/>
          <w:sz w:val="22"/>
          <w:szCs w:val="22"/>
        </w:rPr>
      </w:pPr>
      <w:r w:rsidRPr="003A2D11">
        <w:rPr>
          <w:rFonts w:ascii="Arial" w:hAnsi="Arial" w:cs="Arial"/>
          <w:sz w:val="22"/>
          <w:szCs w:val="22"/>
        </w:rPr>
        <w:t xml:space="preserve">This work is supported in part by UKRI Medical Research Council (MR/R008167/1 to C.Y.), Cancer Research UK (C63480/A25246 to C.Y.), CMVM Research Adaptation Funding (M.G.), </w:t>
      </w:r>
    </w:p>
    <w:p w14:paraId="72CD4691" w14:textId="77777777" w:rsidR="003A2D11" w:rsidRPr="003A2D11" w:rsidRDefault="003A2D11" w:rsidP="003A2D11">
      <w:pPr>
        <w:spacing w:line="360" w:lineRule="auto"/>
        <w:jc w:val="both"/>
        <w:rPr>
          <w:rFonts w:ascii="Arial" w:hAnsi="Arial" w:cs="Arial"/>
          <w:sz w:val="22"/>
          <w:szCs w:val="22"/>
        </w:rPr>
      </w:pPr>
    </w:p>
    <w:p w14:paraId="0CED8815" w14:textId="3A5E286F" w:rsidR="002D7881" w:rsidRPr="00726423" w:rsidRDefault="00A97FBF" w:rsidP="003A2D11">
      <w:pPr>
        <w:spacing w:line="360" w:lineRule="auto"/>
        <w:jc w:val="both"/>
        <w:rPr>
          <w:rFonts w:ascii="Arial" w:hAnsi="Arial" w:cs="Arial"/>
          <w:color w:val="000000" w:themeColor="text1"/>
          <w:sz w:val="22"/>
          <w:szCs w:val="22"/>
        </w:rPr>
      </w:pPr>
      <w:r>
        <w:rPr>
          <w:rFonts w:ascii="Arial" w:hAnsi="Arial" w:cs="Arial"/>
          <w:sz w:val="22"/>
          <w:szCs w:val="22"/>
        </w:rPr>
        <w:t>C</w:t>
      </w:r>
      <w:r w:rsidR="003A2D11" w:rsidRPr="003A2D11">
        <w:rPr>
          <w:rFonts w:ascii="Arial" w:hAnsi="Arial" w:cs="Arial"/>
          <w:sz w:val="22"/>
          <w:szCs w:val="22"/>
        </w:rPr>
        <w:t xml:space="preserve">onflict of interest: </w:t>
      </w:r>
      <w:r w:rsidR="002D7881" w:rsidRPr="003A2D11">
        <w:rPr>
          <w:rFonts w:ascii="Arial" w:hAnsi="Arial" w:cs="Arial"/>
          <w:color w:val="000000" w:themeColor="text1"/>
          <w:sz w:val="22"/>
          <w:szCs w:val="22"/>
        </w:rPr>
        <w:t>The</w:t>
      </w:r>
      <w:r w:rsidR="002D7881" w:rsidRPr="00726423">
        <w:rPr>
          <w:rFonts w:ascii="Arial" w:hAnsi="Arial" w:cs="Arial"/>
          <w:color w:val="000000" w:themeColor="text1"/>
          <w:sz w:val="22"/>
          <w:szCs w:val="22"/>
        </w:rPr>
        <w:t xml:space="preserve"> authors have no conflict of interest exists. </w:t>
      </w:r>
    </w:p>
    <w:p w14:paraId="35C75C37" w14:textId="4941F421" w:rsidR="00E4697E" w:rsidRDefault="00E4697E" w:rsidP="00977790">
      <w:pPr>
        <w:spacing w:line="480" w:lineRule="auto"/>
        <w:jc w:val="both"/>
        <w:rPr>
          <w:rFonts w:ascii="Arial" w:hAnsi="Arial" w:cs="Arial"/>
          <w:color w:val="000000" w:themeColor="text1"/>
          <w:sz w:val="22"/>
          <w:szCs w:val="22"/>
        </w:rPr>
      </w:pPr>
    </w:p>
    <w:p w14:paraId="4FF871AC" w14:textId="1A0CC747" w:rsidR="00646623" w:rsidRDefault="00A97FBF" w:rsidP="00646623">
      <w:pPr>
        <w:spacing w:line="360" w:lineRule="auto"/>
        <w:jc w:val="both"/>
        <w:rPr>
          <w:rFonts w:ascii="Arial" w:hAnsi="Arial" w:cs="Arial"/>
          <w:color w:val="000000" w:themeColor="text1"/>
          <w:sz w:val="22"/>
          <w:szCs w:val="22"/>
        </w:rPr>
      </w:pPr>
      <w:r>
        <w:rPr>
          <w:rFonts w:ascii="Arial" w:hAnsi="Arial" w:cs="Arial"/>
          <w:color w:val="000000" w:themeColor="text1"/>
          <w:sz w:val="22"/>
          <w:szCs w:val="22"/>
        </w:rPr>
        <w:t xml:space="preserve">Word count: </w:t>
      </w:r>
      <w:r w:rsidR="00646623">
        <w:rPr>
          <w:rFonts w:ascii="Arial" w:hAnsi="Arial" w:cs="Arial"/>
          <w:color w:val="000000" w:themeColor="text1"/>
          <w:sz w:val="22"/>
          <w:szCs w:val="22"/>
        </w:rPr>
        <w:tab/>
        <w:t>3,078 (Introduction, Results, and Discussions)</w:t>
      </w:r>
    </w:p>
    <w:p w14:paraId="3021C199" w14:textId="7FB56D95" w:rsidR="00646623" w:rsidRDefault="00646623" w:rsidP="00A97FBF">
      <w:pPr>
        <w:spacing w:line="480" w:lineRule="auto"/>
        <w:jc w:val="both"/>
        <w:rPr>
          <w:rFonts w:ascii="Arial" w:hAnsi="Arial" w:cs="Arial"/>
          <w:color w:val="000000" w:themeColor="text1"/>
          <w:sz w:val="22"/>
          <w:szCs w:val="22"/>
        </w:rPr>
      </w:pPr>
      <w:r>
        <w:rPr>
          <w:rFonts w:ascii="Arial" w:hAnsi="Arial" w:cs="Arial"/>
          <w:color w:val="000000" w:themeColor="text1"/>
          <w:sz w:val="22"/>
          <w:szCs w:val="22"/>
        </w:rPr>
        <w:tab/>
      </w:r>
      <w:r>
        <w:rPr>
          <w:rFonts w:ascii="Arial" w:hAnsi="Arial" w:cs="Arial"/>
          <w:color w:val="000000" w:themeColor="text1"/>
          <w:sz w:val="22"/>
          <w:szCs w:val="22"/>
        </w:rPr>
        <w:tab/>
        <w:t>1,453 (Methods, can be moved to Supplementary if need)</w:t>
      </w:r>
    </w:p>
    <w:p w14:paraId="71B4AD1F" w14:textId="0CB9D3A1" w:rsidR="000E2563" w:rsidRPr="00726423" w:rsidRDefault="00A97FBF" w:rsidP="00A97FBF">
      <w:pPr>
        <w:spacing w:line="480" w:lineRule="auto"/>
        <w:jc w:val="both"/>
        <w:rPr>
          <w:rFonts w:ascii="Arial" w:hAnsi="Arial" w:cs="Arial"/>
          <w:color w:val="000000" w:themeColor="text1"/>
          <w:sz w:val="22"/>
          <w:szCs w:val="22"/>
        </w:rPr>
      </w:pPr>
      <w:r>
        <w:rPr>
          <w:rFonts w:ascii="Arial" w:hAnsi="Arial" w:cs="Arial"/>
          <w:color w:val="000000" w:themeColor="text1"/>
          <w:sz w:val="22"/>
          <w:szCs w:val="22"/>
        </w:rPr>
        <w:t xml:space="preserve"> </w:t>
      </w:r>
      <w:r w:rsidR="000E2563" w:rsidRPr="00726423">
        <w:rPr>
          <w:rFonts w:ascii="Arial" w:hAnsi="Arial" w:cs="Arial"/>
          <w:color w:val="000000" w:themeColor="text1"/>
          <w:sz w:val="22"/>
          <w:szCs w:val="22"/>
        </w:rPr>
        <w:br w:type="page"/>
      </w:r>
    </w:p>
    <w:p w14:paraId="54D63D40" w14:textId="77777777" w:rsidR="00C92A0C" w:rsidRPr="00726423" w:rsidRDefault="00C92A0C" w:rsidP="00977790">
      <w:pPr>
        <w:spacing w:line="480" w:lineRule="auto"/>
        <w:jc w:val="both"/>
        <w:rPr>
          <w:rFonts w:ascii="Arial" w:hAnsi="Arial" w:cs="Arial"/>
          <w:b/>
          <w:bCs/>
          <w:color w:val="000000" w:themeColor="text1"/>
          <w:sz w:val="22"/>
          <w:szCs w:val="22"/>
        </w:rPr>
      </w:pPr>
      <w:r w:rsidRPr="00726423">
        <w:rPr>
          <w:rFonts w:ascii="Arial" w:hAnsi="Arial" w:cs="Arial"/>
          <w:b/>
          <w:bCs/>
          <w:color w:val="000000" w:themeColor="text1"/>
          <w:sz w:val="22"/>
          <w:szCs w:val="22"/>
        </w:rPr>
        <w:lastRenderedPageBreak/>
        <w:t xml:space="preserve">Graphical abstract </w:t>
      </w:r>
    </w:p>
    <w:p w14:paraId="7840F073" w14:textId="77777777" w:rsidR="00C92A0C" w:rsidRPr="00726423" w:rsidRDefault="00C92A0C" w:rsidP="00977790">
      <w:pPr>
        <w:spacing w:line="480" w:lineRule="auto"/>
        <w:rPr>
          <w:rFonts w:ascii="Arial" w:hAnsi="Arial" w:cs="Arial"/>
          <w:color w:val="000000" w:themeColor="text1"/>
          <w:sz w:val="22"/>
          <w:szCs w:val="22"/>
        </w:rPr>
      </w:pPr>
    </w:p>
    <w:p w14:paraId="1D373466" w14:textId="49E3A308" w:rsidR="00C92A0C" w:rsidRPr="00726423" w:rsidRDefault="00805A8B" w:rsidP="003D2340">
      <w:pPr>
        <w:spacing w:line="480" w:lineRule="auto"/>
        <w:jc w:val="center"/>
        <w:rPr>
          <w:rFonts w:ascii="Arial" w:hAnsi="Arial" w:cs="Arial"/>
          <w:color w:val="000000" w:themeColor="text1"/>
          <w:sz w:val="22"/>
          <w:szCs w:val="22"/>
        </w:rPr>
      </w:pPr>
      <w:r w:rsidRPr="00726423">
        <w:rPr>
          <w:noProof/>
          <w:color w:val="000000" w:themeColor="text1"/>
        </w:rPr>
        <w:drawing>
          <wp:inline distT="0" distB="0" distL="0" distR="0" wp14:anchorId="3CF2514F" wp14:editId="42671986">
            <wp:extent cx="4352081" cy="3872863"/>
            <wp:effectExtent l="0" t="0" r="4445" b="1270"/>
            <wp:docPr id="521" name="Picture 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353663" cy="3874271"/>
                    </a:xfrm>
                    <a:prstGeom prst="rect">
                      <a:avLst/>
                    </a:prstGeom>
                  </pic:spPr>
                </pic:pic>
              </a:graphicData>
            </a:graphic>
          </wp:inline>
        </w:drawing>
      </w:r>
    </w:p>
    <w:p w14:paraId="2DC74AE7" w14:textId="43AE7814" w:rsidR="00C92A0C" w:rsidRPr="00726423" w:rsidRDefault="00C92A0C" w:rsidP="00977790">
      <w:pPr>
        <w:spacing w:line="480" w:lineRule="auto"/>
        <w:rPr>
          <w:rFonts w:ascii="Arial" w:hAnsi="Arial" w:cs="Arial"/>
          <w:color w:val="000000" w:themeColor="text1"/>
          <w:sz w:val="22"/>
          <w:szCs w:val="22"/>
        </w:rPr>
      </w:pPr>
    </w:p>
    <w:p w14:paraId="30657A29" w14:textId="394B3E43" w:rsidR="00E04F4A" w:rsidRPr="00726423" w:rsidRDefault="00F10372" w:rsidP="00977790">
      <w:pPr>
        <w:spacing w:line="480" w:lineRule="auto"/>
        <w:jc w:val="both"/>
        <w:rPr>
          <w:rFonts w:ascii="Arial" w:hAnsi="Arial" w:cs="Arial"/>
          <w:color w:val="000000" w:themeColor="text1"/>
          <w:sz w:val="22"/>
          <w:szCs w:val="22"/>
        </w:rPr>
      </w:pPr>
      <w:r w:rsidRPr="00726423">
        <w:rPr>
          <w:rFonts w:ascii="Arial" w:hAnsi="Arial" w:cs="Arial"/>
          <w:color w:val="000000" w:themeColor="text1"/>
          <w:sz w:val="22"/>
          <w:szCs w:val="22"/>
        </w:rPr>
        <w:t xml:space="preserve">Schematic of potential roles for activation of EP2 and EP4 </w:t>
      </w:r>
      <w:r w:rsidR="004840E7" w:rsidRPr="00726423">
        <w:rPr>
          <w:rFonts w:ascii="Arial" w:hAnsi="Arial" w:cs="Arial"/>
          <w:color w:val="000000" w:themeColor="text1"/>
          <w:sz w:val="22"/>
          <w:szCs w:val="22"/>
        </w:rPr>
        <w:t xml:space="preserve">by endogenous versus exogenous ligands </w:t>
      </w:r>
      <w:r w:rsidRPr="00726423">
        <w:rPr>
          <w:rFonts w:ascii="Arial" w:hAnsi="Arial" w:cs="Arial"/>
          <w:color w:val="000000" w:themeColor="text1"/>
          <w:sz w:val="22"/>
          <w:szCs w:val="22"/>
        </w:rPr>
        <w:t xml:space="preserve">in </w:t>
      </w:r>
      <w:r w:rsidR="00AA5053" w:rsidRPr="00726423">
        <w:rPr>
          <w:rFonts w:ascii="Arial" w:hAnsi="Arial" w:cs="Arial"/>
          <w:color w:val="000000" w:themeColor="text1"/>
          <w:sz w:val="22"/>
          <w:szCs w:val="22"/>
        </w:rPr>
        <w:t>regulation</w:t>
      </w:r>
      <w:r w:rsidRPr="00726423">
        <w:rPr>
          <w:rFonts w:ascii="Arial" w:hAnsi="Arial" w:cs="Arial"/>
          <w:color w:val="000000" w:themeColor="text1"/>
          <w:sz w:val="22"/>
          <w:szCs w:val="22"/>
        </w:rPr>
        <w:t xml:space="preserve"> of lung ILC2 immune responses. </w:t>
      </w:r>
      <w:r w:rsidR="00A3596C" w:rsidRPr="00726423">
        <w:rPr>
          <w:rFonts w:ascii="Arial" w:hAnsi="Arial" w:cs="Arial"/>
          <w:color w:val="000000" w:themeColor="text1"/>
          <w:sz w:val="22"/>
          <w:szCs w:val="22"/>
        </w:rPr>
        <w:t>Endogenous PGE</w:t>
      </w:r>
      <w:r w:rsidR="00A3596C" w:rsidRPr="00726423">
        <w:rPr>
          <w:rFonts w:ascii="Arial" w:hAnsi="Arial" w:cs="Arial"/>
          <w:color w:val="000000" w:themeColor="text1"/>
          <w:sz w:val="22"/>
          <w:szCs w:val="22"/>
          <w:vertAlign w:val="subscript"/>
        </w:rPr>
        <w:t>2</w:t>
      </w:r>
      <w:r w:rsidR="00A3596C" w:rsidRPr="00726423">
        <w:rPr>
          <w:rFonts w:ascii="Arial" w:hAnsi="Arial" w:cs="Arial"/>
          <w:color w:val="000000" w:themeColor="text1"/>
          <w:sz w:val="22"/>
          <w:szCs w:val="22"/>
        </w:rPr>
        <w:t xml:space="preserve"> in the lung preferentially activates EP2</w:t>
      </w:r>
      <w:r w:rsidR="00805A8B" w:rsidRPr="00726423">
        <w:rPr>
          <w:rFonts w:ascii="Arial" w:hAnsi="Arial" w:cs="Arial"/>
          <w:color w:val="000000" w:themeColor="text1"/>
          <w:sz w:val="22"/>
          <w:szCs w:val="22"/>
        </w:rPr>
        <w:t xml:space="preserve"> rather than EP4</w:t>
      </w:r>
      <w:r w:rsidR="00A3596C" w:rsidRPr="00726423">
        <w:rPr>
          <w:rFonts w:ascii="Arial" w:hAnsi="Arial" w:cs="Arial"/>
          <w:color w:val="000000" w:themeColor="text1"/>
          <w:sz w:val="22"/>
          <w:szCs w:val="22"/>
        </w:rPr>
        <w:t xml:space="preserve"> to inhibit ILC2 responses and eosinophilic inflammation, and a</w:t>
      </w:r>
      <w:r w:rsidR="008A32FA" w:rsidRPr="00726423">
        <w:rPr>
          <w:rFonts w:ascii="Arial" w:hAnsi="Arial" w:cs="Arial"/>
          <w:color w:val="000000" w:themeColor="text1"/>
          <w:sz w:val="22"/>
          <w:szCs w:val="22"/>
        </w:rPr>
        <w:t>blation of EP2 enhances lung ILC2 responses</w:t>
      </w:r>
      <w:r w:rsidR="007B34E8" w:rsidRPr="00726423">
        <w:rPr>
          <w:rFonts w:ascii="Arial" w:hAnsi="Arial" w:cs="Arial"/>
          <w:color w:val="000000" w:themeColor="text1"/>
          <w:sz w:val="22"/>
          <w:szCs w:val="22"/>
        </w:rPr>
        <w:t xml:space="preserve">. </w:t>
      </w:r>
      <w:r w:rsidR="00AA5053" w:rsidRPr="00726423">
        <w:rPr>
          <w:rFonts w:ascii="Arial" w:hAnsi="Arial" w:cs="Arial"/>
          <w:color w:val="000000" w:themeColor="text1"/>
          <w:sz w:val="22"/>
          <w:szCs w:val="22"/>
        </w:rPr>
        <w:t>Conversely</w:t>
      </w:r>
      <w:r w:rsidR="00E04F4A" w:rsidRPr="00726423">
        <w:rPr>
          <w:rFonts w:ascii="Arial" w:hAnsi="Arial" w:cs="Arial"/>
          <w:color w:val="000000" w:themeColor="text1"/>
          <w:sz w:val="22"/>
          <w:szCs w:val="22"/>
        </w:rPr>
        <w:t xml:space="preserve">, </w:t>
      </w:r>
      <w:r w:rsidR="007B34E8" w:rsidRPr="00726423">
        <w:rPr>
          <w:rFonts w:ascii="Arial" w:hAnsi="Arial" w:cs="Arial"/>
          <w:color w:val="000000" w:themeColor="text1"/>
          <w:sz w:val="22"/>
          <w:szCs w:val="22"/>
        </w:rPr>
        <w:t xml:space="preserve">lung ILC2 responses </w:t>
      </w:r>
      <w:r w:rsidR="00AA5053" w:rsidRPr="00726423">
        <w:rPr>
          <w:rFonts w:ascii="Arial" w:hAnsi="Arial" w:cs="Arial"/>
          <w:color w:val="000000" w:themeColor="text1"/>
          <w:sz w:val="22"/>
          <w:szCs w:val="22"/>
        </w:rPr>
        <w:t>are</w:t>
      </w:r>
      <w:r w:rsidR="007B34E8" w:rsidRPr="00726423">
        <w:rPr>
          <w:rFonts w:ascii="Arial" w:hAnsi="Arial" w:cs="Arial"/>
          <w:color w:val="000000" w:themeColor="text1"/>
          <w:sz w:val="22"/>
          <w:szCs w:val="22"/>
        </w:rPr>
        <w:t xml:space="preserve"> not altered by </w:t>
      </w:r>
      <w:r w:rsidR="00E04F4A" w:rsidRPr="00726423">
        <w:rPr>
          <w:rFonts w:ascii="Arial" w:hAnsi="Arial" w:cs="Arial"/>
          <w:color w:val="000000" w:themeColor="text1"/>
          <w:sz w:val="22"/>
          <w:szCs w:val="22"/>
        </w:rPr>
        <w:t>EP4 deficiency</w:t>
      </w:r>
      <w:r w:rsidR="007F323C" w:rsidRPr="00726423">
        <w:rPr>
          <w:rFonts w:ascii="Arial" w:hAnsi="Arial" w:cs="Arial"/>
          <w:color w:val="000000" w:themeColor="text1"/>
          <w:sz w:val="22"/>
          <w:szCs w:val="22"/>
        </w:rPr>
        <w:t>.</w:t>
      </w:r>
      <w:r w:rsidR="00E04F4A" w:rsidRPr="00726423">
        <w:rPr>
          <w:rFonts w:ascii="Arial" w:hAnsi="Arial" w:cs="Arial"/>
          <w:color w:val="000000" w:themeColor="text1"/>
          <w:sz w:val="22"/>
          <w:szCs w:val="22"/>
        </w:rPr>
        <w:t xml:space="preserve"> </w:t>
      </w:r>
      <w:r w:rsidR="007F323C" w:rsidRPr="00726423">
        <w:rPr>
          <w:rFonts w:ascii="Arial" w:hAnsi="Arial" w:cs="Arial"/>
          <w:color w:val="000000" w:themeColor="text1"/>
          <w:sz w:val="22"/>
          <w:szCs w:val="22"/>
        </w:rPr>
        <w:t>H</w:t>
      </w:r>
      <w:r w:rsidR="00AA5053" w:rsidRPr="00726423">
        <w:rPr>
          <w:rFonts w:ascii="Arial" w:hAnsi="Arial" w:cs="Arial"/>
          <w:color w:val="000000" w:themeColor="text1"/>
          <w:sz w:val="22"/>
          <w:szCs w:val="22"/>
        </w:rPr>
        <w:t>owever</w:t>
      </w:r>
      <w:r w:rsidR="007F323C" w:rsidRPr="00726423">
        <w:rPr>
          <w:rFonts w:ascii="Arial" w:hAnsi="Arial" w:cs="Arial"/>
          <w:color w:val="000000" w:themeColor="text1"/>
          <w:sz w:val="22"/>
          <w:szCs w:val="22"/>
        </w:rPr>
        <w:t>, they</w:t>
      </w:r>
      <w:r w:rsidR="00AA5053" w:rsidRPr="00726423">
        <w:rPr>
          <w:rFonts w:ascii="Arial" w:hAnsi="Arial" w:cs="Arial"/>
          <w:color w:val="000000" w:themeColor="text1"/>
          <w:sz w:val="22"/>
          <w:szCs w:val="22"/>
        </w:rPr>
        <w:t xml:space="preserve"> are</w:t>
      </w:r>
      <w:r w:rsidR="00E04F4A" w:rsidRPr="00726423">
        <w:rPr>
          <w:rFonts w:ascii="Arial" w:hAnsi="Arial" w:cs="Arial"/>
          <w:color w:val="000000" w:themeColor="text1"/>
          <w:sz w:val="22"/>
          <w:szCs w:val="22"/>
        </w:rPr>
        <w:t xml:space="preserve"> markedly inhibited by EP4 agonism</w:t>
      </w:r>
      <w:r w:rsidR="00805A8B" w:rsidRPr="00726423">
        <w:rPr>
          <w:rFonts w:ascii="Arial" w:hAnsi="Arial" w:cs="Arial"/>
          <w:color w:val="000000" w:themeColor="text1"/>
          <w:sz w:val="22"/>
          <w:szCs w:val="22"/>
        </w:rPr>
        <w:t xml:space="preserve"> but not EP2 agonism</w:t>
      </w:r>
      <w:r w:rsidR="00E04F4A" w:rsidRPr="00726423">
        <w:rPr>
          <w:rFonts w:ascii="Arial" w:hAnsi="Arial" w:cs="Arial"/>
          <w:color w:val="000000" w:themeColor="text1"/>
          <w:sz w:val="22"/>
          <w:szCs w:val="22"/>
        </w:rPr>
        <w:t xml:space="preserve">. </w:t>
      </w:r>
      <w:r w:rsidR="003B71B8" w:rsidRPr="00726423">
        <w:rPr>
          <w:rFonts w:ascii="Arial" w:hAnsi="Arial" w:cs="Arial"/>
          <w:color w:val="000000" w:themeColor="text1"/>
          <w:sz w:val="22"/>
          <w:szCs w:val="22"/>
        </w:rPr>
        <w:t>M</w:t>
      </w:r>
      <w:r w:rsidR="00C9126D" w:rsidRPr="00726423">
        <w:rPr>
          <w:rFonts w:ascii="Arial" w:hAnsi="Arial" w:cs="Arial"/>
          <w:color w:val="000000" w:themeColor="text1"/>
          <w:sz w:val="22"/>
          <w:szCs w:val="22"/>
        </w:rPr>
        <w:t>echanistically, PGE</w:t>
      </w:r>
      <w:r w:rsidR="00C9126D" w:rsidRPr="00726423">
        <w:rPr>
          <w:rFonts w:ascii="Arial" w:hAnsi="Arial" w:cs="Arial"/>
          <w:color w:val="000000" w:themeColor="text1"/>
          <w:sz w:val="22"/>
          <w:szCs w:val="22"/>
          <w:vertAlign w:val="subscript"/>
        </w:rPr>
        <w:t>2</w:t>
      </w:r>
      <w:r w:rsidR="00C9126D" w:rsidRPr="00726423">
        <w:rPr>
          <w:rFonts w:ascii="Arial" w:hAnsi="Arial" w:cs="Arial"/>
          <w:color w:val="000000" w:themeColor="text1"/>
          <w:sz w:val="22"/>
          <w:szCs w:val="22"/>
        </w:rPr>
        <w:t xml:space="preserve">-EP2/EP4 </w:t>
      </w:r>
      <w:proofErr w:type="spellStart"/>
      <w:r w:rsidR="00134A78" w:rsidRPr="00726423">
        <w:rPr>
          <w:rFonts w:ascii="Arial" w:hAnsi="Arial" w:cs="Arial"/>
          <w:color w:val="000000" w:themeColor="text1"/>
          <w:sz w:val="22"/>
          <w:szCs w:val="22"/>
        </w:rPr>
        <w:t>signaling</w:t>
      </w:r>
      <w:proofErr w:type="spellEnd"/>
      <w:r w:rsidR="00C9126D" w:rsidRPr="00726423">
        <w:rPr>
          <w:rFonts w:ascii="Arial" w:hAnsi="Arial" w:cs="Arial"/>
          <w:color w:val="000000" w:themeColor="text1"/>
          <w:sz w:val="22"/>
          <w:szCs w:val="22"/>
        </w:rPr>
        <w:t xml:space="preserve"> activates the cAMP pathway</w:t>
      </w:r>
      <w:r w:rsidR="00DA0F34" w:rsidRPr="00726423">
        <w:rPr>
          <w:rFonts w:ascii="Arial" w:hAnsi="Arial" w:cs="Arial"/>
          <w:color w:val="000000" w:themeColor="text1"/>
          <w:sz w:val="22"/>
          <w:szCs w:val="22"/>
        </w:rPr>
        <w:t xml:space="preserve"> which</w:t>
      </w:r>
      <w:r w:rsidR="00C9126D" w:rsidRPr="00726423">
        <w:rPr>
          <w:rFonts w:ascii="Arial" w:hAnsi="Arial" w:cs="Arial"/>
          <w:color w:val="000000" w:themeColor="text1"/>
          <w:sz w:val="22"/>
          <w:szCs w:val="22"/>
        </w:rPr>
        <w:t xml:space="preserve"> </w:t>
      </w:r>
      <w:r w:rsidR="00DA0F34" w:rsidRPr="00726423">
        <w:rPr>
          <w:rFonts w:ascii="Arial" w:hAnsi="Arial" w:cs="Arial"/>
          <w:color w:val="000000" w:themeColor="text1"/>
          <w:sz w:val="22"/>
          <w:szCs w:val="22"/>
        </w:rPr>
        <w:t xml:space="preserve">inhibits ILC2 energy metabolism, possibly through </w:t>
      </w:r>
      <w:r w:rsidR="00C9126D" w:rsidRPr="00726423">
        <w:rPr>
          <w:rFonts w:ascii="Arial" w:hAnsi="Arial" w:cs="Arial"/>
          <w:color w:val="000000" w:themeColor="text1"/>
          <w:sz w:val="22"/>
          <w:szCs w:val="22"/>
        </w:rPr>
        <w:t>interrupt</w:t>
      </w:r>
      <w:r w:rsidR="00DA0F34" w:rsidRPr="00726423">
        <w:rPr>
          <w:rFonts w:ascii="Arial" w:hAnsi="Arial" w:cs="Arial"/>
          <w:color w:val="000000" w:themeColor="text1"/>
          <w:sz w:val="22"/>
          <w:szCs w:val="22"/>
        </w:rPr>
        <w:t>ion of</w:t>
      </w:r>
      <w:r w:rsidR="00C9126D" w:rsidRPr="00726423">
        <w:rPr>
          <w:rFonts w:ascii="Arial" w:hAnsi="Arial" w:cs="Arial"/>
          <w:color w:val="000000" w:themeColor="text1"/>
          <w:sz w:val="22"/>
          <w:szCs w:val="22"/>
        </w:rPr>
        <w:t xml:space="preserve"> NF-</w:t>
      </w:r>
      <w:r w:rsidR="007F323C" w:rsidRPr="00726423">
        <w:rPr>
          <w:rFonts w:ascii="Symbol" w:hAnsi="Symbol" w:cs="Arial"/>
          <w:color w:val="000000" w:themeColor="text1"/>
          <w:sz w:val="22"/>
          <w:szCs w:val="22"/>
        </w:rPr>
        <w:t>k</w:t>
      </w:r>
      <w:r w:rsidR="00C9126D" w:rsidRPr="00726423">
        <w:rPr>
          <w:rFonts w:ascii="Arial" w:hAnsi="Arial" w:cs="Arial"/>
          <w:color w:val="000000" w:themeColor="text1"/>
          <w:sz w:val="22"/>
          <w:szCs w:val="22"/>
        </w:rPr>
        <w:t xml:space="preserve">B </w:t>
      </w:r>
      <w:r w:rsidR="00DA0F34" w:rsidRPr="00726423">
        <w:rPr>
          <w:rFonts w:ascii="Arial" w:hAnsi="Arial" w:cs="Arial"/>
          <w:color w:val="000000" w:themeColor="text1"/>
          <w:sz w:val="22"/>
          <w:szCs w:val="22"/>
        </w:rPr>
        <w:t>(</w:t>
      </w:r>
      <w:r w:rsidR="00C9126D" w:rsidRPr="00726423">
        <w:rPr>
          <w:rFonts w:ascii="Arial" w:hAnsi="Arial" w:cs="Arial"/>
          <w:color w:val="000000" w:themeColor="text1"/>
          <w:sz w:val="22"/>
          <w:szCs w:val="22"/>
        </w:rPr>
        <w:t xml:space="preserve">Nagashima H, et al. </w:t>
      </w:r>
      <w:r w:rsidR="00C9126D" w:rsidRPr="00726423">
        <w:rPr>
          <w:rFonts w:ascii="Arial" w:hAnsi="Arial" w:cs="Arial"/>
          <w:i/>
          <w:iCs/>
          <w:color w:val="000000" w:themeColor="text1"/>
          <w:sz w:val="22"/>
          <w:szCs w:val="22"/>
        </w:rPr>
        <w:t xml:space="preserve">Immunity </w:t>
      </w:r>
      <w:r w:rsidR="00DA0F34" w:rsidRPr="00726423">
        <w:rPr>
          <w:rFonts w:ascii="Arial" w:hAnsi="Arial" w:cs="Arial"/>
          <w:color w:val="000000" w:themeColor="text1"/>
          <w:sz w:val="22"/>
          <w:szCs w:val="22"/>
        </w:rPr>
        <w:t xml:space="preserve">2019;51:682-695) and STAT5 </w:t>
      </w:r>
      <w:proofErr w:type="spellStart"/>
      <w:r w:rsidR="00134A78" w:rsidRPr="00726423">
        <w:rPr>
          <w:rFonts w:ascii="Arial" w:hAnsi="Arial" w:cs="Arial"/>
          <w:color w:val="000000" w:themeColor="text1"/>
          <w:sz w:val="22"/>
          <w:szCs w:val="22"/>
        </w:rPr>
        <w:t>signaling</w:t>
      </w:r>
      <w:proofErr w:type="spellEnd"/>
      <w:r w:rsidR="00DA0F34" w:rsidRPr="00726423">
        <w:rPr>
          <w:rFonts w:ascii="Arial" w:hAnsi="Arial" w:cs="Arial"/>
          <w:color w:val="000000" w:themeColor="text1"/>
          <w:sz w:val="22"/>
          <w:szCs w:val="22"/>
        </w:rPr>
        <w:t xml:space="preserve">, leading to </w:t>
      </w:r>
      <w:r w:rsidR="009D1748" w:rsidRPr="00726423">
        <w:rPr>
          <w:rFonts w:ascii="Arial" w:hAnsi="Arial" w:cs="Arial"/>
          <w:color w:val="000000" w:themeColor="text1"/>
          <w:sz w:val="22"/>
          <w:szCs w:val="22"/>
        </w:rPr>
        <w:t xml:space="preserve">decline of ILC2 survival, proliferation and </w:t>
      </w:r>
      <w:r w:rsidR="0059421E" w:rsidRPr="00726423">
        <w:rPr>
          <w:rFonts w:ascii="Arial" w:hAnsi="Arial" w:cs="Arial"/>
          <w:color w:val="000000" w:themeColor="text1"/>
          <w:sz w:val="22"/>
          <w:szCs w:val="22"/>
        </w:rPr>
        <w:t xml:space="preserve">type 2 </w:t>
      </w:r>
      <w:r w:rsidR="009D1748" w:rsidRPr="00726423">
        <w:rPr>
          <w:rFonts w:ascii="Arial" w:hAnsi="Arial" w:cs="Arial"/>
          <w:color w:val="000000" w:themeColor="text1"/>
          <w:sz w:val="22"/>
          <w:szCs w:val="22"/>
        </w:rPr>
        <w:t>cytokine production.</w:t>
      </w:r>
    </w:p>
    <w:p w14:paraId="1EE6E57F" w14:textId="77777777" w:rsidR="00C92A0C" w:rsidRPr="00726423" w:rsidRDefault="00C92A0C" w:rsidP="00977790">
      <w:pPr>
        <w:spacing w:line="480" w:lineRule="auto"/>
        <w:rPr>
          <w:rFonts w:ascii="Arial" w:hAnsi="Arial" w:cs="Arial"/>
          <w:color w:val="000000" w:themeColor="text1"/>
          <w:sz w:val="22"/>
          <w:szCs w:val="22"/>
        </w:rPr>
      </w:pPr>
    </w:p>
    <w:p w14:paraId="3C9D56FF" w14:textId="0DD26F34" w:rsidR="00C92A0C" w:rsidRPr="00726423" w:rsidRDefault="00C92A0C" w:rsidP="00977790">
      <w:pPr>
        <w:spacing w:line="480" w:lineRule="auto"/>
        <w:rPr>
          <w:rFonts w:ascii="Arial" w:hAnsi="Arial" w:cs="Arial"/>
          <w:b/>
          <w:bCs/>
          <w:color w:val="000000" w:themeColor="text1"/>
          <w:sz w:val="22"/>
          <w:szCs w:val="22"/>
        </w:rPr>
      </w:pPr>
      <w:r w:rsidRPr="00726423">
        <w:rPr>
          <w:rFonts w:ascii="Arial" w:hAnsi="Arial" w:cs="Arial"/>
          <w:b/>
          <w:bCs/>
          <w:color w:val="000000" w:themeColor="text1"/>
          <w:sz w:val="22"/>
          <w:szCs w:val="22"/>
        </w:rPr>
        <w:br w:type="page"/>
      </w:r>
    </w:p>
    <w:p w14:paraId="432A0327" w14:textId="5237AAB9" w:rsidR="001D5348" w:rsidRPr="00726423" w:rsidRDefault="001D5348" w:rsidP="00AF01E8">
      <w:pPr>
        <w:spacing w:line="480" w:lineRule="auto"/>
        <w:jc w:val="both"/>
        <w:rPr>
          <w:rFonts w:ascii="Arial" w:hAnsi="Arial" w:cs="Arial"/>
          <w:b/>
          <w:bCs/>
          <w:color w:val="000000" w:themeColor="text1"/>
          <w:sz w:val="22"/>
          <w:szCs w:val="22"/>
        </w:rPr>
      </w:pPr>
      <w:r w:rsidRPr="00726423">
        <w:rPr>
          <w:rFonts w:ascii="Arial" w:hAnsi="Arial" w:cs="Arial"/>
          <w:b/>
          <w:bCs/>
          <w:color w:val="000000" w:themeColor="text1"/>
          <w:sz w:val="22"/>
          <w:szCs w:val="22"/>
        </w:rPr>
        <w:lastRenderedPageBreak/>
        <w:t>Abstract</w:t>
      </w:r>
    </w:p>
    <w:p w14:paraId="0A664FD2" w14:textId="7997CDBC" w:rsidR="00926AFF" w:rsidRDefault="00926AFF" w:rsidP="00CE4F67">
      <w:pPr>
        <w:spacing w:line="480" w:lineRule="auto"/>
        <w:jc w:val="both"/>
        <w:rPr>
          <w:rFonts w:ascii="Arial" w:hAnsi="Arial" w:cs="Arial"/>
          <w:color w:val="000000" w:themeColor="text1"/>
          <w:sz w:val="22"/>
          <w:szCs w:val="22"/>
        </w:rPr>
      </w:pPr>
      <w:r>
        <w:rPr>
          <w:rFonts w:ascii="Arial" w:hAnsi="Arial" w:cs="Arial"/>
          <w:b/>
          <w:bCs/>
          <w:sz w:val="22"/>
          <w:szCs w:val="22"/>
        </w:rPr>
        <w:t xml:space="preserve">Background: </w:t>
      </w:r>
      <w:r w:rsidR="00634BCC" w:rsidRPr="00726423">
        <w:rPr>
          <w:rFonts w:ascii="Arial" w:hAnsi="Arial" w:cs="Arial"/>
          <w:color w:val="000000" w:themeColor="text1"/>
          <w:sz w:val="22"/>
          <w:szCs w:val="22"/>
        </w:rPr>
        <w:t xml:space="preserve">Group 2 innate lymphoid cells (ILC2s) play a critical role in asthma </w:t>
      </w:r>
      <w:r w:rsidR="002229B9" w:rsidRPr="00726423">
        <w:rPr>
          <w:rFonts w:ascii="Arial" w:hAnsi="Arial" w:cs="Arial"/>
          <w:color w:val="000000" w:themeColor="text1"/>
          <w:sz w:val="22"/>
          <w:szCs w:val="22"/>
        </w:rPr>
        <w:t>pathogenesis. N</w:t>
      </w:r>
      <w:r w:rsidR="00F0681A" w:rsidRPr="00726423">
        <w:rPr>
          <w:rFonts w:ascii="Arial" w:hAnsi="Arial" w:cs="Arial"/>
          <w:color w:val="000000" w:themeColor="text1"/>
          <w:sz w:val="22"/>
          <w:szCs w:val="22"/>
        </w:rPr>
        <w:t>on-steroidal anti-inflammatory drug (</w:t>
      </w:r>
      <w:r w:rsidR="00634BCC" w:rsidRPr="00726423">
        <w:rPr>
          <w:rFonts w:ascii="Arial" w:hAnsi="Arial" w:cs="Arial"/>
          <w:color w:val="000000" w:themeColor="text1"/>
          <w:sz w:val="22"/>
          <w:szCs w:val="22"/>
        </w:rPr>
        <w:t>NSAID</w:t>
      </w:r>
      <w:r w:rsidR="00F0681A" w:rsidRPr="00726423">
        <w:rPr>
          <w:rFonts w:ascii="Arial" w:hAnsi="Arial" w:cs="Arial"/>
          <w:color w:val="000000" w:themeColor="text1"/>
          <w:sz w:val="22"/>
          <w:szCs w:val="22"/>
        </w:rPr>
        <w:t>)</w:t>
      </w:r>
      <w:r w:rsidR="00634BCC" w:rsidRPr="00726423">
        <w:rPr>
          <w:rFonts w:ascii="Arial" w:hAnsi="Arial" w:cs="Arial"/>
          <w:color w:val="000000" w:themeColor="text1"/>
          <w:sz w:val="22"/>
          <w:szCs w:val="22"/>
        </w:rPr>
        <w:t>-exacerbated respiratory disease (NERD)</w:t>
      </w:r>
      <w:r w:rsidR="002229B9" w:rsidRPr="00726423">
        <w:rPr>
          <w:rFonts w:ascii="Arial" w:hAnsi="Arial" w:cs="Arial"/>
          <w:color w:val="000000" w:themeColor="text1"/>
          <w:sz w:val="22"/>
          <w:szCs w:val="22"/>
        </w:rPr>
        <w:t xml:space="preserve"> is associated with </w:t>
      </w:r>
      <w:r w:rsidR="008656D8" w:rsidRPr="00726423">
        <w:rPr>
          <w:rFonts w:ascii="Arial" w:hAnsi="Arial" w:cs="Arial"/>
          <w:color w:val="000000" w:themeColor="text1"/>
          <w:sz w:val="22"/>
          <w:szCs w:val="22"/>
        </w:rPr>
        <w:t>reduced</w:t>
      </w:r>
      <w:r w:rsidR="002229B9" w:rsidRPr="00726423">
        <w:rPr>
          <w:rFonts w:ascii="Arial" w:hAnsi="Arial" w:cs="Arial"/>
          <w:color w:val="000000" w:themeColor="text1"/>
          <w:sz w:val="22"/>
          <w:szCs w:val="22"/>
        </w:rPr>
        <w:t xml:space="preserve"> </w:t>
      </w:r>
      <w:proofErr w:type="spellStart"/>
      <w:r w:rsidR="00134A78" w:rsidRPr="00726423">
        <w:rPr>
          <w:rFonts w:ascii="Arial" w:hAnsi="Arial" w:cs="Arial"/>
          <w:color w:val="000000" w:themeColor="text1"/>
          <w:sz w:val="22"/>
          <w:szCs w:val="22"/>
        </w:rPr>
        <w:t>signaling</w:t>
      </w:r>
      <w:proofErr w:type="spellEnd"/>
      <w:r w:rsidR="002229B9" w:rsidRPr="00726423">
        <w:rPr>
          <w:rFonts w:ascii="Arial" w:hAnsi="Arial" w:cs="Arial"/>
          <w:color w:val="000000" w:themeColor="text1"/>
          <w:sz w:val="22"/>
          <w:szCs w:val="22"/>
        </w:rPr>
        <w:t xml:space="preserve"> </w:t>
      </w:r>
      <w:r w:rsidR="008656D8" w:rsidRPr="00726423">
        <w:rPr>
          <w:rFonts w:ascii="Arial" w:hAnsi="Arial" w:cs="Arial"/>
          <w:color w:val="000000" w:themeColor="text1"/>
          <w:sz w:val="22"/>
          <w:szCs w:val="22"/>
        </w:rPr>
        <w:t>via</w:t>
      </w:r>
      <w:r w:rsidR="002229B9" w:rsidRPr="00726423">
        <w:rPr>
          <w:rFonts w:ascii="Arial" w:hAnsi="Arial" w:cs="Arial"/>
          <w:color w:val="000000" w:themeColor="text1"/>
          <w:sz w:val="22"/>
          <w:szCs w:val="22"/>
        </w:rPr>
        <w:t xml:space="preserve"> EP2, a receptor for </w:t>
      </w:r>
      <w:r w:rsidR="008656D8" w:rsidRPr="00726423">
        <w:rPr>
          <w:rFonts w:ascii="Arial" w:hAnsi="Arial" w:cs="Arial"/>
          <w:color w:val="000000" w:themeColor="text1"/>
          <w:sz w:val="22"/>
          <w:szCs w:val="22"/>
        </w:rPr>
        <w:t>prostaglandin E</w:t>
      </w:r>
      <w:r w:rsidR="008656D8" w:rsidRPr="00726423">
        <w:rPr>
          <w:rFonts w:ascii="Arial" w:hAnsi="Arial" w:cs="Arial"/>
          <w:color w:val="000000" w:themeColor="text1"/>
          <w:sz w:val="22"/>
          <w:szCs w:val="22"/>
          <w:vertAlign w:val="subscript"/>
        </w:rPr>
        <w:t>2</w:t>
      </w:r>
      <w:r w:rsidR="008656D8" w:rsidRPr="00726423">
        <w:rPr>
          <w:rFonts w:ascii="Arial" w:hAnsi="Arial" w:cs="Arial"/>
          <w:color w:val="000000" w:themeColor="text1"/>
          <w:sz w:val="22"/>
          <w:szCs w:val="22"/>
        </w:rPr>
        <w:t xml:space="preserve"> (PGE</w:t>
      </w:r>
      <w:r w:rsidR="008656D8" w:rsidRPr="00726423">
        <w:rPr>
          <w:rFonts w:ascii="Arial" w:hAnsi="Arial" w:cs="Arial"/>
          <w:color w:val="000000" w:themeColor="text1"/>
          <w:sz w:val="22"/>
          <w:szCs w:val="22"/>
          <w:vertAlign w:val="subscript"/>
        </w:rPr>
        <w:t>2</w:t>
      </w:r>
      <w:r w:rsidR="008656D8" w:rsidRPr="00726423">
        <w:rPr>
          <w:rFonts w:ascii="Arial" w:hAnsi="Arial" w:cs="Arial"/>
          <w:color w:val="000000" w:themeColor="text1"/>
          <w:sz w:val="22"/>
          <w:szCs w:val="22"/>
        </w:rPr>
        <w:t>)</w:t>
      </w:r>
      <w:r w:rsidR="002229B9" w:rsidRPr="00726423">
        <w:rPr>
          <w:rFonts w:ascii="Arial" w:hAnsi="Arial" w:cs="Arial"/>
          <w:color w:val="000000" w:themeColor="text1"/>
          <w:sz w:val="22"/>
          <w:szCs w:val="22"/>
        </w:rPr>
        <w:t>.</w:t>
      </w:r>
      <w:r w:rsidR="00C9274A" w:rsidRPr="00726423">
        <w:rPr>
          <w:rFonts w:ascii="Arial" w:hAnsi="Arial" w:cs="Arial"/>
          <w:color w:val="000000" w:themeColor="text1"/>
          <w:sz w:val="22"/>
          <w:szCs w:val="22"/>
        </w:rPr>
        <w:t xml:space="preserve"> </w:t>
      </w:r>
      <w:r w:rsidR="002229B9" w:rsidRPr="00726423">
        <w:rPr>
          <w:rFonts w:ascii="Arial" w:hAnsi="Arial" w:cs="Arial"/>
          <w:color w:val="000000" w:themeColor="text1"/>
          <w:sz w:val="22"/>
          <w:szCs w:val="22"/>
        </w:rPr>
        <w:t xml:space="preserve">However, </w:t>
      </w:r>
      <w:r w:rsidR="008656D8" w:rsidRPr="00726423">
        <w:rPr>
          <w:rFonts w:ascii="Arial" w:hAnsi="Arial" w:cs="Arial"/>
          <w:color w:val="000000" w:themeColor="text1"/>
          <w:sz w:val="22"/>
          <w:szCs w:val="22"/>
        </w:rPr>
        <w:t>the respective roles for the PGE</w:t>
      </w:r>
      <w:r w:rsidR="008656D8" w:rsidRPr="00726423">
        <w:rPr>
          <w:rFonts w:ascii="Arial" w:hAnsi="Arial" w:cs="Arial"/>
          <w:color w:val="000000" w:themeColor="text1"/>
          <w:sz w:val="22"/>
          <w:szCs w:val="22"/>
          <w:vertAlign w:val="subscript"/>
        </w:rPr>
        <w:t>2</w:t>
      </w:r>
      <w:r w:rsidR="008656D8" w:rsidRPr="00726423">
        <w:rPr>
          <w:rFonts w:ascii="Arial" w:hAnsi="Arial" w:cs="Arial"/>
          <w:color w:val="000000" w:themeColor="text1"/>
          <w:sz w:val="22"/>
          <w:szCs w:val="22"/>
        </w:rPr>
        <w:t xml:space="preserve"> receptors EP2 and EP4</w:t>
      </w:r>
      <w:r w:rsidR="000F0505" w:rsidRPr="00726423">
        <w:rPr>
          <w:rFonts w:ascii="Arial" w:hAnsi="Arial" w:cs="Arial"/>
          <w:color w:val="000000" w:themeColor="text1"/>
          <w:sz w:val="22"/>
          <w:szCs w:val="22"/>
        </w:rPr>
        <w:t xml:space="preserve"> (both share same downstream </w:t>
      </w:r>
      <w:proofErr w:type="spellStart"/>
      <w:r w:rsidR="000F0505" w:rsidRPr="00726423">
        <w:rPr>
          <w:rFonts w:ascii="Arial" w:hAnsi="Arial" w:cs="Arial"/>
          <w:color w:val="000000" w:themeColor="text1"/>
          <w:sz w:val="22"/>
          <w:szCs w:val="22"/>
        </w:rPr>
        <w:t>signaling</w:t>
      </w:r>
      <w:proofErr w:type="spellEnd"/>
      <w:r w:rsidR="000F0505" w:rsidRPr="00726423">
        <w:rPr>
          <w:rFonts w:ascii="Arial" w:hAnsi="Arial" w:cs="Arial"/>
          <w:color w:val="000000" w:themeColor="text1"/>
          <w:sz w:val="22"/>
          <w:szCs w:val="22"/>
        </w:rPr>
        <w:t>)</w:t>
      </w:r>
      <w:r w:rsidR="008656D8" w:rsidRPr="00726423">
        <w:rPr>
          <w:rFonts w:ascii="Arial" w:hAnsi="Arial" w:cs="Arial"/>
          <w:color w:val="000000" w:themeColor="text1"/>
          <w:sz w:val="22"/>
          <w:szCs w:val="22"/>
        </w:rPr>
        <w:t xml:space="preserve"> in the regulation of lung ILC2 responses </w:t>
      </w:r>
      <w:r w:rsidR="0034631F" w:rsidRPr="00726423">
        <w:rPr>
          <w:rFonts w:ascii="Arial" w:hAnsi="Arial" w:cs="Arial"/>
          <w:color w:val="000000" w:themeColor="text1"/>
          <w:sz w:val="22"/>
          <w:szCs w:val="22"/>
        </w:rPr>
        <w:t>ha</w:t>
      </w:r>
      <w:r w:rsidR="002E6FC9" w:rsidRPr="00726423">
        <w:rPr>
          <w:rFonts w:ascii="Arial" w:hAnsi="Arial" w:cs="Arial"/>
          <w:color w:val="000000" w:themeColor="text1"/>
          <w:sz w:val="22"/>
          <w:szCs w:val="22"/>
        </w:rPr>
        <w:t>s</w:t>
      </w:r>
      <w:r w:rsidR="0034631F" w:rsidRPr="00726423">
        <w:rPr>
          <w:rFonts w:ascii="Arial" w:hAnsi="Arial" w:cs="Arial"/>
          <w:color w:val="000000" w:themeColor="text1"/>
          <w:sz w:val="22"/>
          <w:szCs w:val="22"/>
        </w:rPr>
        <w:t xml:space="preserve"> yet be</w:t>
      </w:r>
      <w:r w:rsidR="008656D8" w:rsidRPr="00726423">
        <w:rPr>
          <w:rFonts w:ascii="Arial" w:hAnsi="Arial" w:cs="Arial"/>
          <w:color w:val="000000" w:themeColor="text1"/>
          <w:sz w:val="22"/>
          <w:szCs w:val="22"/>
        </w:rPr>
        <w:t>en</w:t>
      </w:r>
      <w:r w:rsidR="0034631F" w:rsidRPr="00726423">
        <w:rPr>
          <w:rFonts w:ascii="Arial" w:hAnsi="Arial" w:cs="Arial"/>
          <w:color w:val="000000" w:themeColor="text1"/>
          <w:sz w:val="22"/>
          <w:szCs w:val="22"/>
        </w:rPr>
        <w:t xml:space="preserve"> deciphered</w:t>
      </w:r>
      <w:r w:rsidR="00B04CA8" w:rsidRPr="00726423">
        <w:rPr>
          <w:rFonts w:ascii="Arial" w:hAnsi="Arial" w:cs="Arial"/>
          <w:color w:val="000000" w:themeColor="text1"/>
          <w:sz w:val="22"/>
          <w:szCs w:val="22"/>
        </w:rPr>
        <w:t xml:space="preserve">. </w:t>
      </w:r>
    </w:p>
    <w:p w14:paraId="393E9E52" w14:textId="4FBC8E92" w:rsidR="00926AFF" w:rsidRDefault="00926AFF" w:rsidP="00CE4F67">
      <w:pPr>
        <w:spacing w:line="480" w:lineRule="auto"/>
        <w:jc w:val="both"/>
        <w:rPr>
          <w:rFonts w:ascii="Arial" w:hAnsi="Arial" w:cs="Arial"/>
          <w:sz w:val="22"/>
          <w:szCs w:val="22"/>
        </w:rPr>
      </w:pPr>
      <w:r w:rsidRPr="00153229">
        <w:rPr>
          <w:rFonts w:ascii="Arial" w:hAnsi="Arial" w:cs="Arial"/>
          <w:b/>
          <w:bCs/>
          <w:sz w:val="22"/>
          <w:szCs w:val="22"/>
        </w:rPr>
        <w:t>Methods:</w:t>
      </w:r>
      <w:r>
        <w:rPr>
          <w:rFonts w:ascii="Arial" w:hAnsi="Arial" w:cs="Arial"/>
          <w:sz w:val="22"/>
          <w:szCs w:val="22"/>
        </w:rPr>
        <w:t xml:space="preserve"> The </w:t>
      </w:r>
      <w:r w:rsidR="007B4E01">
        <w:rPr>
          <w:rFonts w:ascii="Arial" w:hAnsi="Arial" w:cs="Arial"/>
          <w:sz w:val="22"/>
          <w:szCs w:val="22"/>
        </w:rPr>
        <w:t xml:space="preserve">roles </w:t>
      </w:r>
      <w:r>
        <w:rPr>
          <w:rFonts w:ascii="Arial" w:hAnsi="Arial" w:cs="Arial"/>
          <w:sz w:val="22"/>
          <w:szCs w:val="22"/>
        </w:rPr>
        <w:t>of PGE</w:t>
      </w:r>
      <w:r w:rsidRPr="00926AFF">
        <w:rPr>
          <w:rFonts w:ascii="Arial" w:hAnsi="Arial" w:cs="Arial"/>
          <w:sz w:val="22"/>
          <w:szCs w:val="22"/>
          <w:vertAlign w:val="subscript"/>
        </w:rPr>
        <w:t>2</w:t>
      </w:r>
      <w:r>
        <w:rPr>
          <w:rFonts w:ascii="Arial" w:hAnsi="Arial" w:cs="Arial"/>
          <w:sz w:val="22"/>
          <w:szCs w:val="22"/>
        </w:rPr>
        <w:t xml:space="preserve"> receptors EP2 and EP4 on ILC2-mediated lung inflammation were investigated using genetically modified mouse lines and pharmacological approaches in IL-33- and </w:t>
      </w:r>
      <w:r w:rsidRPr="00E2589E">
        <w:rPr>
          <w:rFonts w:ascii="Arial" w:hAnsi="Arial" w:cs="Arial"/>
          <w:i/>
          <w:iCs/>
          <w:sz w:val="22"/>
          <w:szCs w:val="22"/>
        </w:rPr>
        <w:t xml:space="preserve">Alternaria </w:t>
      </w:r>
      <w:proofErr w:type="spellStart"/>
      <w:r w:rsidRPr="00E2589E">
        <w:rPr>
          <w:rFonts w:ascii="Arial" w:hAnsi="Arial" w:cs="Arial"/>
          <w:i/>
          <w:iCs/>
          <w:sz w:val="22"/>
          <w:szCs w:val="22"/>
        </w:rPr>
        <w:t>alternata</w:t>
      </w:r>
      <w:proofErr w:type="spellEnd"/>
      <w:r>
        <w:rPr>
          <w:rFonts w:ascii="Arial" w:hAnsi="Arial" w:cs="Arial"/>
          <w:sz w:val="22"/>
          <w:szCs w:val="22"/>
        </w:rPr>
        <w:t xml:space="preserve"> (A.A.)-induced lung allergy models.</w:t>
      </w:r>
      <w:r w:rsidR="007B4E01" w:rsidRPr="007B4E01">
        <w:rPr>
          <w:rFonts w:ascii="Arial" w:hAnsi="Arial" w:cs="Arial"/>
          <w:sz w:val="22"/>
          <w:szCs w:val="22"/>
        </w:rPr>
        <w:t xml:space="preserve"> </w:t>
      </w:r>
      <w:r w:rsidR="007B4E01">
        <w:rPr>
          <w:rFonts w:ascii="Arial" w:hAnsi="Arial" w:cs="Arial"/>
          <w:sz w:val="22"/>
          <w:szCs w:val="22"/>
        </w:rPr>
        <w:t>The effects of PGE</w:t>
      </w:r>
      <w:r w:rsidR="007B4E01" w:rsidRPr="001F6EBC">
        <w:rPr>
          <w:rFonts w:ascii="Arial" w:hAnsi="Arial" w:cs="Arial"/>
          <w:sz w:val="22"/>
          <w:szCs w:val="22"/>
          <w:vertAlign w:val="subscript"/>
        </w:rPr>
        <w:t>2</w:t>
      </w:r>
      <w:r w:rsidR="007B4E01">
        <w:rPr>
          <w:rFonts w:ascii="Arial" w:hAnsi="Arial" w:cs="Arial"/>
          <w:sz w:val="22"/>
          <w:szCs w:val="22"/>
        </w:rPr>
        <w:t xml:space="preserve"> receptors and downstream signals on ILC2 metabolic activation and effector function were examined using </w:t>
      </w:r>
      <w:r w:rsidR="007B4E01" w:rsidRPr="00B84CA5">
        <w:rPr>
          <w:rFonts w:ascii="Arial" w:hAnsi="Arial" w:cs="Arial"/>
          <w:i/>
          <w:iCs/>
          <w:sz w:val="22"/>
          <w:szCs w:val="22"/>
        </w:rPr>
        <w:t>in vitro</w:t>
      </w:r>
      <w:r w:rsidR="007B4E01">
        <w:rPr>
          <w:rFonts w:ascii="Arial" w:hAnsi="Arial" w:cs="Arial"/>
          <w:sz w:val="22"/>
          <w:szCs w:val="22"/>
        </w:rPr>
        <w:t xml:space="preserve"> cell cultures.</w:t>
      </w:r>
    </w:p>
    <w:p w14:paraId="5B3F22B0" w14:textId="0FB658D3" w:rsidR="00926AFF" w:rsidRDefault="00926AFF" w:rsidP="00CE4F67">
      <w:pPr>
        <w:spacing w:line="480" w:lineRule="auto"/>
        <w:jc w:val="both"/>
        <w:rPr>
          <w:rFonts w:ascii="Arial" w:hAnsi="Arial" w:cs="Arial"/>
          <w:color w:val="000000" w:themeColor="text1"/>
          <w:sz w:val="22"/>
          <w:szCs w:val="22"/>
        </w:rPr>
      </w:pPr>
      <w:r w:rsidRPr="00164CEE">
        <w:rPr>
          <w:rFonts w:ascii="Arial" w:hAnsi="Arial" w:cs="Arial"/>
          <w:b/>
          <w:bCs/>
          <w:sz w:val="22"/>
          <w:szCs w:val="22"/>
        </w:rPr>
        <w:t>Results:</w:t>
      </w:r>
      <w:r>
        <w:rPr>
          <w:rFonts w:ascii="Arial" w:hAnsi="Arial" w:cs="Arial"/>
          <w:sz w:val="22"/>
          <w:szCs w:val="22"/>
        </w:rPr>
        <w:t xml:space="preserve"> </w:t>
      </w:r>
      <w:r>
        <w:rPr>
          <w:rFonts w:ascii="Arial" w:hAnsi="Arial" w:cs="Arial"/>
          <w:color w:val="000000" w:themeColor="text1"/>
          <w:sz w:val="22"/>
          <w:szCs w:val="22"/>
        </w:rPr>
        <w:t>D</w:t>
      </w:r>
      <w:r w:rsidR="00F6162F" w:rsidRPr="00726423">
        <w:rPr>
          <w:rFonts w:ascii="Arial" w:hAnsi="Arial" w:cs="Arial"/>
          <w:color w:val="000000" w:themeColor="text1"/>
          <w:sz w:val="22"/>
          <w:szCs w:val="22"/>
        </w:rPr>
        <w:t>eficiency of EP2 rather than EP4 augments IL-33-induced lung ILC2 responses and eosinophilic inflammation</w:t>
      </w:r>
      <w:r w:rsidR="00F6162F" w:rsidRPr="00726423">
        <w:rPr>
          <w:rFonts w:ascii="Arial" w:hAnsi="Arial" w:cs="Arial"/>
          <w:i/>
          <w:iCs/>
          <w:color w:val="000000" w:themeColor="text1"/>
          <w:sz w:val="22"/>
          <w:szCs w:val="22"/>
        </w:rPr>
        <w:t xml:space="preserve"> in vivo</w:t>
      </w:r>
      <w:r w:rsidR="00F6162F" w:rsidRPr="00726423">
        <w:rPr>
          <w:rFonts w:ascii="Arial" w:hAnsi="Arial" w:cs="Arial"/>
          <w:color w:val="000000" w:themeColor="text1"/>
          <w:sz w:val="22"/>
          <w:szCs w:val="22"/>
        </w:rPr>
        <w:t xml:space="preserve">. In contrast, </w:t>
      </w:r>
      <w:r w:rsidR="00B04CA8" w:rsidRPr="00726423">
        <w:rPr>
          <w:rFonts w:ascii="Arial" w:hAnsi="Arial" w:cs="Arial"/>
          <w:color w:val="000000" w:themeColor="text1"/>
          <w:sz w:val="22"/>
          <w:szCs w:val="22"/>
        </w:rPr>
        <w:t>e</w:t>
      </w:r>
      <w:r w:rsidR="005432FA" w:rsidRPr="00726423">
        <w:rPr>
          <w:rFonts w:ascii="Arial" w:hAnsi="Arial" w:cs="Arial"/>
          <w:color w:val="000000" w:themeColor="text1"/>
          <w:sz w:val="22"/>
          <w:szCs w:val="22"/>
        </w:rPr>
        <w:t>xogenous</w:t>
      </w:r>
      <w:r w:rsidR="001F6EBC" w:rsidRPr="00726423">
        <w:rPr>
          <w:rFonts w:ascii="Arial" w:hAnsi="Arial" w:cs="Arial"/>
          <w:color w:val="000000" w:themeColor="text1"/>
          <w:sz w:val="22"/>
          <w:szCs w:val="22"/>
        </w:rPr>
        <w:t xml:space="preserve"> </w:t>
      </w:r>
      <w:r w:rsidR="00B73B88" w:rsidRPr="00726423">
        <w:rPr>
          <w:rFonts w:ascii="Arial" w:hAnsi="Arial" w:cs="Arial"/>
          <w:color w:val="000000" w:themeColor="text1"/>
          <w:sz w:val="22"/>
          <w:szCs w:val="22"/>
        </w:rPr>
        <w:t>agonism</w:t>
      </w:r>
      <w:r w:rsidR="005432FA" w:rsidRPr="00726423">
        <w:rPr>
          <w:rFonts w:ascii="Arial" w:hAnsi="Arial" w:cs="Arial"/>
          <w:color w:val="000000" w:themeColor="text1"/>
          <w:sz w:val="22"/>
          <w:szCs w:val="22"/>
        </w:rPr>
        <w:t xml:space="preserve"> </w:t>
      </w:r>
      <w:r w:rsidR="00FA64A4" w:rsidRPr="00726423">
        <w:rPr>
          <w:rFonts w:ascii="Arial" w:hAnsi="Arial" w:cs="Arial"/>
          <w:color w:val="000000" w:themeColor="text1"/>
          <w:sz w:val="22"/>
          <w:szCs w:val="22"/>
        </w:rPr>
        <w:t>of EP4</w:t>
      </w:r>
      <w:r w:rsidR="00B73B88" w:rsidRPr="00726423">
        <w:rPr>
          <w:rFonts w:ascii="Arial" w:hAnsi="Arial" w:cs="Arial"/>
          <w:color w:val="000000" w:themeColor="text1"/>
          <w:sz w:val="22"/>
          <w:szCs w:val="22"/>
        </w:rPr>
        <w:t xml:space="preserve"> </w:t>
      </w:r>
      <w:r w:rsidR="00FA64A4" w:rsidRPr="00726423">
        <w:rPr>
          <w:rFonts w:ascii="Arial" w:hAnsi="Arial" w:cs="Arial"/>
          <w:color w:val="000000" w:themeColor="text1"/>
          <w:sz w:val="22"/>
          <w:szCs w:val="22"/>
        </w:rPr>
        <w:t>but not EP2 markedly restrict</w:t>
      </w:r>
      <w:r w:rsidR="001F6EBC" w:rsidRPr="00726423">
        <w:rPr>
          <w:rFonts w:ascii="Arial" w:hAnsi="Arial" w:cs="Arial"/>
          <w:color w:val="000000" w:themeColor="text1"/>
          <w:sz w:val="22"/>
          <w:szCs w:val="22"/>
        </w:rPr>
        <w:t xml:space="preserve">s </w:t>
      </w:r>
      <w:r w:rsidR="000F7AC0" w:rsidRPr="00726423">
        <w:rPr>
          <w:rFonts w:ascii="Arial" w:hAnsi="Arial" w:cs="Arial"/>
          <w:color w:val="000000" w:themeColor="text1"/>
          <w:sz w:val="22"/>
          <w:szCs w:val="22"/>
        </w:rPr>
        <w:t xml:space="preserve">IL-33- and </w:t>
      </w:r>
      <w:r w:rsidR="000F7AC0" w:rsidRPr="00726423">
        <w:rPr>
          <w:rFonts w:ascii="Arial" w:hAnsi="Arial" w:cs="Arial"/>
          <w:i/>
          <w:iCs/>
          <w:color w:val="000000" w:themeColor="text1"/>
          <w:sz w:val="22"/>
          <w:szCs w:val="22"/>
        </w:rPr>
        <w:t xml:space="preserve">Alternaria </w:t>
      </w:r>
      <w:proofErr w:type="spellStart"/>
      <w:r w:rsidR="000F7AC0" w:rsidRPr="00726423">
        <w:rPr>
          <w:rFonts w:ascii="Arial" w:hAnsi="Arial" w:cs="Arial"/>
          <w:i/>
          <w:iCs/>
          <w:color w:val="000000" w:themeColor="text1"/>
          <w:sz w:val="22"/>
          <w:szCs w:val="22"/>
        </w:rPr>
        <w:t>alternata</w:t>
      </w:r>
      <w:proofErr w:type="spellEnd"/>
      <w:r w:rsidR="000F7AC0" w:rsidRPr="00726423">
        <w:rPr>
          <w:rFonts w:ascii="Arial" w:hAnsi="Arial" w:cs="Arial"/>
          <w:color w:val="000000" w:themeColor="text1"/>
          <w:sz w:val="22"/>
          <w:szCs w:val="22"/>
        </w:rPr>
        <w:t xml:space="preserve">-induced </w:t>
      </w:r>
      <w:r w:rsidR="001F6EBC" w:rsidRPr="00726423">
        <w:rPr>
          <w:rFonts w:ascii="Arial" w:hAnsi="Arial" w:cs="Arial"/>
          <w:color w:val="000000" w:themeColor="text1"/>
          <w:sz w:val="22"/>
          <w:szCs w:val="22"/>
        </w:rPr>
        <w:t xml:space="preserve">lung ILC2 responses </w:t>
      </w:r>
      <w:r w:rsidR="00F6162F" w:rsidRPr="00726423">
        <w:rPr>
          <w:rFonts w:ascii="Arial" w:hAnsi="Arial" w:cs="Arial"/>
          <w:color w:val="000000" w:themeColor="text1"/>
          <w:sz w:val="22"/>
          <w:szCs w:val="22"/>
        </w:rPr>
        <w:t>and eosinophilic inflammation</w:t>
      </w:r>
      <w:r w:rsidR="00FA64A4" w:rsidRPr="00726423">
        <w:rPr>
          <w:rFonts w:ascii="Arial" w:hAnsi="Arial" w:cs="Arial"/>
          <w:color w:val="000000" w:themeColor="text1"/>
          <w:sz w:val="22"/>
          <w:szCs w:val="22"/>
        </w:rPr>
        <w:t>. Mechanistically, PGE</w:t>
      </w:r>
      <w:r w:rsidR="00FA64A4" w:rsidRPr="00726423">
        <w:rPr>
          <w:rFonts w:ascii="Arial" w:hAnsi="Arial" w:cs="Arial"/>
          <w:color w:val="000000" w:themeColor="text1"/>
          <w:sz w:val="22"/>
          <w:szCs w:val="22"/>
          <w:vertAlign w:val="subscript"/>
        </w:rPr>
        <w:t>2</w:t>
      </w:r>
      <w:r w:rsidR="00FA64A4" w:rsidRPr="00726423">
        <w:rPr>
          <w:rFonts w:ascii="Arial" w:hAnsi="Arial" w:cs="Arial"/>
          <w:color w:val="000000" w:themeColor="text1"/>
          <w:sz w:val="22"/>
          <w:szCs w:val="22"/>
        </w:rPr>
        <w:t xml:space="preserve"> directly suppresse</w:t>
      </w:r>
      <w:r w:rsidR="00C8220A" w:rsidRPr="00726423">
        <w:rPr>
          <w:rFonts w:ascii="Arial" w:hAnsi="Arial" w:cs="Arial"/>
          <w:color w:val="000000" w:themeColor="text1"/>
          <w:sz w:val="22"/>
          <w:szCs w:val="22"/>
        </w:rPr>
        <w:t>s</w:t>
      </w:r>
      <w:r w:rsidR="00FA64A4" w:rsidRPr="00726423">
        <w:rPr>
          <w:rFonts w:ascii="Arial" w:hAnsi="Arial" w:cs="Arial"/>
          <w:color w:val="000000" w:themeColor="text1"/>
          <w:sz w:val="22"/>
          <w:szCs w:val="22"/>
        </w:rPr>
        <w:t xml:space="preserve"> IL-33-depe</w:t>
      </w:r>
      <w:r w:rsidR="007630BD" w:rsidRPr="00726423">
        <w:rPr>
          <w:rFonts w:ascii="Arial" w:hAnsi="Arial" w:cs="Arial"/>
          <w:color w:val="000000" w:themeColor="text1"/>
          <w:sz w:val="22"/>
          <w:szCs w:val="22"/>
        </w:rPr>
        <w:t>n</w:t>
      </w:r>
      <w:r w:rsidR="00FA64A4" w:rsidRPr="00726423">
        <w:rPr>
          <w:rFonts w:ascii="Arial" w:hAnsi="Arial" w:cs="Arial"/>
          <w:color w:val="000000" w:themeColor="text1"/>
          <w:sz w:val="22"/>
          <w:szCs w:val="22"/>
        </w:rPr>
        <w:t>dent ILC2 activation through the EP2/EP4-cAMP pathway</w:t>
      </w:r>
      <w:r w:rsidR="004F187B" w:rsidRPr="00726423">
        <w:rPr>
          <w:rFonts w:ascii="Arial" w:hAnsi="Arial" w:cs="Arial"/>
          <w:color w:val="000000" w:themeColor="text1"/>
          <w:sz w:val="22"/>
          <w:szCs w:val="22"/>
        </w:rPr>
        <w:t>, which</w:t>
      </w:r>
      <w:r w:rsidR="00FA64A4" w:rsidRPr="00726423">
        <w:rPr>
          <w:rFonts w:ascii="Arial" w:hAnsi="Arial" w:cs="Arial"/>
          <w:color w:val="000000" w:themeColor="text1"/>
          <w:sz w:val="22"/>
          <w:szCs w:val="22"/>
        </w:rPr>
        <w:t xml:space="preserve"> downregulate</w:t>
      </w:r>
      <w:r w:rsidR="00C8220A" w:rsidRPr="00726423">
        <w:rPr>
          <w:rFonts w:ascii="Arial" w:hAnsi="Arial" w:cs="Arial"/>
          <w:color w:val="000000" w:themeColor="text1"/>
          <w:sz w:val="22"/>
          <w:szCs w:val="22"/>
        </w:rPr>
        <w:t>s</w:t>
      </w:r>
      <w:r w:rsidR="00FA64A4" w:rsidRPr="00726423">
        <w:rPr>
          <w:rFonts w:ascii="Arial" w:hAnsi="Arial" w:cs="Arial"/>
          <w:color w:val="000000" w:themeColor="text1"/>
          <w:sz w:val="22"/>
          <w:szCs w:val="22"/>
        </w:rPr>
        <w:t xml:space="preserve"> STAT5 and MYC pathway gene expression </w:t>
      </w:r>
      <w:r w:rsidR="000F7AC0" w:rsidRPr="00726423">
        <w:rPr>
          <w:rFonts w:ascii="Arial" w:hAnsi="Arial" w:cs="Arial"/>
          <w:color w:val="000000" w:themeColor="text1"/>
          <w:sz w:val="22"/>
          <w:szCs w:val="22"/>
        </w:rPr>
        <w:t>and</w:t>
      </w:r>
      <w:r w:rsidR="004F187B" w:rsidRPr="00726423">
        <w:rPr>
          <w:rFonts w:ascii="Arial" w:hAnsi="Arial" w:cs="Arial"/>
          <w:color w:val="000000" w:themeColor="text1"/>
          <w:sz w:val="22"/>
          <w:szCs w:val="22"/>
        </w:rPr>
        <w:t xml:space="preserve"> ILC2</w:t>
      </w:r>
      <w:r w:rsidR="000F7AC0" w:rsidRPr="00726423">
        <w:rPr>
          <w:rFonts w:ascii="Arial" w:hAnsi="Arial" w:cs="Arial"/>
          <w:color w:val="000000" w:themeColor="text1"/>
          <w:sz w:val="22"/>
          <w:szCs w:val="22"/>
        </w:rPr>
        <w:t xml:space="preserve"> energy metabolism</w:t>
      </w:r>
      <w:r w:rsidR="004F187B" w:rsidRPr="00726423">
        <w:rPr>
          <w:rFonts w:ascii="Arial" w:hAnsi="Arial" w:cs="Arial"/>
          <w:color w:val="000000" w:themeColor="text1"/>
          <w:sz w:val="22"/>
          <w:szCs w:val="22"/>
        </w:rPr>
        <w:t>.</w:t>
      </w:r>
      <w:r w:rsidR="00FA64A4" w:rsidRPr="00726423">
        <w:rPr>
          <w:rFonts w:ascii="Arial" w:hAnsi="Arial" w:cs="Arial"/>
          <w:color w:val="000000" w:themeColor="text1"/>
          <w:sz w:val="22"/>
          <w:szCs w:val="22"/>
        </w:rPr>
        <w:t xml:space="preserve"> </w:t>
      </w:r>
      <w:r w:rsidR="00C9650B" w:rsidRPr="00726423">
        <w:rPr>
          <w:rFonts w:ascii="Arial" w:hAnsi="Arial" w:cs="Arial"/>
          <w:color w:val="000000" w:themeColor="text1"/>
          <w:sz w:val="22"/>
          <w:szCs w:val="22"/>
        </w:rPr>
        <w:t>Blocking glycolysis diminishes IL-33-dependent ILC2 responses in mice lacking endogenous PG synthesis but not in PG-competent mice.</w:t>
      </w:r>
      <w:r w:rsidR="00A256BB" w:rsidRPr="00726423">
        <w:rPr>
          <w:rFonts w:ascii="Arial" w:hAnsi="Arial" w:cs="Arial"/>
          <w:color w:val="000000" w:themeColor="text1"/>
          <w:sz w:val="22"/>
          <w:szCs w:val="22"/>
        </w:rPr>
        <w:t xml:space="preserve"> </w:t>
      </w:r>
    </w:p>
    <w:p w14:paraId="1A565366" w14:textId="141C8A89" w:rsidR="003D593F" w:rsidRPr="00726423" w:rsidRDefault="00926AFF" w:rsidP="00CE4F67">
      <w:pPr>
        <w:spacing w:line="480" w:lineRule="auto"/>
        <w:jc w:val="both"/>
        <w:rPr>
          <w:rFonts w:ascii="Arial" w:hAnsi="Arial" w:cs="Arial"/>
          <w:color w:val="000000" w:themeColor="text1"/>
          <w:sz w:val="22"/>
          <w:szCs w:val="22"/>
        </w:rPr>
      </w:pPr>
      <w:r w:rsidRPr="00036097">
        <w:rPr>
          <w:rFonts w:ascii="Arial" w:hAnsi="Arial" w:cs="Arial"/>
          <w:b/>
          <w:bCs/>
          <w:sz w:val="22"/>
          <w:szCs w:val="22"/>
        </w:rPr>
        <w:t>Conclusion:</w:t>
      </w:r>
      <w:r>
        <w:rPr>
          <w:rFonts w:ascii="Arial" w:hAnsi="Arial" w:cs="Arial"/>
          <w:sz w:val="22"/>
          <w:szCs w:val="22"/>
        </w:rPr>
        <w:t xml:space="preserve"> </w:t>
      </w:r>
      <w:r>
        <w:rPr>
          <w:rFonts w:ascii="Arial" w:hAnsi="Arial" w:cs="Arial"/>
          <w:color w:val="000000" w:themeColor="text1"/>
          <w:sz w:val="22"/>
          <w:szCs w:val="22"/>
        </w:rPr>
        <w:t>W</w:t>
      </w:r>
      <w:r w:rsidR="002F1624" w:rsidRPr="00726423">
        <w:rPr>
          <w:rFonts w:ascii="Arial" w:hAnsi="Arial" w:cs="Arial"/>
          <w:color w:val="000000" w:themeColor="text1"/>
          <w:sz w:val="22"/>
          <w:szCs w:val="22"/>
        </w:rPr>
        <w:t>e</w:t>
      </w:r>
      <w:r w:rsidR="00036097" w:rsidRPr="00726423">
        <w:rPr>
          <w:rFonts w:ascii="Arial" w:hAnsi="Arial" w:cs="Arial"/>
          <w:color w:val="000000" w:themeColor="text1"/>
          <w:sz w:val="22"/>
          <w:szCs w:val="22"/>
        </w:rPr>
        <w:t xml:space="preserve"> </w:t>
      </w:r>
      <w:r w:rsidR="007728C2" w:rsidRPr="00726423">
        <w:rPr>
          <w:rFonts w:ascii="Arial" w:hAnsi="Arial" w:cs="Arial"/>
          <w:color w:val="000000" w:themeColor="text1"/>
          <w:sz w:val="22"/>
          <w:szCs w:val="22"/>
        </w:rPr>
        <w:t xml:space="preserve">have </w:t>
      </w:r>
      <w:r w:rsidR="00036097" w:rsidRPr="00726423">
        <w:rPr>
          <w:rFonts w:ascii="Arial" w:hAnsi="Arial" w:cs="Arial"/>
          <w:color w:val="000000" w:themeColor="text1"/>
          <w:sz w:val="22"/>
          <w:szCs w:val="22"/>
        </w:rPr>
        <w:t>define</w:t>
      </w:r>
      <w:r w:rsidR="007728C2" w:rsidRPr="00726423">
        <w:rPr>
          <w:rFonts w:ascii="Arial" w:hAnsi="Arial" w:cs="Arial"/>
          <w:color w:val="000000" w:themeColor="text1"/>
          <w:sz w:val="22"/>
          <w:szCs w:val="22"/>
        </w:rPr>
        <w:t xml:space="preserve">d </w:t>
      </w:r>
      <w:r w:rsidR="00C9288A" w:rsidRPr="00726423">
        <w:rPr>
          <w:rFonts w:ascii="Arial" w:hAnsi="Arial" w:cs="Arial"/>
          <w:color w:val="000000" w:themeColor="text1"/>
          <w:sz w:val="22"/>
          <w:szCs w:val="22"/>
        </w:rPr>
        <w:t xml:space="preserve">a mechanism for optimal suppression of lung ILC2 responses by </w:t>
      </w:r>
      <w:r w:rsidR="000D7AC1" w:rsidRPr="00726423">
        <w:rPr>
          <w:rFonts w:ascii="Arial" w:hAnsi="Arial" w:cs="Arial"/>
          <w:color w:val="000000" w:themeColor="text1"/>
          <w:sz w:val="22"/>
          <w:szCs w:val="22"/>
        </w:rPr>
        <w:t>endogenous PGE</w:t>
      </w:r>
      <w:r w:rsidR="000D7AC1" w:rsidRPr="00726423">
        <w:rPr>
          <w:rFonts w:ascii="Arial" w:hAnsi="Arial" w:cs="Arial"/>
          <w:color w:val="000000" w:themeColor="text1"/>
          <w:sz w:val="22"/>
          <w:szCs w:val="22"/>
          <w:vertAlign w:val="subscript"/>
        </w:rPr>
        <w:t>2</w:t>
      </w:r>
      <w:r w:rsidR="000D7AC1" w:rsidRPr="00726423">
        <w:rPr>
          <w:rFonts w:ascii="Arial" w:hAnsi="Arial" w:cs="Arial"/>
          <w:color w:val="000000" w:themeColor="text1"/>
          <w:sz w:val="22"/>
          <w:szCs w:val="22"/>
        </w:rPr>
        <w:t xml:space="preserve">-EP2 </w:t>
      </w:r>
      <w:proofErr w:type="spellStart"/>
      <w:r w:rsidR="00134A78" w:rsidRPr="00726423">
        <w:rPr>
          <w:rFonts w:ascii="Arial" w:hAnsi="Arial" w:cs="Arial"/>
          <w:color w:val="000000" w:themeColor="text1"/>
          <w:sz w:val="22"/>
          <w:szCs w:val="22"/>
        </w:rPr>
        <w:t>signaling</w:t>
      </w:r>
      <w:proofErr w:type="spellEnd"/>
      <w:r w:rsidR="00C9288A" w:rsidRPr="00726423">
        <w:rPr>
          <w:rFonts w:ascii="Arial" w:hAnsi="Arial" w:cs="Arial"/>
          <w:color w:val="000000" w:themeColor="text1"/>
          <w:sz w:val="22"/>
          <w:szCs w:val="22"/>
        </w:rPr>
        <w:t xml:space="preserve"> which</w:t>
      </w:r>
      <w:r w:rsidR="007728C2" w:rsidRPr="00726423">
        <w:rPr>
          <w:rFonts w:ascii="Arial" w:hAnsi="Arial" w:cs="Arial"/>
          <w:color w:val="000000" w:themeColor="text1"/>
          <w:sz w:val="22"/>
          <w:szCs w:val="22"/>
        </w:rPr>
        <w:t xml:space="preserve"> underpin</w:t>
      </w:r>
      <w:r w:rsidR="00C9288A" w:rsidRPr="00726423">
        <w:rPr>
          <w:rFonts w:ascii="Arial" w:hAnsi="Arial" w:cs="Arial"/>
          <w:color w:val="000000" w:themeColor="text1"/>
          <w:sz w:val="22"/>
          <w:szCs w:val="22"/>
        </w:rPr>
        <w:t>s</w:t>
      </w:r>
      <w:r w:rsidR="007728C2" w:rsidRPr="00726423">
        <w:rPr>
          <w:rFonts w:ascii="Arial" w:hAnsi="Arial" w:cs="Arial"/>
          <w:color w:val="000000" w:themeColor="text1"/>
          <w:sz w:val="22"/>
          <w:szCs w:val="22"/>
        </w:rPr>
        <w:t xml:space="preserve"> the clinical findings of </w:t>
      </w:r>
      <w:r w:rsidR="006B27D3" w:rsidRPr="00726423">
        <w:rPr>
          <w:rFonts w:ascii="Arial" w:hAnsi="Arial" w:cs="Arial"/>
          <w:color w:val="000000" w:themeColor="text1"/>
          <w:sz w:val="22"/>
          <w:szCs w:val="22"/>
        </w:rPr>
        <w:t>defective</w:t>
      </w:r>
      <w:r w:rsidR="007728C2" w:rsidRPr="00726423">
        <w:rPr>
          <w:rFonts w:ascii="Arial" w:hAnsi="Arial" w:cs="Arial"/>
          <w:color w:val="000000" w:themeColor="text1"/>
          <w:sz w:val="22"/>
          <w:szCs w:val="22"/>
        </w:rPr>
        <w:t xml:space="preserve"> EP2 </w:t>
      </w:r>
      <w:proofErr w:type="spellStart"/>
      <w:r w:rsidR="00134A78" w:rsidRPr="00726423">
        <w:rPr>
          <w:rFonts w:ascii="Arial" w:hAnsi="Arial" w:cs="Arial"/>
          <w:color w:val="000000" w:themeColor="text1"/>
          <w:sz w:val="22"/>
          <w:szCs w:val="22"/>
        </w:rPr>
        <w:t>signaling</w:t>
      </w:r>
      <w:proofErr w:type="spellEnd"/>
      <w:r w:rsidR="007728C2" w:rsidRPr="00726423">
        <w:rPr>
          <w:rFonts w:ascii="Arial" w:hAnsi="Arial" w:cs="Arial"/>
          <w:color w:val="000000" w:themeColor="text1"/>
          <w:sz w:val="22"/>
          <w:szCs w:val="22"/>
        </w:rPr>
        <w:t xml:space="preserve"> </w:t>
      </w:r>
      <w:r w:rsidR="00CE5578" w:rsidRPr="00726423">
        <w:rPr>
          <w:rFonts w:ascii="Arial" w:hAnsi="Arial" w:cs="Arial"/>
          <w:color w:val="000000" w:themeColor="text1"/>
          <w:sz w:val="22"/>
          <w:szCs w:val="22"/>
        </w:rPr>
        <w:t xml:space="preserve">in </w:t>
      </w:r>
      <w:r w:rsidR="006B27D3" w:rsidRPr="00726423">
        <w:rPr>
          <w:rFonts w:ascii="Arial" w:hAnsi="Arial" w:cs="Arial"/>
          <w:color w:val="000000" w:themeColor="text1"/>
          <w:sz w:val="22"/>
          <w:szCs w:val="22"/>
        </w:rPr>
        <w:t>patients with NERD</w:t>
      </w:r>
      <w:r w:rsidR="00CE5578" w:rsidRPr="00726423">
        <w:rPr>
          <w:rFonts w:ascii="Arial" w:hAnsi="Arial" w:cs="Arial"/>
          <w:color w:val="000000" w:themeColor="text1"/>
          <w:sz w:val="22"/>
          <w:szCs w:val="22"/>
        </w:rPr>
        <w:t>.</w:t>
      </w:r>
      <w:r w:rsidR="000D7AC1" w:rsidRPr="00726423">
        <w:rPr>
          <w:rFonts w:ascii="Arial" w:hAnsi="Arial" w:cs="Arial"/>
          <w:color w:val="000000" w:themeColor="text1"/>
          <w:sz w:val="22"/>
          <w:szCs w:val="22"/>
        </w:rPr>
        <w:t xml:space="preserve"> </w:t>
      </w:r>
      <w:r w:rsidR="00CE5578" w:rsidRPr="00726423">
        <w:rPr>
          <w:rFonts w:ascii="Arial" w:hAnsi="Arial" w:cs="Arial"/>
          <w:color w:val="000000" w:themeColor="text1"/>
          <w:sz w:val="22"/>
          <w:szCs w:val="22"/>
        </w:rPr>
        <w:t xml:space="preserve">Our findings </w:t>
      </w:r>
      <w:r w:rsidR="006B27D3" w:rsidRPr="00726423">
        <w:rPr>
          <w:rFonts w:ascii="Arial" w:hAnsi="Arial" w:cs="Arial"/>
          <w:color w:val="000000" w:themeColor="text1"/>
          <w:sz w:val="22"/>
          <w:szCs w:val="22"/>
        </w:rPr>
        <w:t>also indicate that</w:t>
      </w:r>
      <w:r w:rsidR="00CE5578" w:rsidRPr="00726423">
        <w:rPr>
          <w:rFonts w:ascii="Arial" w:hAnsi="Arial" w:cs="Arial"/>
          <w:color w:val="000000" w:themeColor="text1"/>
          <w:sz w:val="22"/>
          <w:szCs w:val="22"/>
        </w:rPr>
        <w:t xml:space="preserve"> </w:t>
      </w:r>
      <w:r w:rsidR="000D7AC1" w:rsidRPr="00726423">
        <w:rPr>
          <w:rFonts w:ascii="Arial" w:hAnsi="Arial" w:cs="Arial"/>
          <w:color w:val="000000" w:themeColor="text1"/>
          <w:sz w:val="22"/>
          <w:szCs w:val="22"/>
        </w:rPr>
        <w:t>e</w:t>
      </w:r>
      <w:r w:rsidR="00FA64A4" w:rsidRPr="00726423">
        <w:rPr>
          <w:rFonts w:ascii="Arial" w:hAnsi="Arial" w:cs="Arial"/>
          <w:color w:val="000000" w:themeColor="text1"/>
          <w:sz w:val="22"/>
          <w:szCs w:val="22"/>
        </w:rPr>
        <w:t xml:space="preserve">xogenously </w:t>
      </w:r>
      <w:r w:rsidR="001F69AC" w:rsidRPr="00726423">
        <w:rPr>
          <w:rFonts w:ascii="Arial" w:hAnsi="Arial" w:cs="Arial"/>
          <w:color w:val="000000" w:themeColor="text1"/>
          <w:sz w:val="22"/>
          <w:szCs w:val="22"/>
        </w:rPr>
        <w:t>target</w:t>
      </w:r>
      <w:r w:rsidR="00036097" w:rsidRPr="00726423">
        <w:rPr>
          <w:rFonts w:ascii="Arial" w:hAnsi="Arial" w:cs="Arial"/>
          <w:color w:val="000000" w:themeColor="text1"/>
          <w:sz w:val="22"/>
          <w:szCs w:val="22"/>
        </w:rPr>
        <w:t>ing the PGE</w:t>
      </w:r>
      <w:r w:rsidR="00036097" w:rsidRPr="00726423">
        <w:rPr>
          <w:rFonts w:ascii="Arial" w:hAnsi="Arial" w:cs="Arial"/>
          <w:color w:val="000000" w:themeColor="text1"/>
          <w:sz w:val="22"/>
          <w:szCs w:val="22"/>
          <w:vertAlign w:val="subscript"/>
        </w:rPr>
        <w:t>2</w:t>
      </w:r>
      <w:r w:rsidR="00036097" w:rsidRPr="00726423">
        <w:rPr>
          <w:rFonts w:ascii="Arial" w:hAnsi="Arial" w:cs="Arial"/>
          <w:color w:val="000000" w:themeColor="text1"/>
          <w:sz w:val="22"/>
          <w:szCs w:val="22"/>
        </w:rPr>
        <w:t>-EP4</w:t>
      </w:r>
      <w:r w:rsidR="001F69AC" w:rsidRPr="00726423">
        <w:rPr>
          <w:rFonts w:ascii="Arial" w:hAnsi="Arial" w:cs="Arial"/>
          <w:color w:val="000000" w:themeColor="text1"/>
          <w:sz w:val="22"/>
          <w:szCs w:val="22"/>
        </w:rPr>
        <w:t xml:space="preserve">-cAMP and </w:t>
      </w:r>
      <w:r w:rsidR="00C9288A" w:rsidRPr="00726423">
        <w:rPr>
          <w:rFonts w:ascii="Arial" w:hAnsi="Arial" w:cs="Arial"/>
          <w:color w:val="000000" w:themeColor="text1"/>
          <w:sz w:val="22"/>
          <w:szCs w:val="22"/>
        </w:rPr>
        <w:t xml:space="preserve">energy </w:t>
      </w:r>
      <w:r w:rsidR="001F69AC" w:rsidRPr="00726423">
        <w:rPr>
          <w:rFonts w:ascii="Arial" w:hAnsi="Arial" w:cs="Arial"/>
          <w:color w:val="000000" w:themeColor="text1"/>
          <w:sz w:val="22"/>
          <w:szCs w:val="22"/>
        </w:rPr>
        <w:t>metabolic</w:t>
      </w:r>
      <w:r w:rsidR="00036097" w:rsidRPr="00726423">
        <w:rPr>
          <w:rFonts w:ascii="Arial" w:hAnsi="Arial" w:cs="Arial"/>
          <w:color w:val="000000" w:themeColor="text1"/>
          <w:sz w:val="22"/>
          <w:szCs w:val="22"/>
        </w:rPr>
        <w:t xml:space="preserve"> pathway</w:t>
      </w:r>
      <w:r w:rsidR="001F69AC" w:rsidRPr="00726423">
        <w:rPr>
          <w:rFonts w:ascii="Arial" w:hAnsi="Arial" w:cs="Arial"/>
          <w:color w:val="000000" w:themeColor="text1"/>
          <w:sz w:val="22"/>
          <w:szCs w:val="22"/>
        </w:rPr>
        <w:t>s</w:t>
      </w:r>
      <w:r w:rsidR="00036097" w:rsidRPr="00726423">
        <w:rPr>
          <w:rFonts w:ascii="Arial" w:hAnsi="Arial" w:cs="Arial"/>
          <w:color w:val="000000" w:themeColor="text1"/>
          <w:sz w:val="22"/>
          <w:szCs w:val="22"/>
        </w:rPr>
        <w:t xml:space="preserve"> </w:t>
      </w:r>
      <w:r w:rsidR="006B27D3" w:rsidRPr="00726423">
        <w:rPr>
          <w:rFonts w:ascii="Arial" w:hAnsi="Arial" w:cs="Arial"/>
          <w:color w:val="000000" w:themeColor="text1"/>
          <w:sz w:val="22"/>
          <w:szCs w:val="22"/>
        </w:rPr>
        <w:t xml:space="preserve">may </w:t>
      </w:r>
      <w:r w:rsidR="008656D8" w:rsidRPr="00726423">
        <w:rPr>
          <w:rFonts w:ascii="Arial" w:hAnsi="Arial" w:cs="Arial"/>
          <w:color w:val="000000" w:themeColor="text1"/>
          <w:sz w:val="22"/>
          <w:szCs w:val="22"/>
        </w:rPr>
        <w:t>provide</w:t>
      </w:r>
      <w:r w:rsidR="002F1624" w:rsidRPr="00726423">
        <w:rPr>
          <w:rFonts w:ascii="Arial" w:hAnsi="Arial" w:cs="Arial"/>
          <w:color w:val="000000" w:themeColor="text1"/>
          <w:sz w:val="22"/>
          <w:szCs w:val="22"/>
        </w:rPr>
        <w:t xml:space="preserve"> </w:t>
      </w:r>
      <w:r w:rsidR="00036097" w:rsidRPr="00726423">
        <w:rPr>
          <w:rFonts w:ascii="Arial" w:hAnsi="Arial" w:cs="Arial"/>
          <w:color w:val="000000" w:themeColor="text1"/>
          <w:sz w:val="22"/>
          <w:szCs w:val="22"/>
        </w:rPr>
        <w:t xml:space="preserve">novel </w:t>
      </w:r>
      <w:r w:rsidR="002F1624" w:rsidRPr="00726423">
        <w:rPr>
          <w:rFonts w:ascii="Arial" w:hAnsi="Arial" w:cs="Arial"/>
          <w:color w:val="000000" w:themeColor="text1"/>
          <w:sz w:val="22"/>
          <w:szCs w:val="22"/>
        </w:rPr>
        <w:t>opportunit</w:t>
      </w:r>
      <w:r w:rsidR="001F69AC" w:rsidRPr="00726423">
        <w:rPr>
          <w:rFonts w:ascii="Arial" w:hAnsi="Arial" w:cs="Arial"/>
          <w:color w:val="000000" w:themeColor="text1"/>
          <w:sz w:val="22"/>
          <w:szCs w:val="22"/>
        </w:rPr>
        <w:t>ies</w:t>
      </w:r>
      <w:r w:rsidR="00036097" w:rsidRPr="00726423">
        <w:rPr>
          <w:rFonts w:ascii="Arial" w:hAnsi="Arial" w:cs="Arial"/>
          <w:color w:val="000000" w:themeColor="text1"/>
          <w:sz w:val="22"/>
          <w:szCs w:val="22"/>
        </w:rPr>
        <w:t xml:space="preserve"> for treating ILC2-</w:t>
      </w:r>
      <w:r w:rsidR="00C9288A" w:rsidRPr="00726423">
        <w:rPr>
          <w:rFonts w:ascii="Arial" w:hAnsi="Arial" w:cs="Arial"/>
          <w:color w:val="000000" w:themeColor="text1"/>
          <w:sz w:val="22"/>
          <w:szCs w:val="22"/>
        </w:rPr>
        <w:t>initiated lung</w:t>
      </w:r>
      <w:r w:rsidR="00036097" w:rsidRPr="00726423">
        <w:rPr>
          <w:rFonts w:ascii="Arial" w:hAnsi="Arial" w:cs="Arial"/>
          <w:color w:val="000000" w:themeColor="text1"/>
          <w:sz w:val="22"/>
          <w:szCs w:val="22"/>
        </w:rPr>
        <w:t xml:space="preserve"> </w:t>
      </w:r>
      <w:r w:rsidR="002F1624" w:rsidRPr="00726423">
        <w:rPr>
          <w:rFonts w:ascii="Arial" w:hAnsi="Arial" w:cs="Arial"/>
          <w:color w:val="000000" w:themeColor="text1"/>
          <w:sz w:val="22"/>
          <w:szCs w:val="22"/>
        </w:rPr>
        <w:t>inflammation</w:t>
      </w:r>
      <w:r w:rsidR="00036097" w:rsidRPr="00726423">
        <w:rPr>
          <w:rFonts w:ascii="Arial" w:hAnsi="Arial" w:cs="Arial"/>
          <w:color w:val="000000" w:themeColor="text1"/>
          <w:sz w:val="22"/>
          <w:szCs w:val="22"/>
        </w:rPr>
        <w:t xml:space="preserve"> in asthma and NERD.</w:t>
      </w:r>
    </w:p>
    <w:p w14:paraId="2CE96BAB" w14:textId="0C38FD8E" w:rsidR="003D593F" w:rsidRPr="00726423" w:rsidRDefault="003D593F" w:rsidP="00CE4F67">
      <w:pPr>
        <w:spacing w:line="480" w:lineRule="auto"/>
        <w:jc w:val="both"/>
        <w:rPr>
          <w:rFonts w:ascii="Arial" w:hAnsi="Arial" w:cs="Arial"/>
          <w:color w:val="000000" w:themeColor="text1"/>
          <w:sz w:val="22"/>
          <w:szCs w:val="22"/>
        </w:rPr>
      </w:pPr>
    </w:p>
    <w:p w14:paraId="296890C7" w14:textId="01D8E1C8" w:rsidR="00586EE3" w:rsidRPr="00726423" w:rsidRDefault="00586EE3" w:rsidP="00AF01E8">
      <w:pPr>
        <w:spacing w:line="480" w:lineRule="auto"/>
        <w:rPr>
          <w:rFonts w:ascii="Arial" w:hAnsi="Arial" w:cs="Arial"/>
          <w:b/>
          <w:bCs/>
          <w:color w:val="000000" w:themeColor="text1"/>
          <w:sz w:val="22"/>
          <w:szCs w:val="22"/>
        </w:rPr>
      </w:pPr>
      <w:r w:rsidRPr="00726423">
        <w:rPr>
          <w:rFonts w:ascii="Arial" w:hAnsi="Arial" w:cs="Arial"/>
          <w:b/>
          <w:bCs/>
          <w:color w:val="000000" w:themeColor="text1"/>
          <w:sz w:val="22"/>
          <w:szCs w:val="22"/>
        </w:rPr>
        <w:t>Key</w:t>
      </w:r>
      <w:r w:rsidR="00191369" w:rsidRPr="00726423">
        <w:rPr>
          <w:rFonts w:ascii="Arial" w:hAnsi="Arial" w:cs="Arial"/>
          <w:b/>
          <w:bCs/>
          <w:color w:val="000000" w:themeColor="text1"/>
          <w:sz w:val="22"/>
          <w:szCs w:val="22"/>
        </w:rPr>
        <w:t>word</w:t>
      </w:r>
      <w:r w:rsidRPr="00726423">
        <w:rPr>
          <w:rFonts w:ascii="Arial" w:hAnsi="Arial" w:cs="Arial"/>
          <w:b/>
          <w:bCs/>
          <w:color w:val="000000" w:themeColor="text1"/>
          <w:sz w:val="22"/>
          <w:szCs w:val="22"/>
        </w:rPr>
        <w:t>s</w:t>
      </w:r>
    </w:p>
    <w:p w14:paraId="5C1AC503" w14:textId="6566DBBA" w:rsidR="00D60991" w:rsidRDefault="00191369" w:rsidP="00CE4F67">
      <w:pPr>
        <w:spacing w:line="480" w:lineRule="auto"/>
        <w:rPr>
          <w:rFonts w:ascii="Arial" w:hAnsi="Arial" w:cs="Arial"/>
          <w:color w:val="000000" w:themeColor="text1"/>
          <w:sz w:val="22"/>
          <w:szCs w:val="22"/>
        </w:rPr>
      </w:pPr>
      <w:r w:rsidRPr="00726423">
        <w:rPr>
          <w:rFonts w:ascii="Arial" w:hAnsi="Arial" w:cs="Arial"/>
          <w:color w:val="000000" w:themeColor="text1"/>
          <w:sz w:val="22"/>
          <w:szCs w:val="22"/>
        </w:rPr>
        <w:t>Group 2 innate lymphoid cell</w:t>
      </w:r>
      <w:r w:rsidR="00CE4F67">
        <w:rPr>
          <w:rFonts w:ascii="Arial" w:hAnsi="Arial" w:cs="Arial"/>
          <w:color w:val="000000" w:themeColor="text1"/>
          <w:sz w:val="22"/>
          <w:szCs w:val="22"/>
        </w:rPr>
        <w:t xml:space="preserve"> (ILC2)</w:t>
      </w:r>
      <w:r w:rsidRPr="00726423">
        <w:rPr>
          <w:rFonts w:ascii="Arial" w:hAnsi="Arial" w:cs="Arial"/>
          <w:color w:val="000000" w:themeColor="text1"/>
          <w:sz w:val="22"/>
          <w:szCs w:val="22"/>
        </w:rPr>
        <w:t xml:space="preserve">, </w:t>
      </w:r>
      <w:r w:rsidR="00974050">
        <w:rPr>
          <w:rFonts w:ascii="Arial" w:hAnsi="Arial" w:cs="Arial"/>
          <w:color w:val="000000" w:themeColor="text1"/>
          <w:sz w:val="22"/>
          <w:szCs w:val="22"/>
        </w:rPr>
        <w:t xml:space="preserve">lung </w:t>
      </w:r>
      <w:r w:rsidRPr="00726423">
        <w:rPr>
          <w:rFonts w:ascii="Arial" w:hAnsi="Arial" w:cs="Arial"/>
          <w:color w:val="000000" w:themeColor="text1"/>
          <w:sz w:val="22"/>
          <w:szCs w:val="22"/>
        </w:rPr>
        <w:t>allergy</w:t>
      </w:r>
      <w:r w:rsidR="0034631F" w:rsidRPr="00726423">
        <w:rPr>
          <w:rFonts w:ascii="Arial" w:hAnsi="Arial" w:cs="Arial"/>
          <w:color w:val="000000" w:themeColor="text1"/>
          <w:sz w:val="22"/>
          <w:szCs w:val="22"/>
        </w:rPr>
        <w:t>,</w:t>
      </w:r>
      <w:r w:rsidRPr="00726423">
        <w:rPr>
          <w:rFonts w:ascii="Arial" w:hAnsi="Arial" w:cs="Arial"/>
          <w:color w:val="000000" w:themeColor="text1"/>
          <w:sz w:val="22"/>
          <w:szCs w:val="22"/>
        </w:rPr>
        <w:t xml:space="preserve"> prostaglandin E</w:t>
      </w:r>
      <w:r w:rsidRPr="00726423">
        <w:rPr>
          <w:rFonts w:ascii="Arial" w:hAnsi="Arial" w:cs="Arial"/>
          <w:color w:val="000000" w:themeColor="text1"/>
          <w:sz w:val="22"/>
          <w:szCs w:val="22"/>
          <w:vertAlign w:val="subscript"/>
        </w:rPr>
        <w:t>2</w:t>
      </w:r>
      <w:r w:rsidRPr="00726423">
        <w:rPr>
          <w:rFonts w:ascii="Arial" w:hAnsi="Arial" w:cs="Arial"/>
          <w:color w:val="000000" w:themeColor="text1"/>
          <w:sz w:val="22"/>
          <w:szCs w:val="22"/>
        </w:rPr>
        <w:t xml:space="preserve"> (PGE</w:t>
      </w:r>
      <w:r w:rsidRPr="00726423">
        <w:rPr>
          <w:rFonts w:ascii="Arial" w:hAnsi="Arial" w:cs="Arial"/>
          <w:color w:val="000000" w:themeColor="text1"/>
          <w:sz w:val="22"/>
          <w:szCs w:val="22"/>
          <w:vertAlign w:val="subscript"/>
        </w:rPr>
        <w:t>2</w:t>
      </w:r>
      <w:r w:rsidRPr="00726423">
        <w:rPr>
          <w:rFonts w:ascii="Arial" w:hAnsi="Arial" w:cs="Arial"/>
          <w:color w:val="000000" w:themeColor="text1"/>
          <w:sz w:val="22"/>
          <w:szCs w:val="22"/>
        </w:rPr>
        <w:t>), EP2</w:t>
      </w:r>
      <w:r w:rsidR="00974050">
        <w:rPr>
          <w:rFonts w:ascii="Arial" w:hAnsi="Arial" w:cs="Arial"/>
          <w:color w:val="000000" w:themeColor="text1"/>
          <w:sz w:val="22"/>
          <w:szCs w:val="22"/>
        </w:rPr>
        <w:t>/</w:t>
      </w:r>
      <w:r w:rsidRPr="00726423">
        <w:rPr>
          <w:rFonts w:ascii="Arial" w:hAnsi="Arial" w:cs="Arial"/>
          <w:color w:val="000000" w:themeColor="text1"/>
          <w:sz w:val="22"/>
          <w:szCs w:val="22"/>
        </w:rPr>
        <w:t>EP4</w:t>
      </w:r>
      <w:r w:rsidR="00974050">
        <w:rPr>
          <w:rFonts w:ascii="Arial" w:hAnsi="Arial" w:cs="Arial"/>
          <w:color w:val="000000" w:themeColor="text1"/>
          <w:sz w:val="22"/>
          <w:szCs w:val="22"/>
        </w:rPr>
        <w:t>, metabolism</w:t>
      </w:r>
    </w:p>
    <w:p w14:paraId="228523BA" w14:textId="77777777" w:rsidR="00886A45" w:rsidRDefault="00886A45">
      <w:pPr>
        <w:rPr>
          <w:rFonts w:ascii="Arial" w:hAnsi="Arial" w:cs="Arial"/>
          <w:b/>
          <w:bCs/>
          <w:sz w:val="22"/>
          <w:szCs w:val="22"/>
        </w:rPr>
      </w:pPr>
      <w:r>
        <w:rPr>
          <w:rFonts w:ascii="Arial" w:hAnsi="Arial" w:cs="Arial"/>
          <w:b/>
          <w:bCs/>
          <w:sz w:val="22"/>
          <w:szCs w:val="22"/>
        </w:rPr>
        <w:br w:type="page"/>
      </w:r>
    </w:p>
    <w:p w14:paraId="3E6774FF" w14:textId="3BAACCF2" w:rsidR="00886A45" w:rsidRPr="00714369" w:rsidRDefault="00886A45" w:rsidP="00886A45">
      <w:pPr>
        <w:spacing w:line="480" w:lineRule="auto"/>
        <w:rPr>
          <w:rFonts w:ascii="Arial" w:hAnsi="Arial" w:cs="Arial"/>
          <w:b/>
          <w:bCs/>
          <w:sz w:val="22"/>
          <w:szCs w:val="22"/>
        </w:rPr>
      </w:pPr>
      <w:r w:rsidRPr="00714369">
        <w:rPr>
          <w:rFonts w:ascii="Arial" w:hAnsi="Arial" w:cs="Arial"/>
          <w:b/>
          <w:bCs/>
          <w:sz w:val="22"/>
          <w:szCs w:val="22"/>
        </w:rPr>
        <w:lastRenderedPageBreak/>
        <w:t>Abbreviations</w:t>
      </w:r>
    </w:p>
    <w:p w14:paraId="22003710" w14:textId="77777777" w:rsidR="00886A45" w:rsidRPr="00714369" w:rsidRDefault="00886A45" w:rsidP="00886A45">
      <w:pPr>
        <w:spacing w:line="480" w:lineRule="auto"/>
        <w:jc w:val="both"/>
        <w:rPr>
          <w:rFonts w:ascii="Arial" w:hAnsi="Arial" w:cs="Arial"/>
          <w:sz w:val="22"/>
          <w:szCs w:val="22"/>
        </w:rPr>
      </w:pPr>
      <w:r w:rsidRPr="00714369">
        <w:rPr>
          <w:rFonts w:ascii="Arial" w:hAnsi="Arial" w:cs="Arial"/>
          <w:sz w:val="22"/>
          <w:szCs w:val="22"/>
        </w:rPr>
        <w:t>cAMP: Cyclic adenosine monophosphate</w:t>
      </w:r>
    </w:p>
    <w:p w14:paraId="7D4D297D" w14:textId="77777777" w:rsidR="00886A45" w:rsidRDefault="00886A45" w:rsidP="00886A45">
      <w:pPr>
        <w:spacing w:line="480" w:lineRule="auto"/>
        <w:jc w:val="both"/>
        <w:rPr>
          <w:rFonts w:ascii="Arial" w:hAnsi="Arial" w:cs="Arial"/>
          <w:sz w:val="22"/>
          <w:szCs w:val="22"/>
        </w:rPr>
      </w:pPr>
      <w:r>
        <w:rPr>
          <w:rFonts w:ascii="Arial" w:hAnsi="Arial" w:cs="Arial"/>
          <w:sz w:val="22"/>
          <w:szCs w:val="22"/>
        </w:rPr>
        <w:t xml:space="preserve">EP2: </w:t>
      </w:r>
      <w:r w:rsidRPr="00714369">
        <w:rPr>
          <w:rFonts w:ascii="Arial" w:hAnsi="Arial" w:cs="Arial"/>
          <w:sz w:val="22"/>
          <w:szCs w:val="22"/>
        </w:rPr>
        <w:t xml:space="preserve">E </w:t>
      </w:r>
      <w:proofErr w:type="spellStart"/>
      <w:r w:rsidRPr="00714369">
        <w:rPr>
          <w:rFonts w:ascii="Arial" w:hAnsi="Arial" w:cs="Arial"/>
          <w:sz w:val="22"/>
          <w:szCs w:val="22"/>
        </w:rPr>
        <w:t>prostanoid</w:t>
      </w:r>
      <w:proofErr w:type="spellEnd"/>
      <w:r w:rsidRPr="00714369">
        <w:rPr>
          <w:rFonts w:ascii="Arial" w:hAnsi="Arial" w:cs="Arial"/>
          <w:sz w:val="22"/>
          <w:szCs w:val="22"/>
        </w:rPr>
        <w:t xml:space="preserve"> receptor </w:t>
      </w:r>
      <w:r>
        <w:rPr>
          <w:rFonts w:ascii="Arial" w:hAnsi="Arial" w:cs="Arial"/>
          <w:sz w:val="22"/>
          <w:szCs w:val="22"/>
        </w:rPr>
        <w:t>2</w:t>
      </w:r>
    </w:p>
    <w:p w14:paraId="143DA7F5" w14:textId="77777777" w:rsidR="00886A45" w:rsidRPr="00714369" w:rsidRDefault="00886A45" w:rsidP="00886A45">
      <w:pPr>
        <w:spacing w:line="480" w:lineRule="auto"/>
        <w:jc w:val="both"/>
        <w:rPr>
          <w:rFonts w:ascii="Arial" w:hAnsi="Arial" w:cs="Arial"/>
          <w:sz w:val="22"/>
          <w:szCs w:val="22"/>
        </w:rPr>
      </w:pPr>
      <w:r w:rsidRPr="00714369">
        <w:rPr>
          <w:rFonts w:ascii="Arial" w:hAnsi="Arial" w:cs="Arial"/>
          <w:sz w:val="22"/>
          <w:szCs w:val="22"/>
        </w:rPr>
        <w:t xml:space="preserve">EP4: E </w:t>
      </w:r>
      <w:proofErr w:type="spellStart"/>
      <w:r w:rsidRPr="00714369">
        <w:rPr>
          <w:rFonts w:ascii="Arial" w:hAnsi="Arial" w:cs="Arial"/>
          <w:sz w:val="22"/>
          <w:szCs w:val="22"/>
        </w:rPr>
        <w:t>prostanoid</w:t>
      </w:r>
      <w:proofErr w:type="spellEnd"/>
      <w:r w:rsidRPr="00714369">
        <w:rPr>
          <w:rFonts w:ascii="Arial" w:hAnsi="Arial" w:cs="Arial"/>
          <w:sz w:val="22"/>
          <w:szCs w:val="22"/>
        </w:rPr>
        <w:t xml:space="preserve"> receptor 4</w:t>
      </w:r>
    </w:p>
    <w:p w14:paraId="1C612C1C" w14:textId="77777777" w:rsidR="00886A45" w:rsidRPr="00714369" w:rsidRDefault="00886A45" w:rsidP="00886A45">
      <w:pPr>
        <w:spacing w:line="480" w:lineRule="auto"/>
        <w:jc w:val="both"/>
        <w:rPr>
          <w:rFonts w:ascii="Arial" w:hAnsi="Arial" w:cs="Arial"/>
          <w:sz w:val="22"/>
          <w:szCs w:val="22"/>
        </w:rPr>
      </w:pPr>
      <w:r>
        <w:rPr>
          <w:rFonts w:ascii="Arial" w:hAnsi="Arial" w:cs="Arial"/>
          <w:color w:val="000000"/>
          <w:sz w:val="22"/>
          <w:szCs w:val="22"/>
        </w:rPr>
        <w:t>FSC: F</w:t>
      </w:r>
      <w:r w:rsidRPr="00626AB4">
        <w:rPr>
          <w:rFonts w:ascii="Arial" w:hAnsi="Arial" w:cs="Arial"/>
          <w:color w:val="000000"/>
          <w:sz w:val="22"/>
          <w:szCs w:val="22"/>
        </w:rPr>
        <w:t>orward scatter</w:t>
      </w:r>
    </w:p>
    <w:p w14:paraId="56E5FA4C" w14:textId="77777777" w:rsidR="00886A45" w:rsidRPr="00341D70" w:rsidRDefault="00886A45" w:rsidP="00886A45">
      <w:pPr>
        <w:spacing w:line="480" w:lineRule="auto"/>
        <w:jc w:val="both"/>
        <w:rPr>
          <w:rFonts w:ascii="Arial" w:hAnsi="Arial" w:cs="Arial"/>
          <w:sz w:val="22"/>
          <w:szCs w:val="22"/>
        </w:rPr>
      </w:pPr>
      <w:r w:rsidRPr="00714369">
        <w:rPr>
          <w:rFonts w:ascii="Arial" w:hAnsi="Arial" w:cs="Arial"/>
          <w:sz w:val="22"/>
          <w:szCs w:val="22"/>
        </w:rPr>
        <w:t>IL: Interleukin</w:t>
      </w:r>
    </w:p>
    <w:p w14:paraId="4FC0246D" w14:textId="77777777" w:rsidR="00886A45" w:rsidRPr="00341D70" w:rsidRDefault="00886A45" w:rsidP="00886A45">
      <w:pPr>
        <w:spacing w:line="480" w:lineRule="auto"/>
        <w:jc w:val="both"/>
        <w:rPr>
          <w:rFonts w:ascii="Arial" w:hAnsi="Arial" w:cs="Arial"/>
          <w:sz w:val="22"/>
          <w:szCs w:val="22"/>
        </w:rPr>
      </w:pPr>
      <w:r w:rsidRPr="00341D70">
        <w:rPr>
          <w:rFonts w:ascii="Arial" w:hAnsi="Arial" w:cs="Arial"/>
          <w:sz w:val="22"/>
          <w:szCs w:val="22"/>
        </w:rPr>
        <w:t>ILC2: Group 2 innate lymphoid cell</w:t>
      </w:r>
      <w:r>
        <w:rPr>
          <w:rFonts w:ascii="Arial" w:hAnsi="Arial" w:cs="Arial"/>
          <w:sz w:val="22"/>
          <w:szCs w:val="22"/>
        </w:rPr>
        <w:t>s</w:t>
      </w:r>
    </w:p>
    <w:p w14:paraId="19425C3E" w14:textId="77777777" w:rsidR="00886A45" w:rsidRPr="00341D70" w:rsidRDefault="00886A45" w:rsidP="00886A45">
      <w:pPr>
        <w:spacing w:line="480" w:lineRule="auto"/>
        <w:jc w:val="both"/>
        <w:rPr>
          <w:rFonts w:ascii="Arial" w:hAnsi="Arial" w:cs="Arial"/>
          <w:sz w:val="22"/>
          <w:szCs w:val="22"/>
        </w:rPr>
      </w:pPr>
      <w:r w:rsidRPr="00341D70">
        <w:rPr>
          <w:rFonts w:ascii="Arial" w:hAnsi="Arial" w:cs="Arial"/>
          <w:sz w:val="22"/>
          <w:szCs w:val="22"/>
        </w:rPr>
        <w:t xml:space="preserve">NERD: </w:t>
      </w:r>
      <w:r w:rsidRPr="003348CA">
        <w:rPr>
          <w:rFonts w:ascii="Arial" w:hAnsi="Arial" w:cs="Arial"/>
          <w:color w:val="000000"/>
          <w:sz w:val="22"/>
          <w:szCs w:val="22"/>
        </w:rPr>
        <w:t>NSAID-exacerbated respiratory disease</w:t>
      </w:r>
    </w:p>
    <w:p w14:paraId="21D9668E" w14:textId="77777777" w:rsidR="00886A45" w:rsidRPr="00341D70" w:rsidRDefault="00886A45" w:rsidP="00886A45">
      <w:pPr>
        <w:spacing w:line="480" w:lineRule="auto"/>
        <w:jc w:val="both"/>
        <w:rPr>
          <w:rFonts w:ascii="Arial" w:hAnsi="Arial" w:cs="Arial"/>
          <w:sz w:val="22"/>
          <w:szCs w:val="22"/>
        </w:rPr>
      </w:pPr>
      <w:r w:rsidRPr="00341D70">
        <w:rPr>
          <w:rFonts w:ascii="Arial" w:hAnsi="Arial" w:cs="Arial"/>
          <w:sz w:val="22"/>
          <w:szCs w:val="22"/>
        </w:rPr>
        <w:t xml:space="preserve">NSAID: </w:t>
      </w:r>
      <w:r w:rsidRPr="003348CA">
        <w:rPr>
          <w:rFonts w:ascii="Arial" w:hAnsi="Arial" w:cs="Arial"/>
          <w:color w:val="000000"/>
          <w:sz w:val="22"/>
          <w:szCs w:val="22"/>
        </w:rPr>
        <w:t>Non-steroidal anti-inflammatory drugs</w:t>
      </w:r>
    </w:p>
    <w:p w14:paraId="2C40199F" w14:textId="77777777" w:rsidR="00886A45" w:rsidRPr="00714369" w:rsidRDefault="00886A45" w:rsidP="00886A45">
      <w:pPr>
        <w:spacing w:line="480" w:lineRule="auto"/>
        <w:jc w:val="both"/>
        <w:rPr>
          <w:rFonts w:ascii="Arial" w:hAnsi="Arial" w:cs="Arial"/>
          <w:sz w:val="22"/>
          <w:szCs w:val="22"/>
        </w:rPr>
      </w:pPr>
      <w:r w:rsidRPr="00714369">
        <w:rPr>
          <w:rFonts w:ascii="Arial" w:hAnsi="Arial" w:cs="Arial"/>
          <w:sz w:val="22"/>
          <w:szCs w:val="22"/>
        </w:rPr>
        <w:t xml:space="preserve">PG: </w:t>
      </w:r>
      <w:r w:rsidRPr="00714369">
        <w:rPr>
          <w:rFonts w:ascii="Arial" w:hAnsi="Arial" w:cs="Arial"/>
          <w:color w:val="000000"/>
          <w:sz w:val="22"/>
          <w:szCs w:val="22"/>
        </w:rPr>
        <w:t>Prostaglandin</w:t>
      </w:r>
    </w:p>
    <w:p w14:paraId="3223BFE8" w14:textId="77777777" w:rsidR="00886A45" w:rsidRPr="00714369" w:rsidRDefault="00886A45" w:rsidP="00886A45">
      <w:pPr>
        <w:spacing w:line="480" w:lineRule="auto"/>
        <w:jc w:val="both"/>
        <w:rPr>
          <w:rFonts w:ascii="Arial" w:hAnsi="Arial" w:cs="Arial"/>
          <w:sz w:val="22"/>
          <w:szCs w:val="22"/>
        </w:rPr>
      </w:pPr>
      <w:r w:rsidRPr="00714369">
        <w:rPr>
          <w:rFonts w:ascii="Arial" w:hAnsi="Arial" w:cs="Arial"/>
          <w:sz w:val="22"/>
          <w:szCs w:val="22"/>
        </w:rPr>
        <w:t>PGE</w:t>
      </w:r>
      <w:r w:rsidRPr="00714369">
        <w:rPr>
          <w:rFonts w:ascii="Arial" w:hAnsi="Arial" w:cs="Arial"/>
          <w:sz w:val="22"/>
          <w:szCs w:val="22"/>
          <w:vertAlign w:val="subscript"/>
        </w:rPr>
        <w:t>2</w:t>
      </w:r>
      <w:r w:rsidRPr="00714369">
        <w:rPr>
          <w:rFonts w:ascii="Arial" w:hAnsi="Arial" w:cs="Arial"/>
          <w:sz w:val="22"/>
          <w:szCs w:val="22"/>
        </w:rPr>
        <w:t>: Prostaglandin E</w:t>
      </w:r>
      <w:r w:rsidRPr="00714369">
        <w:rPr>
          <w:rFonts w:ascii="Arial" w:hAnsi="Arial" w:cs="Arial"/>
          <w:sz w:val="22"/>
          <w:szCs w:val="22"/>
          <w:vertAlign w:val="subscript"/>
        </w:rPr>
        <w:t>2</w:t>
      </w:r>
    </w:p>
    <w:p w14:paraId="2085E446" w14:textId="77777777" w:rsidR="00886A45" w:rsidRPr="00341D70" w:rsidRDefault="00886A45" w:rsidP="00886A45">
      <w:pPr>
        <w:spacing w:line="480" w:lineRule="auto"/>
        <w:jc w:val="both"/>
        <w:rPr>
          <w:rFonts w:ascii="Arial" w:hAnsi="Arial" w:cs="Arial"/>
          <w:sz w:val="22"/>
          <w:szCs w:val="22"/>
        </w:rPr>
      </w:pPr>
      <w:r w:rsidRPr="00341D70">
        <w:rPr>
          <w:rFonts w:ascii="Arial" w:hAnsi="Arial" w:cs="Arial"/>
          <w:sz w:val="22"/>
          <w:szCs w:val="22"/>
        </w:rPr>
        <w:t xml:space="preserve">STAT5: </w:t>
      </w:r>
      <w:r w:rsidRPr="0043564B">
        <w:rPr>
          <w:rFonts w:ascii="Arial" w:hAnsi="Arial" w:cs="Arial"/>
          <w:sz w:val="22"/>
          <w:szCs w:val="22"/>
        </w:rPr>
        <w:t>Signal transducer and activator of transcription 5</w:t>
      </w:r>
    </w:p>
    <w:p w14:paraId="4B9325B9" w14:textId="77777777" w:rsidR="00886A45" w:rsidRPr="00341D70" w:rsidRDefault="00886A45" w:rsidP="00886A45">
      <w:pPr>
        <w:spacing w:line="480" w:lineRule="auto"/>
        <w:jc w:val="both"/>
        <w:rPr>
          <w:rFonts w:ascii="Arial" w:hAnsi="Arial" w:cs="Arial"/>
          <w:sz w:val="22"/>
          <w:szCs w:val="22"/>
        </w:rPr>
      </w:pPr>
      <w:r w:rsidRPr="00341D70">
        <w:rPr>
          <w:rFonts w:ascii="Arial" w:hAnsi="Arial" w:cs="Arial"/>
          <w:sz w:val="22"/>
          <w:szCs w:val="22"/>
        </w:rPr>
        <w:t xml:space="preserve">Th2: </w:t>
      </w:r>
      <w:r>
        <w:rPr>
          <w:rFonts w:ascii="Arial" w:hAnsi="Arial" w:cs="Arial"/>
          <w:sz w:val="22"/>
          <w:szCs w:val="22"/>
        </w:rPr>
        <w:t>Type 2 helper T cells</w:t>
      </w:r>
    </w:p>
    <w:p w14:paraId="19D2933E" w14:textId="77777777" w:rsidR="00886A45" w:rsidRPr="00726423" w:rsidRDefault="00886A45" w:rsidP="00886A45">
      <w:pPr>
        <w:spacing w:line="480" w:lineRule="auto"/>
        <w:rPr>
          <w:rFonts w:ascii="Arial" w:hAnsi="Arial" w:cs="Arial"/>
          <w:color w:val="000000" w:themeColor="text1"/>
          <w:sz w:val="22"/>
          <w:szCs w:val="22"/>
        </w:rPr>
      </w:pPr>
    </w:p>
    <w:p w14:paraId="6E7D7095" w14:textId="74E2F10B" w:rsidR="001D5348" w:rsidRPr="00726423" w:rsidRDefault="001D5348" w:rsidP="00AF01E8">
      <w:pPr>
        <w:spacing w:line="480" w:lineRule="auto"/>
        <w:rPr>
          <w:rFonts w:ascii="Arial" w:hAnsi="Arial" w:cs="Arial"/>
          <w:b/>
          <w:bCs/>
          <w:color w:val="000000" w:themeColor="text1"/>
          <w:sz w:val="22"/>
          <w:szCs w:val="22"/>
        </w:rPr>
      </w:pPr>
      <w:r w:rsidRPr="00726423">
        <w:rPr>
          <w:rFonts w:ascii="Arial" w:hAnsi="Arial" w:cs="Arial"/>
          <w:b/>
          <w:bCs/>
          <w:color w:val="000000" w:themeColor="text1"/>
          <w:sz w:val="22"/>
          <w:szCs w:val="22"/>
        </w:rPr>
        <w:br w:type="page"/>
      </w:r>
    </w:p>
    <w:p w14:paraId="6B31128A" w14:textId="06327873" w:rsidR="000903C2" w:rsidRPr="00726423" w:rsidRDefault="00640DA4" w:rsidP="00AF01E8">
      <w:pPr>
        <w:spacing w:line="480" w:lineRule="auto"/>
        <w:jc w:val="both"/>
        <w:rPr>
          <w:rFonts w:ascii="Arial" w:hAnsi="Arial" w:cs="Arial"/>
          <w:b/>
          <w:bCs/>
          <w:color w:val="000000" w:themeColor="text1"/>
          <w:sz w:val="22"/>
          <w:szCs w:val="22"/>
        </w:rPr>
      </w:pPr>
      <w:r w:rsidRPr="00726423">
        <w:rPr>
          <w:rFonts w:ascii="Arial" w:hAnsi="Arial" w:cs="Arial"/>
          <w:b/>
          <w:bCs/>
          <w:color w:val="000000" w:themeColor="text1"/>
          <w:sz w:val="22"/>
          <w:szCs w:val="22"/>
        </w:rPr>
        <w:lastRenderedPageBreak/>
        <w:t>Introduction</w:t>
      </w:r>
    </w:p>
    <w:p w14:paraId="21B70615" w14:textId="197E8422" w:rsidR="00127BE2" w:rsidRPr="00726423" w:rsidRDefault="004B5229" w:rsidP="00AF01E8">
      <w:pPr>
        <w:spacing w:line="480" w:lineRule="auto"/>
        <w:jc w:val="both"/>
        <w:rPr>
          <w:rFonts w:ascii="Arial" w:hAnsi="Arial" w:cs="Arial"/>
          <w:color w:val="000000" w:themeColor="text1"/>
          <w:sz w:val="22"/>
          <w:szCs w:val="22"/>
        </w:rPr>
      </w:pPr>
      <w:r w:rsidRPr="00726423">
        <w:rPr>
          <w:rFonts w:ascii="Arial" w:hAnsi="Arial" w:cs="Arial"/>
          <w:color w:val="000000" w:themeColor="text1"/>
          <w:sz w:val="22"/>
          <w:szCs w:val="22"/>
        </w:rPr>
        <w:t>Asthma is a chronic inflammatory lung disease characterized by bronchoconstriction and airway hyperresponsiveness. Upon contact with allergens</w:t>
      </w:r>
      <w:r w:rsidR="00F97C0E" w:rsidRPr="00726423">
        <w:rPr>
          <w:rFonts w:ascii="Arial" w:hAnsi="Arial" w:cs="Arial"/>
          <w:color w:val="000000" w:themeColor="text1"/>
          <w:sz w:val="22"/>
          <w:szCs w:val="22"/>
        </w:rPr>
        <w:t>,</w:t>
      </w:r>
      <w:r w:rsidR="00D01D62" w:rsidRPr="00726423">
        <w:rPr>
          <w:rFonts w:ascii="Arial" w:hAnsi="Arial" w:cs="Arial"/>
          <w:color w:val="000000" w:themeColor="text1"/>
          <w:sz w:val="22"/>
          <w:szCs w:val="22"/>
        </w:rPr>
        <w:t xml:space="preserve"> irritants</w:t>
      </w:r>
      <w:r w:rsidRPr="00726423">
        <w:rPr>
          <w:rFonts w:ascii="Arial" w:hAnsi="Arial" w:cs="Arial"/>
          <w:color w:val="000000" w:themeColor="text1"/>
          <w:sz w:val="22"/>
          <w:szCs w:val="22"/>
        </w:rPr>
        <w:t xml:space="preserve"> (e.g., pollen, air pollutants)</w:t>
      </w:r>
      <w:r w:rsidR="00F96F8B" w:rsidRPr="00726423">
        <w:rPr>
          <w:rFonts w:ascii="Arial" w:hAnsi="Arial" w:cs="Arial"/>
          <w:color w:val="000000" w:themeColor="text1"/>
          <w:sz w:val="22"/>
          <w:szCs w:val="22"/>
        </w:rPr>
        <w:t xml:space="preserve"> or infections</w:t>
      </w:r>
      <w:r w:rsidRPr="00726423">
        <w:rPr>
          <w:rFonts w:ascii="Arial" w:hAnsi="Arial" w:cs="Arial"/>
          <w:color w:val="000000" w:themeColor="text1"/>
          <w:sz w:val="22"/>
          <w:szCs w:val="22"/>
        </w:rPr>
        <w:t xml:space="preserve">, damaged lung epithelial cells </w:t>
      </w:r>
      <w:r w:rsidR="00F96F8B" w:rsidRPr="00726423">
        <w:rPr>
          <w:rFonts w:ascii="Arial" w:hAnsi="Arial" w:cs="Arial"/>
          <w:color w:val="000000" w:themeColor="text1"/>
          <w:sz w:val="22"/>
          <w:szCs w:val="22"/>
        </w:rPr>
        <w:t>release</w:t>
      </w:r>
      <w:r w:rsidRPr="00726423">
        <w:rPr>
          <w:rFonts w:ascii="Arial" w:hAnsi="Arial" w:cs="Arial"/>
          <w:color w:val="000000" w:themeColor="text1"/>
          <w:sz w:val="22"/>
          <w:szCs w:val="22"/>
        </w:rPr>
        <w:t xml:space="preserve"> pro-allergic cytokines such as IL-33</w:t>
      </w:r>
      <w:r w:rsidR="00F96F8B" w:rsidRPr="00726423">
        <w:rPr>
          <w:rFonts w:ascii="Arial" w:hAnsi="Arial" w:cs="Arial"/>
          <w:color w:val="000000" w:themeColor="text1"/>
          <w:sz w:val="22"/>
          <w:szCs w:val="22"/>
        </w:rPr>
        <w:t>,</w:t>
      </w:r>
      <w:r w:rsidRPr="00726423">
        <w:rPr>
          <w:rFonts w:ascii="Arial" w:hAnsi="Arial" w:cs="Arial"/>
          <w:color w:val="000000" w:themeColor="text1"/>
          <w:sz w:val="22"/>
          <w:szCs w:val="22"/>
        </w:rPr>
        <w:t xml:space="preserve"> which rapidly activates </w:t>
      </w:r>
      <w:r w:rsidR="00F97C0E" w:rsidRPr="00726423">
        <w:rPr>
          <w:rFonts w:ascii="Arial" w:hAnsi="Arial" w:cs="Arial"/>
          <w:color w:val="000000" w:themeColor="text1"/>
          <w:sz w:val="22"/>
          <w:szCs w:val="22"/>
        </w:rPr>
        <w:t xml:space="preserve">many immune cells including </w:t>
      </w:r>
      <w:r w:rsidRPr="00726423">
        <w:rPr>
          <w:rFonts w:ascii="Arial" w:hAnsi="Arial" w:cs="Arial"/>
          <w:color w:val="000000" w:themeColor="text1"/>
          <w:sz w:val="22"/>
          <w:szCs w:val="22"/>
        </w:rPr>
        <w:t>group 2 innate lymphoid cells (ILC2s)</w:t>
      </w:r>
      <w:r w:rsidR="00127BE2" w:rsidRPr="00726423">
        <w:rPr>
          <w:rFonts w:ascii="Arial" w:hAnsi="Arial" w:cs="Arial"/>
          <w:color w:val="000000" w:themeColor="text1"/>
          <w:sz w:val="22"/>
          <w:szCs w:val="22"/>
        </w:rPr>
        <w:t>. ILC2s are innate lymphocytes without antigen-specific receptors, but they highly express Th2 transcription factors such as GATA3 and epithelial cytokine receptors including ST2 (the IL-33 receptor)</w:t>
      </w:r>
      <w:r w:rsidR="00F97C0E" w:rsidRPr="00726423">
        <w:rPr>
          <w:rFonts w:ascii="Arial" w:hAnsi="Arial" w:cs="Arial"/>
          <w:color w:val="000000" w:themeColor="text1"/>
          <w:sz w:val="22"/>
          <w:szCs w:val="22"/>
          <w:vertAlign w:val="superscript"/>
        </w:rPr>
        <w:fldChar w:fldCharType="begin"/>
      </w:r>
      <w:r w:rsidR="00361359">
        <w:rPr>
          <w:rFonts w:ascii="Arial" w:hAnsi="Arial" w:cs="Arial"/>
          <w:color w:val="000000" w:themeColor="text1"/>
          <w:sz w:val="22"/>
          <w:szCs w:val="22"/>
          <w:vertAlign w:val="superscript"/>
        </w:rPr>
        <w:instrText xml:space="preserve"> ADDIN ZOTERO_ITEM CSL_CITATION {"citationID":"ah2keog8d9","properties":{"formattedCitation":"\\super 1\\nosupersub{}","plainCitation":"1","noteIndex":0},"citationItems":[{"id":1637,"uris":["http://zotero.org/users/local/OCWppIAO/items/ZTKMA75C"],"itemData":{"id":1637,"type":"article-journal","abstract":"In the last decade, the full picture of the role of innate lymphoid cells (ILCs) has been gradually revealed. ILCs are classified into 3 groups based on their transcription factors and cytokine production patterns, which mirror helper T-cell subsets. Unlike T cells and B cells, ILCs do not have antigen receptors. They promptly respond to multiple tissue-derived factors, such as cytokines and alarmins, and produce multiple proinflammatory and immunoregulatory cytokines. It has been reported that ILC-derived cytokines are important for the induction and regulation of inflammation. Accumulating evidence suggests that ILCs play substantial roles in protection against infection and the pathogenesis of inflammatory diseases, such as allergic diseases and autoimmune diseases. Different ILC subsets localize in distinct tissue/organ niches and receive tissue-derived signals on different types of inflammation, which allows them to acquire diverse phenotypes with specialized effector capacities. In this review we highlight the roles of ILCs in a variety of organs, such as the airway, skin, and gastrointestinal tract, in the context of allergic and nonallergic inflammation.","container-title":"The Journal of Allergy and Clinical Immunology","DOI":"10.1016/j.jaci.2016.09.011","ISSN":"1097-6825","issue":"5","journalAbbreviation":"J Allergy Clin Immunol","language":"eng","note":"PMID: 27817797","page":"1253-1264","source":"PubMed","title":"Innate lymphoid cells in allergic and nonallergic inflammation","volume":"138","author":[{"family":"Morita","given":"Hideaki"},{"family":"Moro","given":"Kazuyo"},{"family":"Koyasu","given":"Shigeo"}],"issued":{"date-parts":[["2016",11]]}}}],"schema":"https://github.com/citation-style-language/schema/raw/master/csl-citation.json"} </w:instrText>
      </w:r>
      <w:r w:rsidR="00F97C0E" w:rsidRPr="00726423">
        <w:rPr>
          <w:rFonts w:ascii="Arial" w:hAnsi="Arial" w:cs="Arial"/>
          <w:color w:val="000000" w:themeColor="text1"/>
          <w:sz w:val="22"/>
          <w:szCs w:val="22"/>
          <w:vertAlign w:val="superscript"/>
        </w:rPr>
        <w:fldChar w:fldCharType="separate"/>
      </w:r>
      <w:r w:rsidR="00361359" w:rsidRPr="00361359">
        <w:rPr>
          <w:rFonts w:ascii="Arial" w:hAnsi="Arial" w:cs="Arial"/>
          <w:color w:val="000000"/>
          <w:sz w:val="22"/>
          <w:vertAlign w:val="superscript"/>
        </w:rPr>
        <w:t>1</w:t>
      </w:r>
      <w:r w:rsidR="00F97C0E" w:rsidRPr="00726423">
        <w:rPr>
          <w:rFonts w:ascii="Arial" w:hAnsi="Arial" w:cs="Arial"/>
          <w:color w:val="000000" w:themeColor="text1"/>
          <w:sz w:val="22"/>
          <w:szCs w:val="22"/>
          <w:vertAlign w:val="superscript"/>
        </w:rPr>
        <w:fldChar w:fldCharType="end"/>
      </w:r>
      <w:r w:rsidR="00127BE2" w:rsidRPr="00726423">
        <w:rPr>
          <w:rFonts w:ascii="Arial" w:hAnsi="Arial" w:cs="Arial"/>
          <w:color w:val="000000" w:themeColor="text1"/>
          <w:sz w:val="22"/>
          <w:szCs w:val="22"/>
        </w:rPr>
        <w:t xml:space="preserve">. In response to stimuli by epithelial cytokines, ILC2s </w:t>
      </w:r>
      <w:r w:rsidRPr="00726423">
        <w:rPr>
          <w:rFonts w:ascii="Arial" w:hAnsi="Arial" w:cs="Arial"/>
          <w:color w:val="000000" w:themeColor="text1"/>
          <w:sz w:val="22"/>
          <w:szCs w:val="22"/>
        </w:rPr>
        <w:t>produc</w:t>
      </w:r>
      <w:r w:rsidR="00127BE2" w:rsidRPr="00726423">
        <w:rPr>
          <w:rFonts w:ascii="Arial" w:hAnsi="Arial" w:cs="Arial"/>
          <w:color w:val="000000" w:themeColor="text1"/>
          <w:sz w:val="22"/>
          <w:szCs w:val="22"/>
        </w:rPr>
        <w:t>e large amounts of</w:t>
      </w:r>
      <w:r w:rsidRPr="00726423">
        <w:rPr>
          <w:rFonts w:ascii="Arial" w:hAnsi="Arial" w:cs="Arial"/>
          <w:color w:val="000000" w:themeColor="text1"/>
          <w:sz w:val="22"/>
          <w:szCs w:val="22"/>
        </w:rPr>
        <w:t xml:space="preserve"> type 2 cytokines (e.g.</w:t>
      </w:r>
      <w:r w:rsidR="00127BE2" w:rsidRPr="00726423">
        <w:rPr>
          <w:rFonts w:ascii="Arial" w:hAnsi="Arial" w:cs="Arial"/>
          <w:color w:val="000000" w:themeColor="text1"/>
          <w:sz w:val="22"/>
          <w:szCs w:val="22"/>
        </w:rPr>
        <w:t>,</w:t>
      </w:r>
      <w:r w:rsidRPr="00726423">
        <w:rPr>
          <w:rFonts w:ascii="Arial" w:hAnsi="Arial" w:cs="Arial"/>
          <w:color w:val="000000" w:themeColor="text1"/>
          <w:sz w:val="22"/>
          <w:szCs w:val="22"/>
        </w:rPr>
        <w:t xml:space="preserve"> </w:t>
      </w:r>
      <w:r w:rsidR="00626AB4" w:rsidRPr="00726423">
        <w:rPr>
          <w:rFonts w:ascii="Arial" w:hAnsi="Arial" w:cs="Arial"/>
          <w:color w:val="000000" w:themeColor="text1"/>
          <w:sz w:val="22"/>
          <w:szCs w:val="22"/>
        </w:rPr>
        <w:t>interleukin [</w:t>
      </w:r>
      <w:r w:rsidRPr="00726423">
        <w:rPr>
          <w:rFonts w:ascii="Arial" w:hAnsi="Arial" w:cs="Arial"/>
          <w:color w:val="000000" w:themeColor="text1"/>
          <w:sz w:val="22"/>
          <w:szCs w:val="22"/>
        </w:rPr>
        <w:t>IL</w:t>
      </w:r>
      <w:r w:rsidR="00626AB4" w:rsidRPr="00726423">
        <w:rPr>
          <w:rFonts w:ascii="Arial" w:hAnsi="Arial" w:cs="Arial"/>
          <w:color w:val="000000" w:themeColor="text1"/>
          <w:sz w:val="22"/>
          <w:szCs w:val="22"/>
        </w:rPr>
        <w:t>]</w:t>
      </w:r>
      <w:r w:rsidRPr="00726423">
        <w:rPr>
          <w:rFonts w:ascii="Arial" w:hAnsi="Arial" w:cs="Arial"/>
          <w:color w:val="000000" w:themeColor="text1"/>
          <w:sz w:val="22"/>
          <w:szCs w:val="22"/>
        </w:rPr>
        <w:t xml:space="preserve">-5, IL-13), </w:t>
      </w:r>
      <w:r w:rsidR="00127BE2" w:rsidRPr="00726423">
        <w:rPr>
          <w:rFonts w:ascii="Arial" w:hAnsi="Arial" w:cs="Arial"/>
          <w:color w:val="000000" w:themeColor="text1"/>
          <w:sz w:val="22"/>
          <w:szCs w:val="22"/>
        </w:rPr>
        <w:t xml:space="preserve">which </w:t>
      </w:r>
      <w:r w:rsidR="00931487" w:rsidRPr="00726423">
        <w:rPr>
          <w:rFonts w:ascii="Arial" w:hAnsi="Arial" w:cs="Arial"/>
          <w:color w:val="000000" w:themeColor="text1"/>
          <w:sz w:val="22"/>
          <w:szCs w:val="22"/>
        </w:rPr>
        <w:t>i</w:t>
      </w:r>
      <w:r w:rsidRPr="00726423">
        <w:rPr>
          <w:rFonts w:ascii="Arial" w:hAnsi="Arial" w:cs="Arial"/>
          <w:color w:val="000000" w:themeColor="text1"/>
          <w:sz w:val="22"/>
          <w:szCs w:val="22"/>
        </w:rPr>
        <w:t>nitiat</w:t>
      </w:r>
      <w:r w:rsidR="00127BE2" w:rsidRPr="00726423">
        <w:rPr>
          <w:rFonts w:ascii="Arial" w:hAnsi="Arial" w:cs="Arial"/>
          <w:color w:val="000000" w:themeColor="text1"/>
          <w:sz w:val="22"/>
          <w:szCs w:val="22"/>
        </w:rPr>
        <w:t>e</w:t>
      </w:r>
      <w:r w:rsidRPr="00726423">
        <w:rPr>
          <w:rFonts w:ascii="Arial" w:hAnsi="Arial" w:cs="Arial"/>
          <w:color w:val="000000" w:themeColor="text1"/>
          <w:sz w:val="22"/>
          <w:szCs w:val="22"/>
        </w:rPr>
        <w:t xml:space="preserve"> </w:t>
      </w:r>
      <w:r w:rsidR="00C8594B" w:rsidRPr="00726423">
        <w:rPr>
          <w:rFonts w:ascii="Arial" w:hAnsi="Arial" w:cs="Arial"/>
          <w:color w:val="000000" w:themeColor="text1"/>
          <w:sz w:val="22"/>
          <w:szCs w:val="22"/>
        </w:rPr>
        <w:t>the early o</w:t>
      </w:r>
      <w:r w:rsidR="00931487" w:rsidRPr="00726423">
        <w:rPr>
          <w:rFonts w:ascii="Arial" w:hAnsi="Arial" w:cs="Arial"/>
          <w:color w:val="000000" w:themeColor="text1"/>
          <w:sz w:val="22"/>
          <w:szCs w:val="22"/>
        </w:rPr>
        <w:t>n</w:t>
      </w:r>
      <w:r w:rsidR="00C8594B" w:rsidRPr="00726423">
        <w:rPr>
          <w:rFonts w:ascii="Arial" w:hAnsi="Arial" w:cs="Arial"/>
          <w:color w:val="000000" w:themeColor="text1"/>
          <w:sz w:val="22"/>
          <w:szCs w:val="22"/>
        </w:rPr>
        <w:t>se</w:t>
      </w:r>
      <w:r w:rsidR="00931487" w:rsidRPr="00726423">
        <w:rPr>
          <w:rFonts w:ascii="Arial" w:hAnsi="Arial" w:cs="Arial"/>
          <w:color w:val="000000" w:themeColor="text1"/>
          <w:sz w:val="22"/>
          <w:szCs w:val="22"/>
        </w:rPr>
        <w:t>t</w:t>
      </w:r>
      <w:r w:rsidR="00C8594B" w:rsidRPr="00726423">
        <w:rPr>
          <w:rFonts w:ascii="Arial" w:hAnsi="Arial" w:cs="Arial"/>
          <w:color w:val="000000" w:themeColor="text1"/>
          <w:sz w:val="22"/>
          <w:szCs w:val="22"/>
        </w:rPr>
        <w:t xml:space="preserve"> of innate allergic inflammation</w:t>
      </w:r>
      <w:r w:rsidR="00D73B11" w:rsidRPr="00726423">
        <w:rPr>
          <w:rFonts w:ascii="Arial" w:hAnsi="Arial" w:cs="Arial"/>
          <w:color w:val="000000" w:themeColor="text1"/>
          <w:sz w:val="22"/>
          <w:szCs w:val="22"/>
          <w:vertAlign w:val="superscript"/>
        </w:rPr>
        <w:fldChar w:fldCharType="begin"/>
      </w:r>
      <w:r w:rsidR="00361359">
        <w:rPr>
          <w:rFonts w:ascii="Arial" w:hAnsi="Arial" w:cs="Arial"/>
          <w:color w:val="000000" w:themeColor="text1"/>
          <w:sz w:val="22"/>
          <w:szCs w:val="22"/>
          <w:vertAlign w:val="superscript"/>
        </w:rPr>
        <w:instrText xml:space="preserve"> ADDIN ZOTERO_ITEM CSL_CITATION {"citationID":"IfKPIS5T","properties":{"formattedCitation":"\\super 1\\nosupersub{}","plainCitation":"1","noteIndex":0},"citationItems":[{"id":1637,"uris":["http://zotero.org/users/local/OCWppIAO/items/ZTKMA75C"],"itemData":{"id":1637,"type":"article-journal","abstract":"In the last decade, the full picture of the role of innate lymphoid cells (ILCs) has been gradually revealed. ILCs are classified into 3 groups based on their transcription factors and cytokine production patterns, which mirror helper T-cell subsets. Unlike T cells and B cells, ILCs do not have antigen receptors. They promptly respond to multiple tissue-derived factors, such as cytokines and alarmins, and produce multiple proinflammatory and immunoregulatory cytokines. It has been reported that ILC-derived cytokines are important for the induction and regulation of inflammation. Accumulating evidence suggests that ILCs play substantial roles in protection against infection and the pathogenesis of inflammatory diseases, such as allergic diseases and autoimmune diseases. Different ILC subsets localize in distinct tissue/organ niches and receive tissue-derived signals on different types of inflammation, which allows them to acquire diverse phenotypes with specialized effector capacities. In this review we highlight the roles of ILCs in a variety of organs, such as the airway, skin, and gastrointestinal tract, in the context of allergic and nonallergic inflammation.","container-title":"The Journal of Allergy and Clinical Immunology","DOI":"10.1016/j.jaci.2016.09.011","ISSN":"1097-6825","issue":"5","journalAbbreviation":"J Allergy Clin Immunol","language":"eng","note":"PMID: 27817797","page":"1253-1264","source":"PubMed","title":"Innate lymphoid cells in allergic and nonallergic inflammation","volume":"138","author":[{"family":"Morita","given":"Hideaki"},{"family":"Moro","given":"Kazuyo"},{"family":"Koyasu","given":"Shigeo"}],"issued":{"date-parts":[["2016",11]]}}}],"schema":"https://github.com/citation-style-language/schema/raw/master/csl-citation.json"} </w:instrText>
      </w:r>
      <w:r w:rsidR="00D73B11" w:rsidRPr="00726423">
        <w:rPr>
          <w:rFonts w:ascii="Arial" w:hAnsi="Arial" w:cs="Arial"/>
          <w:color w:val="000000" w:themeColor="text1"/>
          <w:sz w:val="22"/>
          <w:szCs w:val="22"/>
          <w:vertAlign w:val="superscript"/>
        </w:rPr>
        <w:fldChar w:fldCharType="separate"/>
      </w:r>
      <w:r w:rsidR="00361359" w:rsidRPr="00361359">
        <w:rPr>
          <w:rFonts w:ascii="Arial" w:hAnsi="Arial" w:cs="Arial"/>
          <w:color w:val="000000"/>
          <w:sz w:val="22"/>
          <w:vertAlign w:val="superscript"/>
        </w:rPr>
        <w:t>1</w:t>
      </w:r>
      <w:r w:rsidR="00D73B11" w:rsidRPr="00726423">
        <w:rPr>
          <w:rFonts w:ascii="Arial" w:hAnsi="Arial" w:cs="Arial"/>
          <w:color w:val="000000" w:themeColor="text1"/>
          <w:sz w:val="22"/>
          <w:szCs w:val="22"/>
          <w:vertAlign w:val="superscript"/>
        </w:rPr>
        <w:fldChar w:fldCharType="end"/>
      </w:r>
      <w:r w:rsidR="00C8594B" w:rsidRPr="00726423">
        <w:rPr>
          <w:rFonts w:ascii="Arial" w:hAnsi="Arial" w:cs="Arial"/>
          <w:color w:val="000000" w:themeColor="text1"/>
          <w:sz w:val="22"/>
          <w:szCs w:val="22"/>
        </w:rPr>
        <w:t>.</w:t>
      </w:r>
      <w:r w:rsidR="000E28A0" w:rsidRPr="00726423">
        <w:rPr>
          <w:rFonts w:ascii="Arial" w:hAnsi="Arial" w:cs="Arial"/>
          <w:color w:val="000000" w:themeColor="text1"/>
          <w:sz w:val="22"/>
          <w:szCs w:val="22"/>
        </w:rPr>
        <w:t xml:space="preserve"> Lack or reduction of ILC2s leads to decline of type 2 inflammation</w:t>
      </w:r>
      <w:r w:rsidR="00D414D2" w:rsidRPr="00726423">
        <w:rPr>
          <w:rFonts w:ascii="Arial" w:hAnsi="Arial" w:cs="Arial"/>
          <w:color w:val="000000" w:themeColor="text1"/>
          <w:sz w:val="22"/>
          <w:szCs w:val="22"/>
        </w:rPr>
        <w:t xml:space="preserve"> </w:t>
      </w:r>
      <w:r w:rsidR="00447499" w:rsidRPr="00726423">
        <w:rPr>
          <w:rFonts w:ascii="Arial" w:hAnsi="Arial" w:cs="Arial"/>
          <w:color w:val="000000" w:themeColor="text1"/>
          <w:sz w:val="22"/>
          <w:szCs w:val="22"/>
        </w:rPr>
        <w:t>during diseases</w:t>
      </w:r>
      <w:r w:rsidR="0050775A" w:rsidRPr="00726423">
        <w:rPr>
          <w:rFonts w:ascii="Arial" w:hAnsi="Arial" w:cs="Arial"/>
          <w:color w:val="000000" w:themeColor="text1"/>
          <w:sz w:val="22"/>
          <w:szCs w:val="22"/>
        </w:rPr>
        <w:t>, as found in</w:t>
      </w:r>
      <w:r w:rsidR="00D414D2" w:rsidRPr="00726423">
        <w:rPr>
          <w:rFonts w:ascii="Arial" w:hAnsi="Arial" w:cs="Arial"/>
          <w:color w:val="000000" w:themeColor="text1"/>
          <w:sz w:val="22"/>
          <w:szCs w:val="22"/>
        </w:rPr>
        <w:t xml:space="preserve"> asthma, metabolic diseases and cancer</w:t>
      </w:r>
      <w:r w:rsidR="00447499" w:rsidRPr="00726423">
        <w:rPr>
          <w:rFonts w:ascii="Arial" w:hAnsi="Arial" w:cs="Arial"/>
          <w:color w:val="000000" w:themeColor="text1"/>
          <w:sz w:val="22"/>
          <w:szCs w:val="22"/>
        </w:rPr>
        <w:t xml:space="preserve"> and alteration of type 2 immunity in response to parasite infections</w:t>
      </w:r>
      <w:r w:rsidR="00D414D2" w:rsidRPr="00726423">
        <w:rPr>
          <w:rFonts w:ascii="Arial" w:hAnsi="Arial" w:cs="Arial"/>
          <w:color w:val="000000" w:themeColor="text1"/>
          <w:sz w:val="22"/>
          <w:szCs w:val="22"/>
          <w:vertAlign w:val="superscript"/>
        </w:rPr>
        <w:fldChar w:fldCharType="begin"/>
      </w:r>
      <w:r w:rsidR="00361359">
        <w:rPr>
          <w:rFonts w:ascii="Arial" w:hAnsi="Arial" w:cs="Arial"/>
          <w:color w:val="000000" w:themeColor="text1"/>
          <w:sz w:val="22"/>
          <w:szCs w:val="22"/>
          <w:vertAlign w:val="superscript"/>
        </w:rPr>
        <w:instrText xml:space="preserve"> ADDIN ZOTERO_ITEM CSL_CITATION {"citationID":"dxKj9EL2","properties":{"formattedCitation":"\\super 1\\nosupersub{}","plainCitation":"1","noteIndex":0},"citationItems":[{"id":1637,"uris":["http://zotero.org/users/local/OCWppIAO/items/ZTKMA75C"],"itemData":{"id":1637,"type":"article-journal","abstract":"In the last decade, the full picture of the role of innate lymphoid cells (ILCs) has been gradually revealed. ILCs are classified into 3 groups based on their transcription factors and cytokine production patterns, which mirror helper T-cell subsets. Unlike T cells and B cells, ILCs do not have antigen receptors. They promptly respond to multiple tissue-derived factors, such as cytokines and alarmins, and produce multiple proinflammatory and immunoregulatory cytokines. It has been reported that ILC-derived cytokines are important for the induction and regulation of inflammation. Accumulating evidence suggests that ILCs play substantial roles in protection against infection and the pathogenesis of inflammatory diseases, such as allergic diseases and autoimmune diseases. Different ILC subsets localize in distinct tissue/organ niches and receive tissue-derived signals on different types of inflammation, which allows them to acquire diverse phenotypes with specialized effector capacities. In this review we highlight the roles of ILCs in a variety of organs, such as the airway, skin, and gastrointestinal tract, in the context of allergic and nonallergic inflammation.","container-title":"The Journal of Allergy and Clinical Immunology","DOI":"10.1016/j.jaci.2016.09.011","ISSN":"1097-6825","issue":"5","journalAbbreviation":"J Allergy Clin Immunol","language":"eng","note":"PMID: 27817797","page":"1253-1264","source":"PubMed","title":"Innate lymphoid cells in allergic and nonallergic inflammation","volume":"138","author":[{"family":"Morita","given":"Hideaki"},{"family":"Moro","given":"Kazuyo"},{"family":"Koyasu","given":"Shigeo"}],"issued":{"date-parts":[["2016",11]]}}}],"schema":"https://github.com/citation-style-language/schema/raw/master/csl-citation.json"} </w:instrText>
      </w:r>
      <w:r w:rsidR="00D414D2" w:rsidRPr="00726423">
        <w:rPr>
          <w:rFonts w:ascii="Arial" w:hAnsi="Arial" w:cs="Arial"/>
          <w:color w:val="000000" w:themeColor="text1"/>
          <w:sz w:val="22"/>
          <w:szCs w:val="22"/>
          <w:vertAlign w:val="superscript"/>
        </w:rPr>
        <w:fldChar w:fldCharType="separate"/>
      </w:r>
      <w:r w:rsidR="00361359" w:rsidRPr="00361359">
        <w:rPr>
          <w:rFonts w:ascii="Arial" w:hAnsi="Arial" w:cs="Arial"/>
          <w:color w:val="000000"/>
          <w:sz w:val="22"/>
          <w:vertAlign w:val="superscript"/>
        </w:rPr>
        <w:t>1</w:t>
      </w:r>
      <w:r w:rsidR="00D414D2" w:rsidRPr="00726423">
        <w:rPr>
          <w:rFonts w:ascii="Arial" w:hAnsi="Arial" w:cs="Arial"/>
          <w:color w:val="000000" w:themeColor="text1"/>
          <w:sz w:val="22"/>
          <w:szCs w:val="22"/>
          <w:vertAlign w:val="superscript"/>
        </w:rPr>
        <w:fldChar w:fldCharType="end"/>
      </w:r>
      <w:r w:rsidR="00B952B8">
        <w:rPr>
          <w:rFonts w:ascii="Arial" w:hAnsi="Arial" w:cs="Arial"/>
          <w:color w:val="000000" w:themeColor="text1"/>
          <w:sz w:val="22"/>
          <w:szCs w:val="22"/>
          <w:vertAlign w:val="superscript"/>
        </w:rPr>
        <w:t>,</w:t>
      </w:r>
      <w:r w:rsidR="00FE425B" w:rsidRPr="00726423">
        <w:rPr>
          <w:rFonts w:ascii="Arial" w:hAnsi="Arial" w:cs="Arial"/>
          <w:color w:val="000000" w:themeColor="text1"/>
          <w:sz w:val="22"/>
          <w:szCs w:val="22"/>
          <w:vertAlign w:val="superscript"/>
        </w:rPr>
        <w:fldChar w:fldCharType="begin"/>
      </w:r>
      <w:r w:rsidR="00361359">
        <w:rPr>
          <w:rFonts w:ascii="Arial" w:hAnsi="Arial" w:cs="Arial"/>
          <w:color w:val="000000" w:themeColor="text1"/>
          <w:sz w:val="22"/>
          <w:szCs w:val="22"/>
          <w:vertAlign w:val="superscript"/>
        </w:rPr>
        <w:instrText xml:space="preserve"> ADDIN ZOTERO_ITEM CSL_CITATION {"citationID":"a1k3hv2fh3r","properties":{"formattedCitation":"\\super 2\\nosupersub{}","plainCitation":"2","noteIndex":0},"citationItems":[{"id":1768,"uris":["http://zotero.org/users/local/OCWppIAO/items/249DVS9H"],"itemData":{"id":1768,"type":"article-journal","abstract":"Overproduction of cytokines by T helper 2 (Th2) cells in the lung is thought to be a cause of asthma. Here we report that innate lymphocytes termed lung natural helper (LNH) cells are a T cell-independent source of Th2 cell-type cytokines in protease allergen-treated lungs. LNH (Lin(-)Sca-1(+)c-kit(+/lo)CD25(+)CD127(+)) cells, when stimulated by IL-33 plus IL-2, IL-7, or thymic stroma lymphopoietin (TSLP), produced large amounts of IL-5 and IL-13. Intranasal administration of protease allergen papain induced eosinophil infiltration and mucus hyperproduction in the lung of wild-type and Rag1(-/-) mice, but not in Rag2(-/-)Il2rg(-/-) mice that lack LNH cells. LNH cell depletion inhibited papain-induced airway inflammation in Rag1(-/-) mice whereas adoptive transfer of LNH cells enabled Rag2(-/-)Il2rg(-/-) mice to respond to papain. Treatment of lung explants with papain induced IL-33 and TSLP production by stroma cells and IL-5 and IL-13 production by LNH cells. Thus, LNH cells are critical for protease allergen-induced airway inflammation.","container-title":"Immunity","DOI":"10.1016/j.immuni.2011.12.020","ISSN":"1097-4180","issue":"3","journalAbbreviation":"Immunity","language":"eng","note":"PMID: 22425247","page":"451-463","source":"PubMed","title":"Lung natural helper cells are a critical source of Th2 cell-type cytokines in protease allergen-induced airway inflammation","volume":"36","author":[{"family":"Halim","given":"Timotheus Y. F."},{"family":"Krauss","given":"Ramona H."},{"family":"Sun","given":"Ann C."},{"family":"Takei","given":"Fumio"}],"issued":{"date-parts":[["2012",3,23]]}}}],"schema":"https://github.com/citation-style-language/schema/raw/master/csl-citation.json"} </w:instrText>
      </w:r>
      <w:r w:rsidR="00FE425B" w:rsidRPr="00726423">
        <w:rPr>
          <w:rFonts w:ascii="Arial" w:hAnsi="Arial" w:cs="Arial"/>
          <w:color w:val="000000" w:themeColor="text1"/>
          <w:sz w:val="22"/>
          <w:szCs w:val="22"/>
          <w:vertAlign w:val="superscript"/>
        </w:rPr>
        <w:fldChar w:fldCharType="separate"/>
      </w:r>
      <w:r w:rsidR="00361359" w:rsidRPr="00361359">
        <w:rPr>
          <w:rFonts w:ascii="Arial" w:hAnsi="Arial" w:cs="Arial"/>
          <w:color w:val="000000"/>
          <w:sz w:val="22"/>
          <w:vertAlign w:val="superscript"/>
        </w:rPr>
        <w:t>2</w:t>
      </w:r>
      <w:r w:rsidR="00FE425B" w:rsidRPr="00726423">
        <w:rPr>
          <w:rFonts w:ascii="Arial" w:hAnsi="Arial" w:cs="Arial"/>
          <w:color w:val="000000" w:themeColor="text1"/>
          <w:sz w:val="22"/>
          <w:szCs w:val="22"/>
          <w:vertAlign w:val="superscript"/>
        </w:rPr>
        <w:fldChar w:fldCharType="end"/>
      </w:r>
      <w:r w:rsidR="000E28A0" w:rsidRPr="00726423">
        <w:rPr>
          <w:rFonts w:ascii="Arial" w:hAnsi="Arial" w:cs="Arial"/>
          <w:color w:val="000000" w:themeColor="text1"/>
          <w:sz w:val="22"/>
          <w:szCs w:val="22"/>
        </w:rPr>
        <w:t>.</w:t>
      </w:r>
      <w:r w:rsidR="00C8594B" w:rsidRPr="00726423">
        <w:rPr>
          <w:rFonts w:ascii="Arial" w:hAnsi="Arial" w:cs="Arial"/>
          <w:color w:val="000000" w:themeColor="text1"/>
          <w:sz w:val="22"/>
          <w:szCs w:val="22"/>
        </w:rPr>
        <w:t xml:space="preserve"> ILC2s also contribute to type 2 helper (Th2) cell</w:t>
      </w:r>
      <w:r w:rsidR="00F97C0E" w:rsidRPr="00726423">
        <w:rPr>
          <w:rFonts w:ascii="Arial" w:hAnsi="Arial" w:cs="Arial"/>
          <w:color w:val="000000" w:themeColor="text1"/>
          <w:sz w:val="22"/>
          <w:szCs w:val="22"/>
        </w:rPr>
        <w:t xml:space="preserve"> activation</w:t>
      </w:r>
      <w:r w:rsidR="00C8594B" w:rsidRPr="00726423">
        <w:rPr>
          <w:rFonts w:ascii="Arial" w:hAnsi="Arial" w:cs="Arial"/>
          <w:color w:val="000000" w:themeColor="text1"/>
          <w:sz w:val="22"/>
          <w:szCs w:val="22"/>
        </w:rPr>
        <w:t>, sustain</w:t>
      </w:r>
      <w:r w:rsidR="00931487" w:rsidRPr="00726423">
        <w:rPr>
          <w:rFonts w:ascii="Arial" w:hAnsi="Arial" w:cs="Arial"/>
          <w:color w:val="000000" w:themeColor="text1"/>
          <w:sz w:val="22"/>
          <w:szCs w:val="22"/>
        </w:rPr>
        <w:t>ing chronic</w:t>
      </w:r>
      <w:r w:rsidR="00C8594B" w:rsidRPr="00726423">
        <w:rPr>
          <w:rFonts w:ascii="Arial" w:hAnsi="Arial" w:cs="Arial"/>
          <w:color w:val="000000" w:themeColor="text1"/>
          <w:sz w:val="22"/>
          <w:szCs w:val="22"/>
        </w:rPr>
        <w:t xml:space="preserve"> allergic inflammation</w:t>
      </w:r>
      <w:r w:rsidR="00FE425B" w:rsidRPr="00726423">
        <w:rPr>
          <w:rFonts w:ascii="Arial" w:hAnsi="Arial" w:cs="Arial"/>
          <w:color w:val="000000" w:themeColor="text1"/>
          <w:sz w:val="22"/>
          <w:szCs w:val="22"/>
          <w:vertAlign w:val="superscript"/>
        </w:rPr>
        <w:fldChar w:fldCharType="begin"/>
      </w:r>
      <w:r w:rsidR="00361359">
        <w:rPr>
          <w:rFonts w:ascii="Arial" w:hAnsi="Arial" w:cs="Arial"/>
          <w:color w:val="000000" w:themeColor="text1"/>
          <w:sz w:val="22"/>
          <w:szCs w:val="22"/>
          <w:vertAlign w:val="superscript"/>
        </w:rPr>
        <w:instrText xml:space="preserve"> ADDIN ZOTERO_ITEM CSL_CITATION {"citationID":"atvk2k3err","properties":{"formattedCitation":"\\super 3\\nosupersub{}","plainCitation":"3","noteIndex":0},"citationItems":[{"id":1709,"uris":["http://zotero.org/users/local/OCWppIAO/items/UIWCEUM9"],"itemData":{"id":1709,"type":"article-journal","abstract":"Rapid activation of memory CD4(+) T helper 2 (TH2) cells during allergic inflammation requires their recruitment into the affected tissue. Here we demonstrate that group 2 innate lymphoid (ILC2) cells have a crucial role in memory TH2 cell responses, with targeted depletion of ILC2 cells profoundly impairing TH2 cell localization to the lungs and skin of sensitized mice after allergen re-challenge. ILC2-derived interleukin 13 (IL-13) is critical for eliciting production of the TH2 cell-attracting chemokine CCL17 by IRF4(+)CD11b(+)CD103(-) dendritic cells (DCs). Consequently, the sentinel function of DCs is contingent on ILC2 cells for the generation of an efficient memory TH2 cell response. These results elucidate a key innate mechanism in the regulation of the immune memory response to allergens.","container-title":"Nature Immunology","DOI":"10.1038/ni.3294","ISSN":"1529-2916","issue":"1","journalAbbreviation":"Nat Immunol","language":"eng","note":"PMID: 26523868\nPMCID: PMC4685755","page":"57-64","source":"PubMed","title":"Group 2 innate lymphoid cells license dendritic cells to potentiate memory TH2 cell responses","volume":"17","author":[{"family":"Halim","given":"Timotheus Y. F."},{"family":"Hwang","given":"You Yi"},{"family":"Scanlon","given":"Seth T."},{"family":"Zaghouani","given":"Habib"},{"family":"Garbi","given":"Natalio"},{"family":"Fallon","given":"Padraic G."},{"family":"McKenzie","given":"Andrew N. J."}],"issued":{"date-parts":[["2016",1]]}}}],"schema":"https://github.com/citation-style-language/schema/raw/master/csl-citation.json"} </w:instrText>
      </w:r>
      <w:r w:rsidR="00FE425B" w:rsidRPr="00726423">
        <w:rPr>
          <w:rFonts w:ascii="Arial" w:hAnsi="Arial" w:cs="Arial"/>
          <w:color w:val="000000" w:themeColor="text1"/>
          <w:sz w:val="22"/>
          <w:szCs w:val="22"/>
          <w:vertAlign w:val="superscript"/>
        </w:rPr>
        <w:fldChar w:fldCharType="separate"/>
      </w:r>
      <w:r w:rsidR="00361359" w:rsidRPr="00361359">
        <w:rPr>
          <w:rFonts w:ascii="Arial" w:hAnsi="Arial" w:cs="Arial"/>
          <w:color w:val="000000"/>
          <w:sz w:val="22"/>
          <w:vertAlign w:val="superscript"/>
        </w:rPr>
        <w:t>3</w:t>
      </w:r>
      <w:r w:rsidR="00FE425B" w:rsidRPr="00726423">
        <w:rPr>
          <w:rFonts w:ascii="Arial" w:hAnsi="Arial" w:cs="Arial"/>
          <w:color w:val="000000" w:themeColor="text1"/>
          <w:sz w:val="22"/>
          <w:szCs w:val="22"/>
          <w:vertAlign w:val="superscript"/>
        </w:rPr>
        <w:fldChar w:fldCharType="end"/>
      </w:r>
      <w:r w:rsidR="00B952B8">
        <w:rPr>
          <w:rFonts w:ascii="Arial" w:hAnsi="Arial" w:cs="Arial"/>
          <w:color w:val="000000" w:themeColor="text1"/>
          <w:sz w:val="22"/>
          <w:szCs w:val="22"/>
          <w:vertAlign w:val="superscript"/>
        </w:rPr>
        <w:t>,</w:t>
      </w:r>
      <w:r w:rsidR="00FE425B" w:rsidRPr="00726423">
        <w:rPr>
          <w:rFonts w:ascii="Arial" w:hAnsi="Arial" w:cs="Arial"/>
          <w:color w:val="000000" w:themeColor="text1"/>
          <w:sz w:val="22"/>
          <w:szCs w:val="22"/>
          <w:vertAlign w:val="superscript"/>
        </w:rPr>
        <w:fldChar w:fldCharType="begin"/>
      </w:r>
      <w:r w:rsidR="00361359">
        <w:rPr>
          <w:rFonts w:ascii="Arial" w:hAnsi="Arial" w:cs="Arial"/>
          <w:color w:val="000000" w:themeColor="text1"/>
          <w:sz w:val="22"/>
          <w:szCs w:val="22"/>
          <w:vertAlign w:val="superscript"/>
        </w:rPr>
        <w:instrText xml:space="preserve"> ADDIN ZOTERO_ITEM CSL_CITATION {"citationID":"am6rjs15ug","properties":{"formattedCitation":"\\super 4\\nosupersub{}","plainCitation":"4","noteIndex":0},"citationItems":[{"id":1771,"uris":["http://zotero.org/users/local/OCWppIAO/items/EF47UMSH"],"itemData":{"id":1771,"type":"article-journal","abstract":"BACKGROUND: Asthma in a mouse model spontaneously resolves after cessation of allergen exposure. We developed a mouse model in which asthma features persisted for 6 months after cessation of allergen exposure.\nOBJECTIVE: We sought to elucidate factors contributing to the persistence of asthma.\nMETHODS: We used a combination of immunologic, genetic, microarray, and pharmacologic approaches to dissect the mechanism of asthma persistence.\nRESULTS: Elimination of T cells though antibody-mediated depletion or lethal irradiation and transplantation of recombination-activating gene (Rag1)(-/-) bone marrow in mice with chronic asthma resulted in resolution of airway inflammation but not airway hyperreactivity or remodeling. Elimination of T cells and type 2 innate lymphoid cells (ILC2s) through lethal irradiation and transplantation of Rag2(-/-)γc(-/-) bone marrow or blockade of IL-33 resulted in resolution of airway inflammation and hyperreactivity. Persistence of asthma required multiple interconnected feedback and feed-forward circuits between ILC2s and epithelial cells. Epithelial IL-33 induced ILC2s, a rich source of IL-13. The latter directly induced epithelial IL-33, establishing a positive feedback circuit. IL-33 autoinduced, generating another feedback circuit. IL-13 upregulated IL-33 receptors and facilitated IL-33 autoinduction, thus establishing a feed-forward circuit. Elimination of any component of these circuits resulted in resolution of chronic asthma. In agreement with the foregoing, IL-33 and ILC2 levels were increased in the airways of asthmatic patients. IL-33 levels correlated with disease severity.\nCONCLUSIONS: We present a critical network of feedback and feed-forward interactions between epithelial cells and ILC2s involved in maintaining chronic asthma. Although T cells contributed to the severity of chronic asthma, they were redundant in maintaining airway hyperreactivity and remodeling.","container-title":"The Journal of Allergy and Clinical Immunology","DOI":"10.1016/j.jaci.2014.11.037","ISSN":"1097-6825","issue":"1","journalAbbreviation":"J Allergy Clin Immunol","language":"eng","note":"PMID: 25617223\nPMCID: PMC4494983","page":"59-68.e14","source":"PubMed","title":"Persistence of asthma requires multiple feedback circuits involving type 2 innate lymphoid cells and IL-33","volume":"136","author":[{"family":"Christianson","given":"Christina A."},{"family":"Goplen","given":"Nicholas P."},{"family":"Zafar","given":"Iram"},{"family":"Irvin","given":"Chaoyu"},{"family":"Good","given":"James T."},{"family":"Rollins","given":"Donald R."},{"family":"Gorentla","given":"Balachandra"},{"family":"Liu","given":"Weimin"},{"family":"Gorska","given":"Magdalena M."},{"family":"Chu","given":"HongWei"},{"family":"Martin","given":"Richard J."},{"family":"Alam","given":"Rafeul"}],"issued":{"date-parts":[["2015",7]]}}}],"schema":"https://github.com/citation-style-language/schema/raw/master/csl-citation.json"} </w:instrText>
      </w:r>
      <w:r w:rsidR="00FE425B" w:rsidRPr="00726423">
        <w:rPr>
          <w:rFonts w:ascii="Arial" w:hAnsi="Arial" w:cs="Arial"/>
          <w:color w:val="000000" w:themeColor="text1"/>
          <w:sz w:val="22"/>
          <w:szCs w:val="22"/>
          <w:vertAlign w:val="superscript"/>
        </w:rPr>
        <w:fldChar w:fldCharType="separate"/>
      </w:r>
      <w:r w:rsidR="00361359" w:rsidRPr="00361359">
        <w:rPr>
          <w:rFonts w:ascii="Arial" w:hAnsi="Arial" w:cs="Arial"/>
          <w:color w:val="000000"/>
          <w:sz w:val="22"/>
          <w:vertAlign w:val="superscript"/>
        </w:rPr>
        <w:t>4</w:t>
      </w:r>
      <w:r w:rsidR="00FE425B" w:rsidRPr="00726423">
        <w:rPr>
          <w:rFonts w:ascii="Arial" w:hAnsi="Arial" w:cs="Arial"/>
          <w:color w:val="000000" w:themeColor="text1"/>
          <w:sz w:val="22"/>
          <w:szCs w:val="22"/>
          <w:vertAlign w:val="superscript"/>
        </w:rPr>
        <w:fldChar w:fldCharType="end"/>
      </w:r>
      <w:r w:rsidR="00C8594B" w:rsidRPr="00726423">
        <w:rPr>
          <w:rFonts w:ascii="Arial" w:hAnsi="Arial" w:cs="Arial"/>
          <w:color w:val="000000" w:themeColor="text1"/>
          <w:sz w:val="22"/>
          <w:szCs w:val="22"/>
        </w:rPr>
        <w:t xml:space="preserve">. </w:t>
      </w:r>
      <w:r w:rsidR="00D414D2" w:rsidRPr="00726423">
        <w:rPr>
          <w:rFonts w:ascii="Arial" w:hAnsi="Arial" w:cs="Arial"/>
          <w:color w:val="000000" w:themeColor="text1"/>
          <w:sz w:val="22"/>
          <w:szCs w:val="22"/>
        </w:rPr>
        <w:t>ILC2</w:t>
      </w:r>
      <w:r w:rsidR="00BE36FB" w:rsidRPr="00726423">
        <w:rPr>
          <w:rFonts w:ascii="Arial" w:hAnsi="Arial" w:cs="Arial"/>
          <w:color w:val="000000" w:themeColor="text1"/>
          <w:sz w:val="22"/>
          <w:szCs w:val="22"/>
        </w:rPr>
        <w:t>s are increased in asthma patients and</w:t>
      </w:r>
      <w:r w:rsidR="00D414D2" w:rsidRPr="00726423">
        <w:rPr>
          <w:rFonts w:ascii="Arial" w:hAnsi="Arial" w:cs="Arial"/>
          <w:color w:val="000000" w:themeColor="text1"/>
          <w:sz w:val="22"/>
          <w:szCs w:val="22"/>
        </w:rPr>
        <w:t xml:space="preserve"> </w:t>
      </w:r>
      <w:r w:rsidR="00BE36FB" w:rsidRPr="00726423">
        <w:rPr>
          <w:rFonts w:ascii="Arial" w:hAnsi="Arial" w:cs="Arial"/>
          <w:color w:val="000000" w:themeColor="text1"/>
          <w:sz w:val="22"/>
          <w:szCs w:val="22"/>
        </w:rPr>
        <w:t>their</w:t>
      </w:r>
      <w:r w:rsidR="00D414D2" w:rsidRPr="00726423">
        <w:rPr>
          <w:rFonts w:ascii="Arial" w:hAnsi="Arial" w:cs="Arial"/>
          <w:color w:val="000000" w:themeColor="text1"/>
          <w:sz w:val="22"/>
          <w:szCs w:val="22"/>
        </w:rPr>
        <w:t xml:space="preserve"> cytokine</w:t>
      </w:r>
      <w:r w:rsidR="00BE36FB" w:rsidRPr="00726423">
        <w:rPr>
          <w:rFonts w:ascii="Arial" w:hAnsi="Arial" w:cs="Arial"/>
          <w:color w:val="000000" w:themeColor="text1"/>
          <w:sz w:val="22"/>
          <w:szCs w:val="22"/>
        </w:rPr>
        <w:t xml:space="preserve"> production </w:t>
      </w:r>
      <w:r w:rsidR="0050775A" w:rsidRPr="00726423">
        <w:rPr>
          <w:rFonts w:ascii="Arial" w:hAnsi="Arial" w:cs="Arial"/>
          <w:color w:val="000000" w:themeColor="text1"/>
          <w:sz w:val="22"/>
          <w:szCs w:val="22"/>
        </w:rPr>
        <w:t>is</w:t>
      </w:r>
      <w:r w:rsidR="00BE36FB" w:rsidRPr="00726423">
        <w:rPr>
          <w:rFonts w:ascii="Arial" w:hAnsi="Arial" w:cs="Arial"/>
          <w:color w:val="000000" w:themeColor="text1"/>
          <w:sz w:val="22"/>
          <w:szCs w:val="22"/>
        </w:rPr>
        <w:t xml:space="preserve"> associated with disease severity</w:t>
      </w:r>
      <w:r w:rsidR="007A2B7F"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{"citationID":"a7jg5sk7gm","properties":{"formattedCitation":"\\super 5\\nosupersub{}","plainCitation":"5","noteIndex":0},"citationItems":[{"id":1777,"uris":["http://zotero.org/users/local/OCWppIAO/items/KBG5RNLI"],"itemData":{"id":1777,"type":"article-journal","abstract":"Asthma is a common disease that affects 300 million people worldwide. Given the large number of eosinophils in the airways of people with mild asthma, and verified by data from murine models, asthma was long considered the hallmark T helper type 2 (TH2) disease of the airways. It is now known that some asthmatic inflammation is neutrophilic, controlled by the TH17 subset of helper T cells, and that some eosinophilic inflammation is controlled by type 2 innate lymphoid cells (ILC2 cells) acting together with basophils. Here we discuss results from in-depth molecular studies of mouse models in light of the results from the first clinical trials targeting key cytokines in humans and describe the extraordinary heterogeneity of asthma.","container-title":"Nature Immunology","DOI":"10.1038/ni.3049","ISSN":"1529-2916","issue":"1","journalAbbreviation":"Nat Immunol","language":"eng","note":"PMID: 25521684","page":"45-56","source":"PubMed","title":"The immunology of asthma","volume":"16","author":[{"family":"Lambrecht","given":"Bart N."},{"family":"Hammad","given":"Hamida"}],"issued":{"date-parts":[["2015",1]]}}}],"schema":"https://github.com/citation-style-language/schema/raw/master/csl-citation.json"} </w:instrText>
      </w:r>
      <w:r w:rsidR="007A2B7F"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5</w:t>
      </w:r>
      <w:r w:rsidR="007A2B7F" w:rsidRPr="00726423">
        <w:rPr>
          <w:rFonts w:ascii="Arial" w:hAnsi="Arial" w:cs="Arial"/>
          <w:color w:val="000000" w:themeColor="text1"/>
          <w:sz w:val="22"/>
          <w:szCs w:val="22"/>
        </w:rPr>
        <w:fldChar w:fldCharType="end"/>
      </w:r>
      <w:r w:rsidR="00B952B8" w:rsidRPr="00B952B8">
        <w:rPr>
          <w:rFonts w:ascii="Arial" w:hAnsi="Arial" w:cs="Arial"/>
          <w:color w:val="000000" w:themeColor="text1"/>
          <w:sz w:val="22"/>
          <w:szCs w:val="22"/>
          <w:vertAlign w:val="superscript"/>
        </w:rPr>
        <w:t>,</w:t>
      </w:r>
      <w:r w:rsidR="00FE425B"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{"citationID":"a3rmj4oqjv","properties":{"formattedCitation":"\\super 6\\nosupersub{}","plainCitation":"6","noteIndex":0},"citationItems":[{"id":1774,"uris":["http://zotero.org/users/local/OCWppIAO/items/WJTIF8BR"],"itemData":{"id":1774,"type":"article-journal","abstract":"There are multiple proinflammatory pathways in the pathogenesis of asthma. These include both innate and adaptive inflammation, in addition to inflammatory and physiologic responses mediated by eicosanoids. An important component of the innate allergic immune response is ILC2 activated by interleukin (IL)-33, thymic stromal lymphopoietin, and IL-25 to produce IL-5 and IL-13. In terms of the adaptive T-lymphocyte immunity, CD4+ Th2 and IL-17-producing cells are critical in the inflammatory responses in asthma. Last, eicosanoids involved in asthma pathogenesis include prostaglandin D2 and the cysteinyl leukotrienes that promote smooth muscle constriction and inflammation that propagate allergic responses.","container-title":"Clinics in Chest Medicine","DOI":"10.1016/j.ccm.2018.10.014","ISSN":"1557-8216","issue":"1","journalAbbreviation":"Clin Chest Med","language":"eng","note":"PMID: 30691715\nPMCID: PMC6364573","page":"29-50","source":"PubMed","title":"Proinflammatory Pathways in the Pathogenesis of Asthma","volume":"40","author":[{"family":"Peebles","given":"R. Stokes"},{"family":"Aronica","given":"Mark A."}],"issued":{"date-parts":[["2019",3]]}}}],"schema":"https://github.com/citation-style-language/schema/raw/master/csl-citation.json"} </w:instrText>
      </w:r>
      <w:r w:rsidR="00FE425B"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6</w:t>
      </w:r>
      <w:r w:rsidR="00FE425B" w:rsidRPr="00726423">
        <w:rPr>
          <w:rFonts w:ascii="Arial" w:hAnsi="Arial" w:cs="Arial"/>
          <w:color w:val="000000" w:themeColor="text1"/>
          <w:sz w:val="22"/>
          <w:szCs w:val="22"/>
        </w:rPr>
        <w:fldChar w:fldCharType="end"/>
      </w:r>
      <w:r w:rsidR="00BE36FB" w:rsidRPr="00726423">
        <w:rPr>
          <w:rFonts w:ascii="Arial" w:hAnsi="Arial" w:cs="Arial"/>
          <w:color w:val="000000" w:themeColor="text1"/>
          <w:sz w:val="22"/>
          <w:szCs w:val="22"/>
        </w:rPr>
        <w:t>.</w:t>
      </w:r>
    </w:p>
    <w:p w14:paraId="62580B96" w14:textId="77777777" w:rsidR="00F96F8B" w:rsidRPr="00726423" w:rsidRDefault="00F96F8B" w:rsidP="00AF01E8">
      <w:pPr>
        <w:spacing w:line="480" w:lineRule="auto"/>
        <w:jc w:val="both"/>
        <w:rPr>
          <w:rFonts w:ascii="Arial" w:hAnsi="Arial" w:cs="Arial"/>
          <w:color w:val="000000" w:themeColor="text1"/>
          <w:sz w:val="22"/>
          <w:szCs w:val="22"/>
        </w:rPr>
      </w:pPr>
    </w:p>
    <w:p w14:paraId="43162919" w14:textId="7F9A2C2D" w:rsidR="006C406F" w:rsidRPr="00726423" w:rsidRDefault="00C8594B" w:rsidP="00AF01E8">
      <w:pPr>
        <w:spacing w:line="480" w:lineRule="auto"/>
        <w:jc w:val="both"/>
        <w:rPr>
          <w:rFonts w:ascii="Arial" w:hAnsi="Arial" w:cs="Arial"/>
          <w:color w:val="000000" w:themeColor="text1"/>
          <w:sz w:val="22"/>
          <w:szCs w:val="22"/>
        </w:rPr>
      </w:pPr>
      <w:r w:rsidRPr="00726423">
        <w:rPr>
          <w:rFonts w:ascii="Arial" w:hAnsi="Arial" w:cs="Arial"/>
          <w:color w:val="000000" w:themeColor="text1"/>
          <w:sz w:val="22"/>
          <w:szCs w:val="22"/>
        </w:rPr>
        <w:t>Non-steroidal anti-inflammatory drugs (NSAIDs)</w:t>
      </w:r>
      <w:r w:rsidR="00515081" w:rsidRPr="00726423">
        <w:rPr>
          <w:rFonts w:ascii="Arial" w:hAnsi="Arial" w:cs="Arial"/>
          <w:color w:val="000000" w:themeColor="text1"/>
          <w:sz w:val="22"/>
          <w:szCs w:val="22"/>
        </w:rPr>
        <w:t xml:space="preserve"> such as aspirin, ibuprofen and indomethacin</w:t>
      </w:r>
      <w:r w:rsidRPr="00726423">
        <w:rPr>
          <w:rFonts w:ascii="Arial" w:hAnsi="Arial" w:cs="Arial"/>
          <w:color w:val="000000" w:themeColor="text1"/>
          <w:sz w:val="22"/>
          <w:szCs w:val="22"/>
        </w:rPr>
        <w:t xml:space="preserve"> are widely used for anti-pyretic and analgesic purposes during acute and chronic inflammation</w:t>
      </w:r>
      <w:r w:rsidR="003348CA" w:rsidRPr="00726423">
        <w:rPr>
          <w:rFonts w:ascii="Arial" w:hAnsi="Arial" w:cs="Arial"/>
          <w:color w:val="000000" w:themeColor="text1"/>
          <w:sz w:val="22"/>
          <w:szCs w:val="22"/>
        </w:rPr>
        <w:t xml:space="preserve"> through blocking biosynthesis of prostaglandin</w:t>
      </w:r>
      <w:r w:rsidR="0056715E" w:rsidRPr="00726423">
        <w:rPr>
          <w:rFonts w:ascii="Arial" w:hAnsi="Arial" w:cs="Arial"/>
          <w:color w:val="000000" w:themeColor="text1"/>
          <w:sz w:val="22"/>
          <w:szCs w:val="22"/>
        </w:rPr>
        <w:t>s (PG</w:t>
      </w:r>
      <w:r w:rsidR="006C406F" w:rsidRPr="00726423">
        <w:rPr>
          <w:rFonts w:ascii="Arial" w:hAnsi="Arial" w:cs="Arial"/>
          <w:color w:val="000000" w:themeColor="text1"/>
          <w:sz w:val="22"/>
          <w:szCs w:val="22"/>
        </w:rPr>
        <w:t>s</w:t>
      </w:r>
      <w:r w:rsidR="0056715E" w:rsidRPr="00726423">
        <w:rPr>
          <w:rFonts w:ascii="Arial" w:hAnsi="Arial" w:cs="Arial"/>
          <w:color w:val="000000" w:themeColor="text1"/>
          <w:sz w:val="22"/>
          <w:szCs w:val="22"/>
        </w:rPr>
        <w:t>) including</w:t>
      </w:r>
      <w:r w:rsidR="003348CA" w:rsidRPr="00726423">
        <w:rPr>
          <w:rFonts w:ascii="Arial" w:hAnsi="Arial" w:cs="Arial"/>
          <w:color w:val="000000" w:themeColor="text1"/>
          <w:sz w:val="22"/>
          <w:szCs w:val="22"/>
        </w:rPr>
        <w:t xml:space="preserve"> PGE</w:t>
      </w:r>
      <w:r w:rsidR="003348CA" w:rsidRPr="00726423">
        <w:rPr>
          <w:rFonts w:ascii="Arial" w:hAnsi="Arial" w:cs="Arial"/>
          <w:color w:val="000000" w:themeColor="text1"/>
          <w:sz w:val="22"/>
          <w:szCs w:val="22"/>
          <w:vertAlign w:val="subscript"/>
        </w:rPr>
        <w:t>2</w:t>
      </w:r>
      <w:r w:rsidR="00751F13" w:rsidRPr="00726423">
        <w:rPr>
          <w:rFonts w:ascii="Arial" w:hAnsi="Arial" w:cs="Arial"/>
          <w:color w:val="000000" w:themeColor="text1"/>
          <w:sz w:val="22"/>
          <w:szCs w:val="22"/>
          <w:vertAlign w:val="subscript"/>
        </w:rPr>
        <w:fldChar w:fldCharType="begin"/>
      </w:r>
      <w:r w:rsidR="00361359">
        <w:rPr>
          <w:rFonts w:ascii="Arial" w:hAnsi="Arial" w:cs="Arial"/>
          <w:color w:val="000000" w:themeColor="text1"/>
          <w:sz w:val="22"/>
          <w:szCs w:val="22"/>
          <w:vertAlign w:val="subscript"/>
        </w:rPr>
        <w:instrText xml:space="preserve"> ADDIN ZOTERO_ITEM CSL_CITATION {"citationID":"a2euh98epph","properties":{"formattedCitation":"\\super 7\\nosupersub{}","plainCitation":"7","noteIndex":0},"citationItems":[{"id":1753,"uris":["http://zotero.org/users/local/OCWppIAO/items/BVV6694R"],"itemData":{"id":1753,"type":"article-journal","abstract":"Severe acute respiratory syndrome coronavirus 2 (SARS-CoV-2) is the cause of the novel coronavirus disease 2019 (COVID-19), a highly pathogenic and sometimes fatal respiratory disease responsible for the current 2020 global pandemic. Presently, there remains no effective vaccine or efficient treatment strategies against COVID-19. Non-steroidal anti-inflammatory drugs (NSAIDs) are medicines very widely used to alleviate fever, pain, and inflammation (common symptoms of COVID-19 patients) through effectively blocking production of prostaglandins (PGs) via inhibition of cyclooxyganase enzymes. PGs can exert either proinflammatory or anti-inflammatory effects depending on the inflammatory scenario. In this review, we survey the potential roles that NSAIDs and PGs may play during SARS-CoV-2 infection and the development and progression of COVID-19. LINKED ARTICLES: This article is part of a themed issue on The Pharmacology of COVID-19. To view the other articles in this section visit http://onlinelibrary.wiley.com/doi/10.1111/bph.v177.21/issuetoc.","container-title":"British Journal of Pharmacology","DOI":"10.1111/bph.15206","ISSN":"1476-5381","issue":"21","journalAbbreviation":"Br J Pharmacol","language":"eng","note":"PMID: 32700336\nPMCID: PMC7405053","page":"4899-4920","source":"PubMed","title":"Non-steroidal anti-inflammatory drugs, prostaglandins, and COVID-19","volume":"177","author":[{"family":"Robb","given":"Calum T."},{"family":"Goepp","given":"Marie"},{"family":"Rossi","given":"Adriano G."},{"family":"Yao","given":"Chengcan"}],"issued":{"date-parts":[["2020",11]]}}}],"schema":"https://github.com/citation-style-language/schema/raw/master/csl-citation.json"} </w:instrText>
      </w:r>
      <w:r w:rsidR="00751F13" w:rsidRPr="00726423">
        <w:rPr>
          <w:rFonts w:ascii="Arial" w:hAnsi="Arial" w:cs="Arial"/>
          <w:color w:val="000000" w:themeColor="text1"/>
          <w:sz w:val="22"/>
          <w:szCs w:val="22"/>
          <w:vertAlign w:val="subscript"/>
        </w:rPr>
        <w:fldChar w:fldCharType="separate"/>
      </w:r>
      <w:r w:rsidR="00361359" w:rsidRPr="00361359">
        <w:rPr>
          <w:rFonts w:ascii="Arial" w:hAnsi="Arial" w:cs="Arial"/>
          <w:color w:val="000000"/>
          <w:sz w:val="22"/>
          <w:vertAlign w:val="superscript"/>
        </w:rPr>
        <w:t>7</w:t>
      </w:r>
      <w:r w:rsidR="00751F13" w:rsidRPr="00726423">
        <w:rPr>
          <w:rFonts w:ascii="Arial" w:hAnsi="Arial" w:cs="Arial"/>
          <w:color w:val="000000" w:themeColor="text1"/>
          <w:sz w:val="22"/>
          <w:szCs w:val="22"/>
          <w:vertAlign w:val="subscript"/>
        </w:rPr>
        <w:fldChar w:fldCharType="end"/>
      </w:r>
      <w:r w:rsidRPr="00726423">
        <w:rPr>
          <w:rFonts w:ascii="Arial" w:hAnsi="Arial" w:cs="Arial"/>
          <w:color w:val="000000" w:themeColor="text1"/>
          <w:sz w:val="22"/>
          <w:szCs w:val="22"/>
        </w:rPr>
        <w:t>. However, hypersensitivity reactions to NSAIDs can occur, causing NSAID-exacerbated respiratory disease (NERD), a chronic type 2 immune mediated respiratory disease linked to asthma and nasal polyposis</w:t>
      </w:r>
      <w:r w:rsidR="00D73B11" w:rsidRPr="00726423">
        <w:rPr>
          <w:rFonts w:ascii="Arial" w:hAnsi="Arial" w:cs="Arial"/>
          <w:color w:val="000000" w:themeColor="text1"/>
          <w:sz w:val="22"/>
          <w:szCs w:val="22"/>
          <w:vertAlign w:val="superscript"/>
        </w:rPr>
        <w:fldChar w:fldCharType="begin"/>
      </w:r>
      <w:r w:rsidR="00361359">
        <w:rPr>
          <w:rFonts w:ascii="Arial" w:hAnsi="Arial" w:cs="Arial"/>
          <w:color w:val="000000" w:themeColor="text1"/>
          <w:sz w:val="22"/>
          <w:szCs w:val="22"/>
          <w:vertAlign w:val="superscript"/>
        </w:rPr>
        <w:instrText xml:space="preserve"> ADDIN ZOTERO_ITEM CSL_CITATION {"citationID":"a24e4e3pnpb","properties":{"formattedCitation":"\\super 8\\nosupersub{}","plainCitation":"8","noteIndex":0},"citationItems":[{"id":1642,"uris":["http://zotero.org/users/local/OCWppIAO/items/EADPBYLA"],"itemData":{"id":1642,"type":"article-journal","container-title":"The New England Journal of Medicine","DOI":"10.1056/NEJMra1712125","ISSN":"1533-4406","issue":"11","journalAbbreviation":"N Engl J Med","language":"eng","note":"PMID: 30207919","page":"1060-1070","source":"PubMed","title":"Aspirin-Exacerbated Respiratory Disease","volume":"379","author":[{"family":"White","given":"Andrew A."},{"family":"Stevenson","given":"Donald D."}],"issued":{"date-parts":[["2018",9,13]]}}}],"schema":"https://github.com/citation-style-language/schema/raw/master/csl-citation.json"} </w:instrText>
      </w:r>
      <w:r w:rsidR="00D73B11" w:rsidRPr="00726423">
        <w:rPr>
          <w:rFonts w:ascii="Arial" w:hAnsi="Arial" w:cs="Arial"/>
          <w:color w:val="000000" w:themeColor="text1"/>
          <w:sz w:val="22"/>
          <w:szCs w:val="22"/>
          <w:vertAlign w:val="superscript"/>
        </w:rPr>
        <w:fldChar w:fldCharType="separate"/>
      </w:r>
      <w:r w:rsidR="00361359" w:rsidRPr="00361359">
        <w:rPr>
          <w:rFonts w:ascii="Arial" w:hAnsi="Arial" w:cs="Arial"/>
          <w:color w:val="000000"/>
          <w:sz w:val="22"/>
          <w:vertAlign w:val="superscript"/>
        </w:rPr>
        <w:t>8</w:t>
      </w:r>
      <w:r w:rsidR="00D73B11" w:rsidRPr="00726423">
        <w:rPr>
          <w:rFonts w:ascii="Arial" w:hAnsi="Arial" w:cs="Arial"/>
          <w:color w:val="000000" w:themeColor="text1"/>
          <w:sz w:val="22"/>
          <w:szCs w:val="22"/>
          <w:vertAlign w:val="superscript"/>
        </w:rPr>
        <w:fldChar w:fldCharType="end"/>
      </w:r>
      <w:r w:rsidRPr="00726423">
        <w:rPr>
          <w:rFonts w:ascii="Arial" w:hAnsi="Arial" w:cs="Arial"/>
          <w:color w:val="000000" w:themeColor="text1"/>
          <w:sz w:val="22"/>
          <w:szCs w:val="22"/>
        </w:rPr>
        <w:t xml:space="preserve">. </w:t>
      </w:r>
      <w:r w:rsidR="00515081" w:rsidRPr="00726423">
        <w:rPr>
          <w:rFonts w:ascii="Arial" w:hAnsi="Arial" w:cs="Arial"/>
          <w:color w:val="000000" w:themeColor="text1"/>
          <w:sz w:val="22"/>
          <w:szCs w:val="22"/>
        </w:rPr>
        <w:t xml:space="preserve">Increased ILC2 numbers </w:t>
      </w:r>
      <w:r w:rsidR="00D01D62" w:rsidRPr="00726423">
        <w:rPr>
          <w:rFonts w:ascii="Arial" w:hAnsi="Arial" w:cs="Arial"/>
          <w:color w:val="000000" w:themeColor="text1"/>
          <w:sz w:val="22"/>
          <w:szCs w:val="22"/>
        </w:rPr>
        <w:t>have been</w:t>
      </w:r>
      <w:r w:rsidR="00515081" w:rsidRPr="00726423">
        <w:rPr>
          <w:rFonts w:ascii="Arial" w:hAnsi="Arial" w:cs="Arial"/>
          <w:color w:val="000000" w:themeColor="text1"/>
          <w:sz w:val="22"/>
          <w:szCs w:val="22"/>
        </w:rPr>
        <w:t xml:space="preserve"> observed in the nasal mucosa </w:t>
      </w:r>
      <w:r w:rsidR="004D210F" w:rsidRPr="00726423">
        <w:rPr>
          <w:rFonts w:ascii="Arial" w:hAnsi="Arial" w:cs="Arial"/>
          <w:color w:val="000000" w:themeColor="text1"/>
          <w:sz w:val="22"/>
          <w:szCs w:val="22"/>
        </w:rPr>
        <w:t>of</w:t>
      </w:r>
      <w:r w:rsidR="00515081" w:rsidRPr="00726423">
        <w:rPr>
          <w:rFonts w:ascii="Arial" w:hAnsi="Arial" w:cs="Arial"/>
          <w:color w:val="000000" w:themeColor="text1"/>
          <w:sz w:val="22"/>
          <w:szCs w:val="22"/>
        </w:rPr>
        <w:t xml:space="preserve"> patients with NERD</w:t>
      </w:r>
      <w:r w:rsidR="00D73B11" w:rsidRPr="00726423">
        <w:rPr>
          <w:rFonts w:ascii="Arial" w:hAnsi="Arial" w:cs="Arial"/>
          <w:color w:val="000000" w:themeColor="text1"/>
          <w:sz w:val="22"/>
          <w:szCs w:val="22"/>
          <w:vertAlign w:val="superscript"/>
        </w:rPr>
        <w:fldChar w:fldCharType="begin"/>
      </w:r>
      <w:r w:rsidR="00361359">
        <w:rPr>
          <w:rFonts w:ascii="Arial" w:hAnsi="Arial" w:cs="Arial"/>
          <w:color w:val="000000" w:themeColor="text1"/>
          <w:sz w:val="22"/>
          <w:szCs w:val="22"/>
          <w:vertAlign w:val="superscript"/>
        </w:rPr>
        <w:instrText xml:space="preserve"> ADDIN ZOTERO_ITEM CSL_CITATION {"citationID":"adik26vmcr","properties":{"formattedCitation":"\\super 9\\nosupersub{}","plainCitation":"9","noteIndex":0},"citationItems":[{"id":1644,"uris":["http://zotero.org/users/local/OCWppIAO/items/4PKX8EW2"],"itemData":{"id":1644,"type":"article-journal","abstract":"BACKGROUND: Aspirin-exacerbated respiratory disease (AERD) is characterized by tissue eosinophilia and mast cell activation, including abundant production of prostaglandin D2 (PGD2). Group 2 innate lymphoid cells (ILC2s), which promote tissue eosinophilia and mast cell responses, undergo chemotaxis and cytokine production in response to PGD2, but it is unknown whether ILC2s are active in patients with AERD.\nOBJECTIVE: We sought to determine whether ILC2 numbers change in peripheral blood and the nasal mucosa during COX-1 inhibitor-induced reactions in patients with AERD.\nMETHODS: Blood and nasal scrapings were collected at baseline, during reactions, and after completion of ketorolac/aspirin challenge/desensitization in 12 patients with AERD. ILC2s and eosinophils were quantitated by means of flow cytometry. Urine was also collected, and quantification of PGD2 metabolite and leukotriene E4 levels was done by using ELISA. Baseline and nonsteroidal anti-inflammatory drug reaction clinical data were correlated with cell changes.\nRESULTS: ILC2 numbers significantly increased in nasal mucosal samples and decreased in blood at the time of COX-1 inhibitor reactions in 12 patients with AERD. These changes were not observed in 2 patients without AERD. Furthermore, eosinophil numbers decreased in blood concurrently with significant increases in urinary PGD2 metabolite and leukotriene E4 levels. The magnitude of increases in nasal mucosal ILC2 numbers positively correlated with maximum symptom scores during challenges. Furthermore, blood ILC2 numbers during the reaction correlated with time for the reaction to resolve, possibly reflecting reaction severity.\nCONCLUSIONS: ILC2s are recruited to the nasal mucosa during COX-1 inhibitor-induced reactions in patients with AERD, correlating with enhanced production of prostaglandins and leukotrienes.","container-title":"The Journal of Allergy and Clinical Immunology","DOI":"10.1016/j.jaci.2016.11.023","ISSN":"1097-6825","issue":"1","journalAbbreviation":"J Allergy Clin Immunol","language":"eng","note":"PMID: 28279492\nPMCID: PMC5496786","page":"101-108.e3","source":"PubMed","title":"Group 2 innate lymphoid cells are recruited to the nasal mucosa in patients with aspirin-exacerbated respiratory disease","volume":"140","author":[{"family":"Eastman","given":"Jacqueline J."},{"family":"Cavagnero","given":"Kellen J."},{"family":"Deconde","given":"Adam S."},{"family":"Kim","given":"Alex S."},{"family":"Karta","given":"Maya R."},{"family":"Broide","given":"David H."},{"family":"Zuraw","given":"Bruce L."},{"family":"White","given":"Andrew A."},{"family":"Christiansen","given":"Sandra C."},{"family":"Doherty","given":"Taylor A."}],"issued":{"date-parts":[["2017",7]]}}}],"schema":"https://github.com/citation-style-language/schema/raw/master/csl-citation.json"} </w:instrText>
      </w:r>
      <w:r w:rsidR="00D73B11" w:rsidRPr="00726423">
        <w:rPr>
          <w:rFonts w:ascii="Arial" w:hAnsi="Arial" w:cs="Arial"/>
          <w:color w:val="000000" w:themeColor="text1"/>
          <w:sz w:val="22"/>
          <w:szCs w:val="22"/>
          <w:vertAlign w:val="superscript"/>
        </w:rPr>
        <w:fldChar w:fldCharType="separate"/>
      </w:r>
      <w:r w:rsidR="00361359" w:rsidRPr="00361359">
        <w:rPr>
          <w:rFonts w:ascii="Arial" w:hAnsi="Arial" w:cs="Arial"/>
          <w:color w:val="000000"/>
          <w:sz w:val="22"/>
          <w:vertAlign w:val="superscript"/>
        </w:rPr>
        <w:t>9</w:t>
      </w:r>
      <w:r w:rsidR="00D73B11" w:rsidRPr="00726423">
        <w:rPr>
          <w:rFonts w:ascii="Arial" w:hAnsi="Arial" w:cs="Arial"/>
          <w:color w:val="000000" w:themeColor="text1"/>
          <w:sz w:val="22"/>
          <w:szCs w:val="22"/>
          <w:vertAlign w:val="superscript"/>
        </w:rPr>
        <w:fldChar w:fldCharType="end"/>
      </w:r>
      <w:r w:rsidR="00515081" w:rsidRPr="00726423">
        <w:rPr>
          <w:rFonts w:ascii="Arial" w:hAnsi="Arial" w:cs="Arial"/>
          <w:color w:val="000000" w:themeColor="text1"/>
          <w:sz w:val="22"/>
          <w:szCs w:val="22"/>
        </w:rPr>
        <w:t>, indicating a role for ILC2s in NERD pathogenesis</w:t>
      </w:r>
      <w:r w:rsidR="00D73B11" w:rsidRPr="00726423">
        <w:rPr>
          <w:rFonts w:ascii="Arial" w:hAnsi="Arial" w:cs="Arial"/>
          <w:color w:val="000000" w:themeColor="text1"/>
          <w:sz w:val="22"/>
          <w:szCs w:val="22"/>
          <w:vertAlign w:val="superscript"/>
        </w:rPr>
        <w:fldChar w:fldCharType="begin"/>
      </w:r>
      <w:r w:rsidR="00361359">
        <w:rPr>
          <w:rFonts w:ascii="Arial" w:hAnsi="Arial" w:cs="Arial"/>
          <w:color w:val="000000" w:themeColor="text1"/>
          <w:sz w:val="22"/>
          <w:szCs w:val="22"/>
          <w:vertAlign w:val="superscript"/>
        </w:rPr>
        <w:instrText xml:space="preserve"> ADDIN ZOTERO_ITEM CSL_CITATION {"citationID":"a225rhcg45f","properties":{"formattedCitation":"\\super 10\\nosupersub{}","plainCitation":"10","noteIndex":0},"citationItems":[{"id":1647,"uris":["http://zotero.org/users/local/OCWppIAO/items/MIKXMK65"],"itemData":{"id":1647,"type":"article-journal","abstract":"Aspirin-exacerbated respiratory disease (AERD) is characterized by chronic eosinophilic nasal polyps, asthma, and airway reactions upon cyclooxygenase (COX) 1 inhibition. AERD is present in up to 7% of adult patients with asthma and the underlying pathogenesis remains largely elusive but prostaglandin D2, cysteinyl leukotrienes, mast cells, and type 2 cytokines are thought to contribute. A wealth of studies have recently implicated group 2 innate lymphoid cells (ILC2), a novel lineage-negative lymphocyte population that produces type 2 cytokines, in human allergic disease pathogenesis. Importantly, our recent work identified that ILC2s are recruited to the nasal mucosa of patients on AERD after COX-1 inhibitor administration. Here, we review the potential impact of ILC2s in the development and propagation of type 2 inflammation in AERD.","container-title":"American Journal of Rhinology &amp; Allergy","DOI":"10.2500/ajra.2018.32.4498","ISSN":"1945-8932","issue":"1","journalAbbreviation":"Am J Rhinol Allergy","language":"eng","note":"PMID: 29336282\nPMCID: PMC5780331","page":"7-11","source":"PubMed","title":"Role of group 2 innate lymphocytes in aspirin-exacerbated respiratory disease pathogenesis","volume":"32","author":[{"family":"White","given":"Andrew A."},{"family":"Doherty","given":"Taylor A."}],"issued":{"date-parts":[["2018",1,1]]}}}],"schema":"https://github.com/citation-style-language/schema/raw/master/csl-citation.json"} </w:instrText>
      </w:r>
      <w:r w:rsidR="00D73B11" w:rsidRPr="00726423">
        <w:rPr>
          <w:rFonts w:ascii="Arial" w:hAnsi="Arial" w:cs="Arial"/>
          <w:color w:val="000000" w:themeColor="text1"/>
          <w:sz w:val="22"/>
          <w:szCs w:val="22"/>
          <w:vertAlign w:val="superscript"/>
        </w:rPr>
        <w:fldChar w:fldCharType="separate"/>
      </w:r>
      <w:r w:rsidR="00361359" w:rsidRPr="00361359">
        <w:rPr>
          <w:rFonts w:ascii="Arial" w:hAnsi="Arial" w:cs="Arial"/>
          <w:color w:val="000000"/>
          <w:sz w:val="22"/>
          <w:vertAlign w:val="superscript"/>
        </w:rPr>
        <w:t>10</w:t>
      </w:r>
      <w:r w:rsidR="00D73B11" w:rsidRPr="00726423">
        <w:rPr>
          <w:rFonts w:ascii="Arial" w:hAnsi="Arial" w:cs="Arial"/>
          <w:color w:val="000000" w:themeColor="text1"/>
          <w:sz w:val="22"/>
          <w:szCs w:val="22"/>
          <w:vertAlign w:val="superscript"/>
        </w:rPr>
        <w:fldChar w:fldCharType="end"/>
      </w:r>
      <w:r w:rsidRPr="00726423">
        <w:rPr>
          <w:rFonts w:ascii="Arial" w:hAnsi="Arial" w:cs="Arial"/>
          <w:color w:val="000000" w:themeColor="text1"/>
          <w:sz w:val="22"/>
          <w:szCs w:val="22"/>
        </w:rPr>
        <w:t xml:space="preserve">. </w:t>
      </w:r>
      <w:r w:rsidR="00240323" w:rsidRPr="00726423">
        <w:rPr>
          <w:rFonts w:ascii="Arial" w:hAnsi="Arial" w:cs="Arial"/>
          <w:color w:val="000000" w:themeColor="text1"/>
          <w:sz w:val="22"/>
          <w:szCs w:val="22"/>
        </w:rPr>
        <w:t xml:space="preserve">NERD patients </w:t>
      </w:r>
      <w:r w:rsidR="00CE1D97" w:rsidRPr="00726423">
        <w:rPr>
          <w:rFonts w:ascii="Arial" w:hAnsi="Arial" w:cs="Arial"/>
          <w:color w:val="000000" w:themeColor="text1"/>
          <w:sz w:val="22"/>
          <w:szCs w:val="22"/>
        </w:rPr>
        <w:t>exhibit</w:t>
      </w:r>
      <w:r w:rsidR="00240323" w:rsidRPr="00726423">
        <w:rPr>
          <w:rFonts w:ascii="Arial" w:hAnsi="Arial" w:cs="Arial"/>
          <w:color w:val="000000" w:themeColor="text1"/>
          <w:sz w:val="22"/>
          <w:szCs w:val="22"/>
        </w:rPr>
        <w:t xml:space="preserve"> imbalanced arachidonic acid metabolism with overproduction of PGD</w:t>
      </w:r>
      <w:r w:rsidR="00240323" w:rsidRPr="00726423">
        <w:rPr>
          <w:rFonts w:ascii="Arial" w:hAnsi="Arial" w:cs="Arial"/>
          <w:color w:val="000000" w:themeColor="text1"/>
          <w:sz w:val="22"/>
          <w:szCs w:val="22"/>
          <w:vertAlign w:val="subscript"/>
        </w:rPr>
        <w:t>2</w:t>
      </w:r>
      <w:r w:rsidR="00240323" w:rsidRPr="00726423">
        <w:rPr>
          <w:rFonts w:ascii="Arial" w:hAnsi="Arial" w:cs="Arial"/>
          <w:color w:val="000000" w:themeColor="text1"/>
          <w:sz w:val="22"/>
          <w:szCs w:val="22"/>
        </w:rPr>
        <w:t xml:space="preserve"> and leukotrienes (e.g., LTD</w:t>
      </w:r>
      <w:r w:rsidR="00240323" w:rsidRPr="00726423">
        <w:rPr>
          <w:rFonts w:ascii="Arial" w:hAnsi="Arial" w:cs="Arial"/>
          <w:color w:val="000000" w:themeColor="text1"/>
          <w:sz w:val="22"/>
          <w:szCs w:val="22"/>
          <w:vertAlign w:val="subscript"/>
        </w:rPr>
        <w:t>4</w:t>
      </w:r>
      <w:r w:rsidR="00240323" w:rsidRPr="00726423">
        <w:rPr>
          <w:rFonts w:ascii="Arial" w:hAnsi="Arial" w:cs="Arial"/>
          <w:color w:val="000000" w:themeColor="text1"/>
          <w:sz w:val="22"/>
          <w:szCs w:val="22"/>
        </w:rPr>
        <w:t xml:space="preserve"> and LTB</w:t>
      </w:r>
      <w:r w:rsidR="00240323" w:rsidRPr="00726423">
        <w:rPr>
          <w:rFonts w:ascii="Arial" w:hAnsi="Arial" w:cs="Arial"/>
          <w:color w:val="000000" w:themeColor="text1"/>
          <w:sz w:val="22"/>
          <w:szCs w:val="22"/>
          <w:vertAlign w:val="subscript"/>
        </w:rPr>
        <w:t>4</w:t>
      </w:r>
      <w:r w:rsidR="00240323" w:rsidRPr="00726423">
        <w:rPr>
          <w:rFonts w:ascii="Arial" w:hAnsi="Arial" w:cs="Arial"/>
          <w:color w:val="000000" w:themeColor="text1"/>
          <w:sz w:val="22"/>
          <w:szCs w:val="22"/>
        </w:rPr>
        <w:t xml:space="preserve">) but </w:t>
      </w:r>
      <w:r w:rsidR="00515081" w:rsidRPr="00726423">
        <w:rPr>
          <w:rFonts w:ascii="Arial" w:hAnsi="Arial" w:cs="Arial"/>
          <w:color w:val="000000" w:themeColor="text1"/>
          <w:sz w:val="22"/>
          <w:szCs w:val="22"/>
        </w:rPr>
        <w:t>reduction of PGE</w:t>
      </w:r>
      <w:r w:rsidR="00515081" w:rsidRPr="00726423">
        <w:rPr>
          <w:rFonts w:ascii="Arial" w:hAnsi="Arial" w:cs="Arial"/>
          <w:color w:val="000000" w:themeColor="text1"/>
          <w:sz w:val="22"/>
          <w:szCs w:val="22"/>
          <w:vertAlign w:val="subscript"/>
        </w:rPr>
        <w:t>2</w:t>
      </w:r>
      <w:r w:rsidR="00D73B11" w:rsidRPr="00726423">
        <w:rPr>
          <w:rFonts w:ascii="Arial" w:hAnsi="Arial" w:cs="Arial"/>
          <w:color w:val="000000" w:themeColor="text1"/>
          <w:sz w:val="22"/>
          <w:szCs w:val="22"/>
          <w:vertAlign w:val="superscript"/>
        </w:rPr>
        <w:fldChar w:fldCharType="begin"/>
      </w:r>
      <w:r w:rsidR="00361359">
        <w:rPr>
          <w:rFonts w:ascii="Arial" w:hAnsi="Arial" w:cs="Arial"/>
          <w:color w:val="000000" w:themeColor="text1"/>
          <w:sz w:val="22"/>
          <w:szCs w:val="22"/>
          <w:vertAlign w:val="superscript"/>
        </w:rPr>
        <w:instrText xml:space="preserve"> ADDIN ZOTERO_ITEM CSL_CITATION {"citationID":"a1i2af828va","properties":{"formattedCitation":"\\super 11\\nosupersub{}","plainCitation":"11","noteIndex":0},"citationItems":[{"id":1650,"uris":["http://zotero.org/users/local/OCWppIAO/items/MS9ZEY6E"],"itemData":{"id":1650,"type":"article-journal","abstract":"Aspirin-exacerbated respiratory disease (AERD) is characterized by asthma, tissue eosinophilia, overproduction of cysteinyl leukotrienes (cysLTs), and respiratory reactions to nonselective cyclooxygenase (COX) inhibitors. Ex vivo studies suggest that functional abnormalities of the COX-2/microsomal prostaglandin (PG)E2 synthase-1 system may underlie AERD. We demonstrate that microsomal PGE2 synthase-1 null mice develop a remarkably AERD-like phenotype in a model of eosinophilic pulmonary inflammation. Lysine aspirin (Lys-ASA)-challenged PGE2 synthase-1 null mice exhibit sustained increases in airway resistance, along with lung mast cell (MC) activation and cysLT overproduction. A stable PGE2 analog and a selective E prostanoid (EP)2 receptor agonist blocked the responses to Lys-ASA by </w:instrText>
      </w:r>
      <w:r w:rsidR="00361359">
        <w:rPr>
          <w:rFonts w:ascii="Cambria Math" w:hAnsi="Cambria Math" w:cs="Cambria Math"/>
          <w:color w:val="000000" w:themeColor="text1"/>
          <w:sz w:val="22"/>
          <w:szCs w:val="22"/>
          <w:vertAlign w:val="superscript"/>
        </w:rPr>
        <w:instrText>∼</w:instrText>
      </w:r>
      <w:r w:rsidR="00361359">
        <w:rPr>
          <w:rFonts w:ascii="Arial" w:hAnsi="Arial" w:cs="Arial"/>
          <w:color w:val="000000" w:themeColor="text1"/>
          <w:sz w:val="22"/>
          <w:szCs w:val="22"/>
          <w:vertAlign w:val="superscript"/>
        </w:rPr>
        <w:instrText xml:space="preserve">90%; EP3 and EP4 agonists were also active. The increases in airway resistance and MC products were blocked by antagonists of the type 1 cysLT receptor or 5-lipoxygenase, implying that bronchoconstriction and MC activation were both cysLT dependent. Lys-ASA-induced cysLT generation and MC activation depended on platelet-adherent granulocytes and T-prostanoid (TP) receptors. Thus, lesions that impair the inducible generation of PGE2 remove control of platelet/granulocyte interactions and TP-receptor-dependent cysLT production, permitting MC activation in response to COX-1 inhibition. The findings suggest applications of antiplatelet drugs or TP receptor antagonists for the treatment of AERD.","container-title":"Proceedings of the National Academy of Sciences of the United States of America","DOI":"10.1073/pnas.1313185110","ISSN":"1091-6490","issue":"42","journalAbbreviation":"Proc Natl Acad Sci U S A","language":"eng","note":"PMID: 24085850\nPMCID: PMC3801005","page":"16987-16992","source":"PubMed","title":"Prostaglandin E2 deficiency causes a phenotype of aspirin sensitivity that depends on platelets and cysteinyl leukotrienes","volume":"110","author":[{"family":"Liu","given":"Tao"},{"family":"Laidlaw","given":"Tanya M."},{"family":"Katz","given":"Howard R."},{"family":"Boyce","given":"Joshua A."}],"issued":{"date-parts":[["2013",10,15]]}}}],"schema":"https://github.com/citation-style-language/schema/raw/master/csl-citation.json"} </w:instrText>
      </w:r>
      <w:r w:rsidR="00D73B11" w:rsidRPr="00726423">
        <w:rPr>
          <w:rFonts w:ascii="Arial" w:hAnsi="Arial" w:cs="Arial"/>
          <w:color w:val="000000" w:themeColor="text1"/>
          <w:sz w:val="22"/>
          <w:szCs w:val="22"/>
          <w:vertAlign w:val="superscript"/>
        </w:rPr>
        <w:fldChar w:fldCharType="separate"/>
      </w:r>
      <w:r w:rsidR="00361359" w:rsidRPr="00361359">
        <w:rPr>
          <w:rFonts w:ascii="Arial" w:hAnsi="Arial" w:cs="Arial"/>
          <w:color w:val="000000"/>
          <w:sz w:val="22"/>
          <w:vertAlign w:val="superscript"/>
        </w:rPr>
        <w:t>11</w:t>
      </w:r>
      <w:r w:rsidR="00D73B11" w:rsidRPr="00726423">
        <w:rPr>
          <w:rFonts w:ascii="Arial" w:hAnsi="Arial" w:cs="Arial"/>
          <w:color w:val="000000" w:themeColor="text1"/>
          <w:sz w:val="22"/>
          <w:szCs w:val="22"/>
          <w:vertAlign w:val="superscript"/>
        </w:rPr>
        <w:fldChar w:fldCharType="end"/>
      </w:r>
      <w:r w:rsidR="00515081" w:rsidRPr="00726423">
        <w:rPr>
          <w:rFonts w:ascii="Arial" w:hAnsi="Arial" w:cs="Arial"/>
          <w:color w:val="000000" w:themeColor="text1"/>
          <w:sz w:val="22"/>
          <w:szCs w:val="22"/>
        </w:rPr>
        <w:t>. PGD</w:t>
      </w:r>
      <w:r w:rsidR="00515081" w:rsidRPr="00726423">
        <w:rPr>
          <w:rFonts w:ascii="Arial" w:hAnsi="Arial" w:cs="Arial"/>
          <w:color w:val="000000" w:themeColor="text1"/>
          <w:sz w:val="22"/>
          <w:szCs w:val="22"/>
          <w:vertAlign w:val="subscript"/>
        </w:rPr>
        <w:t>2</w:t>
      </w:r>
      <w:r w:rsidR="00515081" w:rsidRPr="00726423">
        <w:rPr>
          <w:rFonts w:ascii="Arial" w:hAnsi="Arial" w:cs="Arial"/>
          <w:color w:val="000000" w:themeColor="text1"/>
          <w:sz w:val="22"/>
          <w:szCs w:val="22"/>
        </w:rPr>
        <w:t xml:space="preserve"> and leukotrienes </w:t>
      </w:r>
      <w:r w:rsidR="003348CA" w:rsidRPr="00726423">
        <w:rPr>
          <w:rFonts w:ascii="Arial" w:hAnsi="Arial" w:cs="Arial"/>
          <w:color w:val="000000" w:themeColor="text1"/>
          <w:sz w:val="22"/>
          <w:szCs w:val="22"/>
        </w:rPr>
        <w:t>promote ILC2 recruitment to the lung and cytokine production</w:t>
      </w:r>
      <w:r w:rsidR="00D73B11" w:rsidRPr="00726423">
        <w:rPr>
          <w:rFonts w:ascii="Arial" w:hAnsi="Arial" w:cs="Arial"/>
          <w:color w:val="000000" w:themeColor="text1"/>
          <w:sz w:val="22"/>
          <w:szCs w:val="22"/>
          <w:vertAlign w:val="superscript"/>
        </w:rPr>
        <w:fldChar w:fldCharType="begin"/>
      </w:r>
      <w:r w:rsidR="00361359">
        <w:rPr>
          <w:rFonts w:ascii="Arial" w:hAnsi="Arial" w:cs="Arial"/>
          <w:color w:val="000000" w:themeColor="text1"/>
          <w:sz w:val="22"/>
          <w:szCs w:val="22"/>
          <w:vertAlign w:val="superscript"/>
        </w:rPr>
        <w:instrText xml:space="preserve"> ADDIN ZOTERO_ITEM CSL_CITATION {"citationID":"a11hdk3r35s","properties":{"formattedCitation":"\\super 12\\nosupersub{}","plainCitation":"12","noteIndex":0},"citationItems":[{"id":1656,"uris":["http://zotero.org/users/local/OCWppIAO/items/2RTKJGQM"],"itemData":{"id":1656,"type":"article-journal","abstract":"BACKGROUND: Activation of the group 2 innate lymphoid cell (ILC2) population leads to production of the classical type 2 cytokines, thus promoting type 2 immunity. Chemoattractant receptor-homologous molecule expressed on TH2 cells (CRTH2), a receptor for prostaglandin D</w:instrText>
      </w:r>
      <w:r w:rsidR="00361359">
        <w:rPr>
          <w:rFonts w:ascii="Cambria Math" w:hAnsi="Cambria Math" w:cs="Cambria Math"/>
          <w:color w:val="000000" w:themeColor="text1"/>
          <w:sz w:val="22"/>
          <w:szCs w:val="22"/>
          <w:vertAlign w:val="superscript"/>
        </w:rPr>
        <w:instrText>₂</w:instrText>
      </w:r>
      <w:r w:rsidR="00361359">
        <w:rPr>
          <w:rFonts w:ascii="Arial" w:hAnsi="Arial" w:cs="Arial"/>
          <w:color w:val="000000" w:themeColor="text1"/>
          <w:sz w:val="22"/>
          <w:szCs w:val="22"/>
          <w:vertAlign w:val="superscript"/>
        </w:rPr>
        <w:instrText xml:space="preserve"> (PGD</w:instrText>
      </w:r>
      <w:r w:rsidR="00361359">
        <w:rPr>
          <w:rFonts w:ascii="Cambria Math" w:hAnsi="Cambria Math" w:cs="Cambria Math"/>
          <w:color w:val="000000" w:themeColor="text1"/>
          <w:sz w:val="22"/>
          <w:szCs w:val="22"/>
          <w:vertAlign w:val="superscript"/>
        </w:rPr>
        <w:instrText>₂</w:instrText>
      </w:r>
      <w:r w:rsidR="00361359">
        <w:rPr>
          <w:rFonts w:ascii="Arial" w:hAnsi="Arial" w:cs="Arial"/>
          <w:color w:val="000000" w:themeColor="text1"/>
          <w:sz w:val="22"/>
          <w:szCs w:val="22"/>
          <w:vertAlign w:val="superscript"/>
        </w:rPr>
        <w:instrText>), is expressed by human ILC2s. However, the function of CRTH2 in these cells is unclear.\nOBJECTIVES: We sought to determine the role of PGD</w:instrText>
      </w:r>
      <w:r w:rsidR="00361359">
        <w:rPr>
          <w:rFonts w:ascii="Cambria Math" w:hAnsi="Cambria Math" w:cs="Cambria Math"/>
          <w:color w:val="000000" w:themeColor="text1"/>
          <w:sz w:val="22"/>
          <w:szCs w:val="22"/>
          <w:vertAlign w:val="superscript"/>
        </w:rPr>
        <w:instrText>₂</w:instrText>
      </w:r>
      <w:r w:rsidR="00361359">
        <w:rPr>
          <w:rFonts w:ascii="Arial" w:hAnsi="Arial" w:cs="Arial"/>
          <w:color w:val="000000" w:themeColor="text1"/>
          <w:sz w:val="22"/>
          <w:szCs w:val="22"/>
          <w:vertAlign w:val="superscript"/>
        </w:rPr>
        <w:instrText xml:space="preserve"> and CRTH2 in human ILC2s and compare it with that of the established ILC2 activators IL-25 and IL-33.\nMETHODS: The effects of PGD</w:instrText>
      </w:r>
      <w:r w:rsidR="00361359">
        <w:rPr>
          <w:rFonts w:ascii="Cambria Math" w:hAnsi="Cambria Math" w:cs="Cambria Math"/>
          <w:color w:val="000000" w:themeColor="text1"/>
          <w:sz w:val="22"/>
          <w:szCs w:val="22"/>
          <w:vertAlign w:val="superscript"/>
        </w:rPr>
        <w:instrText>₂</w:instrText>
      </w:r>
      <w:r w:rsidR="00361359">
        <w:rPr>
          <w:rFonts w:ascii="Arial" w:hAnsi="Arial" w:cs="Arial"/>
          <w:color w:val="000000" w:themeColor="text1"/>
          <w:sz w:val="22"/>
          <w:szCs w:val="22"/>
          <w:vertAlign w:val="superscript"/>
        </w:rPr>
        <w:instrText>, IL-25, and IL-33 on the cell migration, cytokine production, gene regulation, and receptor expression of ILC2s were measured with chemotaxis, ELISA, Luminex, flow cytometry, quantitative RT-PCR, and QuantiGene assays. The effects of PGD</w:instrText>
      </w:r>
      <w:r w:rsidR="00361359">
        <w:rPr>
          <w:rFonts w:ascii="Cambria Math" w:hAnsi="Cambria Math" w:cs="Cambria Math"/>
          <w:color w:val="000000" w:themeColor="text1"/>
          <w:sz w:val="22"/>
          <w:szCs w:val="22"/>
          <w:vertAlign w:val="superscript"/>
        </w:rPr>
        <w:instrText>₂</w:instrText>
      </w:r>
      <w:r w:rsidR="00361359">
        <w:rPr>
          <w:rFonts w:ascii="Arial" w:hAnsi="Arial" w:cs="Arial"/>
          <w:color w:val="000000" w:themeColor="text1"/>
          <w:sz w:val="22"/>
          <w:szCs w:val="22"/>
          <w:vertAlign w:val="superscript"/>
        </w:rPr>
        <w:instrText xml:space="preserve"> under physiologic conditions were evaluated by using the supernatant from activated mast cells.\nRESULTS: PGD</w:instrText>
      </w:r>
      <w:r w:rsidR="00361359">
        <w:rPr>
          <w:rFonts w:ascii="Cambria Math" w:hAnsi="Cambria Math" w:cs="Cambria Math"/>
          <w:color w:val="000000" w:themeColor="text1"/>
          <w:sz w:val="22"/>
          <w:szCs w:val="22"/>
          <w:vertAlign w:val="superscript"/>
        </w:rPr>
        <w:instrText>₂</w:instrText>
      </w:r>
      <w:r w:rsidR="00361359">
        <w:rPr>
          <w:rFonts w:ascii="Arial" w:hAnsi="Arial" w:cs="Arial"/>
          <w:color w:val="000000" w:themeColor="text1"/>
          <w:sz w:val="22"/>
          <w:szCs w:val="22"/>
          <w:vertAlign w:val="superscript"/>
        </w:rPr>
        <w:instrText xml:space="preserve"> binding to CRTH2 induced ILC2 migration and production of type 2 cytokines and many other cytokines. ILC2 activation through CRTH2 also upregulated the expression of IL-33 and IL-25 receptor subunits (ST2 and IL-17RA). The effects of PGD</w:instrText>
      </w:r>
      <w:r w:rsidR="00361359">
        <w:rPr>
          <w:rFonts w:ascii="Cambria Math" w:hAnsi="Cambria Math" w:cs="Cambria Math"/>
          <w:color w:val="000000" w:themeColor="text1"/>
          <w:sz w:val="22"/>
          <w:szCs w:val="22"/>
          <w:vertAlign w:val="superscript"/>
        </w:rPr>
        <w:instrText>₂</w:instrText>
      </w:r>
      <w:r w:rsidR="00361359">
        <w:rPr>
          <w:rFonts w:ascii="Arial" w:hAnsi="Arial" w:cs="Arial"/>
          <w:color w:val="000000" w:themeColor="text1"/>
          <w:sz w:val="22"/>
          <w:szCs w:val="22"/>
          <w:vertAlign w:val="superscript"/>
        </w:rPr>
        <w:instrText xml:space="preserve"> on ILC2s could be mimicked by the supernatant from activated human mast cells and inhibited by a CRTH2 antagonist.\nCONCLUSIONS: PGD</w:instrText>
      </w:r>
      <w:r w:rsidR="00361359">
        <w:rPr>
          <w:rFonts w:ascii="Cambria Math" w:hAnsi="Cambria Math" w:cs="Cambria Math"/>
          <w:color w:val="000000" w:themeColor="text1"/>
          <w:sz w:val="22"/>
          <w:szCs w:val="22"/>
          <w:vertAlign w:val="superscript"/>
        </w:rPr>
        <w:instrText>₂</w:instrText>
      </w:r>
      <w:r w:rsidR="00361359">
        <w:rPr>
          <w:rFonts w:ascii="Arial" w:hAnsi="Arial" w:cs="Arial"/>
          <w:color w:val="000000" w:themeColor="text1"/>
          <w:sz w:val="22"/>
          <w:szCs w:val="22"/>
          <w:vertAlign w:val="superscript"/>
        </w:rPr>
        <w:instrText xml:space="preserve"> is an important and potent activator of ILC2s through CRTH2 mediating strong proallergic inflammatory responses. Through IgE-mediated mast cell degranulation, these innate cells can also contribute to adaptive type 2 immunity; thus CRTH2 bridges the innate and adaptive pathways in human ILC2s.","container-title":"The Journal of Allergy and Clinical Immunology","DOI":"10.1016/j.jaci.2013.10.056","ISSN":"1097-6825","issue":"4","journalAbbreviation":"J Allergy Clin Immunol","language":"eng","note":"PMID: 24388011\nPMCID: PMC3979107","page":"1184-1194","source":"PubMed","title":"Prostaglandin D2 activates group 2 innate lymphoid cells through chemoattractant receptor-homologous molecule expressed on TH2 cells","volume":"133","author":[{"family":"Xue","given":"Luzheng"},{"family":"Salimi","given":"Maryam"},{"family":"Panse","given":"Isabel"},{"family":"Mjösberg","given":"Jenny M."},{"family":"McKenzie","given":"Andrew N. J."},{"family":"Spits","given":"Hergen"},{"family":"Klenerman","given":"Paul"},{"family":"Ogg","given":"Graham"}],"issued":{"date-parts":[["2014",4]]}}}],"schema":"https://github.com/citation-style-language/schema/raw/master/csl-citation.json"} </w:instrText>
      </w:r>
      <w:r w:rsidR="00D73B11" w:rsidRPr="00726423">
        <w:rPr>
          <w:rFonts w:ascii="Arial" w:hAnsi="Arial" w:cs="Arial"/>
          <w:color w:val="000000" w:themeColor="text1"/>
          <w:sz w:val="22"/>
          <w:szCs w:val="22"/>
          <w:vertAlign w:val="superscript"/>
        </w:rPr>
        <w:fldChar w:fldCharType="separate"/>
      </w:r>
      <w:r w:rsidR="00361359" w:rsidRPr="00361359">
        <w:rPr>
          <w:rFonts w:ascii="Arial" w:hAnsi="Arial" w:cs="Arial"/>
          <w:color w:val="000000"/>
          <w:sz w:val="22"/>
          <w:vertAlign w:val="superscript"/>
        </w:rPr>
        <w:t>12</w:t>
      </w:r>
      <w:r w:rsidR="00D73B11" w:rsidRPr="00726423">
        <w:rPr>
          <w:rFonts w:ascii="Arial" w:hAnsi="Arial" w:cs="Arial"/>
          <w:color w:val="000000" w:themeColor="text1"/>
          <w:sz w:val="22"/>
          <w:szCs w:val="22"/>
          <w:vertAlign w:val="superscript"/>
        </w:rPr>
        <w:fldChar w:fldCharType="end"/>
      </w:r>
      <w:r w:rsidR="00B952B8">
        <w:rPr>
          <w:rFonts w:ascii="Arial" w:hAnsi="Arial" w:cs="Arial"/>
          <w:color w:val="000000" w:themeColor="text1"/>
          <w:sz w:val="22"/>
          <w:szCs w:val="22"/>
          <w:vertAlign w:val="superscript"/>
        </w:rPr>
        <w:t>,</w:t>
      </w:r>
      <w:r w:rsidR="00C336B1" w:rsidRPr="00726423">
        <w:rPr>
          <w:rFonts w:ascii="Arial" w:hAnsi="Arial" w:cs="Arial"/>
          <w:color w:val="000000" w:themeColor="text1"/>
          <w:sz w:val="22"/>
          <w:szCs w:val="22"/>
          <w:vertAlign w:val="superscript"/>
        </w:rPr>
        <w:fldChar w:fldCharType="begin"/>
      </w:r>
      <w:r w:rsidR="00361359">
        <w:rPr>
          <w:rFonts w:ascii="Arial" w:hAnsi="Arial" w:cs="Arial"/>
          <w:color w:val="000000" w:themeColor="text1"/>
          <w:sz w:val="22"/>
          <w:szCs w:val="22"/>
          <w:vertAlign w:val="superscript"/>
        </w:rPr>
        <w:instrText xml:space="preserve"> ADDIN ZOTERO_ITEM CSL_CITATION {"citationID":"a1ptp5op5rb","properties":{"formattedCitation":"\\super 13\\nosupersub{}","plainCitation":"13","noteIndex":0},"citationItems":[{"id":1718,"uris":["http://zotero.org/users/local/OCWppIAO/items/2HVRDNGQ"],"itemData":{"id":1718,"type":"article-journal","abstract":"Group 2 innate lymphoid cells (ILC2s) are rare innate immune cells that accumulate in tissues during allergy and helminth infection, performing critical effector functions that drive type 2 inflammation. ILC2s express ST2, the receptor for the cytokine IL-33, and chemoattractant receptor-homologous molecule expressed on Th2 cells (CRTH2), a receptor for the bioactive lipid prostaglandin D2 (PGD2). The IL-33-ST2 and the PGD2-CRTH2 pathways have both been implicated in promoting ILC2 accumulation during type 2 inflammation. However, whether these two pathways coordinate to regulate ILC2 population size in the tissue in vivo remains undefined. In this study, we show that ILC2 accumulation in the murine lung in response to systemic IL-33 treatment was partially dependent on CRTH2. This effect was not a result of reduced ILC2 proliferation, increased apoptosis or cell death, or differences in expression of the ST2 receptor in the absence of CRTH2. Rather, data from adoptive transfer studies suggested that defective accumulation of CRTH2-deficient ILC2s in response to IL-33 was due to altered ILC2 migration patterns. Whereas donor wild-type ILC2s preferentially accumulated in the lungs compared with CRTH2-deficient ILC2s following transfer into IL-33-treated recipients, wild-type and CRTH2-deficient ILC2s accumulated equally in the recipient mediastinal lymph node. These data suggest that CRTH2-dependent effects lie downstream of IL-33, directly affecting the migration of ILC2s into inflamed lung tissues. A better understanding of the complex interactions between the IL-33 and PGD2-CRTH2 pathways that regulate ILC2 population size will be useful in understanding how these pathways could be targeted to treat diseases associated with type 2 inflammation.","container-title":"Journal of Immunology (Baltimore, Md.: 1950)","DOI":"10.4049/jimmunol.1900745","ISSN":"1550-6606","issue":"4","journalAbbreviation":"J Immunol","language":"eng","note":"PMID: 31900341\nPMCID: PMC6994842","page":"1001-1011","source":"PubMed","title":"The Prostaglandin D2 Receptor CRTH2 Promotes IL-33-Induced ILC2 Accumulation in the Lung","volume":"204","author":[{"family":"Oyesola","given":"Oyebola O."},{"family":"Duque","given":"Carolina"},{"family":"Huang","given":"Linda C."},{"family":"Larson","given":"Elisabeth M."},{"family":"Früh","given":"Simon P."},{"family":"Webb","given":"Lauren M."},{"family":"Peng","given":"Seth A."},{"family":"Tait Wojno","given":"Elia D."}],"issued":{"date-parts":[["2020",2,15]]}}}],"schema":"https://github.com/citation-style-language/schema/raw/master/csl-citation.json"} </w:instrText>
      </w:r>
      <w:r w:rsidR="00C336B1" w:rsidRPr="00726423">
        <w:rPr>
          <w:rFonts w:ascii="Arial" w:hAnsi="Arial" w:cs="Arial"/>
          <w:color w:val="000000" w:themeColor="text1"/>
          <w:sz w:val="22"/>
          <w:szCs w:val="22"/>
          <w:vertAlign w:val="superscript"/>
        </w:rPr>
        <w:fldChar w:fldCharType="separate"/>
      </w:r>
      <w:r w:rsidR="00361359" w:rsidRPr="00361359">
        <w:rPr>
          <w:rFonts w:ascii="Arial" w:hAnsi="Arial" w:cs="Arial"/>
          <w:color w:val="000000"/>
          <w:sz w:val="22"/>
          <w:vertAlign w:val="superscript"/>
        </w:rPr>
        <w:t>13</w:t>
      </w:r>
      <w:r w:rsidR="00C336B1" w:rsidRPr="00726423">
        <w:rPr>
          <w:rFonts w:ascii="Arial" w:hAnsi="Arial" w:cs="Arial"/>
          <w:color w:val="000000" w:themeColor="text1"/>
          <w:sz w:val="22"/>
          <w:szCs w:val="22"/>
          <w:vertAlign w:val="superscript"/>
        </w:rPr>
        <w:fldChar w:fldCharType="end"/>
      </w:r>
      <w:r w:rsidR="00240323" w:rsidRPr="00726423">
        <w:rPr>
          <w:rFonts w:ascii="Arial" w:hAnsi="Arial" w:cs="Arial"/>
          <w:color w:val="000000" w:themeColor="text1"/>
          <w:sz w:val="22"/>
          <w:szCs w:val="22"/>
        </w:rPr>
        <w:t>.</w:t>
      </w:r>
      <w:r w:rsidR="003348CA" w:rsidRPr="00726423">
        <w:rPr>
          <w:rFonts w:ascii="Arial" w:hAnsi="Arial" w:cs="Arial"/>
          <w:color w:val="000000" w:themeColor="text1"/>
          <w:sz w:val="22"/>
          <w:szCs w:val="22"/>
        </w:rPr>
        <w:t xml:space="preserve"> </w:t>
      </w:r>
      <w:r w:rsidR="00240323" w:rsidRPr="00726423">
        <w:rPr>
          <w:rFonts w:ascii="Arial" w:hAnsi="Arial" w:cs="Arial"/>
          <w:color w:val="000000" w:themeColor="text1"/>
          <w:sz w:val="22"/>
          <w:szCs w:val="22"/>
        </w:rPr>
        <w:t>Prostacyclin (also called</w:t>
      </w:r>
      <w:r w:rsidR="003348CA" w:rsidRPr="00726423">
        <w:rPr>
          <w:rFonts w:ascii="Arial" w:hAnsi="Arial" w:cs="Arial"/>
          <w:color w:val="000000" w:themeColor="text1"/>
          <w:sz w:val="22"/>
          <w:szCs w:val="22"/>
        </w:rPr>
        <w:t xml:space="preserve"> PGI</w:t>
      </w:r>
      <w:r w:rsidR="003348CA" w:rsidRPr="00726423">
        <w:rPr>
          <w:rFonts w:ascii="Arial" w:hAnsi="Arial" w:cs="Arial"/>
          <w:color w:val="000000" w:themeColor="text1"/>
          <w:sz w:val="22"/>
          <w:szCs w:val="22"/>
          <w:vertAlign w:val="subscript"/>
        </w:rPr>
        <w:t>2</w:t>
      </w:r>
      <w:r w:rsidR="00240323" w:rsidRPr="00726423">
        <w:rPr>
          <w:rFonts w:ascii="Arial" w:hAnsi="Arial" w:cs="Arial"/>
          <w:color w:val="000000" w:themeColor="text1"/>
          <w:sz w:val="22"/>
          <w:szCs w:val="22"/>
        </w:rPr>
        <w:t xml:space="preserve">) has been reported to </w:t>
      </w:r>
      <w:r w:rsidR="003348CA" w:rsidRPr="00726423">
        <w:rPr>
          <w:rFonts w:ascii="Arial" w:hAnsi="Arial" w:cs="Arial"/>
          <w:color w:val="000000" w:themeColor="text1"/>
          <w:sz w:val="22"/>
          <w:szCs w:val="22"/>
        </w:rPr>
        <w:t>restrict ILC2 activation and effector function</w:t>
      </w:r>
      <w:r w:rsidR="00D73B11" w:rsidRPr="00726423">
        <w:rPr>
          <w:rFonts w:ascii="Arial" w:hAnsi="Arial" w:cs="Arial"/>
          <w:color w:val="000000" w:themeColor="text1"/>
          <w:sz w:val="22"/>
          <w:szCs w:val="22"/>
          <w:vertAlign w:val="superscript"/>
        </w:rPr>
        <w:fldChar w:fldCharType="begin"/>
      </w:r>
      <w:r w:rsidR="00361359">
        <w:rPr>
          <w:rFonts w:ascii="Arial" w:hAnsi="Arial" w:cs="Arial"/>
          <w:color w:val="000000" w:themeColor="text1"/>
          <w:sz w:val="22"/>
          <w:szCs w:val="22"/>
          <w:vertAlign w:val="superscript"/>
        </w:rPr>
        <w:instrText xml:space="preserve"> ADDIN ZOTERO_ITEM CSL_CITATION {"citationID":"ak1d3paegp","properties":{"formattedCitation":"\\super 14\\nosupersub{}","plainCitation":"14","noteIndex":0},"citationItems":[{"id":1659,"uris":["http://zotero.org/users/local/OCWppIAO/items/2HCC29WK"],"itemData":{"id":1659,"type":"article-journal","abstract":"RATIONALE: Group 2 innate lymphoid cells (ILC2s) robustly produce IL-5 and IL-13, cytokines central to the asthma phenotype; however, the effect of prostaglandin (PG) I2 on ILC2 function is unknown.\nOBJECTIVES: To determine the effect of PGI2 on mouse and human ILC2 cytokine expression in vitro and the effect of endogenous PGI2 and the PGI2 analog cicaprost on lung ILC2s in vivo.\nMETHODS: Flow-sorted bone marrow ILC2s of wild-type (WT) and PGI2 receptor-deficient (IP(-/-)) mice were cultured with IL-33 and treated with the PGI2 analog cicaprost. WT and IP(-/-) mice were challenged intranasally with Alternaria alternata extract for 4 consecutive days to induce ILC2 responses, and these were quantified. Prior to A. alternata extract, challenged WT mice were treated with cicaprost. Human flow-sorted peripheral blood ILC2s were cultured with IL-33 and IL-2 and treated with the PGI2 analog cicaprost.\nMEASUREMENT AND MAIN RESULTS: We demonstrate that PGI2 inhibits IL-5 and IL-13 protein expression by IL-33-stimulated ILC2s purified from mouse bone marrow in a manner that was dependent on signaling through the PGI2 receptor IP. In a mouse model of 4 consecutive days of airway challenge with an extract of A. alternata, a fungal aeroallergen associated with severe asthma exacerbations, endogenous PGI2 signaling significantly inhibited lung IL-5 and IL-13 protein expression, and reduced the number of lung IL-5- and IL-13-expressing ILC2s, as well as the mean fluorescence intensity of IL-5 and IL-13 staining. In addition, exogenous administration of a PGI2 analog inhibited Alternaria extract-induced lung IL-5 and IL-13 protein expression, and reduced the number of lung IL-5- and IL-13-expressing ILC2s and the mean fluorescence intensity of IL-5 and IL-13 staining. Finally, a PGI2 analog inhibited IL-5 and IL-13 expression by human ILC2s that were stimulated with IL-2 and IL-33.\nCONCLUSIONS: These results suggest that PGI2 may be a potential therapy to reduce the ILC2 response to protease-containing aeroallergens, such as Alternaria.","container-title":"American Journal of Respiratory and Critical Care Medicine","DOI":"10.1164/rccm.201410-1793OC","ISSN":"1535-4970","issue":"1","journalAbbreviation":"Am J Respir Crit Care Med","language":"eng","note":"PMID: 26378386\nPMCID: PMC4731613","page":"31-42","source":"PubMed","title":"Prostaglandin I2 Signaling and Inhibition of Group 2 Innate Lymphoid Cell Responses","volume":"193","author":[{"family":"Zhou","given":"Weisong"},{"family":"Toki","given":"Shinji"},{"family":"Zhang","given":"Jian"},{"family":"Goleniewksa","given":"Kasia"},{"family":"Newcomb","given":"Dawn C."},{"family":"Cephus","given":"Jacqueline Y."},{"family":"Dulek","given":"Daniel E."},{"family":"Bloodworth","given":"Melissa H."},{"family":"Stier","given":"Matthew T."},{"family":"Polosuhkin","given":"Vasiliy"},{"family":"Gangula","given":"Rama D."},{"family":"Mallal","given":"Simon A."},{"family":"Broide","given":"David H."},{"family":"Peebles","given":"R. Stokes"}],"issued":{"date-parts":[["2016",1,1]]}}}],"schema":"https://github.com/citation-style-language/schema/raw/master/csl-citation.json"} </w:instrText>
      </w:r>
      <w:r w:rsidR="00D73B11" w:rsidRPr="00726423">
        <w:rPr>
          <w:rFonts w:ascii="Arial" w:hAnsi="Arial" w:cs="Arial"/>
          <w:color w:val="000000" w:themeColor="text1"/>
          <w:sz w:val="22"/>
          <w:szCs w:val="22"/>
          <w:vertAlign w:val="superscript"/>
        </w:rPr>
        <w:fldChar w:fldCharType="separate"/>
      </w:r>
      <w:r w:rsidR="00361359" w:rsidRPr="00361359">
        <w:rPr>
          <w:rFonts w:ascii="Arial" w:hAnsi="Arial" w:cs="Arial"/>
          <w:color w:val="000000"/>
          <w:sz w:val="22"/>
          <w:vertAlign w:val="superscript"/>
        </w:rPr>
        <w:t>14</w:t>
      </w:r>
      <w:r w:rsidR="00D73B11" w:rsidRPr="00726423">
        <w:rPr>
          <w:rFonts w:ascii="Arial" w:hAnsi="Arial" w:cs="Arial"/>
          <w:color w:val="000000" w:themeColor="text1"/>
          <w:sz w:val="22"/>
          <w:szCs w:val="22"/>
          <w:vertAlign w:val="superscript"/>
        </w:rPr>
        <w:fldChar w:fldCharType="end"/>
      </w:r>
      <w:r w:rsidR="003348CA" w:rsidRPr="00726423">
        <w:rPr>
          <w:rFonts w:ascii="Arial" w:hAnsi="Arial" w:cs="Arial"/>
          <w:color w:val="000000" w:themeColor="text1"/>
          <w:sz w:val="22"/>
          <w:szCs w:val="22"/>
        </w:rPr>
        <w:t xml:space="preserve">. </w:t>
      </w:r>
      <w:r w:rsidR="000C3CB2" w:rsidRPr="00726423">
        <w:rPr>
          <w:rFonts w:ascii="Arial" w:hAnsi="Arial" w:cs="Arial"/>
          <w:color w:val="000000" w:themeColor="text1"/>
          <w:sz w:val="22"/>
          <w:szCs w:val="22"/>
        </w:rPr>
        <w:t xml:space="preserve">NERD patients have reduced expression of the </w:t>
      </w:r>
      <w:r w:rsidR="000C3CB2" w:rsidRPr="00726423">
        <w:rPr>
          <w:rFonts w:ascii="Arial" w:hAnsi="Arial" w:cs="Arial"/>
          <w:i/>
          <w:iCs/>
          <w:color w:val="000000" w:themeColor="text1"/>
          <w:sz w:val="22"/>
          <w:szCs w:val="22"/>
        </w:rPr>
        <w:t>PTGES</w:t>
      </w:r>
      <w:r w:rsidR="000C3CB2" w:rsidRPr="00726423">
        <w:rPr>
          <w:rFonts w:ascii="Arial" w:hAnsi="Arial" w:cs="Arial"/>
          <w:color w:val="000000" w:themeColor="text1"/>
          <w:sz w:val="22"/>
          <w:szCs w:val="22"/>
        </w:rPr>
        <w:t xml:space="preserve"> gene (encoding the key PGE</w:t>
      </w:r>
      <w:r w:rsidR="000C3CB2" w:rsidRPr="00726423">
        <w:rPr>
          <w:rFonts w:ascii="Arial" w:hAnsi="Arial" w:cs="Arial"/>
          <w:color w:val="000000" w:themeColor="text1"/>
          <w:sz w:val="22"/>
          <w:szCs w:val="22"/>
          <w:vertAlign w:val="subscript"/>
        </w:rPr>
        <w:t>2</w:t>
      </w:r>
      <w:r w:rsidR="000C3CB2" w:rsidRPr="00726423">
        <w:rPr>
          <w:rFonts w:ascii="Arial" w:hAnsi="Arial" w:cs="Arial"/>
          <w:color w:val="000000" w:themeColor="text1"/>
          <w:sz w:val="22"/>
          <w:szCs w:val="22"/>
        </w:rPr>
        <w:t xml:space="preserve"> synthase, mPGES1) due to hypermethylation</w:t>
      </w:r>
      <w:r w:rsidR="00351CF7"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{"citationID":"a24778ediqu","properties":{"formattedCitation":"\\super 15\\nosupersub{}","plainCitation":"15","noteIndex":0},"citationItems":[{"id":1756,"uris":["http://zotero.org/users/local/OCWppIAO/items/XGEKVHUB"],"itemData":{"id":1756,"type":"article-journal","abstract":"Nonsteroidal anti-inflammatory drug (NSAID)-exacerbated respiratory disease (NERD) has attracted a great deal of attention because of its association with severe asthma. However, it remains widely underdiagnosed in asthmatics as well as the general population. Upon pharmacological inhibition of cyclooxygenase 1 by NSAIDs, production of anti-inflammatory prostaglandin E2 and lipoxins ceases, while release of proinflammatory cysteinyl leukotrienes increases. To determine the underlying mechanisms, many studies have attempted to elucidate the genetic variants, such as single nucleotide polymorphisms, responsible for alterations of prostaglandins and leukotrienes, but the results of these genetic studies could not explain the whole genetic pathogenesis of NERD. Accordingly, the field of epigenetics has been introduced as an additional contributor to genomic alteration underlying the development of NERD. Recently, changes in CpG methylation, as one of the epigenetic components, have been identified in target tissues of NERD. This review discusses in silico analyses of both genetic and epigenetic components to gain a better understanding of their complementary roles in the development of NERD. Although the molecular mechanisms underlying NERD pathogenesis remain poorly understood, genetic and epigenetic variations play significant roles. Our results enhance the understanding of the genetic and epigenetic mechanisms involved in the development of NERD and suggest new approaches toward better diagnosis and management.","container-title":"Allergy, Asthma &amp; Immunology Research","DOI":"10.4168/aair.2019.11.6.779","ISSN":"2092-7355","issue":"6","journalAbbreviation":"Allergy Asthma Immunol Res","language":"eng","note":"PMID: 31552714\nPMCID: PMC6761071","page":"779-794","source":"PubMed","title":"Complementary Participation of Genetics and Epigenetics in Development of NSAID-exacerbated Respiratory Disease","volume":"11","author":[{"family":"Lee","given":"Jong Uk"},{"family":"Park","given":"Jong Sook"},{"family":"Chang","given":"Hun Soo"},{"family":"Park","given":"Choon Sik"}],"issued":{"date-parts":[["2019",11]]}}}],"schema":"https://github.com/citation-style-language/schema/raw/master/csl-citation.json"} </w:instrText>
      </w:r>
      <w:r w:rsidR="00351CF7"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15</w:t>
      </w:r>
      <w:r w:rsidR="00351CF7" w:rsidRPr="00726423">
        <w:rPr>
          <w:rFonts w:ascii="Arial" w:hAnsi="Arial" w:cs="Arial"/>
          <w:color w:val="000000" w:themeColor="text1"/>
          <w:sz w:val="22"/>
          <w:szCs w:val="22"/>
        </w:rPr>
        <w:fldChar w:fldCharType="end"/>
      </w:r>
      <w:r w:rsidR="000C3CB2" w:rsidRPr="00726423">
        <w:rPr>
          <w:rFonts w:ascii="Arial" w:hAnsi="Arial" w:cs="Arial"/>
          <w:color w:val="000000" w:themeColor="text1"/>
          <w:sz w:val="22"/>
          <w:szCs w:val="22"/>
        </w:rPr>
        <w:t xml:space="preserve">. Genetic studies have also suggested that polymorphisms in the </w:t>
      </w:r>
      <w:r w:rsidR="000C3CB2" w:rsidRPr="00726423">
        <w:rPr>
          <w:rFonts w:ascii="Arial" w:hAnsi="Arial" w:cs="Arial"/>
          <w:i/>
          <w:iCs/>
          <w:color w:val="000000" w:themeColor="text1"/>
          <w:sz w:val="22"/>
          <w:szCs w:val="22"/>
        </w:rPr>
        <w:t>PTGER2</w:t>
      </w:r>
      <w:r w:rsidR="000C3CB2" w:rsidRPr="00726423">
        <w:rPr>
          <w:rFonts w:ascii="Arial" w:hAnsi="Arial" w:cs="Arial"/>
          <w:color w:val="000000" w:themeColor="text1"/>
          <w:sz w:val="22"/>
          <w:szCs w:val="22"/>
        </w:rPr>
        <w:t xml:space="preserve"> gene (which encodes PGE</w:t>
      </w:r>
      <w:r w:rsidR="000C3CB2" w:rsidRPr="00726423">
        <w:rPr>
          <w:rFonts w:ascii="Arial" w:hAnsi="Arial" w:cs="Arial"/>
          <w:color w:val="000000" w:themeColor="text1"/>
          <w:sz w:val="22"/>
          <w:szCs w:val="22"/>
          <w:vertAlign w:val="subscript"/>
        </w:rPr>
        <w:t>2</w:t>
      </w:r>
      <w:r w:rsidR="000C3CB2" w:rsidRPr="00726423">
        <w:rPr>
          <w:rFonts w:ascii="Arial" w:hAnsi="Arial" w:cs="Arial"/>
          <w:color w:val="000000" w:themeColor="text1"/>
          <w:sz w:val="22"/>
          <w:szCs w:val="22"/>
        </w:rPr>
        <w:t xml:space="preserve"> receptor EP2) are specifically associated with aspirin-intolerant asthma</w:t>
      </w:r>
      <w:r w:rsidR="00351CF7"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{"citationID":"ahei9hfos7","properties":{"formattedCitation":"\\super 16\\nosupersub{}","plainCitation":"16","noteIndex":0},"citationItems":[{"id":1759,"uris":["http://zotero.org/users/local/OCWppIAO/items/CD334LZH"],"itemData":{"id":1759,"type":"article-journal","abstract":"Aspirin-intolerant asthma (AIA) is a subtype of bronchial asthma characterized by development of bronchoconstriction evoked by non-steroidal anti-inflammatory drugs (NSAIDs). NSAIDs inhibit the cyclooxygenase pathway, leading to enhancement of the lipoxygenase pathway. We evaluated allelic association of 370 single nucleotide polymorphisms (SNPs) of 63 candidate genes, mostly from the arachidonic acid metabolic cascade, with AIA. After two rounds of screening with 198 AIA patients, multiple SNPs in the prostaglandin E(2) receptor subtype 2 (EP2) gene were associated with AIA (P&lt;0.05). Among the 77 SNPs identified in the EP2 gene, we selected 17 SNPs on the basis of linkage disequilibrium and allelic frequencies (minor allele frequency &gt;0.1) for further association study. SNPs in the promoter region of the EP2 gene, uS5, uS5b, and uS7, were significantly associated with AIA (permutation P=0.039-0.001). Analysis of haplotypes constructed according to the LD pattern showed a significant association with AIA (permutation P=0.001). The most significantly associated SNP, uS5, located in the regulatory region of the EP2 gene, was in a STATs-binding consensus sequence [AIA 31.1% versus control 22.1% (permutation P=0.0016) or versus aspirin-tolerant asthma 22.2% (permutation P=0.0017)]. Although STAT1 binding was not observed in gel mobility shift assay with HeLa nuclear extract, an unidentified protein was specifically bound to the allelic sequence. In in vitro reporter assay in HCT116 cells, the site containing the uS5 allele showed reduced transcription activity. Taken together, these results suggest that uS5 allele serves as a target of a transcription repressor protein. A functional SNP of the EP2 gene associated with risk of AIA should decrease the transcription level, resulting in reduction of the PGE(2) braking mechanism of inflammation and involvement in the molecular mechanism underlying AIA.","container-title":"Human Molecular Genetics","DOI":"10.1093/hmg/ddh332","ISSN":"0964-6906","issue":"24","journalAbbreviation":"Hum Mol Genet","language":"eng","note":"PMID: 15496426","page":"3203-3217","source":"PubMed","title":"Polymorphisms in the prostaglandin E2 receptor subtype 2 gene confer susceptibility to aspirin-intolerant asthma: a candidate gene approach","title-short":"Polymorphisms in the prostaglandin E2 receptor subtype 2 gene confer susceptibility to aspirin-intolerant asthma","volume":"13","author":[{"family":"Jinnai","given":"Nobuyoshi"},{"family":"Sakagami","given":"Takuro"},{"family":"Sekigawa","given":"Takashi"},{"family":"Kakihara","given":"Miho"},{"family":"Nakajima","given":"Toshiaki"},{"family":"Yoshida","given":"Kenichi"},{"family":"Goto","given":"Shin"},{"family":"Hasegawa","given":"Takashi"},{"family":"Koshino","given":"Takeshi"},{"family":"Hasegawa","given":"Yoshinori"},{"family":"Inoue","given":"Hiromasa"},{"family":"Suzuki","given":"Naohito"},{"family":"Sano","given":"Yasuyuki"},{"family":"Inoue","given":"Ituro"}],"issued":{"date-parts":[["2004",12,15]]}}}],"schema":"https://github.com/citation-style-language/schema/raw/master/csl-citation.json"} </w:instrText>
      </w:r>
      <w:r w:rsidR="00351CF7"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16</w:t>
      </w:r>
      <w:r w:rsidR="00351CF7" w:rsidRPr="00726423">
        <w:rPr>
          <w:rFonts w:ascii="Arial" w:hAnsi="Arial" w:cs="Arial"/>
          <w:color w:val="000000" w:themeColor="text1"/>
          <w:sz w:val="22"/>
          <w:szCs w:val="22"/>
        </w:rPr>
        <w:fldChar w:fldCharType="end"/>
      </w:r>
      <w:r w:rsidR="000C3CB2" w:rsidRPr="00726423">
        <w:rPr>
          <w:rFonts w:ascii="Arial" w:hAnsi="Arial" w:cs="Arial"/>
          <w:color w:val="000000" w:themeColor="text1"/>
          <w:sz w:val="22"/>
          <w:szCs w:val="22"/>
        </w:rPr>
        <w:t xml:space="preserve">. </w:t>
      </w:r>
      <w:r w:rsidR="00CE1D97" w:rsidRPr="00726423">
        <w:rPr>
          <w:rFonts w:ascii="Arial" w:hAnsi="Arial" w:cs="Arial"/>
          <w:color w:val="000000" w:themeColor="text1"/>
          <w:sz w:val="22"/>
          <w:szCs w:val="22"/>
        </w:rPr>
        <w:t>Moreover</w:t>
      </w:r>
      <w:r w:rsidR="000C3CB2" w:rsidRPr="00726423">
        <w:rPr>
          <w:rFonts w:ascii="Arial" w:hAnsi="Arial" w:cs="Arial"/>
          <w:color w:val="000000" w:themeColor="text1"/>
          <w:sz w:val="22"/>
          <w:szCs w:val="22"/>
        </w:rPr>
        <w:t xml:space="preserve">, immune cells from NERD patients </w:t>
      </w:r>
      <w:r w:rsidR="00CE1D97" w:rsidRPr="00726423">
        <w:rPr>
          <w:rFonts w:ascii="Arial" w:hAnsi="Arial" w:cs="Arial"/>
          <w:color w:val="000000" w:themeColor="text1"/>
          <w:sz w:val="22"/>
          <w:szCs w:val="22"/>
        </w:rPr>
        <w:t>display reduced</w:t>
      </w:r>
      <w:r w:rsidR="000C3CB2" w:rsidRPr="00726423">
        <w:rPr>
          <w:rFonts w:ascii="Arial" w:hAnsi="Arial" w:cs="Arial"/>
          <w:color w:val="000000" w:themeColor="text1"/>
          <w:sz w:val="22"/>
          <w:szCs w:val="22"/>
        </w:rPr>
        <w:t xml:space="preserve"> EP2 expression</w:t>
      </w:r>
      <w:r w:rsidR="00351CF7"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{"citationID":"a1om695a0c8","properties":{"formattedCitation":"\\super 11\\nosupersub{}","plainCitation":"11","noteIndex":0},"citationItems":[{"id":1650,"uris":["http://zotero.org/users/local/OCWppIAO/items/MS9ZEY6E"],"itemData":{"id":1650,"type":"article-journal","abstract":"Aspirin-exacerbated respiratory disease (AERD) is characterized by asthma, tissue eosinophilia, overproduction of cysteinyl leukotrienes (cysLTs), and respiratory reactions to nonselective cyclooxygenase (COX) inhibitors. Ex vivo studies suggest that functional abnormalities of the COX-2/microsomal prostaglandin (PG)E2 synthase-1 system may underlie AERD. We demonstrate that microsomal PGE2 synthase-1 null mice develop a remarkably AERD-like phenotype in a model of eosinophilic pulmonary inflammation. Lysine aspirin (Lys-ASA)-challenged PGE2 synthase-1 null mice exhibit sustained increases in airway resistance, along with lung mast cell (MC) activation and cysLT overproduction. A stable PGE2 analog and a selective E prostanoid (EP)2 receptor agonist blocked the responses to Lys-ASA by </w:instrText>
      </w:r>
      <w:r w:rsidR="00361359">
        <w:rPr>
          <w:rFonts w:ascii="Cambria Math" w:hAnsi="Cambria Math" w:cs="Cambria Math"/>
          <w:color w:val="000000" w:themeColor="text1"/>
          <w:sz w:val="22"/>
          <w:szCs w:val="22"/>
        </w:rPr>
        <w:instrText>∼</w:instrText>
      </w:r>
      <w:r w:rsidR="00361359">
        <w:rPr>
          <w:rFonts w:ascii="Arial" w:hAnsi="Arial" w:cs="Arial"/>
          <w:color w:val="000000" w:themeColor="text1"/>
          <w:sz w:val="22"/>
          <w:szCs w:val="22"/>
        </w:rPr>
        <w:instrText xml:space="preserve">90%; EP3 and EP4 agonists were also active. The increases in airway resistance and MC products were blocked by antagonists of the type 1 cysLT receptor or 5-lipoxygenase, implying that bronchoconstriction and MC activation were both cysLT dependent. Lys-ASA-induced cysLT generation and MC activation depended on platelet-adherent granulocytes and T-prostanoid (TP) receptors. Thus, lesions that impair the inducible generation of PGE2 remove control of platelet/granulocyte interactions and TP-receptor-dependent cysLT production, permitting MC activation in response to COX-1 inhibition. The findings suggest applications of antiplatelet drugs or TP receptor antagonists for the treatment of AERD.","container-title":"Proceedings of the National Academy of Sciences of the United States of America","DOI":"10.1073/pnas.1313185110","ISSN":"1091-6490","issue":"42","journalAbbreviation":"Proc Natl Acad Sci U S A","language":"eng","note":"PMID: 24085850\nPMCID: PMC3801005","page":"16987-16992","source":"PubMed","title":"Prostaglandin E2 deficiency causes a phenotype of aspirin sensitivity that depends on platelets and cysteinyl leukotrienes","volume":"110","author":[{"family":"Liu","given":"Tao"},{"family":"Laidlaw","given":"Tanya M."},{"family":"Katz","given":"Howard R."},{"family":"Boyce","given":"Joshua A."}],"issued":{"date-parts":[["2013",10,15]]}}}],"schema":"https://github.com/citation-style-language/schema/raw/master/csl-citation.json"} </w:instrText>
      </w:r>
      <w:r w:rsidR="00351CF7"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11</w:t>
      </w:r>
      <w:r w:rsidR="00351CF7" w:rsidRPr="00726423">
        <w:rPr>
          <w:rFonts w:ascii="Arial" w:hAnsi="Arial" w:cs="Arial"/>
          <w:color w:val="000000" w:themeColor="text1"/>
          <w:sz w:val="22"/>
          <w:szCs w:val="22"/>
        </w:rPr>
        <w:fldChar w:fldCharType="end"/>
      </w:r>
      <w:r w:rsidR="00B952B8" w:rsidRPr="00B952B8">
        <w:rPr>
          <w:rFonts w:ascii="Arial" w:hAnsi="Arial" w:cs="Arial"/>
          <w:color w:val="000000" w:themeColor="text1"/>
          <w:sz w:val="22"/>
          <w:szCs w:val="22"/>
          <w:vertAlign w:val="superscript"/>
        </w:rPr>
        <w:t>,</w:t>
      </w:r>
      <w:r w:rsidR="00351CF7"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{"citationID":"a265imicf92","properties":{"formattedCitation":"\\super 17\\nosupersub{}","plainCitation":"17","noteIndex":0},"citationItems":[{"id":1765,"uris":["http://zotero.org/users/local/OCWppIAO/items/BGYPIFRH"],"itemData":{"id":1765,"type":"article-journal","abstract":"BACKGROUND: We hypothesized that the 2 reported alterations in aspirin-exacerbated respiratory disease (AERD), reduced expression/production of COX-2/prostaglandin (PG) E2 and diminished expression of E-prostanoid (EP) 2 receptor, are closely linked.\nOBJECTIVE: We sought to determine the mechanisms involved in the altered regulation of the COX pathway in patients with AERD.\nMETHODS: Fibroblasts were obtained from nasal mucosa; samples of control subjects (NM-C, n = 8) and from nasal polyps from patients with aspirin-exacerbated respiratory disease (NP-AERD, n = 8). Expression of the autocrine loop components regulating PGE2 production and signaling, namely IL-1 type I receptor (IL-1RI), COX-2, microsomal prostaglandin E synthase 1 (mPGES-1), and EP receptors, was assessed at baseline and after stimulation with IL-1β, PGE2, and specific EP receptor agonists.\nRESULTS: Compared with NM-C fibroblasts, basal expression levels of IL-1RI and EP2 receptor were lower in NP-AERD fibroblasts. IL-1β-induced IL-1RI, COX-2, and mPGES-1 expression levels were also lower in these cells. Levels of IL-1RI positively correlated with COX-2 and mPGES-1 expression in both NM-C and NP-AERD fibroblasts. Incubation with either exogenous PGE2 or selective EP2 agonist significantly increased expression of IL-1RI in NM-C fibroblasts and had hardly any effect on NP-AERD fibroblasts. Alterations in IL-1RI, COX-2, and mPGES-1 expression that were found in NP-AERD fibroblasts were corrected when EP2 receptor expression was normalized by transfection of NP-AERD fibroblasts.\nCONCLUSION: Altered expression of EP2 in patients with AERD contributes to deficient induction of IL-1RI, reducing the capacity of IL-1β to increase COX-2 and mPGES-1 expression, which results in low PGE2 production. This impairment in the generation of PGE2 subsequently reduces its ability to induce IL-1RI.","container-title":"The Journal of Allergy and Clinical Immunology","DOI":"10.1016/j.jaci.2015.09.028","ISSN":"1097-6825","issue":"1","journalAbbreviation":"J Allergy Clin Immunol","language":"eng","note":"PMID: 26560040","page":"99-107.e7","source":"PubMed","title":"Low E-prostanoid 2 receptor levels and deficient induction of the IL-1β/IL-1 type I receptor/COX-2 pathway: Vicious circle in patients with aspirin-exacerbated respiratory disease","title-short":"Low E-prostanoid 2 receptor levels and deficient induction of the IL-1β/IL-1 type I receptor/COX-2 pathway","volume":"137","author":[{"family":"Machado-Carvalho","given":"Liliana"},{"family":"Martín","given":"Margarita"},{"family":"Torres","given":"Rosa"},{"family":"Gabasa","given":"Marta"},{"family":"Alobid","given":"Isam"},{"family":"Mullol","given":"Joaquim"},{"family":"Pujols","given":"Laura"},{"family":"Roca-Ferrer","given":"Jordi"},{"family":"Picado","given":"Cesar"}],"issued":{"date-parts":[["2016",1]]}}}],"schema":"https://github.com/citation-style-language/schema/raw/master/csl-citation.json"} </w:instrText>
      </w:r>
      <w:r w:rsidR="00351CF7"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17</w:t>
      </w:r>
      <w:r w:rsidR="00351CF7" w:rsidRPr="00726423">
        <w:rPr>
          <w:rFonts w:ascii="Arial" w:hAnsi="Arial" w:cs="Arial"/>
          <w:color w:val="000000" w:themeColor="text1"/>
          <w:sz w:val="22"/>
          <w:szCs w:val="22"/>
        </w:rPr>
        <w:fldChar w:fldCharType="end"/>
      </w:r>
      <w:r w:rsidR="006C406F" w:rsidRPr="00726423">
        <w:rPr>
          <w:rFonts w:ascii="Arial" w:hAnsi="Arial" w:cs="Arial"/>
          <w:color w:val="000000" w:themeColor="text1"/>
          <w:sz w:val="22"/>
          <w:szCs w:val="22"/>
        </w:rPr>
        <w:t xml:space="preserve">. These clinical </w:t>
      </w:r>
      <w:r w:rsidR="006C406F" w:rsidRPr="00726423">
        <w:rPr>
          <w:rFonts w:ascii="Arial" w:hAnsi="Arial" w:cs="Arial"/>
          <w:color w:val="000000" w:themeColor="text1"/>
          <w:sz w:val="22"/>
          <w:szCs w:val="22"/>
        </w:rPr>
        <w:lastRenderedPageBreak/>
        <w:t>studies</w:t>
      </w:r>
      <w:r w:rsidR="000C3CB2" w:rsidRPr="00726423">
        <w:rPr>
          <w:rFonts w:ascii="Arial" w:hAnsi="Arial" w:cs="Arial"/>
          <w:color w:val="000000" w:themeColor="text1"/>
          <w:sz w:val="22"/>
          <w:szCs w:val="22"/>
        </w:rPr>
        <w:t xml:space="preserve"> suggest that reduction of </w:t>
      </w:r>
      <w:r w:rsidR="002524B1" w:rsidRPr="00726423">
        <w:rPr>
          <w:rFonts w:ascii="Arial" w:hAnsi="Arial" w:cs="Arial"/>
          <w:color w:val="000000" w:themeColor="text1"/>
          <w:sz w:val="22"/>
          <w:szCs w:val="22"/>
        </w:rPr>
        <w:t>PGE</w:t>
      </w:r>
      <w:r w:rsidR="002524B1" w:rsidRPr="00726423">
        <w:rPr>
          <w:rFonts w:ascii="Arial" w:hAnsi="Arial" w:cs="Arial"/>
          <w:color w:val="000000" w:themeColor="text1"/>
          <w:sz w:val="22"/>
          <w:szCs w:val="22"/>
          <w:vertAlign w:val="subscript"/>
        </w:rPr>
        <w:t>2</w:t>
      </w:r>
      <w:r w:rsidR="002524B1" w:rsidRPr="00726423">
        <w:rPr>
          <w:rFonts w:ascii="Arial" w:hAnsi="Arial" w:cs="Arial"/>
          <w:color w:val="000000" w:themeColor="text1"/>
          <w:sz w:val="22"/>
          <w:szCs w:val="22"/>
        </w:rPr>
        <w:t>-</w:t>
      </w:r>
      <w:r w:rsidR="000C3CB2" w:rsidRPr="00726423">
        <w:rPr>
          <w:rFonts w:ascii="Arial" w:hAnsi="Arial" w:cs="Arial"/>
          <w:color w:val="000000" w:themeColor="text1"/>
          <w:sz w:val="22"/>
          <w:szCs w:val="22"/>
        </w:rPr>
        <w:t xml:space="preserve">EP2 </w:t>
      </w:r>
      <w:proofErr w:type="spellStart"/>
      <w:r w:rsidR="00134A78" w:rsidRPr="00726423">
        <w:rPr>
          <w:rFonts w:ascii="Arial" w:hAnsi="Arial" w:cs="Arial"/>
          <w:color w:val="000000" w:themeColor="text1"/>
          <w:sz w:val="22"/>
          <w:szCs w:val="22"/>
        </w:rPr>
        <w:t>signaling</w:t>
      </w:r>
      <w:proofErr w:type="spellEnd"/>
      <w:r w:rsidR="000C3CB2" w:rsidRPr="00726423">
        <w:rPr>
          <w:rFonts w:ascii="Arial" w:hAnsi="Arial" w:cs="Arial"/>
          <w:color w:val="000000" w:themeColor="text1"/>
          <w:sz w:val="22"/>
          <w:szCs w:val="22"/>
        </w:rPr>
        <w:t xml:space="preserve"> may be a causative factor in the development of NERD</w:t>
      </w:r>
      <w:r w:rsidR="006C406F" w:rsidRPr="00726423">
        <w:rPr>
          <w:rFonts w:ascii="Arial" w:hAnsi="Arial" w:cs="Arial"/>
          <w:color w:val="000000" w:themeColor="text1"/>
          <w:sz w:val="22"/>
          <w:szCs w:val="22"/>
        </w:rPr>
        <w:t>, but the underlying mechanisms remain to be elucidated.</w:t>
      </w:r>
    </w:p>
    <w:p w14:paraId="07EB2778" w14:textId="77777777" w:rsidR="006C406F" w:rsidRPr="00726423" w:rsidRDefault="006C406F" w:rsidP="00AF01E8">
      <w:pPr>
        <w:spacing w:line="480" w:lineRule="auto"/>
        <w:jc w:val="both"/>
        <w:rPr>
          <w:rFonts w:ascii="Arial" w:hAnsi="Arial" w:cs="Arial"/>
          <w:color w:val="000000" w:themeColor="text1"/>
          <w:sz w:val="22"/>
          <w:szCs w:val="22"/>
        </w:rPr>
      </w:pPr>
    </w:p>
    <w:p w14:paraId="1FFC6B98" w14:textId="02F94902" w:rsidR="00515081" w:rsidRPr="00726423" w:rsidRDefault="00EA2C5E" w:rsidP="00AF01E8">
      <w:pPr>
        <w:spacing w:line="480" w:lineRule="auto"/>
        <w:jc w:val="both"/>
        <w:rPr>
          <w:rFonts w:ascii="Arial" w:hAnsi="Arial" w:cs="Arial"/>
          <w:color w:val="000000" w:themeColor="text1"/>
          <w:sz w:val="22"/>
          <w:szCs w:val="22"/>
        </w:rPr>
      </w:pPr>
      <w:r w:rsidRPr="00726423">
        <w:rPr>
          <w:rFonts w:ascii="Arial" w:hAnsi="Arial" w:cs="Arial"/>
          <w:color w:val="000000" w:themeColor="text1"/>
          <w:sz w:val="22"/>
          <w:szCs w:val="22"/>
        </w:rPr>
        <w:t>PGE</w:t>
      </w:r>
      <w:r w:rsidRPr="00726423">
        <w:rPr>
          <w:rFonts w:ascii="Arial" w:hAnsi="Arial" w:cs="Arial"/>
          <w:color w:val="000000" w:themeColor="text1"/>
          <w:sz w:val="22"/>
          <w:szCs w:val="22"/>
          <w:vertAlign w:val="subscript"/>
        </w:rPr>
        <w:t>2</w:t>
      </w:r>
      <w:r w:rsidRPr="00726423">
        <w:rPr>
          <w:rFonts w:ascii="Arial" w:hAnsi="Arial" w:cs="Arial"/>
          <w:color w:val="000000" w:themeColor="text1"/>
          <w:sz w:val="22"/>
          <w:szCs w:val="22"/>
        </w:rPr>
        <w:t xml:space="preserve"> play</w:t>
      </w:r>
      <w:r w:rsidR="00EE2F34" w:rsidRPr="00726423">
        <w:rPr>
          <w:rFonts w:ascii="Arial" w:hAnsi="Arial" w:cs="Arial"/>
          <w:color w:val="000000" w:themeColor="text1"/>
          <w:sz w:val="22"/>
          <w:szCs w:val="22"/>
        </w:rPr>
        <w:t>s</w:t>
      </w:r>
      <w:r w:rsidRPr="00726423">
        <w:rPr>
          <w:rFonts w:ascii="Arial" w:hAnsi="Arial" w:cs="Arial"/>
          <w:color w:val="000000" w:themeColor="text1"/>
          <w:sz w:val="22"/>
          <w:szCs w:val="22"/>
        </w:rPr>
        <w:t xml:space="preserve"> distinct roles </w:t>
      </w:r>
      <w:r w:rsidR="0037545C" w:rsidRPr="00726423">
        <w:rPr>
          <w:rFonts w:ascii="Arial" w:hAnsi="Arial" w:cs="Arial"/>
          <w:color w:val="000000" w:themeColor="text1"/>
          <w:sz w:val="22"/>
          <w:szCs w:val="22"/>
        </w:rPr>
        <w:t>during</w:t>
      </w:r>
      <w:r w:rsidRPr="00726423">
        <w:rPr>
          <w:rFonts w:ascii="Arial" w:hAnsi="Arial" w:cs="Arial"/>
          <w:color w:val="000000" w:themeColor="text1"/>
          <w:sz w:val="22"/>
          <w:szCs w:val="22"/>
        </w:rPr>
        <w:t xml:space="preserve"> the sensitisation </w:t>
      </w:r>
      <w:r w:rsidR="006B01D5" w:rsidRPr="00726423">
        <w:rPr>
          <w:rFonts w:ascii="Arial" w:hAnsi="Arial" w:cs="Arial"/>
          <w:color w:val="000000" w:themeColor="text1"/>
          <w:sz w:val="22"/>
          <w:szCs w:val="22"/>
        </w:rPr>
        <w:t>and</w:t>
      </w:r>
      <w:r w:rsidRPr="00726423">
        <w:rPr>
          <w:rFonts w:ascii="Arial" w:hAnsi="Arial" w:cs="Arial"/>
          <w:color w:val="000000" w:themeColor="text1"/>
          <w:sz w:val="22"/>
          <w:szCs w:val="22"/>
        </w:rPr>
        <w:t xml:space="preserve"> challeng</w:t>
      </w:r>
      <w:r w:rsidR="00D803A9" w:rsidRPr="00726423">
        <w:rPr>
          <w:rFonts w:ascii="Arial" w:hAnsi="Arial" w:cs="Arial"/>
          <w:color w:val="000000" w:themeColor="text1"/>
          <w:sz w:val="22"/>
          <w:szCs w:val="22"/>
        </w:rPr>
        <w:t>e</w:t>
      </w:r>
      <w:r w:rsidRPr="00726423">
        <w:rPr>
          <w:rFonts w:ascii="Arial" w:hAnsi="Arial" w:cs="Arial"/>
          <w:color w:val="000000" w:themeColor="text1"/>
          <w:sz w:val="22"/>
          <w:szCs w:val="22"/>
        </w:rPr>
        <w:t xml:space="preserve"> stages of T cell-mediated allergic inflammation</w:t>
      </w:r>
      <w:r w:rsidR="0037545C" w:rsidRPr="00726423">
        <w:rPr>
          <w:rFonts w:ascii="Arial" w:hAnsi="Arial" w:cs="Arial"/>
          <w:color w:val="000000" w:themeColor="text1"/>
          <w:sz w:val="22"/>
          <w:szCs w:val="22"/>
        </w:rPr>
        <w:t>,</w:t>
      </w:r>
      <w:r w:rsidRPr="00726423">
        <w:rPr>
          <w:rFonts w:ascii="Arial" w:hAnsi="Arial" w:cs="Arial"/>
          <w:color w:val="000000" w:themeColor="text1"/>
          <w:sz w:val="22"/>
          <w:szCs w:val="22"/>
        </w:rPr>
        <w:t xml:space="preserve"> possibly </w:t>
      </w:r>
      <w:r w:rsidR="0037545C" w:rsidRPr="00726423">
        <w:rPr>
          <w:rFonts w:ascii="Arial" w:hAnsi="Arial" w:cs="Arial"/>
          <w:color w:val="000000" w:themeColor="text1"/>
          <w:sz w:val="22"/>
          <w:szCs w:val="22"/>
        </w:rPr>
        <w:t>via</w:t>
      </w:r>
      <w:r w:rsidRPr="00726423">
        <w:rPr>
          <w:rFonts w:ascii="Arial" w:hAnsi="Arial" w:cs="Arial"/>
          <w:color w:val="000000" w:themeColor="text1"/>
          <w:sz w:val="22"/>
          <w:szCs w:val="22"/>
        </w:rPr>
        <w:t xml:space="preserve"> both EP2 and EP4</w:t>
      </w:r>
      <w:r w:rsidR="00890B74"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{"citationID":"a27q1o44d40","properties":{"formattedCitation":"\\super 18\\nosupersub{}","plainCitation":"18","noteIndex":0},"citationItems":[{"id":1779,"uris":["http://zotero.org/users/local/OCWppIAO/items/IEWYLXDD"],"itemData":{"id":1779,"type":"article-journal","abstract":"BACKGROUND: Endogenous prostanoids have been suggested to modulate sensitization during experimental allergic asthma, but the specific role of prostaglandin (PG) E</w:instrText>
      </w:r>
      <w:r w:rsidR="00361359">
        <w:rPr>
          <w:rFonts w:ascii="Cambria Math" w:hAnsi="Cambria Math" w:cs="Cambria Math"/>
          <w:color w:val="000000" w:themeColor="text1"/>
          <w:sz w:val="22"/>
          <w:szCs w:val="22"/>
        </w:rPr>
        <w:instrText>₂</w:instrText>
      </w:r>
      <w:r w:rsidR="00361359">
        <w:rPr>
          <w:rFonts w:ascii="Arial" w:hAnsi="Arial" w:cs="Arial"/>
          <w:color w:val="000000" w:themeColor="text1"/>
          <w:sz w:val="22"/>
          <w:szCs w:val="22"/>
        </w:rPr>
        <w:instrText xml:space="preserve"> or of specific E prostanoid (EP) receptors is not known.\nOBJECTIVE: Here we tested the role of EP2 signaling in allergic asthma.\nMETHODS: Wild-type (WT) and EP2(-/-) mice were subjected to ovalbumin sensitization and acute airway challenge. The PGE2 analog misoprostol was administered during sensitization in both genotypes. In vitro culture of splenocytes and flow-sorted dendritic cells and T cells defined the mechanism by which EP2 exerted its protective effect. Adoptive transfer of WT and EP2(-/-) CD4 T cells was used to validate the importance of EP2 expression on T cells.\nRESULTS: Compared with WT mice, EP2(-/-) mice had exaggerated airway inflammation in this model. Splenocytes and lung lymph node cells from sensitized EP2(-/-) mice produced more IL-13 than did WT cells, suggesting increased sensitization. In WT but not EP2(-/-) mice, subcutaneous administration of misoprostol during sensitization inhibited allergic inflammation. PGE</w:instrText>
      </w:r>
      <w:r w:rsidR="00361359">
        <w:rPr>
          <w:rFonts w:ascii="Cambria Math" w:hAnsi="Cambria Math" w:cs="Cambria Math"/>
          <w:color w:val="000000" w:themeColor="text1"/>
          <w:sz w:val="22"/>
          <w:szCs w:val="22"/>
        </w:rPr>
        <w:instrText>₂</w:instrText>
      </w:r>
      <w:r w:rsidR="00361359">
        <w:rPr>
          <w:rFonts w:ascii="Arial" w:hAnsi="Arial" w:cs="Arial"/>
          <w:color w:val="000000" w:themeColor="text1"/>
          <w:sz w:val="22"/>
          <w:szCs w:val="22"/>
        </w:rPr>
        <w:instrText xml:space="preserve"> decreased cytokine production and inhibited signal transducer and activator of transcription 6 phosphorylation by CD3/CD28-stimulated CD4(+) T cells. Coculture of flow cytometry-sorted splenic CD4(+) T cells and CD11c(+) dendritic cells from WT or EP2(-/-) mice suggested that the increased IL-13 production in EP2(-/-) mice was due to the lack of EP2 specifically on T cells. Adoptive transfer of CD4(+) EP2(-/-) T cells caused greater cytokine production in the lungs of WT mice than did transfer of WT CD4(+) T cells.\nCONCLUSION: We conclude that the PGE2-EP2 axis is an important endogenous brake on allergic airway inflammation and primarily targets T cells and that its agonism represents a potential novel therapeutic approach to asthma.","container-title":"The Journal of Allergy and Clinical Immunology","DOI":"10.1016/j.jaci.2013.07.037","ISSN":"1097-6825","issue":"2","journalAbbreviation":"J Allergy Clin Immunol","language":"eng","note":"PMID: 24075232\nPMCID: PMC3960315","page":"379-387","source":"PubMed","title":"Prostaglandin E</w:instrText>
      </w:r>
      <w:r w:rsidR="00361359">
        <w:rPr>
          <w:rFonts w:ascii="Cambria Math" w:hAnsi="Cambria Math" w:cs="Cambria Math"/>
          <w:color w:val="000000" w:themeColor="text1"/>
          <w:sz w:val="22"/>
          <w:szCs w:val="22"/>
        </w:rPr>
        <w:instrText>₂</w:instrText>
      </w:r>
      <w:r w:rsidR="00361359">
        <w:rPr>
          <w:rFonts w:ascii="Arial" w:hAnsi="Arial" w:cs="Arial"/>
          <w:color w:val="000000" w:themeColor="text1"/>
          <w:sz w:val="22"/>
          <w:szCs w:val="22"/>
        </w:rPr>
        <w:instrText xml:space="preserve"> suppresses allergic sensitization and lung inflammation by targeting the E prostanoid 2 receptor on T cells","volume":"133","author":[{"family":"Zasłona","given":"Zbigniew"},{"family":"Okunishi","given":"Katsuhide"},{"family":"Bourdonnay","given":"Emilie"},{"family":"Domingo-Gonzalez","given":"Racquel"},{"family":"Moore","given":"Bethany B."},{"family":"Lukacs","given":"Nicholas W."},{"family":"Aronoff","given":"David M."},{"family":"Peters-Golden","given":"Marc"}],"issued":{"date-parts":[["2014",2]]}}}],"schema":"https://github.com/citation-style-language/schema/raw/master/csl-citation.json"} </w:instrText>
      </w:r>
      <w:r w:rsidR="00890B74"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18</w:t>
      </w:r>
      <w:r w:rsidR="00890B74" w:rsidRPr="00726423">
        <w:rPr>
          <w:rFonts w:ascii="Arial" w:hAnsi="Arial" w:cs="Arial"/>
          <w:color w:val="000000" w:themeColor="text1"/>
          <w:sz w:val="22"/>
          <w:szCs w:val="22"/>
        </w:rPr>
        <w:fldChar w:fldCharType="end"/>
      </w:r>
      <w:r w:rsidRPr="00726423">
        <w:rPr>
          <w:rFonts w:ascii="Arial" w:hAnsi="Arial" w:cs="Arial"/>
          <w:color w:val="000000" w:themeColor="text1"/>
          <w:sz w:val="22"/>
          <w:szCs w:val="22"/>
        </w:rPr>
        <w:t>. PGE</w:t>
      </w:r>
      <w:r w:rsidRPr="00726423">
        <w:rPr>
          <w:rFonts w:ascii="Arial" w:hAnsi="Arial" w:cs="Arial"/>
          <w:color w:val="000000" w:themeColor="text1"/>
          <w:sz w:val="22"/>
          <w:szCs w:val="22"/>
          <w:vertAlign w:val="subscript"/>
        </w:rPr>
        <w:t>2</w:t>
      </w:r>
      <w:r w:rsidRPr="00726423">
        <w:rPr>
          <w:rFonts w:ascii="Arial" w:hAnsi="Arial" w:cs="Arial"/>
          <w:color w:val="000000" w:themeColor="text1"/>
          <w:sz w:val="22"/>
          <w:szCs w:val="22"/>
        </w:rPr>
        <w:t xml:space="preserve"> </w:t>
      </w:r>
      <w:r w:rsidR="006C406F" w:rsidRPr="00726423">
        <w:rPr>
          <w:rFonts w:ascii="Arial" w:hAnsi="Arial" w:cs="Arial"/>
          <w:color w:val="000000" w:themeColor="text1"/>
          <w:sz w:val="22"/>
          <w:szCs w:val="22"/>
        </w:rPr>
        <w:t>through EP4</w:t>
      </w:r>
      <w:r w:rsidRPr="00726423">
        <w:rPr>
          <w:rFonts w:ascii="Arial" w:hAnsi="Arial" w:cs="Arial"/>
          <w:color w:val="000000" w:themeColor="text1"/>
          <w:sz w:val="22"/>
          <w:szCs w:val="22"/>
        </w:rPr>
        <w:t xml:space="preserve"> suppresses neutrophilic lung inflammation in </w:t>
      </w:r>
      <w:r w:rsidR="006C406F" w:rsidRPr="00726423">
        <w:rPr>
          <w:rFonts w:ascii="Arial" w:hAnsi="Arial" w:cs="Arial"/>
          <w:i/>
          <w:iCs/>
          <w:color w:val="000000" w:themeColor="text1"/>
          <w:sz w:val="22"/>
          <w:szCs w:val="22"/>
        </w:rPr>
        <w:t>ex vivo</w:t>
      </w:r>
      <w:r w:rsidR="006C406F" w:rsidRPr="00726423">
        <w:rPr>
          <w:rFonts w:ascii="Arial" w:hAnsi="Arial" w:cs="Arial"/>
          <w:color w:val="000000" w:themeColor="text1"/>
          <w:sz w:val="22"/>
          <w:szCs w:val="22"/>
        </w:rPr>
        <w:t xml:space="preserve"> human cell culture systems and </w:t>
      </w:r>
      <w:r w:rsidRPr="00726423">
        <w:rPr>
          <w:rFonts w:ascii="Arial" w:hAnsi="Arial" w:cs="Arial"/>
          <w:color w:val="000000" w:themeColor="text1"/>
          <w:sz w:val="22"/>
          <w:szCs w:val="22"/>
        </w:rPr>
        <w:t>various animal models</w:t>
      </w:r>
      <w:r w:rsidR="004B7055" w:rsidRPr="00726423">
        <w:rPr>
          <w:rFonts w:ascii="Arial" w:hAnsi="Arial" w:cs="Arial"/>
          <w:color w:val="000000" w:themeColor="text1"/>
          <w:sz w:val="22"/>
          <w:szCs w:val="22"/>
          <w:vertAlign w:val="superscript"/>
        </w:rPr>
        <w:fldChar w:fldCharType="begin"/>
      </w:r>
      <w:r w:rsidR="00361359">
        <w:rPr>
          <w:rFonts w:ascii="Arial" w:hAnsi="Arial" w:cs="Arial"/>
          <w:color w:val="000000" w:themeColor="text1"/>
          <w:sz w:val="22"/>
          <w:szCs w:val="22"/>
          <w:vertAlign w:val="superscript"/>
        </w:rPr>
        <w:instrText xml:space="preserve"> ADDIN ZOTERO_ITEM CSL_CITATION {"citationID":"a40u6qfpbs","properties":{"formattedCitation":"\\super 19\\nosupersub{}","plainCitation":"19","noteIndex":0},"citationItems":[{"id":1785,"uris":["http://zotero.org/users/local/OCWppIAO/items/CQHUNIAQ"],"itemData":{"id":1785,"type":"article-journal","abstract":"Acute lung injury is a neutrophil-dominant, life-threatening disease without effective therapies and better understanding of the pathophysiological mechanisms involved is an urgent need. Here we show that interleukin (IL)-22 is produced from innate lymphoid cells (ILC) and is responsible for suppression of experimental lung neutrophilic inflammation. Blocking prostaglandin E2 (PGE2) synthesis reduces lung ILCs and IL-22 production, resulting in exacerbation of lung neutrophilic inflammation. In contrast, activation of the PGE2 receptor EP4 prevents acute lung inflammation. We thus demonstrate a mechanism for production of innate IL-22 in the lung during acute injury, highlighting potential therapeutic strategies for control of lung neutrophilic inflammation by targeting the PGE2/ILC/IL-22 axis.","container-title":"Thorax","DOI":"10.1136/thoraxjnl-2017-211097","ISSN":"1468-3296","issue":"11","journalAbbreviation":"Thorax","language":"eng","note":"PMID: 29574419\nPMCID: PMC6200127","page":"1081-1084","source":"PubMed","title":"Facilitation of IL-22 production from innate lymphoid cells by prostaglandin E2 prevents experimental lung neutrophilic inflammation","volume":"73","author":[{"family":"Felton","given":"Jennifer M."},{"family":"Duffin","given":"Rodger"},{"family":"Robb","given":"Calum T."},{"family":"Crittenden","given":"Siobhan"},{"family":"Anderton","given":"Stephen M."},{"family":"Howie","given":"Sarah E. M."},{"family":"Whyte","given":"Moira K. B."},{"family":"Rossi","given":"Adriano G."},{"family":"Yao","given":"Chengcan"}],"issued":{"date-parts":[["2018",11]]}}}],"schema":"https://github.com/citation-style-language/schema/raw/master/csl-citation.json"} </w:instrText>
      </w:r>
      <w:r w:rsidR="004B7055" w:rsidRPr="00726423">
        <w:rPr>
          <w:rFonts w:ascii="Arial" w:hAnsi="Arial" w:cs="Arial"/>
          <w:color w:val="000000" w:themeColor="text1"/>
          <w:sz w:val="22"/>
          <w:szCs w:val="22"/>
          <w:vertAlign w:val="superscript"/>
        </w:rPr>
        <w:fldChar w:fldCharType="separate"/>
      </w:r>
      <w:r w:rsidR="00361359" w:rsidRPr="00361359">
        <w:rPr>
          <w:rFonts w:ascii="Arial" w:hAnsi="Arial" w:cs="Arial"/>
          <w:color w:val="000000"/>
          <w:sz w:val="22"/>
          <w:vertAlign w:val="superscript"/>
        </w:rPr>
        <w:t>19</w:t>
      </w:r>
      <w:r w:rsidR="004B7055" w:rsidRPr="00726423">
        <w:rPr>
          <w:rFonts w:ascii="Arial" w:hAnsi="Arial" w:cs="Arial"/>
          <w:color w:val="000000" w:themeColor="text1"/>
          <w:sz w:val="22"/>
          <w:szCs w:val="22"/>
          <w:vertAlign w:val="superscript"/>
        </w:rPr>
        <w:fldChar w:fldCharType="end"/>
      </w:r>
      <w:r w:rsidR="00B952B8">
        <w:rPr>
          <w:rFonts w:ascii="Arial" w:hAnsi="Arial" w:cs="Arial"/>
          <w:color w:val="000000" w:themeColor="text1"/>
          <w:sz w:val="22"/>
          <w:szCs w:val="22"/>
          <w:vertAlign w:val="superscript"/>
        </w:rPr>
        <w:t>,</w:t>
      </w:r>
      <w:r w:rsidR="0078484A" w:rsidRPr="00726423">
        <w:rPr>
          <w:rFonts w:ascii="Arial" w:hAnsi="Arial" w:cs="Arial"/>
          <w:color w:val="000000" w:themeColor="text1"/>
          <w:sz w:val="22"/>
          <w:szCs w:val="22"/>
          <w:vertAlign w:val="superscript"/>
        </w:rPr>
        <w:fldChar w:fldCharType="begin"/>
      </w:r>
      <w:r w:rsidR="00361359">
        <w:rPr>
          <w:rFonts w:ascii="Arial" w:hAnsi="Arial" w:cs="Arial"/>
          <w:color w:val="000000" w:themeColor="text1"/>
          <w:sz w:val="22"/>
          <w:szCs w:val="22"/>
          <w:vertAlign w:val="superscript"/>
        </w:rPr>
        <w:instrText xml:space="preserve"> ADDIN ZOTERO_ITEM CSL_CITATION {"citationID":"a18j544u6sq","properties":{"formattedCitation":"\\super 20\\nosupersub{}","plainCitation":"20","noteIndex":0},"citationItems":[{"id":1792,"uris":["http://zotero.org/users/local/OCWppIAO/items/JV6GRF5V"],"itemData":{"id":1792,"type":"article-journal","abstract":"Background\nAsthma and chronic obstructive pulmonary disease (COPD) are chronic inflammatory diseases of the airway. Current treatment options (long acting β-adrenoceptor agonists and glucocorticosteroids) are not optimal as they are only effective in certain patient groups and safety concerns exist regarding both compound classes. Therefore, novel bronchodilator and anti-inflammatory strategies are being pursued. Prostaglandin E2 (PGE2) is an arachidonic acid-derived eicosanoid produced by the lung which acts on four different G-protein coupled receptors (EP1–4) to cause an array of beneficial and deleterious effects. The aim of this study was to identify the EP receptor mediating the anti-inflammatory actions of PGE2 in the lung using a range of cell-based assays and in vivo models.\n\nMethods and results\nIt was demonstrated in three distinct model systems (innate stimulus, lipopolysaccharide (LPS); allergic response, ovalbumin (OVA); inhaled pollutant, cigarette smoke) that mice missing functional EP4 (Ptger4−/−) receptors had higher levels of airway inflammation, suggesting that endogenous PGE2 was suppressing inflammation via EP4 receptor activation. Cell-based assay systems (murine and human monocytes/alveolar macrophages) demonstrated that PGE2 inhibited cytokine release from LPS-stimulated cells and that this was mimicked by an EP4 (but not EP1–3) receptor agonist and inhibited by an EP4 receptor antagonist. The anti-inflammatory effect occurred at the transcriptional level and was via the adenylyl cyclase/cAMP/ cAMP-dependent protein kinase (PKA) axis.\n\nConclusion\nThis study demonstrates that EP4 receptor activation is responsible for the anti-inflammatory activity of PGE2 in a range of disease relevant models and, as such, could represent a novel therapeutic target for chronic airway inflammatory conditions.","container-title":"Thorax","DOI":"10.1136/thoraxjnl-2014-206592","ISSN":"0040-6376","issue":"8","journalAbbreviation":"Thorax","note":"PMID: 25939749\nPMCID: PMC4516010","page":"740-747","source":"PubMed Central","title":"Anti-inflammatory effects of PGE2 in the lung: role of the EP4 receptor subtype","title-short":"Anti-inflammatory effects of PGE2 in the lung","volume":"70","author":[{"family":"Birrell","given":"Mark A"},{"family":"Maher","given":"Sarah A"},{"family":"Dekkak","given":"Bilel"},{"family":"Jones","given":"Victoria"},{"family":"Wong","given":"Sissie"},{"family":"Brook","given":"Peter"},{"family":"Belvisi","given":"Maria G"}],"issued":{"date-parts":[["2015",8]]}}}],"schema":"https://github.com/citation-style-language/schema/raw/master/csl-citation.json"} </w:instrText>
      </w:r>
      <w:r w:rsidR="0078484A" w:rsidRPr="00726423">
        <w:rPr>
          <w:rFonts w:ascii="Arial" w:hAnsi="Arial" w:cs="Arial"/>
          <w:color w:val="000000" w:themeColor="text1"/>
          <w:sz w:val="22"/>
          <w:szCs w:val="22"/>
          <w:vertAlign w:val="superscript"/>
        </w:rPr>
        <w:fldChar w:fldCharType="separate"/>
      </w:r>
      <w:r w:rsidR="00361359" w:rsidRPr="00361359">
        <w:rPr>
          <w:rFonts w:ascii="Arial" w:hAnsi="Arial" w:cs="Arial"/>
          <w:color w:val="000000"/>
          <w:sz w:val="22"/>
          <w:vertAlign w:val="superscript"/>
        </w:rPr>
        <w:t>20</w:t>
      </w:r>
      <w:r w:rsidR="0078484A" w:rsidRPr="00726423">
        <w:rPr>
          <w:rFonts w:ascii="Arial" w:hAnsi="Arial" w:cs="Arial"/>
          <w:color w:val="000000" w:themeColor="text1"/>
          <w:sz w:val="22"/>
          <w:szCs w:val="22"/>
          <w:vertAlign w:val="superscript"/>
        </w:rPr>
        <w:fldChar w:fldCharType="end"/>
      </w:r>
      <w:r w:rsidR="00B952B8">
        <w:rPr>
          <w:rFonts w:ascii="Arial" w:hAnsi="Arial" w:cs="Arial"/>
          <w:color w:val="000000" w:themeColor="text1"/>
          <w:sz w:val="22"/>
          <w:szCs w:val="22"/>
          <w:vertAlign w:val="superscript"/>
        </w:rPr>
        <w:t>,</w:t>
      </w:r>
      <w:r w:rsidR="008428AA" w:rsidRPr="00726423">
        <w:rPr>
          <w:rFonts w:ascii="Arial" w:hAnsi="Arial" w:cs="Arial"/>
          <w:color w:val="000000" w:themeColor="text1"/>
          <w:sz w:val="22"/>
          <w:szCs w:val="22"/>
          <w:vertAlign w:val="superscript"/>
        </w:rPr>
        <w:fldChar w:fldCharType="begin"/>
      </w:r>
      <w:r w:rsidR="00361359">
        <w:rPr>
          <w:rFonts w:ascii="Arial" w:hAnsi="Arial" w:cs="Arial"/>
          <w:color w:val="000000" w:themeColor="text1"/>
          <w:sz w:val="22"/>
          <w:szCs w:val="22"/>
          <w:vertAlign w:val="superscript"/>
        </w:rPr>
        <w:instrText xml:space="preserve"> ADDIN ZOTERO_ITEM CSL_CITATION {"citationID":"a19ufnhuju0","properties":{"formattedCitation":"\\super 21\\nosupersub{}","plainCitation":"21","noteIndex":0},"citationItems":[{"id":1788,"uris":["http://zotero.org/users/local/OCWppIAO/items/N9SHKD2M"],"itemData":{"id":1788,"type":"article-journal","abstract":"Background Asthma and chronic obstructive pulmonary disease are airway inflammatory diseases characterised by airflow obstruction. Currently approved bronchodilators such as long-acting β2 adrenoceptor agonists are the mainstay treatments but often fail to relieve symptoms of chronic obstructive pulmonary disease and severe asthma and safety concerns have been raised over long-term use. The aim of the study was to identify the receptor involved in prostaglandin E2 (PGE2)-induced relaxation in guinea pig, murine, monkey, rat and human airways in vitro.\nMethods Using an extensive range of pharmacological tools, the relaxant potential of PGE2 and selective agonists for the EP1–4 receptors in the presence and absence of selective antagonists in guinea pig, murine, monkey, rat and human isolated airways was investigated.\nResults In agreement with previous studies, it was found that the EP2 receptor mediates PGE2-induced relaxation of guinea pig, murine and monkey trachea and that the EP4 receptor mediates PGE2-induced relaxation of the rat trachea. These data have been confirmed in murine airways from EP2 receptor-deficient mice (Ptger2). In contrast to previous publications, a role for the EP4 receptor in relaxant responses in human airways in vitro was found. Relaxant activity of AH13205 (EP2 agonist) was also demonstrated in guinea pig but not human airway tissue, which may explain its failure in clinical studies.\nConclusion Identification of the receptor mediating PGE2-induced relaxation represents a key step in developing a novel bronchodilator therapy. These data explain the lack of bronchodilator activity observed with selective EP2 receptor agonists in clinical studies.","container-title":"Thorax","DOI":"10.1136/thx.2010.158568","ISSN":"0040-6376, 1468-3296","issue":"12","language":"en","note":"publisher: BMJ Publishing Group Ltd\nsection: Airway biology\nPMID: 21606476","page":"1029-1035","source":"thorax.bmj.com","title":"EP4 receptor as a new target for bronchodilator therapy","volume":"66","author":[{"family":"Buckley","given":"James"},{"family":"Birrell","given":"Mark A."},{"family":"Maher","given":"Sarah A."},{"family":"Nials","given":"Anthony T."},{"family":"Clarke","given":"Deborah L."},{"family":"Belvisi","given":"Maria G."}],"issued":{"date-parts":[["2011",12,1]]}}}],"schema":"https://github.com/citation-style-language/schema/raw/master/csl-citation.json"} </w:instrText>
      </w:r>
      <w:r w:rsidR="008428AA" w:rsidRPr="00726423">
        <w:rPr>
          <w:rFonts w:ascii="Arial" w:hAnsi="Arial" w:cs="Arial"/>
          <w:color w:val="000000" w:themeColor="text1"/>
          <w:sz w:val="22"/>
          <w:szCs w:val="22"/>
          <w:vertAlign w:val="superscript"/>
        </w:rPr>
        <w:fldChar w:fldCharType="separate"/>
      </w:r>
      <w:r w:rsidR="00361359" w:rsidRPr="00361359">
        <w:rPr>
          <w:rFonts w:ascii="Arial" w:hAnsi="Arial" w:cs="Arial"/>
          <w:color w:val="000000"/>
          <w:sz w:val="22"/>
          <w:vertAlign w:val="superscript"/>
        </w:rPr>
        <w:t>21</w:t>
      </w:r>
      <w:r w:rsidR="008428AA" w:rsidRPr="00726423">
        <w:rPr>
          <w:rFonts w:ascii="Arial" w:hAnsi="Arial" w:cs="Arial"/>
          <w:color w:val="000000" w:themeColor="text1"/>
          <w:sz w:val="22"/>
          <w:szCs w:val="22"/>
          <w:vertAlign w:val="superscript"/>
        </w:rPr>
        <w:fldChar w:fldCharType="end"/>
      </w:r>
      <w:r w:rsidRPr="00726423">
        <w:rPr>
          <w:rFonts w:ascii="Arial" w:hAnsi="Arial" w:cs="Arial"/>
          <w:color w:val="000000" w:themeColor="text1"/>
          <w:sz w:val="22"/>
          <w:szCs w:val="22"/>
        </w:rPr>
        <w:t xml:space="preserve">. </w:t>
      </w:r>
      <w:r w:rsidR="00113C89" w:rsidRPr="00726423">
        <w:rPr>
          <w:rFonts w:ascii="Arial" w:hAnsi="Arial" w:cs="Arial"/>
          <w:color w:val="000000" w:themeColor="text1"/>
          <w:sz w:val="22"/>
          <w:szCs w:val="22"/>
        </w:rPr>
        <w:t>Lung allergic responses were increased in mice deficient in PGE</w:t>
      </w:r>
      <w:r w:rsidR="00113C89" w:rsidRPr="00726423">
        <w:rPr>
          <w:rFonts w:ascii="Arial" w:hAnsi="Arial" w:cs="Arial"/>
          <w:color w:val="000000" w:themeColor="text1"/>
          <w:sz w:val="22"/>
          <w:szCs w:val="22"/>
          <w:vertAlign w:val="subscript"/>
        </w:rPr>
        <w:t>2</w:t>
      </w:r>
      <w:r w:rsidR="00113C89" w:rsidRPr="00726423">
        <w:rPr>
          <w:rFonts w:ascii="Arial" w:hAnsi="Arial" w:cs="Arial"/>
          <w:color w:val="000000" w:themeColor="text1"/>
          <w:sz w:val="22"/>
          <w:szCs w:val="22"/>
        </w:rPr>
        <w:t xml:space="preserve"> synthases </w:t>
      </w:r>
      <w:r w:rsidR="008539ED" w:rsidRPr="00726423">
        <w:rPr>
          <w:rFonts w:ascii="Arial" w:hAnsi="Arial" w:cs="Arial"/>
          <w:color w:val="000000" w:themeColor="text1"/>
          <w:sz w:val="22"/>
          <w:szCs w:val="22"/>
        </w:rPr>
        <w:t>such as</w:t>
      </w:r>
      <w:r w:rsidR="00113C89" w:rsidRPr="00726423">
        <w:rPr>
          <w:rFonts w:ascii="Arial" w:hAnsi="Arial" w:cs="Arial"/>
          <w:color w:val="000000" w:themeColor="text1"/>
          <w:sz w:val="22"/>
          <w:szCs w:val="22"/>
        </w:rPr>
        <w:t xml:space="preserve"> COX2</w:t>
      </w:r>
      <w:r w:rsidR="00113C89"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{"citationID":"ag3de01ad4","properties":{"formattedCitation":"\\super 22\\nosupersub{}","plainCitation":"22","noteIndex":0},"citationItems":[{"id":1782,"uris":["http://zotero.org/users/local/OCWppIAO/items/NRLTAJ99"],"itemData":{"id":1782,"type":"article-journal","abstract":"To investigate the function of prostaglandin H synthase-1 and synthase-2 (PGHS-1 and PGHS-2) in the normal lung and in allergic lung responses, we examined allergen-induced pulmonary inflammation and airway hyperresponsiveness in wild-type mice and in PGHS-1(-/-) and PGHS-2(-/-) mice. Among nonimmunized saline-exposed groups, we found no significant differences in lung function or histopathology, although PGE(2) was dramatically reduced in bronchoalveolar lavage (BAL) fluid from PGHS-1(-/-) mice, relative to wild-type or PGHS-2(-/-) mice. After ovalbumin sensitization and challenge, lung inflammatory indices (BAL cells, proteins, IgE, lung histopathology) were significantly greater in PGHS-1(-/-) mice compared with PGHS-2(-/-) mice, and both were far greater than in wild-type mice, as illustrated by the ratio of eosinophils in BAL fluid (8:5:1, respectively). Both allergic PGHS-1(-/-) and PGHS-2(-/-) mice exhibited decreased baseline respiratory system compliance, whereas only allergic PGHS-1(-/-) mice showed increased baseline resistance and responsiveness to methacholine. Ovalbumin exposure caused a modest increase in lung PGHS-2 protein and a corresponding increase in BAL fluid PGE(2) in wild-type mice. We conclude that (a) PGHS-1 is the predominant enzyme that biosynthesizes PGE(2) in the normal mouse lung; (b) PGHS-1 and PGHS-2 products limit allergic lung inflammation and IgE secretion and promote normal lung function; and (c) airway inflammation can be dissociated from the development of airway hyperresponsiveness in PGHS-2(-/-) mice.","container-title":"The Journal of Clinical Investigation","DOI":"10.1172/JCI6890","ISSN":"0021-9738","issue":"6","journalAbbreviation":"J Clin Invest","language":"eng","note":"PMID: 10491407\nPMCID: PMC408432","page":"721-732","source":"PubMed","title":"Allergic lung responses are increased in prostaglandin H synthase-deficient mice","volume":"104","author":[{"family":"Gavett","given":"S. H."},{"family":"Madison","given":"S. L."},{"family":"Chulada","given":"P. C."},{"family":"Scarborough","given":"P. E."},{"family":"Qu","given":"W."},{"family":"Boyle","given":"J. E."},{"family":"Tiano","given":"H. F."},{"family":"Lee","given":"C. A."},{"family":"Langenbach","given":"R."},{"family":"Roggli","given":"V. L."},{"family":"Zeldin","given":"D. C."}],"issued":{"date-parts":[["1999",9]]}}}],"schema":"https://github.com/citation-style-language/schema/raw/master/csl-citation.json"} </w:instrText>
      </w:r>
      <w:r w:rsidR="00113C89"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22</w:t>
      </w:r>
      <w:r w:rsidR="00113C89" w:rsidRPr="00726423">
        <w:rPr>
          <w:rFonts w:ascii="Arial" w:hAnsi="Arial" w:cs="Arial"/>
          <w:color w:val="000000" w:themeColor="text1"/>
          <w:sz w:val="22"/>
          <w:szCs w:val="22"/>
        </w:rPr>
        <w:fldChar w:fldCharType="end"/>
      </w:r>
      <w:r w:rsidR="00113C89" w:rsidRPr="00726423">
        <w:rPr>
          <w:rFonts w:ascii="Arial" w:hAnsi="Arial" w:cs="Arial"/>
          <w:color w:val="000000" w:themeColor="text1"/>
          <w:sz w:val="22"/>
          <w:szCs w:val="22"/>
        </w:rPr>
        <w:t>.</w:t>
      </w:r>
      <w:r w:rsidR="008539ED" w:rsidRPr="00726423">
        <w:rPr>
          <w:rFonts w:ascii="Arial" w:hAnsi="Arial" w:cs="Arial"/>
          <w:color w:val="000000" w:themeColor="text1"/>
          <w:sz w:val="22"/>
          <w:szCs w:val="22"/>
        </w:rPr>
        <w:t xml:space="preserve"> </w:t>
      </w:r>
      <w:r w:rsidRPr="00726423">
        <w:rPr>
          <w:rFonts w:ascii="Arial" w:hAnsi="Arial" w:cs="Arial"/>
          <w:color w:val="000000" w:themeColor="text1"/>
          <w:sz w:val="22"/>
          <w:szCs w:val="22"/>
        </w:rPr>
        <w:t>Recently</w:t>
      </w:r>
      <w:r w:rsidR="000C3CB2" w:rsidRPr="00726423">
        <w:rPr>
          <w:rFonts w:ascii="Arial" w:hAnsi="Arial" w:cs="Arial"/>
          <w:color w:val="000000" w:themeColor="text1"/>
          <w:sz w:val="22"/>
          <w:szCs w:val="22"/>
        </w:rPr>
        <w:t xml:space="preserve">, </w:t>
      </w:r>
      <w:r w:rsidR="000313EF" w:rsidRPr="00726423">
        <w:rPr>
          <w:rFonts w:ascii="Arial" w:hAnsi="Arial" w:cs="Arial"/>
          <w:color w:val="000000" w:themeColor="text1"/>
          <w:sz w:val="22"/>
          <w:szCs w:val="22"/>
        </w:rPr>
        <w:t xml:space="preserve">it </w:t>
      </w:r>
      <w:r w:rsidR="00F654A4" w:rsidRPr="00726423">
        <w:rPr>
          <w:rFonts w:ascii="Arial" w:hAnsi="Arial" w:cs="Arial"/>
          <w:color w:val="000000" w:themeColor="text1"/>
          <w:sz w:val="22"/>
          <w:szCs w:val="22"/>
        </w:rPr>
        <w:t>was</w:t>
      </w:r>
      <w:r w:rsidRPr="00726423">
        <w:rPr>
          <w:rFonts w:ascii="Arial" w:hAnsi="Arial" w:cs="Arial"/>
          <w:color w:val="000000" w:themeColor="text1"/>
          <w:sz w:val="22"/>
          <w:szCs w:val="22"/>
        </w:rPr>
        <w:t xml:space="preserve"> reported </w:t>
      </w:r>
      <w:r w:rsidR="000313EF" w:rsidRPr="00726423">
        <w:rPr>
          <w:rFonts w:ascii="Arial" w:hAnsi="Arial" w:cs="Arial"/>
          <w:color w:val="000000" w:themeColor="text1"/>
          <w:sz w:val="22"/>
          <w:szCs w:val="22"/>
        </w:rPr>
        <w:t>that</w:t>
      </w:r>
      <w:r w:rsidRPr="00726423">
        <w:rPr>
          <w:rFonts w:ascii="Arial" w:hAnsi="Arial" w:cs="Arial"/>
          <w:color w:val="000000" w:themeColor="text1"/>
          <w:sz w:val="22"/>
          <w:szCs w:val="22"/>
        </w:rPr>
        <w:t xml:space="preserve"> </w:t>
      </w:r>
      <w:r w:rsidR="000313EF" w:rsidRPr="00726423">
        <w:rPr>
          <w:rFonts w:ascii="Arial" w:hAnsi="Arial" w:cs="Arial"/>
          <w:color w:val="000000" w:themeColor="text1"/>
          <w:sz w:val="22"/>
          <w:szCs w:val="22"/>
        </w:rPr>
        <w:t>PGE</w:t>
      </w:r>
      <w:r w:rsidR="000313EF" w:rsidRPr="00726423">
        <w:rPr>
          <w:rFonts w:ascii="Arial" w:hAnsi="Arial" w:cs="Arial"/>
          <w:color w:val="000000" w:themeColor="text1"/>
          <w:sz w:val="22"/>
          <w:szCs w:val="22"/>
          <w:vertAlign w:val="subscript"/>
        </w:rPr>
        <w:t>2</w:t>
      </w:r>
      <w:r w:rsidR="000313EF" w:rsidRPr="00726423">
        <w:rPr>
          <w:rFonts w:ascii="Arial" w:hAnsi="Arial" w:cs="Arial"/>
          <w:color w:val="000000" w:themeColor="text1"/>
          <w:sz w:val="22"/>
          <w:szCs w:val="22"/>
        </w:rPr>
        <w:t xml:space="preserve"> </w:t>
      </w:r>
      <w:r w:rsidR="003348CA" w:rsidRPr="00726423">
        <w:rPr>
          <w:rFonts w:ascii="Arial" w:hAnsi="Arial" w:cs="Arial"/>
          <w:color w:val="000000" w:themeColor="text1"/>
          <w:sz w:val="22"/>
          <w:szCs w:val="22"/>
        </w:rPr>
        <w:t>suppress</w:t>
      </w:r>
      <w:r w:rsidR="000313EF" w:rsidRPr="00726423">
        <w:rPr>
          <w:rFonts w:ascii="Arial" w:hAnsi="Arial" w:cs="Arial"/>
          <w:color w:val="000000" w:themeColor="text1"/>
          <w:sz w:val="22"/>
          <w:szCs w:val="22"/>
        </w:rPr>
        <w:t>ed</w:t>
      </w:r>
      <w:r w:rsidR="003348CA" w:rsidRPr="00726423">
        <w:rPr>
          <w:rFonts w:ascii="Arial" w:hAnsi="Arial" w:cs="Arial"/>
          <w:color w:val="000000" w:themeColor="text1"/>
          <w:sz w:val="22"/>
          <w:szCs w:val="22"/>
        </w:rPr>
        <w:t xml:space="preserve"> human ILC2 function </w:t>
      </w:r>
      <w:r w:rsidR="003348CA" w:rsidRPr="00726423">
        <w:rPr>
          <w:rFonts w:ascii="Arial" w:hAnsi="Arial" w:cs="Arial"/>
          <w:i/>
          <w:iCs/>
          <w:color w:val="000000" w:themeColor="text1"/>
          <w:sz w:val="22"/>
          <w:szCs w:val="22"/>
        </w:rPr>
        <w:t>in vitro</w:t>
      </w:r>
      <w:r w:rsidR="000C3CB2" w:rsidRPr="00726423">
        <w:rPr>
          <w:rFonts w:ascii="Arial" w:hAnsi="Arial" w:cs="Arial"/>
          <w:color w:val="000000" w:themeColor="text1"/>
          <w:sz w:val="22"/>
          <w:szCs w:val="22"/>
        </w:rPr>
        <w:t xml:space="preserve"> through its receptors EP2 and EP4</w:t>
      </w:r>
      <w:r w:rsidR="00D73B11" w:rsidRPr="00726423">
        <w:rPr>
          <w:rFonts w:ascii="Arial" w:hAnsi="Arial" w:cs="Arial"/>
          <w:color w:val="000000" w:themeColor="text1"/>
          <w:sz w:val="22"/>
          <w:szCs w:val="22"/>
          <w:vertAlign w:val="superscript"/>
        </w:rPr>
        <w:fldChar w:fldCharType="begin"/>
      </w:r>
      <w:r w:rsidR="00361359">
        <w:rPr>
          <w:rFonts w:ascii="Arial" w:hAnsi="Arial" w:cs="Arial"/>
          <w:color w:val="000000" w:themeColor="text1"/>
          <w:sz w:val="22"/>
          <w:szCs w:val="22"/>
          <w:vertAlign w:val="superscript"/>
        </w:rPr>
        <w:instrText xml:space="preserve"> ADDIN ZOTERO_ITEM CSL_CITATION {"citationID":"akf9okh4ai","properties":{"formattedCitation":"\\super 23\\nosupersub{}","plainCitation":"23","noteIndex":0},"citationItems":[{"id":1662,"uris":["http://zotero.org/users/local/OCWppIAO/items/82L3FZJA"],"itemData":{"id":1662,"type":"article-journal","abstract":"BACKGROUND: Group 2 innate lymphoid cells (ILC2s) are involved in the initial phase of type 2 inflammation and can amplify allergic immune responses by orchestrating other type 2 immune cells. Prostaglandin (PG) E2 is a bioactive lipid that plays protective roles in the lung, particularly during allergic inflammation.\nOBJECTIVE: We set out to investigate how PGE2 regulates human ILC2 function.\nMETHODS: The effects of PGE2 on human ILC2 proliferation and intracellular cytokine and transcription factor expression were assessed by means of flow cytometry. Cytokine production was measured by using ELISA, and real-time quantitative PCR was performed to detect PGE2 receptor expression.\nRESULTS: PGE2 inhibited GATA-3 expression, as well as production of the type 2 cytokines IL-5 and IL-13, from human tonsillar and blood ILC2s in response to stimulation with a combination of IL-25, IL-33, thymic stromal lymphopoietin, and IL-2. Furthermore, PGE2 downregulated the expression of IL-2 receptor α (CD25). In line with this observation, PGE2 decreased ILC2 proliferation. These effects were mediated by the combined action of E-type prostanoid receptor (EP) 2 and EP4 receptors, which were specifically expressed on ILC2s.\nCONCLUSION: Our findings reveal that PGE2 limits ILC2 activation and propose that selective EP2 and EP4 receptor agonists might serve as a promising therapeutic approach in treating allergic diseases by suppressing ILC2 function.","container-title":"The Journal of Allergy and Clinical Immunology","DOI":"10.1016/j.jaci.2017.09.050","ISSN":"1097-6825","issue":"5","journalAbbreviation":"J Allergy Clin Immunol","language":"eng","note":"PMID: 29217133\nPMCID: PMC5929462","page":"1761-1773.e6","source":"PubMed","title":"Prostaglandin E2 suppresses human group 2 innate lymphoid cell function","volume":"141","author":[{"family":"Maric","given":"Jovana"},{"family":"Ravindran","given":"Avinash"},{"family":"Mazzurana","given":"Luca"},{"family":"Björklund","given":"Åsa K."},{"family":"Van Acker","given":"Aline"},{"family":"Rao","given":"Anna"},{"family":"Friberg","given":"Danielle"},{"family":"Dahlén","given":"Sven-Erik"},{"family":"Heinemann","given":"Akos"},{"family":"Konya","given":"Viktoria"},{"family":"Mjösberg","given":"Jenny"}],"issued":{"date-parts":[["2018",5]]}}}],"schema":"https://github.com/citation-style-language/schema/raw/master/csl-citation.json"} </w:instrText>
      </w:r>
      <w:r w:rsidR="00D73B11" w:rsidRPr="00726423">
        <w:rPr>
          <w:rFonts w:ascii="Arial" w:hAnsi="Arial" w:cs="Arial"/>
          <w:color w:val="000000" w:themeColor="text1"/>
          <w:sz w:val="22"/>
          <w:szCs w:val="22"/>
          <w:vertAlign w:val="superscript"/>
        </w:rPr>
        <w:fldChar w:fldCharType="separate"/>
      </w:r>
      <w:r w:rsidR="00361359" w:rsidRPr="00361359">
        <w:rPr>
          <w:rFonts w:ascii="Arial" w:hAnsi="Arial" w:cs="Arial"/>
          <w:color w:val="000000"/>
          <w:sz w:val="22"/>
          <w:vertAlign w:val="superscript"/>
        </w:rPr>
        <w:t>23</w:t>
      </w:r>
      <w:r w:rsidR="00D73B11" w:rsidRPr="00726423">
        <w:rPr>
          <w:rFonts w:ascii="Arial" w:hAnsi="Arial" w:cs="Arial"/>
          <w:color w:val="000000" w:themeColor="text1"/>
          <w:sz w:val="22"/>
          <w:szCs w:val="22"/>
          <w:vertAlign w:val="superscript"/>
        </w:rPr>
        <w:fldChar w:fldCharType="end"/>
      </w:r>
      <w:r w:rsidR="000313EF" w:rsidRPr="00726423">
        <w:rPr>
          <w:rFonts w:ascii="Arial" w:hAnsi="Arial" w:cs="Arial"/>
          <w:color w:val="000000" w:themeColor="text1"/>
          <w:sz w:val="22"/>
          <w:szCs w:val="22"/>
        </w:rPr>
        <w:t>.</w:t>
      </w:r>
      <w:r w:rsidR="003348CA" w:rsidRPr="00726423">
        <w:rPr>
          <w:rFonts w:ascii="Arial" w:hAnsi="Arial" w:cs="Arial"/>
          <w:color w:val="000000" w:themeColor="text1"/>
          <w:sz w:val="22"/>
          <w:szCs w:val="22"/>
        </w:rPr>
        <w:t xml:space="preserve"> </w:t>
      </w:r>
      <w:r w:rsidR="000C3CB2" w:rsidRPr="00726423">
        <w:rPr>
          <w:rFonts w:ascii="Arial" w:hAnsi="Arial" w:cs="Arial"/>
          <w:color w:val="000000" w:themeColor="text1"/>
          <w:sz w:val="22"/>
          <w:szCs w:val="22"/>
        </w:rPr>
        <w:t>However,</w:t>
      </w:r>
      <w:r w:rsidR="003348CA" w:rsidRPr="00726423">
        <w:rPr>
          <w:rFonts w:ascii="Arial" w:hAnsi="Arial" w:cs="Arial"/>
          <w:color w:val="000000" w:themeColor="text1"/>
          <w:sz w:val="22"/>
          <w:szCs w:val="22"/>
        </w:rPr>
        <w:t xml:space="preserve"> </w:t>
      </w:r>
      <w:r w:rsidR="000C3CB2" w:rsidRPr="00726423">
        <w:rPr>
          <w:rFonts w:ascii="Arial" w:hAnsi="Arial" w:cs="Arial"/>
          <w:color w:val="000000" w:themeColor="text1"/>
          <w:sz w:val="22"/>
          <w:szCs w:val="22"/>
        </w:rPr>
        <w:t>the</w:t>
      </w:r>
      <w:r w:rsidR="003348CA" w:rsidRPr="00726423">
        <w:rPr>
          <w:rFonts w:ascii="Arial" w:hAnsi="Arial" w:cs="Arial"/>
          <w:color w:val="000000" w:themeColor="text1"/>
          <w:sz w:val="22"/>
          <w:szCs w:val="22"/>
        </w:rPr>
        <w:t xml:space="preserve"> </w:t>
      </w:r>
      <w:r w:rsidR="00247E05" w:rsidRPr="00726423">
        <w:rPr>
          <w:rFonts w:ascii="Arial" w:hAnsi="Arial" w:cs="Arial"/>
          <w:color w:val="000000" w:themeColor="text1"/>
          <w:sz w:val="22"/>
          <w:szCs w:val="22"/>
        </w:rPr>
        <w:t>respective effects</w:t>
      </w:r>
      <w:r w:rsidR="003348CA" w:rsidRPr="00726423">
        <w:rPr>
          <w:rFonts w:ascii="Arial" w:hAnsi="Arial" w:cs="Arial"/>
          <w:color w:val="000000" w:themeColor="text1"/>
          <w:sz w:val="22"/>
          <w:szCs w:val="22"/>
        </w:rPr>
        <w:t xml:space="preserve"> o</w:t>
      </w:r>
      <w:r w:rsidR="000C3CB2" w:rsidRPr="00726423">
        <w:rPr>
          <w:rFonts w:ascii="Arial" w:hAnsi="Arial" w:cs="Arial"/>
          <w:color w:val="000000" w:themeColor="text1"/>
          <w:sz w:val="22"/>
          <w:szCs w:val="22"/>
        </w:rPr>
        <w:t>f</w:t>
      </w:r>
      <w:r w:rsidR="003348CA" w:rsidRPr="00726423">
        <w:rPr>
          <w:rFonts w:ascii="Arial" w:hAnsi="Arial" w:cs="Arial"/>
          <w:color w:val="000000" w:themeColor="text1"/>
          <w:sz w:val="22"/>
          <w:szCs w:val="22"/>
        </w:rPr>
        <w:t xml:space="preserve"> </w:t>
      </w:r>
      <w:r w:rsidR="000C3CB2" w:rsidRPr="00726423">
        <w:rPr>
          <w:rFonts w:ascii="Arial" w:hAnsi="Arial" w:cs="Arial"/>
          <w:color w:val="000000" w:themeColor="text1"/>
          <w:sz w:val="22"/>
          <w:szCs w:val="22"/>
        </w:rPr>
        <w:t xml:space="preserve">EP2 and EP4 on </w:t>
      </w:r>
      <w:r w:rsidR="003348CA" w:rsidRPr="00726423">
        <w:rPr>
          <w:rFonts w:ascii="Arial" w:hAnsi="Arial" w:cs="Arial"/>
          <w:color w:val="000000" w:themeColor="text1"/>
          <w:sz w:val="22"/>
          <w:szCs w:val="22"/>
        </w:rPr>
        <w:t>ILC2</w:t>
      </w:r>
      <w:r w:rsidR="000C3CB2" w:rsidRPr="00726423">
        <w:rPr>
          <w:rFonts w:ascii="Arial" w:hAnsi="Arial" w:cs="Arial"/>
          <w:color w:val="000000" w:themeColor="text1"/>
          <w:sz w:val="22"/>
          <w:szCs w:val="22"/>
        </w:rPr>
        <w:t>-mediated type 2 immune</w:t>
      </w:r>
      <w:r w:rsidR="003348CA" w:rsidRPr="00726423">
        <w:rPr>
          <w:rFonts w:ascii="Arial" w:hAnsi="Arial" w:cs="Arial"/>
          <w:color w:val="000000" w:themeColor="text1"/>
          <w:sz w:val="22"/>
          <w:szCs w:val="22"/>
        </w:rPr>
        <w:t xml:space="preserve"> responses </w:t>
      </w:r>
      <w:r w:rsidR="003348CA" w:rsidRPr="00726423">
        <w:rPr>
          <w:rFonts w:ascii="Arial" w:hAnsi="Arial" w:cs="Arial"/>
          <w:i/>
          <w:iCs/>
          <w:color w:val="000000" w:themeColor="text1"/>
          <w:sz w:val="22"/>
          <w:szCs w:val="22"/>
        </w:rPr>
        <w:t>in vivo</w:t>
      </w:r>
      <w:r w:rsidR="003348CA" w:rsidRPr="00726423">
        <w:rPr>
          <w:rFonts w:ascii="Arial" w:hAnsi="Arial" w:cs="Arial"/>
          <w:color w:val="000000" w:themeColor="text1"/>
          <w:sz w:val="22"/>
          <w:szCs w:val="22"/>
        </w:rPr>
        <w:t xml:space="preserve"> remain unclear</w:t>
      </w:r>
      <w:r w:rsidR="00F654A4" w:rsidRPr="00726423">
        <w:rPr>
          <w:rFonts w:ascii="Arial" w:hAnsi="Arial" w:cs="Arial"/>
          <w:color w:val="000000" w:themeColor="text1"/>
          <w:sz w:val="22"/>
          <w:szCs w:val="22"/>
        </w:rPr>
        <w:t>, even though EP4 deficiency in haematopoietic cells was reported to increase ILC2 responses in mouse</w:t>
      </w:r>
      <w:r w:rsidR="00F654A4" w:rsidRPr="00726423">
        <w:rPr>
          <w:rFonts w:ascii="Arial" w:hAnsi="Arial" w:cs="Arial"/>
          <w:color w:val="000000" w:themeColor="text1"/>
          <w:sz w:val="22"/>
          <w:szCs w:val="22"/>
          <w:vertAlign w:val="superscript"/>
        </w:rPr>
        <w:fldChar w:fldCharType="begin"/>
      </w:r>
      <w:r w:rsidR="00361359">
        <w:rPr>
          <w:rFonts w:ascii="Arial" w:hAnsi="Arial" w:cs="Arial"/>
          <w:color w:val="000000" w:themeColor="text1"/>
          <w:sz w:val="22"/>
          <w:szCs w:val="22"/>
          <w:vertAlign w:val="superscript"/>
        </w:rPr>
        <w:instrText xml:space="preserve"> ADDIN ZOTERO_ITEM CSL_CITATION {"citationID":"a1p7dn79rpu","properties":{"formattedCitation":"\\super 24\\nosupersub{}","plainCitation":"24","noteIndex":0},"citationItems":[{"id":1671,"uris":["http://zotero.org/users/local/OCWppIAO/items/BLWCA72C"],"itemData":{"id":1671,"type":"article-journal","abstract":"Evidence is accumulating that group 2 innate lymphoid cells (ILC2) play an important role in allergic airway inflammation by producing a large amount of type 2 cytokines. But it remains poorly understood how its activities are properly controlled in vivo. Here, we demonstrated that prostaglandin E2 (PGE2) had a profound inhibitory effect on IL-33-induced ILC2 expansion and IL-5 and IL-13 production in vitro. This effect was mimicked by PGE1-alcohol but attenuated by ONO-AE3-208, indicating a selective action through the E-prostanoid 4 (EP4) receptor. In the IL-33-induced asthma model, coadministration of PGE2 or PGE1-alcohol resulted in diminished IL-5 and IL-13 production, reduced eosinophilia and alleviated lung pathology. In contrast, EP4-deficient mice displayed an exacerbated inflammatory response in another ILC2-mediated asthma model induced by Alternaria extract. Mechanistic studies demonstrated that the PGE2-mediated inhibition of ILC2 was dependent on cyclic adenosine monophosphate (cAMP) production. Further downstream, PGE2-EP4-cAMP signaling led to suppression of GATA3 and ST2 expression, which is known to be critical for ILC2 activation. These findings reveal a novel function of PGE2 as a negative regulator of ILC2 activation and highlight an endogenous counter-regulatory mechanism for the control of innate allergic inflammatory responses.","container-title":"Frontiers in Immunology","DOI":"10.3389/fimmu.2018.00501","ISSN":"1664-3224","journalAbbreviation":"Front Immunol","language":"eng","note":"PMID: 29593738\nPMCID: PMC5857904","page":"501","source":"PubMed","title":"Prostaglandin E2 Inhibits Group 2 Innate Lymphoid Cell Activation and Allergic Airway Inflammation Through E-Prostanoid 4-Cyclic Adenosine Monophosphate Signaling","volume":"9","author":[{"family":"Zhou","given":"Yu"},{"family":"Wang","given":"Wei"},{"family":"Zhao","given":"Conghui"},{"family":"Wang","given":"Yan"},{"family":"Wu","given":"Haoming"},{"family":"Sun","given":"Xiuyuan"},{"family":"Guan","given":"Youfei"},{"family":"Zhang","given":"Yu"}],"issued":{"date-parts":[["2018"]]}}}],"schema":"https://github.com/citation-style-language/schema/raw/master/csl-citation.json"} </w:instrText>
      </w:r>
      <w:r w:rsidR="00F654A4" w:rsidRPr="00726423">
        <w:rPr>
          <w:rFonts w:ascii="Arial" w:hAnsi="Arial" w:cs="Arial"/>
          <w:color w:val="000000" w:themeColor="text1"/>
          <w:sz w:val="22"/>
          <w:szCs w:val="22"/>
          <w:vertAlign w:val="superscript"/>
        </w:rPr>
        <w:fldChar w:fldCharType="separate"/>
      </w:r>
      <w:r w:rsidR="00361359" w:rsidRPr="00361359">
        <w:rPr>
          <w:rFonts w:ascii="Arial" w:hAnsi="Arial" w:cs="Arial"/>
          <w:color w:val="000000"/>
          <w:sz w:val="22"/>
          <w:vertAlign w:val="superscript"/>
        </w:rPr>
        <w:t>24</w:t>
      </w:r>
      <w:r w:rsidR="00F654A4" w:rsidRPr="00726423">
        <w:rPr>
          <w:rFonts w:ascii="Arial" w:hAnsi="Arial" w:cs="Arial"/>
          <w:color w:val="000000" w:themeColor="text1"/>
          <w:sz w:val="22"/>
          <w:szCs w:val="22"/>
          <w:vertAlign w:val="superscript"/>
        </w:rPr>
        <w:fldChar w:fldCharType="end"/>
      </w:r>
      <w:r w:rsidR="003348CA" w:rsidRPr="00726423">
        <w:rPr>
          <w:rFonts w:ascii="Arial" w:hAnsi="Arial" w:cs="Arial"/>
          <w:color w:val="000000" w:themeColor="text1"/>
          <w:sz w:val="22"/>
          <w:szCs w:val="22"/>
        </w:rPr>
        <w:t>.</w:t>
      </w:r>
      <w:r w:rsidR="00B21AE8" w:rsidRPr="00726423">
        <w:rPr>
          <w:rFonts w:ascii="Arial" w:hAnsi="Arial" w:cs="Arial"/>
          <w:color w:val="000000" w:themeColor="text1"/>
          <w:sz w:val="22"/>
          <w:szCs w:val="22"/>
        </w:rPr>
        <w:t xml:space="preserve"> Here</w:t>
      </w:r>
      <w:r w:rsidR="0037545C" w:rsidRPr="00726423">
        <w:rPr>
          <w:rFonts w:ascii="Arial" w:hAnsi="Arial" w:cs="Arial"/>
          <w:color w:val="000000" w:themeColor="text1"/>
          <w:sz w:val="22"/>
          <w:szCs w:val="22"/>
        </w:rPr>
        <w:t>,</w:t>
      </w:r>
      <w:r w:rsidR="00B21AE8" w:rsidRPr="00726423">
        <w:rPr>
          <w:rFonts w:ascii="Arial" w:hAnsi="Arial" w:cs="Arial"/>
          <w:color w:val="000000" w:themeColor="text1"/>
          <w:sz w:val="22"/>
          <w:szCs w:val="22"/>
        </w:rPr>
        <w:t xml:space="preserve"> we </w:t>
      </w:r>
      <w:r w:rsidR="003C1DF7" w:rsidRPr="00726423">
        <w:rPr>
          <w:rFonts w:ascii="Arial" w:hAnsi="Arial" w:cs="Arial"/>
          <w:color w:val="000000" w:themeColor="text1"/>
          <w:sz w:val="22"/>
          <w:szCs w:val="22"/>
        </w:rPr>
        <w:t>investigate the impact of</w:t>
      </w:r>
      <w:r w:rsidR="00B21AE8" w:rsidRPr="00726423">
        <w:rPr>
          <w:rFonts w:ascii="Arial" w:hAnsi="Arial" w:cs="Arial"/>
          <w:color w:val="000000" w:themeColor="text1"/>
          <w:sz w:val="22"/>
          <w:szCs w:val="22"/>
        </w:rPr>
        <w:t xml:space="preserve"> </w:t>
      </w:r>
      <w:r w:rsidR="000C3CB2" w:rsidRPr="00726423">
        <w:rPr>
          <w:rFonts w:ascii="Arial" w:hAnsi="Arial" w:cs="Arial"/>
          <w:color w:val="000000" w:themeColor="text1"/>
          <w:sz w:val="22"/>
          <w:szCs w:val="22"/>
        </w:rPr>
        <w:t xml:space="preserve">endogenous </w:t>
      </w:r>
      <w:r w:rsidR="006C406F" w:rsidRPr="00726423">
        <w:rPr>
          <w:rFonts w:ascii="Arial" w:hAnsi="Arial" w:cs="Arial"/>
          <w:color w:val="000000" w:themeColor="text1"/>
          <w:sz w:val="22"/>
          <w:szCs w:val="22"/>
        </w:rPr>
        <w:t>versus</w:t>
      </w:r>
      <w:r w:rsidR="000C3CB2" w:rsidRPr="00726423">
        <w:rPr>
          <w:rFonts w:ascii="Arial" w:hAnsi="Arial" w:cs="Arial"/>
          <w:color w:val="000000" w:themeColor="text1"/>
          <w:sz w:val="22"/>
          <w:szCs w:val="22"/>
        </w:rPr>
        <w:t xml:space="preserve"> exogenous </w:t>
      </w:r>
      <w:r w:rsidR="006C406F" w:rsidRPr="00726423">
        <w:rPr>
          <w:rFonts w:ascii="Arial" w:hAnsi="Arial" w:cs="Arial"/>
          <w:color w:val="000000" w:themeColor="text1"/>
          <w:sz w:val="22"/>
          <w:szCs w:val="22"/>
        </w:rPr>
        <w:t>activation of</w:t>
      </w:r>
      <w:r w:rsidR="000C3CB2" w:rsidRPr="00726423">
        <w:rPr>
          <w:rFonts w:ascii="Arial" w:hAnsi="Arial" w:cs="Arial"/>
          <w:color w:val="000000" w:themeColor="text1"/>
          <w:sz w:val="22"/>
          <w:szCs w:val="22"/>
        </w:rPr>
        <w:t xml:space="preserve"> EP2 and EP4 </w:t>
      </w:r>
      <w:r w:rsidR="003C1DF7" w:rsidRPr="00726423">
        <w:rPr>
          <w:rFonts w:ascii="Arial" w:hAnsi="Arial" w:cs="Arial"/>
          <w:color w:val="000000" w:themeColor="text1"/>
          <w:sz w:val="22"/>
          <w:szCs w:val="22"/>
        </w:rPr>
        <w:t xml:space="preserve">on modulation of ILC2-mediated </w:t>
      </w:r>
      <w:r w:rsidR="00B21AE8" w:rsidRPr="00726423">
        <w:rPr>
          <w:rFonts w:ascii="Arial" w:hAnsi="Arial" w:cs="Arial"/>
          <w:color w:val="000000" w:themeColor="text1"/>
          <w:sz w:val="22"/>
          <w:szCs w:val="22"/>
        </w:rPr>
        <w:t xml:space="preserve">type 2 immune responses </w:t>
      </w:r>
      <w:r w:rsidR="003C1DF7" w:rsidRPr="00726423">
        <w:rPr>
          <w:rFonts w:ascii="Arial" w:hAnsi="Arial" w:cs="Arial"/>
          <w:color w:val="000000" w:themeColor="text1"/>
          <w:sz w:val="22"/>
          <w:szCs w:val="22"/>
        </w:rPr>
        <w:t xml:space="preserve">in </w:t>
      </w:r>
      <w:r w:rsidR="00247E05" w:rsidRPr="00726423">
        <w:rPr>
          <w:rFonts w:ascii="Arial" w:hAnsi="Arial" w:cs="Arial"/>
          <w:color w:val="000000" w:themeColor="text1"/>
          <w:sz w:val="22"/>
          <w:szCs w:val="22"/>
        </w:rPr>
        <w:t xml:space="preserve">the </w:t>
      </w:r>
      <w:r w:rsidR="0037545C" w:rsidRPr="00726423">
        <w:rPr>
          <w:rFonts w:ascii="Arial" w:hAnsi="Arial" w:cs="Arial"/>
          <w:color w:val="000000" w:themeColor="text1"/>
          <w:sz w:val="22"/>
          <w:szCs w:val="22"/>
        </w:rPr>
        <w:t>m</w:t>
      </w:r>
      <w:r w:rsidR="00494E78" w:rsidRPr="00726423">
        <w:rPr>
          <w:rFonts w:ascii="Arial" w:hAnsi="Arial" w:cs="Arial"/>
          <w:color w:val="000000" w:themeColor="text1"/>
          <w:sz w:val="22"/>
          <w:szCs w:val="22"/>
        </w:rPr>
        <w:t>ouse</w:t>
      </w:r>
      <w:r w:rsidR="000C3CB2" w:rsidRPr="00726423">
        <w:rPr>
          <w:rFonts w:ascii="Arial" w:hAnsi="Arial" w:cs="Arial"/>
          <w:color w:val="000000" w:themeColor="text1"/>
          <w:sz w:val="22"/>
          <w:szCs w:val="22"/>
        </w:rPr>
        <w:t xml:space="preserve"> </w:t>
      </w:r>
      <w:r w:rsidR="003C1DF7" w:rsidRPr="00726423">
        <w:rPr>
          <w:rFonts w:ascii="Arial" w:hAnsi="Arial" w:cs="Arial"/>
          <w:color w:val="000000" w:themeColor="text1"/>
          <w:sz w:val="22"/>
          <w:szCs w:val="22"/>
        </w:rPr>
        <w:t>lung</w:t>
      </w:r>
      <w:r w:rsidR="00B21AE8" w:rsidRPr="00726423">
        <w:rPr>
          <w:rFonts w:ascii="Arial" w:hAnsi="Arial" w:cs="Arial"/>
          <w:color w:val="000000" w:themeColor="text1"/>
          <w:sz w:val="22"/>
          <w:szCs w:val="22"/>
        </w:rPr>
        <w:t>.</w:t>
      </w:r>
    </w:p>
    <w:p w14:paraId="4CE4B230" w14:textId="6DF5DF92" w:rsidR="00515081" w:rsidRPr="00726423" w:rsidRDefault="00515081" w:rsidP="00AF01E8">
      <w:pPr>
        <w:spacing w:line="480" w:lineRule="auto"/>
        <w:jc w:val="both"/>
        <w:rPr>
          <w:rFonts w:ascii="Arial" w:hAnsi="Arial" w:cs="Arial"/>
          <w:color w:val="000000" w:themeColor="text1"/>
          <w:sz w:val="22"/>
          <w:szCs w:val="22"/>
        </w:rPr>
      </w:pPr>
    </w:p>
    <w:p w14:paraId="0C8ED735" w14:textId="769F2804" w:rsidR="00637060" w:rsidRPr="00726423" w:rsidRDefault="00640DA4" w:rsidP="00AF01E8">
      <w:pPr>
        <w:spacing w:line="480" w:lineRule="auto"/>
        <w:jc w:val="both"/>
        <w:rPr>
          <w:rFonts w:ascii="Arial" w:hAnsi="Arial" w:cs="Arial"/>
          <w:b/>
          <w:bCs/>
          <w:color w:val="000000" w:themeColor="text1"/>
          <w:sz w:val="22"/>
          <w:szCs w:val="22"/>
        </w:rPr>
      </w:pPr>
      <w:r w:rsidRPr="00726423">
        <w:rPr>
          <w:rFonts w:ascii="Arial" w:hAnsi="Arial" w:cs="Arial"/>
          <w:b/>
          <w:bCs/>
          <w:color w:val="000000" w:themeColor="text1"/>
          <w:sz w:val="22"/>
          <w:szCs w:val="22"/>
        </w:rPr>
        <w:t>Results</w:t>
      </w:r>
    </w:p>
    <w:p w14:paraId="35B44E39" w14:textId="77777777" w:rsidR="00DD32AB" w:rsidRPr="00726423" w:rsidRDefault="00DD32AB" w:rsidP="00AF01E8">
      <w:pPr>
        <w:spacing w:line="480" w:lineRule="auto"/>
        <w:jc w:val="both"/>
        <w:rPr>
          <w:rFonts w:ascii="Arial" w:hAnsi="Arial" w:cs="Arial"/>
          <w:b/>
          <w:bCs/>
          <w:color w:val="000000" w:themeColor="text1"/>
          <w:sz w:val="22"/>
          <w:szCs w:val="22"/>
        </w:rPr>
      </w:pPr>
      <w:r w:rsidRPr="00726423">
        <w:rPr>
          <w:rFonts w:ascii="Arial" w:hAnsi="Arial" w:cs="Arial"/>
          <w:b/>
          <w:bCs/>
          <w:color w:val="000000" w:themeColor="text1"/>
          <w:sz w:val="22"/>
          <w:szCs w:val="22"/>
        </w:rPr>
        <w:t>Inhibition of endogenous PG synthesis augments IL-33-dependent lung ILC2 responses.</w:t>
      </w:r>
    </w:p>
    <w:p w14:paraId="6129BFCA" w14:textId="2C343406" w:rsidR="00DD32AB" w:rsidRPr="00726423" w:rsidRDefault="00DD32AB" w:rsidP="00AF01E8">
      <w:pPr>
        <w:spacing w:line="480" w:lineRule="auto"/>
        <w:jc w:val="both"/>
        <w:rPr>
          <w:rFonts w:ascii="Arial" w:hAnsi="Arial" w:cs="Arial"/>
          <w:color w:val="000000" w:themeColor="text1"/>
          <w:sz w:val="22"/>
          <w:szCs w:val="22"/>
        </w:rPr>
      </w:pPr>
      <w:r w:rsidRPr="00726423">
        <w:rPr>
          <w:rFonts w:ascii="Arial" w:hAnsi="Arial" w:cs="Arial"/>
          <w:color w:val="000000" w:themeColor="text1"/>
          <w:sz w:val="22"/>
          <w:szCs w:val="22"/>
        </w:rPr>
        <w:t>At the steady state, PGE</w:t>
      </w:r>
      <w:r w:rsidRPr="00726423">
        <w:rPr>
          <w:rFonts w:ascii="Arial" w:hAnsi="Arial" w:cs="Arial"/>
          <w:color w:val="000000" w:themeColor="text1"/>
          <w:sz w:val="22"/>
          <w:szCs w:val="22"/>
          <w:vertAlign w:val="subscript"/>
        </w:rPr>
        <w:t>2</w:t>
      </w:r>
      <w:r w:rsidRPr="00726423">
        <w:rPr>
          <w:rFonts w:ascii="Arial" w:hAnsi="Arial" w:cs="Arial"/>
          <w:color w:val="000000" w:themeColor="text1"/>
          <w:sz w:val="22"/>
          <w:szCs w:val="22"/>
        </w:rPr>
        <w:t xml:space="preserve"> is expressed in most tissues including the lung and its levels are elevated by inflammatory stimuli. We thus investigated whether endogenous PGE</w:t>
      </w:r>
      <w:r w:rsidRPr="00726423">
        <w:rPr>
          <w:rFonts w:ascii="Arial" w:hAnsi="Arial" w:cs="Arial"/>
          <w:color w:val="000000" w:themeColor="text1"/>
          <w:sz w:val="22"/>
          <w:szCs w:val="22"/>
          <w:vertAlign w:val="subscript"/>
        </w:rPr>
        <w:t>2</w:t>
      </w:r>
      <w:r w:rsidRPr="00726423">
        <w:rPr>
          <w:rFonts w:ascii="Arial" w:hAnsi="Arial" w:cs="Arial"/>
          <w:color w:val="000000" w:themeColor="text1"/>
          <w:sz w:val="22"/>
          <w:szCs w:val="22"/>
        </w:rPr>
        <w:t xml:space="preserve"> suppressed lung ILC2 immune responses. We administered </w:t>
      </w:r>
      <w:r w:rsidR="00512F3E" w:rsidRPr="00726423">
        <w:rPr>
          <w:rFonts w:ascii="Arial" w:hAnsi="Arial" w:cs="Arial"/>
          <w:color w:val="000000" w:themeColor="text1"/>
          <w:sz w:val="22"/>
          <w:szCs w:val="22"/>
        </w:rPr>
        <w:t xml:space="preserve">intratracheally IL-33 into the lungs of wild-type (WT) C57BL/6 mice. Mice also received </w:t>
      </w:r>
      <w:r w:rsidRPr="00726423">
        <w:rPr>
          <w:rFonts w:ascii="Arial" w:hAnsi="Arial" w:cs="Arial"/>
          <w:color w:val="000000" w:themeColor="text1"/>
          <w:sz w:val="22"/>
          <w:szCs w:val="22"/>
        </w:rPr>
        <w:t>indomethacin, an NSAID that blocks biosynthesis of all PGs including PGE</w:t>
      </w:r>
      <w:r w:rsidRPr="00726423">
        <w:rPr>
          <w:rFonts w:ascii="Arial" w:hAnsi="Arial" w:cs="Arial"/>
          <w:color w:val="000000" w:themeColor="text1"/>
          <w:sz w:val="22"/>
          <w:szCs w:val="22"/>
          <w:vertAlign w:val="subscript"/>
        </w:rPr>
        <w:t>2</w:t>
      </w:r>
      <w:r w:rsidR="00512F3E" w:rsidRPr="00726423">
        <w:rPr>
          <w:rFonts w:ascii="Arial" w:hAnsi="Arial" w:cs="Arial"/>
          <w:color w:val="000000" w:themeColor="text1"/>
          <w:sz w:val="22"/>
          <w:szCs w:val="22"/>
        </w:rPr>
        <w:t>, or vehicle control in drinking water</w:t>
      </w:r>
      <w:r w:rsidRPr="00726423">
        <w:rPr>
          <w:rFonts w:ascii="Arial" w:hAnsi="Arial" w:cs="Arial"/>
          <w:color w:val="000000" w:themeColor="text1"/>
          <w:sz w:val="22"/>
          <w:szCs w:val="22"/>
        </w:rPr>
        <w:t>. In agreement with a previous report</w:t>
      </w:r>
      <w:r w:rsidR="00B30C05"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{"citationID":"asmncjd4l2","properties":{"formattedCitation":"\\super 25\\nosupersub{}","plainCitation":"25","noteIndex":0},"citationItems":[{"id":1668,"uris":["http://zotero.org/users/local/OCWppIAO/items/M4FIISWR"],"itemData":{"id":1668,"type":"article-journal","abstract":"The cyclooxygenase (COX) metabolic pathway regulates immune responses and inflammation. The effect of the COX pathway on innate pulmonary inflammation induced by protease-containing fungal allergens, such as Alternaria alternata, is not fully defined. In this study, we tested the hypothesis that COX inhibition augments Alternaria-induced pulmonary group 2 innate lymphoid cell (ILC2) responses and IL-33 release. Mice were treated with the COX inhibitors indomethacin, flurbiprofen, or vehicle and challenged intranasally with Alternaria extract for four consecutive days to induce innate lung inflammation. We found that indomethacin and flurbiprofen significantly increased the numbers of ILC2 and IL-5 and IL-13 expression by ILC2 in the lung. Indomethacin also increased ILC2 proliferation, the percentages of eosinophils, and mucus production in the lung. Both indomethacin and flurbiprofen augmented the release of IL-33 in bronchoalveolar lavage fluid after Alternaria challenge, suggesting that more IL-33 was available for ILC2 activation and that a COX product(s) inhibited IL-33 release. This is supported by the in vitro finding that the COX product PGE2 and the PGI2 analogs cicaprost decreased Alternaria extract-induced IL-33 release by human bronchial epithelial cells. Although contrasting effects of PGD2, PGE2, and PGI2 on ILC2 responses have been previously reported, the overall effect of the COX pathway on ILC2 function is inhibitory in Alternaria-induced innate airway inflammation.","container-title":"Journal of Immunology (Baltimore, Md.: 1950)","DOI":"10.4049/jimmunol.1901544","ISSN":"1550-6606","issue":"4","journalAbbreviation":"J Immunol","language":"eng","note":"PMID: 32690653\nPMCID: PMC7644167","page":"1157-1166","source":"PubMed","title":"COX Inhibition Increases Alternaria-Induced Pulmonary Group 2 Innate Lymphoid Cell Responses and IL-33 Release in Mice","volume":"205","author":[{"family":"Zhou","given":"Weisong"},{"family":"Zhang","given":"Jian"},{"family":"Toki","given":"Shinji"},{"family":"Goleniewska","given":"Kasia"},{"family":"Norlander","given":"Allison E."},{"family":"Newcomb","given":"Dawn C."},{"family":"Wu","given":"Pingsheng"},{"family":"Boyd","given":"Kelli L."},{"family":"Kita","given":"Hirohito"},{"family":"Peebles","given":"R. Stokes"}],"issued":{"date-parts":[["2020",8,15]]}}}],"schema":"https://github.com/citation-style-language/schema/raw/master/csl-citation.json"} </w:instrText>
      </w:r>
      <w:r w:rsidR="00B30C05"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25</w:t>
      </w:r>
      <w:r w:rsidR="00B30C05" w:rsidRPr="00726423">
        <w:rPr>
          <w:rFonts w:ascii="Arial" w:hAnsi="Arial" w:cs="Arial"/>
          <w:color w:val="000000" w:themeColor="text1"/>
          <w:sz w:val="22"/>
          <w:szCs w:val="22"/>
        </w:rPr>
        <w:fldChar w:fldCharType="end"/>
      </w:r>
      <w:r w:rsidRPr="00726423">
        <w:rPr>
          <w:rFonts w:ascii="Arial" w:hAnsi="Arial" w:cs="Arial"/>
          <w:color w:val="000000" w:themeColor="text1"/>
          <w:sz w:val="22"/>
          <w:szCs w:val="22"/>
        </w:rPr>
        <w:t xml:space="preserve">, indomethacin significantly increased IL-33-mediated accumulation </w:t>
      </w:r>
      <w:r w:rsidR="00512F3E" w:rsidRPr="00726423">
        <w:rPr>
          <w:rFonts w:ascii="Arial" w:hAnsi="Arial" w:cs="Arial"/>
          <w:color w:val="000000" w:themeColor="text1"/>
          <w:sz w:val="22"/>
          <w:szCs w:val="22"/>
        </w:rPr>
        <w:t>of CD45</w:t>
      </w:r>
      <w:r w:rsidR="00512F3E" w:rsidRPr="00726423">
        <w:rPr>
          <w:rFonts w:ascii="Arial" w:hAnsi="Arial" w:cs="Arial"/>
          <w:color w:val="000000" w:themeColor="text1"/>
          <w:sz w:val="22"/>
          <w:szCs w:val="22"/>
          <w:vertAlign w:val="superscript"/>
        </w:rPr>
        <w:t>+</w:t>
      </w:r>
      <w:r w:rsidR="00512F3E" w:rsidRPr="00726423">
        <w:rPr>
          <w:rFonts w:ascii="Arial" w:hAnsi="Arial" w:cs="Arial"/>
          <w:color w:val="000000" w:themeColor="text1"/>
          <w:sz w:val="22"/>
          <w:szCs w:val="22"/>
        </w:rPr>
        <w:t>Lineage</w:t>
      </w:r>
      <w:r w:rsidR="00512F3E" w:rsidRPr="00726423">
        <w:rPr>
          <w:rFonts w:ascii="Arial" w:hAnsi="Arial" w:cs="Arial"/>
          <w:color w:val="000000" w:themeColor="text1"/>
          <w:sz w:val="22"/>
          <w:szCs w:val="22"/>
          <w:vertAlign w:val="superscript"/>
        </w:rPr>
        <w:t>–</w:t>
      </w:r>
      <w:r w:rsidR="00512F3E" w:rsidRPr="00726423">
        <w:rPr>
          <w:rFonts w:ascii="Arial" w:hAnsi="Arial" w:cs="Arial"/>
          <w:color w:val="000000" w:themeColor="text1"/>
          <w:sz w:val="22"/>
          <w:szCs w:val="22"/>
        </w:rPr>
        <w:t>ST2</w:t>
      </w:r>
      <w:r w:rsidR="00512F3E" w:rsidRPr="00726423">
        <w:rPr>
          <w:rFonts w:ascii="Arial" w:hAnsi="Arial" w:cs="Arial"/>
          <w:color w:val="000000" w:themeColor="text1"/>
          <w:sz w:val="22"/>
          <w:szCs w:val="22"/>
          <w:vertAlign w:val="superscript"/>
        </w:rPr>
        <w:t>+</w:t>
      </w:r>
      <w:r w:rsidR="00512F3E" w:rsidRPr="00726423">
        <w:rPr>
          <w:rFonts w:ascii="Arial" w:hAnsi="Arial" w:cs="Arial"/>
          <w:color w:val="000000" w:themeColor="text1"/>
          <w:sz w:val="22"/>
          <w:szCs w:val="22"/>
        </w:rPr>
        <w:t xml:space="preserve"> ILC2s to the lung </w:t>
      </w:r>
      <w:r w:rsidRPr="00726423">
        <w:rPr>
          <w:rFonts w:ascii="Arial" w:hAnsi="Arial" w:cs="Arial"/>
          <w:color w:val="000000" w:themeColor="text1"/>
          <w:sz w:val="22"/>
          <w:szCs w:val="22"/>
        </w:rPr>
        <w:t>and enhanced type 2 cytokine</w:t>
      </w:r>
      <w:r w:rsidR="00C65B93" w:rsidRPr="00726423">
        <w:rPr>
          <w:rFonts w:ascii="Arial" w:hAnsi="Arial" w:cs="Arial"/>
          <w:color w:val="000000" w:themeColor="text1"/>
          <w:sz w:val="22"/>
          <w:szCs w:val="22"/>
        </w:rPr>
        <w:t xml:space="preserve"> (i.e., IL-5 and IL-13)</w:t>
      </w:r>
      <w:r w:rsidRPr="00726423">
        <w:rPr>
          <w:rFonts w:ascii="Arial" w:hAnsi="Arial" w:cs="Arial"/>
          <w:color w:val="000000" w:themeColor="text1"/>
          <w:sz w:val="22"/>
          <w:szCs w:val="22"/>
        </w:rPr>
        <w:t xml:space="preserve"> production from ILC2s (</w:t>
      </w:r>
      <w:r w:rsidRPr="00726423">
        <w:rPr>
          <w:rFonts w:ascii="Arial" w:hAnsi="Arial" w:cs="Arial"/>
          <w:b/>
          <w:bCs/>
          <w:color w:val="000000" w:themeColor="text1"/>
          <w:sz w:val="22"/>
          <w:szCs w:val="22"/>
        </w:rPr>
        <w:t xml:space="preserve">Fig </w:t>
      </w:r>
      <w:r w:rsidR="00147816" w:rsidRPr="00726423">
        <w:rPr>
          <w:rFonts w:ascii="Arial" w:hAnsi="Arial" w:cs="Arial"/>
          <w:b/>
          <w:bCs/>
          <w:color w:val="000000" w:themeColor="text1"/>
          <w:sz w:val="22"/>
          <w:szCs w:val="22"/>
        </w:rPr>
        <w:t>1</w:t>
      </w:r>
      <w:r w:rsidRPr="00726423">
        <w:rPr>
          <w:rFonts w:ascii="Arial" w:hAnsi="Arial" w:cs="Arial"/>
          <w:b/>
          <w:bCs/>
          <w:color w:val="000000" w:themeColor="text1"/>
          <w:sz w:val="22"/>
          <w:szCs w:val="22"/>
        </w:rPr>
        <w:t>A,B</w:t>
      </w:r>
      <w:r w:rsidRPr="00726423">
        <w:rPr>
          <w:rFonts w:ascii="Arial" w:hAnsi="Arial" w:cs="Arial"/>
          <w:color w:val="000000" w:themeColor="text1"/>
          <w:sz w:val="22"/>
          <w:szCs w:val="22"/>
        </w:rPr>
        <w:t>). However, indomethacin treatment had no effect on the accumulation of eosinophils in the lung (data not shown), possibly because indomethacin inhibits all PG synthesis and some PGs have direct actions on eosinophils. These results suggest that the net effects of all endogenous PGs suppress lung ILC2 responses. Besides working as a pan-COX inhibitor, indomethacin is also reported to bind to mouse CRTH2</w:t>
      </w:r>
      <w:r w:rsidR="00764263"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{"citationID":"a1h5svdi56s","properties":{"formattedCitation":"\\super 26\\nosupersub{}","plainCitation":"26","noteIndex":0},"citationItems":[{"id":1721,"uris":["http://zotero.org/users/local/OCWppIAO/items/NMFBLESL"],"itemData":{"id":1721,"type":"article-journal","abstract":"Prostaglandin D2 (PGD2), the predominant prostanoid produced by activated mast cells, is implicated in a variety of allergic diseases. PGD2 exerts its effects through two G-protein coupled receptors, DP and CRTH2. PGD2 mediates chemotaxis of eosinophils, basophils, and Th2 cells via CRTH2-evoked signaling, suggesting a role for this receptor in allergic disease. To characterize the mouse CRTH2 ortholog (mCRTH2), we amplified the mCRTH2 receptor gene and expressed it in HEK293 cells. Saturation ligand binding isotherms demonstrated high-affinity binding of [3H]PGD2, with a Kd of 8.8 +/- 0.8 nM. Competition binding assays with a panel unlabeled prostanoids demonstrated an order of affinity of 13,14-dihydro-15-keto-PGD2 (DK-PGD2) &gt;or= 15-deoxy-Delta12,14-PGJ2 (15d-PGJ2) &gt;or= PGD2 &gt;or= PGJ2. [3H]PGD2 binding was also displaced by the nonsteroidal anti-inflammatory drug indomethacin, with a Ki value of 1.04 +/- 0.13 microM. No [3H]PGD2 displacement was detected using fluribrofen, ibuprofen, or aspirin as competitors at concentrations of up to 30 microM. PGD2, DK-PGD2, 15d-PGJ2, and indomethacin each inhibited intracellular cAMP generation in stable transfectant ER293/mCRTH2 cells through a pertussis toxin (PTX) sensitive pathway, consistent with mCRTH2 coupling to a Gi heterotrimeric G-protein. Activation of mCRTH2 elicited chemotaxis of ER293/mCRTH2 cells in response to PGD2, indomethacin, and 15d-PGJ2. mCRTH2-dependent chemotaxis was inhibited by PTX and wortmannin, indicating dependence on Gi and PI 3-kinase signal transduction pathways. These data provide the first pharmacological and functional characterization of the mouse CRTH2 receptor.","container-title":"The Journal of Pharmacology and Experimental Therapeutics","DOI":"10.1124/jpet.103.050955","ISSN":"0022-3565","issue":"2","journalAbbreviation":"J Pharmacol Exp Ther","language":"eng","note":"PMID: 12721327","page":"463-470","source":"PubMed","title":"Expression and molecular pharmacology of the mouse CRTH2 receptor","volume":"306","author":[{"family":"Hata","given":"Aaron N."},{"family":"Zent","given":"Roy"},{"family":"Breyer","given":"Matthew D."},{"family":"Breyer","given":"Richard M."}],"issued":{"date-parts":[["2003",8]]}}}],"schema":"https://github.com/citation-style-language/schema/raw/master/csl-citation.json"} </w:instrText>
      </w:r>
      <w:r w:rsidR="00764263"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26</w:t>
      </w:r>
      <w:r w:rsidR="00764263" w:rsidRPr="00726423">
        <w:rPr>
          <w:rFonts w:ascii="Arial" w:hAnsi="Arial" w:cs="Arial"/>
          <w:color w:val="000000" w:themeColor="text1"/>
          <w:sz w:val="22"/>
          <w:szCs w:val="22"/>
        </w:rPr>
        <w:fldChar w:fldCharType="end"/>
      </w:r>
      <w:r w:rsidRPr="00726423">
        <w:rPr>
          <w:rFonts w:ascii="Arial" w:hAnsi="Arial" w:cs="Arial"/>
          <w:color w:val="000000" w:themeColor="text1"/>
          <w:sz w:val="22"/>
          <w:szCs w:val="22"/>
        </w:rPr>
        <w:t>, a receptor for prostaglandin D</w:t>
      </w:r>
      <w:r w:rsidRPr="00726423">
        <w:rPr>
          <w:rFonts w:ascii="Arial" w:hAnsi="Arial" w:cs="Arial"/>
          <w:color w:val="000000" w:themeColor="text1"/>
          <w:sz w:val="22"/>
          <w:szCs w:val="22"/>
          <w:vertAlign w:val="subscript"/>
        </w:rPr>
        <w:t>2</w:t>
      </w:r>
      <w:r w:rsidRPr="00726423">
        <w:rPr>
          <w:rFonts w:ascii="Arial" w:hAnsi="Arial" w:cs="Arial"/>
          <w:color w:val="000000" w:themeColor="text1"/>
          <w:sz w:val="22"/>
          <w:szCs w:val="22"/>
        </w:rPr>
        <w:t xml:space="preserve"> that mediates ILC2 migration</w:t>
      </w:r>
      <w:r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{"citationID":"a1ctt8uhbn9","properties":{"formattedCitation":"\\super 12\\nosupersub{}","plainCitation":"12","noteIndex":0},"citationItems":[{"id":1656,"uris":["http://zotero.org/users/local/OCWppIAO/items/2RTKJGQM"],"itemData":{"id":1656,"type":"article-journal","abstract":"BACKGROUND: Activation of the group 2 innate lymphoid cell (ILC2) population leads to production of the classical type 2 cytokines, thus promoting type 2 immunity. Chemoattractant receptor-homologous molecule expressed on TH2 cells (CRTH2), a receptor for prostaglandin D</w:instrText>
      </w:r>
      <w:r w:rsidR="00361359">
        <w:rPr>
          <w:rFonts w:ascii="Cambria Math" w:hAnsi="Cambria Math" w:cs="Cambria Math"/>
          <w:color w:val="000000" w:themeColor="text1"/>
          <w:sz w:val="22"/>
          <w:szCs w:val="22"/>
        </w:rPr>
        <w:instrText>₂</w:instrText>
      </w:r>
      <w:r w:rsidR="00361359">
        <w:rPr>
          <w:rFonts w:ascii="Arial" w:hAnsi="Arial" w:cs="Arial"/>
          <w:color w:val="000000" w:themeColor="text1"/>
          <w:sz w:val="22"/>
          <w:szCs w:val="22"/>
        </w:rPr>
        <w:instrText xml:space="preserve"> (PGD</w:instrText>
      </w:r>
      <w:r w:rsidR="00361359">
        <w:rPr>
          <w:rFonts w:ascii="Cambria Math" w:hAnsi="Cambria Math" w:cs="Cambria Math"/>
          <w:color w:val="000000" w:themeColor="text1"/>
          <w:sz w:val="22"/>
          <w:szCs w:val="22"/>
        </w:rPr>
        <w:instrText>₂</w:instrText>
      </w:r>
      <w:r w:rsidR="00361359">
        <w:rPr>
          <w:rFonts w:ascii="Arial" w:hAnsi="Arial" w:cs="Arial"/>
          <w:color w:val="000000" w:themeColor="text1"/>
          <w:sz w:val="22"/>
          <w:szCs w:val="22"/>
        </w:rPr>
        <w:instrText>), is expressed by human ILC2s. However, the function of CRTH2 in these cells is unclear.\nOBJECTIVES: We sought to determine the role of PGD</w:instrText>
      </w:r>
      <w:r w:rsidR="00361359">
        <w:rPr>
          <w:rFonts w:ascii="Cambria Math" w:hAnsi="Cambria Math" w:cs="Cambria Math"/>
          <w:color w:val="000000" w:themeColor="text1"/>
          <w:sz w:val="22"/>
          <w:szCs w:val="22"/>
        </w:rPr>
        <w:instrText>₂</w:instrText>
      </w:r>
      <w:r w:rsidR="00361359">
        <w:rPr>
          <w:rFonts w:ascii="Arial" w:hAnsi="Arial" w:cs="Arial"/>
          <w:color w:val="000000" w:themeColor="text1"/>
          <w:sz w:val="22"/>
          <w:szCs w:val="22"/>
        </w:rPr>
        <w:instrText xml:space="preserve"> and CRTH2 in human ILC2s and compare it with that of the established ILC2 activators IL-25 and IL-33.\nMETHODS: The effects of PGD</w:instrText>
      </w:r>
      <w:r w:rsidR="00361359">
        <w:rPr>
          <w:rFonts w:ascii="Cambria Math" w:hAnsi="Cambria Math" w:cs="Cambria Math"/>
          <w:color w:val="000000" w:themeColor="text1"/>
          <w:sz w:val="22"/>
          <w:szCs w:val="22"/>
        </w:rPr>
        <w:instrText>₂</w:instrText>
      </w:r>
      <w:r w:rsidR="00361359">
        <w:rPr>
          <w:rFonts w:ascii="Arial" w:hAnsi="Arial" w:cs="Arial"/>
          <w:color w:val="000000" w:themeColor="text1"/>
          <w:sz w:val="22"/>
          <w:szCs w:val="22"/>
        </w:rPr>
        <w:instrText>, IL-25, and IL-33 on the cell migration, cytokine production, gene regulation, and receptor expression of ILC2s were measured with chemotaxis, ELISA, Luminex, flow cytometry, quantitative RT-PCR, and QuantiGene assays. The effects of PGD</w:instrText>
      </w:r>
      <w:r w:rsidR="00361359">
        <w:rPr>
          <w:rFonts w:ascii="Cambria Math" w:hAnsi="Cambria Math" w:cs="Cambria Math"/>
          <w:color w:val="000000" w:themeColor="text1"/>
          <w:sz w:val="22"/>
          <w:szCs w:val="22"/>
        </w:rPr>
        <w:instrText>₂</w:instrText>
      </w:r>
      <w:r w:rsidR="00361359">
        <w:rPr>
          <w:rFonts w:ascii="Arial" w:hAnsi="Arial" w:cs="Arial"/>
          <w:color w:val="000000" w:themeColor="text1"/>
          <w:sz w:val="22"/>
          <w:szCs w:val="22"/>
        </w:rPr>
        <w:instrText xml:space="preserve"> under physiologic conditions were evaluated by using the supernatant from activated mast cells.\nRESULTS: PGD</w:instrText>
      </w:r>
      <w:r w:rsidR="00361359">
        <w:rPr>
          <w:rFonts w:ascii="Cambria Math" w:hAnsi="Cambria Math" w:cs="Cambria Math"/>
          <w:color w:val="000000" w:themeColor="text1"/>
          <w:sz w:val="22"/>
          <w:szCs w:val="22"/>
        </w:rPr>
        <w:instrText>₂</w:instrText>
      </w:r>
      <w:r w:rsidR="00361359">
        <w:rPr>
          <w:rFonts w:ascii="Arial" w:hAnsi="Arial" w:cs="Arial"/>
          <w:color w:val="000000" w:themeColor="text1"/>
          <w:sz w:val="22"/>
          <w:szCs w:val="22"/>
        </w:rPr>
        <w:instrText xml:space="preserve"> binding to CRTH2 induced ILC2 migration and production of type 2 cytokines and many other cytokines. ILC2 activation through CRTH2 also upregulated the expression of IL-33 and IL-25 receptor subunits (ST2 and IL-17RA). The effects of PGD</w:instrText>
      </w:r>
      <w:r w:rsidR="00361359">
        <w:rPr>
          <w:rFonts w:ascii="Cambria Math" w:hAnsi="Cambria Math" w:cs="Cambria Math"/>
          <w:color w:val="000000" w:themeColor="text1"/>
          <w:sz w:val="22"/>
          <w:szCs w:val="22"/>
        </w:rPr>
        <w:instrText>₂</w:instrText>
      </w:r>
      <w:r w:rsidR="00361359">
        <w:rPr>
          <w:rFonts w:ascii="Arial" w:hAnsi="Arial" w:cs="Arial"/>
          <w:color w:val="000000" w:themeColor="text1"/>
          <w:sz w:val="22"/>
          <w:szCs w:val="22"/>
        </w:rPr>
        <w:instrText xml:space="preserve"> on ILC2s could be mimicked by the supernatant from activated human mast cells and inhibited by a CRTH2 antagonist.\nCONCLUSIONS: PGD</w:instrText>
      </w:r>
      <w:r w:rsidR="00361359">
        <w:rPr>
          <w:rFonts w:ascii="Cambria Math" w:hAnsi="Cambria Math" w:cs="Cambria Math"/>
          <w:color w:val="000000" w:themeColor="text1"/>
          <w:sz w:val="22"/>
          <w:szCs w:val="22"/>
        </w:rPr>
        <w:instrText>₂</w:instrText>
      </w:r>
      <w:r w:rsidR="00361359">
        <w:rPr>
          <w:rFonts w:ascii="Arial" w:hAnsi="Arial" w:cs="Arial"/>
          <w:color w:val="000000" w:themeColor="text1"/>
          <w:sz w:val="22"/>
          <w:szCs w:val="22"/>
        </w:rPr>
        <w:instrText xml:space="preserve"> is an important and potent activator of ILC2s through CRTH2 mediating strong proallergic inflammatory responses. Through IgE-mediated mast cell degranulation, these innate cells can also contribute to adaptive type 2 immunity; thus CRTH2 bridges the innate and adaptive pathways in human ILC2s.","container-title":"The Journal of Allergy and Clinical Immunology","DOI":"10.1016/j.jaci.2013.10.056","ISSN":"1097-6825","issue":"4","journalAbbreviation":"J Allergy Clin Immunol","language":"eng","note":"PMID: 24388011\nPMCID: PMC3979107","page":"1184-1194","source":"PubMed","title":"Prostaglandin D2 activates group 2 innate lymphoid cells through chemoattractant receptor-homologous molecule expressed on TH2 cells","volume":"133","author":[{"family":"Xue","given":"Luzheng"},{"family":"Salimi","given":"Maryam"},{"family":"Panse","given":"Isabel"},{"family":"Mjösberg","given":"Jenny M."},{"family":"McKenzie","given":"Andrew N. J."},{"family":"Spits","given":"Hergen"},{"family":"Klenerman","given":"Paul"},{"family":"Ogg","given":"Graham"}],"issued":{"date-parts":[["2014",4]]}}}],"schema":"https://github.com/citation-style-language/schema/raw/master/csl-citation.json"} </w:instrText>
      </w:r>
      <w:r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12</w:t>
      </w:r>
      <w:r w:rsidRPr="00726423">
        <w:rPr>
          <w:rFonts w:ascii="Arial" w:hAnsi="Arial" w:cs="Arial"/>
          <w:color w:val="000000" w:themeColor="text1"/>
          <w:sz w:val="22"/>
          <w:szCs w:val="22"/>
        </w:rPr>
        <w:fldChar w:fldCharType="end"/>
      </w:r>
      <w:r w:rsidR="00B952B8" w:rsidRPr="008D0A10">
        <w:rPr>
          <w:rFonts w:ascii="Arial" w:hAnsi="Arial" w:cs="Arial"/>
          <w:color w:val="000000" w:themeColor="text1"/>
          <w:sz w:val="22"/>
          <w:szCs w:val="22"/>
          <w:vertAlign w:val="superscript"/>
        </w:rPr>
        <w:t>,</w:t>
      </w:r>
      <w:r w:rsidR="00B952B8" w:rsidRPr="00726423">
        <w:rPr>
          <w:rFonts w:ascii="Arial" w:hAnsi="Arial" w:cs="Arial"/>
          <w:color w:val="000000" w:themeColor="text1"/>
          <w:sz w:val="22"/>
          <w:szCs w:val="22"/>
        </w:rPr>
        <w:fldChar w:fldCharType="begin"/>
      </w:r>
      <w:r w:rsidR="00B952B8">
        <w:rPr>
          <w:rFonts w:ascii="Arial" w:hAnsi="Arial" w:cs="Arial"/>
          <w:color w:val="000000" w:themeColor="text1"/>
          <w:sz w:val="22"/>
          <w:szCs w:val="22"/>
        </w:rPr>
        <w:instrText xml:space="preserve"> ADDIN ZOTERO_ITEM CSL_CITATION {"citationID":"a11d9jcksav","properties":{"formattedCitation":"\\super 27\\nosupersub{}","plainCitation":"27","noteIndex":0},"citationItems":[{"id":1807,"uris":["http://zotero.org/users/local/OCWppIAO/items/3UG2WWGI"],"itemData":{"id":1807,"type":"article-journal","abstract":"Group 2 innate lymphoid cells (ILC2s) promote type 2 cytokine-dependent immunity, inflammation, and tissue repair. Although epithelial cell-derived cytokines regulate ILC2 effector functions, the pathways that control the in vivo migration of ILC2s into inflamed tissues remain poorly understood. Here, we provide the first demonstration that expression of the prostaglandin D2 (PGD2) receptor CRTH2 (chemoattractant receptor-homologous molecule expressed on Th2 cells) regulates the in vivo accumulation of ILC2s in the lung. Although a significant proportion of ILC2s isolated from healthy human peripheral blood expressed CRTH2, a smaller proportion of ILC2s isolated from nondiseased human lung expressed CRTH2, suggesting that dynamic regulation of CRTH2 expression might be associated with the migration of ILC2s into tissues. Consistent with this, murine ILC2s expressed CRTH2, migrated toward PGD2 in vitro, and accumulated in the lung in response to PGD2 in vivo. Furthermore, mice deficient in CRTH2 exhibited reduced ILC2 responses and inflammation in a murine model of helminth-induced pulmonary type 2 inflammation. Critically, adoptive transfer of CRTH2-sufficient ILC2s restored pulmonary inflammation in CRTH2-deficient mice. Together, these data identify a role for the PGD2-CRTH2 pathway in regulating the in vivo accumulation of ILC2s and the development of type 2 inflammation in the lung.","container-title":"Mucosal Immunology","DOI":"10.1038/mi.2015.21","ISSN":"1935-3456","issue":"6","journalAbbreviation":"Mucosal Immunol","language":"eng","note":"PMID: 25850654\nPMCID: PMC4598246","page":"1313-1323","source":"PubMed","title":"The prostaglandin D</w:instrText>
      </w:r>
      <w:r w:rsidR="00B952B8">
        <w:rPr>
          <w:rFonts w:ascii="Cambria Math" w:hAnsi="Cambria Math" w:cs="Cambria Math"/>
          <w:color w:val="000000" w:themeColor="text1"/>
          <w:sz w:val="22"/>
          <w:szCs w:val="22"/>
        </w:rPr>
        <w:instrText>₂</w:instrText>
      </w:r>
      <w:r w:rsidR="00B952B8">
        <w:rPr>
          <w:rFonts w:ascii="Arial" w:hAnsi="Arial" w:cs="Arial"/>
          <w:color w:val="000000" w:themeColor="text1"/>
          <w:sz w:val="22"/>
          <w:szCs w:val="22"/>
        </w:rPr>
        <w:instrText xml:space="preserve"> receptor CRTH2 regulates accumulation of group 2 innate lymphoid cells in the inflamed lung","volume":"8","author":[{"family":"Wojno","given":"E. D. Tait"},{"family":"Monticelli","given":"L. A."},{"family":"Tran","given":"S. V."},{"family":"Alenghat","given":"T."},{"family":"Osborne","given":"L. C."},{"family":"Thome","given":"J. J."},{"family":"Willis","given":"C."},{"family":"Budelsky","given":"A."},{"family":"Farber","given":"D. L."},{"family":"Artis","given":"D."}],"issued":{"date-parts":[["2015",11]]}}}],"schema":"https://github.com/citation-style-language/schema/raw/master/csl-citation.json"} </w:instrText>
      </w:r>
      <w:r w:rsidR="00B952B8" w:rsidRPr="00726423">
        <w:rPr>
          <w:rFonts w:ascii="Arial" w:hAnsi="Arial" w:cs="Arial"/>
          <w:color w:val="000000" w:themeColor="text1"/>
          <w:sz w:val="22"/>
          <w:szCs w:val="22"/>
        </w:rPr>
        <w:fldChar w:fldCharType="separate"/>
      </w:r>
      <w:r w:rsidR="00B952B8" w:rsidRPr="00361359">
        <w:rPr>
          <w:rFonts w:ascii="Arial" w:hAnsi="Arial" w:cs="Arial"/>
          <w:color w:val="000000"/>
          <w:sz w:val="22"/>
          <w:vertAlign w:val="superscript"/>
        </w:rPr>
        <w:t>27</w:t>
      </w:r>
      <w:r w:rsidR="00B952B8" w:rsidRPr="00726423">
        <w:rPr>
          <w:rFonts w:ascii="Arial" w:hAnsi="Arial" w:cs="Arial"/>
          <w:color w:val="000000" w:themeColor="text1"/>
          <w:sz w:val="22"/>
          <w:szCs w:val="22"/>
        </w:rPr>
        <w:fldChar w:fldCharType="end"/>
      </w:r>
      <w:r w:rsidRPr="00726423">
        <w:rPr>
          <w:rFonts w:ascii="Arial" w:hAnsi="Arial" w:cs="Arial"/>
          <w:color w:val="000000" w:themeColor="text1"/>
          <w:sz w:val="22"/>
          <w:szCs w:val="22"/>
        </w:rPr>
        <w:t xml:space="preserve">. It has been suggested that CRTH2 mediates ILC2 recruitment to the lung when IL-33 is administered systemically (e.g., via intraperitoneal injection), but it has few effects on ILC2 migration to the lung if IL-33 is administered </w:t>
      </w:r>
      <w:r w:rsidRPr="00726423">
        <w:rPr>
          <w:rFonts w:ascii="Arial" w:hAnsi="Arial" w:cs="Arial"/>
          <w:color w:val="000000" w:themeColor="text1"/>
          <w:sz w:val="22"/>
          <w:szCs w:val="22"/>
        </w:rPr>
        <w:lastRenderedPageBreak/>
        <w:t>directly to the lung</w:t>
      </w:r>
      <w:r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{"citationID":"a266lfg6076","properties":{"formattedCitation":"\\super 13\\nosupersub{}","plainCitation":"13","noteIndex":0},"citationItems":[{"id":1718,"uris":["http://zotero.org/users/local/OCWppIAO/items/2HVRDNGQ"],"itemData":{"id":1718,"type":"article-journal","abstract":"Group 2 innate lymphoid cells (ILC2s) are rare innate immune cells that accumulate in tissues during allergy and helminth infection, performing critical effector functions that drive type 2 inflammation. ILC2s express ST2, the receptor for the cytokine IL-33, and chemoattractant receptor-homologous molecule expressed on Th2 cells (CRTH2), a receptor for the bioactive lipid prostaglandin D2 (PGD2). The IL-33-ST2 and the PGD2-CRTH2 pathways have both been implicated in promoting ILC2 accumulation during type 2 inflammation. However, whether these two pathways coordinate to regulate ILC2 population size in the tissue in vivo remains undefined. In this study, we show that ILC2 accumulation in the murine lung in response to systemic IL-33 treatment was partially dependent on CRTH2. This effect was not a result of reduced ILC2 proliferation, increased apoptosis or cell death, or differences in expression of the ST2 receptor in the absence of CRTH2. Rather, data from adoptive transfer studies suggested that defective accumulation of CRTH2-deficient ILC2s in response to IL-33 was due to altered ILC2 migration patterns. Whereas donor wild-type ILC2s preferentially accumulated in the lungs compared with CRTH2-deficient ILC2s following transfer into IL-33-treated recipients, wild-type and CRTH2-deficient ILC2s accumulated equally in the recipient mediastinal lymph node. These data suggest that CRTH2-dependent effects lie downstream of IL-33, directly affecting the migration of ILC2s into inflamed lung tissues. A better understanding of the complex interactions between the IL-33 and PGD2-CRTH2 pathways that regulate ILC2 population size will be useful in understanding how these pathways could be targeted to treat diseases associated with type 2 inflammation.","container-title":"Journal of Immunology (Baltimore, Md.: 1950)","DOI":"10.4049/jimmunol.1900745","ISSN":"1550-6606","issue":"4","journalAbbreviation":"J Immunol","language":"eng","note":"PMID: 31900341\nPMCID: PMC6994842","page":"1001-1011","source":"PubMed","title":"The Prostaglandin D2 Receptor CRTH2 Promotes IL-33-Induced ILC2 Accumulation in the Lung","volume":"204","author":[{"family":"Oyesola","given":"Oyebola O."},{"family":"Duque","given":"Carolina"},{"family":"Huang","given":"Linda C."},{"family":"Larson","given":"Elisabeth M."},{"family":"Früh","given":"Simon P."},{"family":"Webb","given":"Lauren M."},{"family":"Peng","given":"Seth A."},{"family":"Tait Wojno","given":"Elia D."}],"issued":{"date-parts":[["2020",2,15]]}}}],"schema":"https://github.com/citation-style-language/schema/raw/master/csl-citation.json"} </w:instrText>
      </w:r>
      <w:r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13</w:t>
      </w:r>
      <w:r w:rsidRPr="00726423">
        <w:rPr>
          <w:rFonts w:ascii="Arial" w:hAnsi="Arial" w:cs="Arial"/>
          <w:color w:val="000000" w:themeColor="text1"/>
          <w:sz w:val="22"/>
          <w:szCs w:val="22"/>
        </w:rPr>
        <w:fldChar w:fldCharType="end"/>
      </w:r>
      <w:r w:rsidRPr="00726423">
        <w:rPr>
          <w:rFonts w:ascii="Arial" w:hAnsi="Arial" w:cs="Arial"/>
          <w:color w:val="000000" w:themeColor="text1"/>
          <w:sz w:val="22"/>
          <w:szCs w:val="22"/>
        </w:rPr>
        <w:t xml:space="preserve">. In our studies, we intratracheally administered IL-33 into the lung, thus the enhancement of lung ILC2 responses by indomethacin is unlikely due to its activation of CRTH2, but possibly through inhibition of endogenous </w:t>
      </w:r>
      <w:proofErr w:type="spellStart"/>
      <w:r w:rsidRPr="00726423">
        <w:rPr>
          <w:rFonts w:ascii="Arial" w:hAnsi="Arial" w:cs="Arial"/>
          <w:color w:val="000000" w:themeColor="text1"/>
          <w:sz w:val="22"/>
          <w:szCs w:val="22"/>
        </w:rPr>
        <w:t>PGs.</w:t>
      </w:r>
      <w:proofErr w:type="spellEnd"/>
    </w:p>
    <w:p w14:paraId="19AF957B" w14:textId="77777777" w:rsidR="00DD32AB" w:rsidRPr="00726423" w:rsidRDefault="00DD32AB" w:rsidP="00AF01E8">
      <w:pPr>
        <w:spacing w:line="480" w:lineRule="auto"/>
        <w:jc w:val="both"/>
        <w:rPr>
          <w:rFonts w:ascii="Arial" w:hAnsi="Arial" w:cs="Arial"/>
          <w:color w:val="000000" w:themeColor="text1"/>
          <w:sz w:val="22"/>
          <w:szCs w:val="22"/>
        </w:rPr>
      </w:pPr>
    </w:p>
    <w:p w14:paraId="00065525" w14:textId="77777777" w:rsidR="00DD32AB" w:rsidRPr="00726423" w:rsidRDefault="00DD32AB" w:rsidP="00AF01E8">
      <w:pPr>
        <w:spacing w:line="480" w:lineRule="auto"/>
        <w:jc w:val="both"/>
        <w:rPr>
          <w:rFonts w:ascii="Arial" w:hAnsi="Arial" w:cs="Arial"/>
          <w:b/>
          <w:bCs/>
          <w:color w:val="000000" w:themeColor="text1"/>
          <w:sz w:val="22"/>
          <w:szCs w:val="22"/>
        </w:rPr>
      </w:pPr>
      <w:r w:rsidRPr="00726423">
        <w:rPr>
          <w:rFonts w:ascii="Arial" w:hAnsi="Arial" w:cs="Arial"/>
          <w:b/>
          <w:bCs/>
          <w:color w:val="000000" w:themeColor="text1"/>
          <w:sz w:val="22"/>
          <w:szCs w:val="22"/>
        </w:rPr>
        <w:t>EP2 deficiency enhanced on IL-33-induced lung ILC2 responses.</w:t>
      </w:r>
    </w:p>
    <w:p w14:paraId="0DFD2E88" w14:textId="00C59558" w:rsidR="00DD32AB" w:rsidRPr="00726423" w:rsidRDefault="00A1192B" w:rsidP="00AF01E8">
      <w:pPr>
        <w:spacing w:line="480" w:lineRule="auto"/>
        <w:jc w:val="both"/>
        <w:rPr>
          <w:rFonts w:ascii="Arial" w:hAnsi="Arial" w:cs="Arial"/>
          <w:color w:val="000000" w:themeColor="text1"/>
          <w:sz w:val="22"/>
          <w:szCs w:val="22"/>
        </w:rPr>
      </w:pPr>
      <w:r w:rsidRPr="00726423">
        <w:rPr>
          <w:rFonts w:ascii="Arial" w:hAnsi="Arial" w:cs="Arial"/>
          <w:color w:val="000000" w:themeColor="text1"/>
          <w:sz w:val="22"/>
          <w:szCs w:val="22"/>
        </w:rPr>
        <w:t>As indomethacin inhibits biosynthesis of all PGs</w:t>
      </w:r>
      <w:r w:rsidR="00DD32AB" w:rsidRPr="00726423">
        <w:rPr>
          <w:rFonts w:ascii="Arial" w:hAnsi="Arial" w:cs="Arial"/>
          <w:color w:val="000000" w:themeColor="text1"/>
          <w:sz w:val="22"/>
          <w:szCs w:val="22"/>
        </w:rPr>
        <w:t xml:space="preserve">, we examined whether </w:t>
      </w:r>
      <w:r w:rsidRPr="00726423">
        <w:rPr>
          <w:rFonts w:ascii="Arial" w:hAnsi="Arial" w:cs="Arial"/>
          <w:color w:val="000000" w:themeColor="text1"/>
          <w:sz w:val="22"/>
          <w:szCs w:val="22"/>
        </w:rPr>
        <w:t>PGE</w:t>
      </w:r>
      <w:r w:rsidRPr="00726423">
        <w:rPr>
          <w:rFonts w:ascii="Arial" w:hAnsi="Arial" w:cs="Arial"/>
          <w:color w:val="000000" w:themeColor="text1"/>
          <w:sz w:val="22"/>
          <w:szCs w:val="22"/>
          <w:vertAlign w:val="subscript"/>
        </w:rPr>
        <w:t>2</w:t>
      </w:r>
      <w:r w:rsidRPr="00726423">
        <w:rPr>
          <w:rFonts w:ascii="Arial" w:hAnsi="Arial" w:cs="Arial"/>
          <w:color w:val="000000" w:themeColor="text1"/>
          <w:sz w:val="22"/>
          <w:szCs w:val="22"/>
        </w:rPr>
        <w:t xml:space="preserve"> is involved in regulation of lung ILC2 responses, and if yes, through which receptor? </w:t>
      </w:r>
      <w:r w:rsidR="00A462F5" w:rsidRPr="00726423">
        <w:rPr>
          <w:rFonts w:ascii="Arial" w:hAnsi="Arial" w:cs="Arial"/>
          <w:color w:val="000000" w:themeColor="text1"/>
          <w:sz w:val="22"/>
          <w:szCs w:val="22"/>
        </w:rPr>
        <w:t>We examined published datasets</w:t>
      </w:r>
      <w:r w:rsidR="00A462F5" w:rsidRPr="00726423">
        <w:rPr>
          <w:rFonts w:ascii="Arial" w:hAnsi="Arial" w:cs="Arial"/>
          <w:color w:val="000000" w:themeColor="text1"/>
          <w:sz w:val="22"/>
          <w:szCs w:val="22"/>
          <w:vertAlign w:val="superscript"/>
        </w:rPr>
        <w:fldChar w:fldCharType="begin"/>
      </w:r>
      <w:r w:rsidR="00361359">
        <w:rPr>
          <w:rFonts w:ascii="Arial" w:hAnsi="Arial" w:cs="Arial"/>
          <w:color w:val="000000" w:themeColor="text1"/>
          <w:sz w:val="22"/>
          <w:szCs w:val="22"/>
          <w:vertAlign w:val="superscript"/>
        </w:rPr>
        <w:instrText xml:space="preserve"> ADDIN ZOTERO_ITEM CSL_CITATION {"citationID":"a292p9mj8o3","properties":{"formattedCitation":"\\super 28\\nosupersub{}","plainCitation":"28","noteIndex":0},"citationItems":[{"id":1712,"uris":["http://zotero.org/users/local/OCWppIAO/items/2PAKS68J"],"itemData":{"id":1712,"type":"article-journal","abstract":"Group 2 innate lymphoid cells (ILC2s) are distributed systemically and produce type 2 cytokines in response to a variety of stimuli, including the epithelial cytokines interleukin (IL)-25, IL-33, and thymic stromal lymphopoietin (TSLP). Transcriptional profiling of ILC2s from different tissues, however, grouped ILC2s according to their tissue of origin, even in the setting of combined IL-25-, IL-33-receptor-, and TSLP-receptor-deficiency. Single-cell profiling confirmed a tissue-organizing transcriptome and identified ILC2 subsets expressing distinct activating receptors, including the major subset of skin ILC2s, which were activated preferentially by IL-18. Tissue ILC2 subsets were unaltered in number and expression in germ-free mice, suggesting that endogenous, tissue-derived signals drive the maturation of ILC2 subsets by controlling expression of distinct patterns of activating receptors, thus anticipating tissue-specific perturbations occurring later in life.","container-title":"Nature Immunology","DOI":"10.1038/s41590-018-0201-4","ISSN":"1529-2916","issue":"10","journalAbbreviation":"Nat Immunol","language":"eng","note":"PMID: 30201992\nPMCID: PMC6202223","page":"1093-1099","source":"PubMed","title":"Tissue signals imprint ILC2 identity with anticipatory function","volume":"19","author":[{"family":"Ricardo-Gonzalez","given":"Roberto R."},{"family":"Van Dyken","given":"Steven J."},{"family":"Schneider","given":"Christoph"},{"family":"Lee","given":"Jinwoo"},{"family":"Nussbaum","given":"Jesse C."},{"family":"Liang","given":"Hong-Erh"},{"family":"Vaka","given":"Dedeepya"},{"family":"Eckalbar","given":"Walter L."},{"family":"Molofsky","given":"Ari B."},{"family":"Erle","given":"David J."},{"family":"Locksley","given":"Richard M."}],"issued":{"date-parts":[["2018",10]]}}}],"schema":"https://github.com/citation-style-language/schema/raw/master/csl-citation.json"} </w:instrText>
      </w:r>
      <w:r w:rsidR="00A462F5" w:rsidRPr="00726423">
        <w:rPr>
          <w:rFonts w:ascii="Arial" w:hAnsi="Arial" w:cs="Arial"/>
          <w:color w:val="000000" w:themeColor="text1"/>
          <w:sz w:val="22"/>
          <w:szCs w:val="22"/>
          <w:vertAlign w:val="superscript"/>
        </w:rPr>
        <w:fldChar w:fldCharType="separate"/>
      </w:r>
      <w:r w:rsidR="00361359" w:rsidRPr="00361359">
        <w:rPr>
          <w:rFonts w:ascii="Arial" w:hAnsi="Arial" w:cs="Arial"/>
          <w:color w:val="000000"/>
          <w:sz w:val="22"/>
          <w:vertAlign w:val="superscript"/>
        </w:rPr>
        <w:t>28</w:t>
      </w:r>
      <w:r w:rsidR="00A462F5" w:rsidRPr="00726423">
        <w:rPr>
          <w:rFonts w:ascii="Arial" w:hAnsi="Arial" w:cs="Arial"/>
          <w:color w:val="000000" w:themeColor="text1"/>
          <w:sz w:val="22"/>
          <w:szCs w:val="22"/>
          <w:vertAlign w:val="superscript"/>
        </w:rPr>
        <w:fldChar w:fldCharType="end"/>
      </w:r>
      <w:r w:rsidR="00A462F5" w:rsidRPr="00726423">
        <w:rPr>
          <w:rFonts w:ascii="Arial" w:hAnsi="Arial" w:cs="Arial"/>
          <w:color w:val="000000" w:themeColor="text1"/>
          <w:sz w:val="22"/>
          <w:szCs w:val="22"/>
        </w:rPr>
        <w:t xml:space="preserve"> and found that ILC2s isolated from various tissues including lung, bone marrow, skin and intestine have considerably higher gene expression of EP4, followed by EP2 and EP1, and that EP3 has much lower expression levels in ILC2s (</w:t>
      </w:r>
      <w:r w:rsidR="00A462F5" w:rsidRPr="00726423">
        <w:rPr>
          <w:rFonts w:ascii="Arial" w:hAnsi="Arial" w:cs="Arial"/>
          <w:b/>
          <w:bCs/>
          <w:color w:val="000000" w:themeColor="text1"/>
          <w:sz w:val="22"/>
          <w:szCs w:val="22"/>
        </w:rPr>
        <w:t>Fig S1</w:t>
      </w:r>
      <w:r w:rsidR="00A462F5" w:rsidRPr="00726423">
        <w:rPr>
          <w:rFonts w:ascii="Arial" w:hAnsi="Arial" w:cs="Arial"/>
          <w:color w:val="000000" w:themeColor="text1"/>
          <w:sz w:val="22"/>
          <w:szCs w:val="22"/>
        </w:rPr>
        <w:t xml:space="preserve">). </w:t>
      </w:r>
      <w:r w:rsidRPr="00726423">
        <w:rPr>
          <w:rFonts w:ascii="Arial" w:hAnsi="Arial" w:cs="Arial"/>
          <w:color w:val="000000" w:themeColor="text1"/>
          <w:sz w:val="22"/>
          <w:szCs w:val="22"/>
        </w:rPr>
        <w:t xml:space="preserve">We first asked whether </w:t>
      </w:r>
      <w:r w:rsidR="00DD32AB" w:rsidRPr="00726423">
        <w:rPr>
          <w:rFonts w:ascii="Arial" w:hAnsi="Arial" w:cs="Arial"/>
          <w:color w:val="000000" w:themeColor="text1"/>
          <w:sz w:val="22"/>
          <w:szCs w:val="22"/>
        </w:rPr>
        <w:t>blockade of endogenous PGE</w:t>
      </w:r>
      <w:r w:rsidR="00DD32AB" w:rsidRPr="00726423">
        <w:rPr>
          <w:rFonts w:ascii="Arial" w:hAnsi="Arial" w:cs="Arial"/>
          <w:color w:val="000000" w:themeColor="text1"/>
          <w:sz w:val="22"/>
          <w:szCs w:val="22"/>
          <w:vertAlign w:val="subscript"/>
        </w:rPr>
        <w:t>2</w:t>
      </w:r>
      <w:r w:rsidR="00DD32AB" w:rsidRPr="00726423">
        <w:rPr>
          <w:rFonts w:ascii="Arial" w:hAnsi="Arial" w:cs="Arial"/>
          <w:color w:val="000000" w:themeColor="text1"/>
          <w:sz w:val="22"/>
          <w:szCs w:val="22"/>
        </w:rPr>
        <w:t xml:space="preserve"> </w:t>
      </w:r>
      <w:proofErr w:type="spellStart"/>
      <w:r w:rsidR="00134A78" w:rsidRPr="00726423">
        <w:rPr>
          <w:rFonts w:ascii="Arial" w:hAnsi="Arial" w:cs="Arial"/>
          <w:color w:val="000000" w:themeColor="text1"/>
          <w:sz w:val="22"/>
          <w:szCs w:val="22"/>
        </w:rPr>
        <w:t>signaling</w:t>
      </w:r>
      <w:proofErr w:type="spellEnd"/>
      <w:r w:rsidR="00DD32AB" w:rsidRPr="00726423">
        <w:rPr>
          <w:rFonts w:ascii="Arial" w:hAnsi="Arial" w:cs="Arial"/>
          <w:color w:val="000000" w:themeColor="text1"/>
          <w:sz w:val="22"/>
          <w:szCs w:val="22"/>
        </w:rPr>
        <w:t xml:space="preserve"> via the EP2 receptor influenced lung ILC2 responses. We injected IL-33 into the lungs of EP2-deficient</w:t>
      </w:r>
      <w:r w:rsidR="00DD32AB"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{"citationID":"a2d1bb8mlvn","properties":{"formattedCitation":"\\super 29\\nosupersub{}","plainCitation":"29","noteIndex":0},"citationItems":[{"id":1819,"uris":["http://zotero.org/users/local/OCWppIAO/items/4MI4ML9N"],"itemData":{"id":1819,"type":"article-journal","abstract":"Female mice lacking the gene encoding the prostaglandin (PG) E(2) receptor subtype EP(2) (EP(2)(-/-)) become pregnant and deliver their pups at term, but with a much reduced litter size. A decrease in ovulation number and a much reduced fertilization rate were observed in EP(2)(-/-) females without difference of the uterus to support implantation of wild-type embryos. Treatment with gonadotropins induced EP(2) mRNA expression in the cumulus cells of ovarian follicles of wild-type mice. The immature cumuli oophori from wild-type mice expanded in vitro in response to both follicle-stimulating hormone and PGE(2), but the response to PGE(2) was absent in those from EP(2)(-/-) mice. Cumulus expansion proceeded normally in preovulatory follicles but became abortive in a number of ovulated complexes in EP(2)(-/-) mice, indicating that EP(2) is involved in cumulus expansion in the oviduct in vivo. No difference in the fertilization rate between wild-type and EP(2)(-/-) mice was found in in vitro studies using cumulus-free oocytes. These results indicate that PGE(2) cooperates with gonadotropin to complete cumulus expansion for successful fertilization.","container-title":"Proceedings of the National Academy of Sciences of the United States of America","DOI":"10.1073/pnas.96.18.10501","ISSN":"0027-8424","issue":"18","journalAbbreviation":"Proc Natl Acad Sci U S A","language":"eng","note":"PMID: 10468638\nPMCID: PMC17918","page":"10501-10506","source":"PubMed","title":"Abortive expansion of the cumulus and impaired fertility in mice lacking the prostaglandin E receptor subtype EP(2)","volume":"96","author":[{"family":"Hizaki","given":"H."},{"family":"Segi","given":"E."},{"family":"Sugimoto","given":"Y."},{"family":"Hirose","given":"M."},{"family":"Saji","given":"T."},{"family":"Ushikubi","given":"F."},{"family":"Matsuoka","given":"T."},{"family":"Noda","given":"Y."},{"family":"Tanaka","given":"T."},{"family":"Yoshida","given":"N."},{"family":"Narumiya","given":"S."},{"family":"Ichikawa","given":"A."}],"issued":{"date-parts":[["1999",8,31]]}}}],"schema":"https://github.com/citation-style-language/schema/raw/master/csl-citation.json"} </w:instrText>
      </w:r>
      <w:r w:rsidR="00DD32AB"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29</w:t>
      </w:r>
      <w:r w:rsidR="00DD32AB" w:rsidRPr="00726423">
        <w:rPr>
          <w:rFonts w:ascii="Arial" w:hAnsi="Arial" w:cs="Arial"/>
          <w:color w:val="000000" w:themeColor="text1"/>
          <w:sz w:val="22"/>
          <w:szCs w:val="22"/>
        </w:rPr>
        <w:fldChar w:fldCharType="end"/>
      </w:r>
      <w:r w:rsidR="00DD32AB" w:rsidRPr="00726423">
        <w:rPr>
          <w:rFonts w:ascii="Arial" w:hAnsi="Arial" w:cs="Arial"/>
          <w:color w:val="000000" w:themeColor="text1"/>
          <w:sz w:val="22"/>
          <w:szCs w:val="22"/>
        </w:rPr>
        <w:t xml:space="preserve"> or control mice and measured lung ILC2 activation. As expected, EP2-deficiency increased lung ILC2 accumulation and production of type 2 cytokines (IL-5 and IL-13) in response to IL-33 (</w:t>
      </w:r>
      <w:r w:rsidR="00DD32AB" w:rsidRPr="00726423">
        <w:rPr>
          <w:rFonts w:ascii="Arial" w:hAnsi="Arial" w:cs="Arial"/>
          <w:b/>
          <w:bCs/>
          <w:color w:val="000000" w:themeColor="text1"/>
          <w:sz w:val="22"/>
          <w:szCs w:val="22"/>
        </w:rPr>
        <w:t xml:space="preserve">Fig </w:t>
      </w:r>
      <w:r w:rsidR="00147816" w:rsidRPr="00726423">
        <w:rPr>
          <w:rFonts w:ascii="Arial" w:hAnsi="Arial" w:cs="Arial"/>
          <w:b/>
          <w:bCs/>
          <w:color w:val="000000" w:themeColor="text1"/>
          <w:sz w:val="22"/>
          <w:szCs w:val="22"/>
        </w:rPr>
        <w:t>1</w:t>
      </w:r>
      <w:proofErr w:type="gramStart"/>
      <w:r w:rsidR="00DD32AB" w:rsidRPr="00726423">
        <w:rPr>
          <w:rFonts w:ascii="Arial" w:hAnsi="Arial" w:cs="Arial"/>
          <w:b/>
          <w:bCs/>
          <w:color w:val="000000" w:themeColor="text1"/>
          <w:sz w:val="22"/>
          <w:szCs w:val="22"/>
        </w:rPr>
        <w:t>C,D</w:t>
      </w:r>
      <w:proofErr w:type="gramEnd"/>
      <w:r w:rsidR="00DD32AB" w:rsidRPr="00726423">
        <w:rPr>
          <w:rFonts w:ascii="Arial" w:hAnsi="Arial" w:cs="Arial"/>
          <w:color w:val="000000" w:themeColor="text1"/>
          <w:sz w:val="22"/>
          <w:szCs w:val="22"/>
        </w:rPr>
        <w:t>). EP2 deficiency also increased lung Lin</w:t>
      </w:r>
      <w:r w:rsidR="00DD32AB" w:rsidRPr="00726423">
        <w:rPr>
          <w:rFonts w:ascii="Arial" w:hAnsi="Arial" w:cs="Arial"/>
          <w:color w:val="000000" w:themeColor="text1"/>
          <w:sz w:val="22"/>
          <w:szCs w:val="22"/>
          <w:vertAlign w:val="superscript"/>
        </w:rPr>
        <w:t>+</w:t>
      </w:r>
      <w:r w:rsidR="00DD32AB" w:rsidRPr="00726423">
        <w:rPr>
          <w:rFonts w:ascii="Arial" w:hAnsi="Arial" w:cs="Arial"/>
          <w:color w:val="000000" w:themeColor="text1"/>
          <w:sz w:val="22"/>
          <w:szCs w:val="22"/>
        </w:rPr>
        <w:t>CD90.2</w:t>
      </w:r>
      <w:r w:rsidR="00DD32AB" w:rsidRPr="00726423">
        <w:rPr>
          <w:rFonts w:ascii="Arial" w:hAnsi="Arial" w:cs="Arial"/>
          <w:color w:val="000000" w:themeColor="text1"/>
          <w:sz w:val="22"/>
          <w:szCs w:val="22"/>
          <w:vertAlign w:val="superscript"/>
        </w:rPr>
        <w:t>+</w:t>
      </w:r>
      <w:r w:rsidR="00DD32AB" w:rsidRPr="00726423">
        <w:rPr>
          <w:rFonts w:ascii="Arial" w:hAnsi="Arial" w:cs="Arial"/>
          <w:color w:val="000000" w:themeColor="text1"/>
          <w:sz w:val="22"/>
          <w:szCs w:val="22"/>
        </w:rPr>
        <w:t>ST2</w:t>
      </w:r>
      <w:r w:rsidR="00DD32AB" w:rsidRPr="00726423">
        <w:rPr>
          <w:rFonts w:ascii="Arial" w:hAnsi="Arial" w:cs="Arial"/>
          <w:color w:val="000000" w:themeColor="text1"/>
          <w:sz w:val="22"/>
          <w:szCs w:val="22"/>
          <w:vertAlign w:val="superscript"/>
        </w:rPr>
        <w:t>+</w:t>
      </w:r>
      <w:r w:rsidR="00DD32AB" w:rsidRPr="00726423">
        <w:rPr>
          <w:rFonts w:ascii="Arial" w:hAnsi="Arial" w:cs="Arial"/>
          <w:color w:val="000000" w:themeColor="text1"/>
          <w:sz w:val="22"/>
          <w:szCs w:val="22"/>
        </w:rPr>
        <w:t xml:space="preserve"> T cells, but type 2 cytokine production from T cells was not significantly affected by loss of EP2 (</w:t>
      </w:r>
      <w:r w:rsidR="00DD32AB" w:rsidRPr="00726423">
        <w:rPr>
          <w:rFonts w:ascii="Arial" w:hAnsi="Arial" w:cs="Arial"/>
          <w:b/>
          <w:bCs/>
          <w:color w:val="000000" w:themeColor="text1"/>
          <w:sz w:val="22"/>
          <w:szCs w:val="22"/>
        </w:rPr>
        <w:t xml:space="preserve">Fig </w:t>
      </w:r>
      <w:r w:rsidR="00147816" w:rsidRPr="00726423">
        <w:rPr>
          <w:rFonts w:ascii="Arial" w:hAnsi="Arial" w:cs="Arial"/>
          <w:b/>
          <w:bCs/>
          <w:color w:val="000000" w:themeColor="text1"/>
          <w:sz w:val="22"/>
          <w:szCs w:val="22"/>
        </w:rPr>
        <w:t>1</w:t>
      </w:r>
      <w:proofErr w:type="gramStart"/>
      <w:r w:rsidR="00DD32AB" w:rsidRPr="00726423">
        <w:rPr>
          <w:rFonts w:ascii="Arial" w:hAnsi="Arial" w:cs="Arial"/>
          <w:b/>
          <w:bCs/>
          <w:color w:val="000000" w:themeColor="text1"/>
          <w:sz w:val="22"/>
          <w:szCs w:val="22"/>
        </w:rPr>
        <w:t>C,D</w:t>
      </w:r>
      <w:proofErr w:type="gramEnd"/>
      <w:r w:rsidR="00DD32AB" w:rsidRPr="00726423">
        <w:rPr>
          <w:rFonts w:ascii="Arial" w:hAnsi="Arial" w:cs="Arial"/>
          <w:color w:val="000000" w:themeColor="text1"/>
          <w:sz w:val="22"/>
          <w:szCs w:val="22"/>
        </w:rPr>
        <w:t>). In agreement with the increase in ILC2s, EP2 deficient mice had more eosinophils after IL-33 treatment (</w:t>
      </w:r>
      <w:r w:rsidR="00DD32AB" w:rsidRPr="00726423">
        <w:rPr>
          <w:rFonts w:ascii="Arial" w:hAnsi="Arial" w:cs="Arial"/>
          <w:b/>
          <w:bCs/>
          <w:color w:val="000000" w:themeColor="text1"/>
          <w:sz w:val="22"/>
          <w:szCs w:val="22"/>
        </w:rPr>
        <w:t xml:space="preserve">Fig </w:t>
      </w:r>
      <w:r w:rsidR="00147816" w:rsidRPr="00726423">
        <w:rPr>
          <w:rFonts w:ascii="Arial" w:hAnsi="Arial" w:cs="Arial"/>
          <w:b/>
          <w:bCs/>
          <w:color w:val="000000" w:themeColor="text1"/>
          <w:sz w:val="22"/>
          <w:szCs w:val="22"/>
        </w:rPr>
        <w:t>1</w:t>
      </w:r>
      <w:r w:rsidR="00DD32AB" w:rsidRPr="00726423">
        <w:rPr>
          <w:rFonts w:ascii="Arial" w:hAnsi="Arial" w:cs="Arial"/>
          <w:b/>
          <w:bCs/>
          <w:color w:val="000000" w:themeColor="text1"/>
          <w:sz w:val="22"/>
          <w:szCs w:val="22"/>
        </w:rPr>
        <w:t>E</w:t>
      </w:r>
      <w:r w:rsidR="00DD32AB" w:rsidRPr="00726423">
        <w:rPr>
          <w:rFonts w:ascii="Arial" w:hAnsi="Arial" w:cs="Arial"/>
          <w:color w:val="000000" w:themeColor="text1"/>
          <w:sz w:val="22"/>
          <w:szCs w:val="22"/>
        </w:rPr>
        <w:t>). Our data suggest that endogenous PGE</w:t>
      </w:r>
      <w:r w:rsidR="00DD32AB" w:rsidRPr="00726423">
        <w:rPr>
          <w:rFonts w:ascii="Arial" w:hAnsi="Arial" w:cs="Arial"/>
          <w:color w:val="000000" w:themeColor="text1"/>
          <w:sz w:val="22"/>
          <w:szCs w:val="22"/>
          <w:vertAlign w:val="subscript"/>
        </w:rPr>
        <w:t>2</w:t>
      </w:r>
      <w:r w:rsidR="00DD32AB" w:rsidRPr="00726423">
        <w:rPr>
          <w:rFonts w:ascii="Arial" w:hAnsi="Arial" w:cs="Arial"/>
          <w:color w:val="000000" w:themeColor="text1"/>
          <w:sz w:val="22"/>
          <w:szCs w:val="22"/>
        </w:rPr>
        <w:t xml:space="preserve">-EP2 </w:t>
      </w:r>
      <w:proofErr w:type="spellStart"/>
      <w:r w:rsidR="00134A78" w:rsidRPr="00726423">
        <w:rPr>
          <w:rFonts w:ascii="Arial" w:hAnsi="Arial" w:cs="Arial"/>
          <w:color w:val="000000" w:themeColor="text1"/>
          <w:sz w:val="22"/>
          <w:szCs w:val="22"/>
        </w:rPr>
        <w:t>signaling</w:t>
      </w:r>
      <w:proofErr w:type="spellEnd"/>
      <w:r w:rsidR="00DD32AB" w:rsidRPr="00726423">
        <w:rPr>
          <w:rFonts w:ascii="Arial" w:hAnsi="Arial" w:cs="Arial"/>
          <w:color w:val="000000" w:themeColor="text1"/>
          <w:sz w:val="22"/>
          <w:szCs w:val="22"/>
        </w:rPr>
        <w:t xml:space="preserve"> restricts IL-33-dependent lung ILC2 responses.</w:t>
      </w:r>
    </w:p>
    <w:p w14:paraId="44EED2D3" w14:textId="77777777" w:rsidR="00DD32AB" w:rsidRPr="00726423" w:rsidRDefault="00DD32AB" w:rsidP="00AF01E8">
      <w:pPr>
        <w:spacing w:line="480" w:lineRule="auto"/>
        <w:jc w:val="both"/>
        <w:rPr>
          <w:rFonts w:ascii="Arial" w:hAnsi="Arial" w:cs="Arial"/>
          <w:color w:val="000000" w:themeColor="text1"/>
          <w:sz w:val="22"/>
          <w:szCs w:val="22"/>
        </w:rPr>
      </w:pPr>
    </w:p>
    <w:p w14:paraId="191AD1B9" w14:textId="77777777" w:rsidR="00DD32AB" w:rsidRPr="00726423" w:rsidRDefault="00DD32AB" w:rsidP="00AF01E8">
      <w:pPr>
        <w:spacing w:line="480" w:lineRule="auto"/>
        <w:jc w:val="both"/>
        <w:rPr>
          <w:rFonts w:ascii="Arial" w:hAnsi="Arial" w:cs="Arial"/>
          <w:b/>
          <w:bCs/>
          <w:color w:val="000000" w:themeColor="text1"/>
          <w:sz w:val="22"/>
          <w:szCs w:val="22"/>
        </w:rPr>
      </w:pPr>
      <w:r w:rsidRPr="00726423">
        <w:rPr>
          <w:rFonts w:ascii="Arial" w:hAnsi="Arial" w:cs="Arial"/>
          <w:b/>
          <w:bCs/>
          <w:color w:val="000000" w:themeColor="text1"/>
          <w:sz w:val="22"/>
          <w:szCs w:val="22"/>
        </w:rPr>
        <w:t>EP4 deficiency does not affect IL-33-induced lung ILC2 responses.</w:t>
      </w:r>
    </w:p>
    <w:p w14:paraId="34EC6B24" w14:textId="24DC5A7B" w:rsidR="00DD32AB" w:rsidRPr="00726423" w:rsidRDefault="00DD32AB" w:rsidP="00AF01E8">
      <w:pPr>
        <w:spacing w:line="480" w:lineRule="auto"/>
        <w:jc w:val="both"/>
        <w:rPr>
          <w:rFonts w:ascii="Arial" w:hAnsi="Arial" w:cs="Arial"/>
          <w:color w:val="000000" w:themeColor="text1"/>
          <w:sz w:val="22"/>
          <w:szCs w:val="22"/>
        </w:rPr>
      </w:pPr>
      <w:r w:rsidRPr="00726423">
        <w:rPr>
          <w:rFonts w:ascii="Arial" w:hAnsi="Arial" w:cs="Arial"/>
          <w:color w:val="000000" w:themeColor="text1"/>
          <w:sz w:val="22"/>
          <w:szCs w:val="22"/>
        </w:rPr>
        <w:t xml:space="preserve">To test whether deleting EP4 </w:t>
      </w:r>
      <w:proofErr w:type="spellStart"/>
      <w:r w:rsidRPr="00726423">
        <w:rPr>
          <w:rFonts w:ascii="Arial" w:hAnsi="Arial" w:cs="Arial"/>
          <w:color w:val="000000" w:themeColor="text1"/>
          <w:sz w:val="22"/>
          <w:szCs w:val="22"/>
        </w:rPr>
        <w:t>signaling</w:t>
      </w:r>
      <w:proofErr w:type="spellEnd"/>
      <w:r w:rsidRPr="00726423">
        <w:rPr>
          <w:rFonts w:ascii="Arial" w:hAnsi="Arial" w:cs="Arial"/>
          <w:color w:val="000000" w:themeColor="text1"/>
          <w:sz w:val="22"/>
          <w:szCs w:val="22"/>
        </w:rPr>
        <w:t xml:space="preserve"> modulates lung ILC2 responses, we administered IL-33 to global EP4-deficient </w:t>
      </w:r>
      <w:r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{"citationID":"a20cjrsju6o","properties":{"formattedCitation":"\\super 30\\nosupersub{}","plainCitation":"30","noteIndex":0},"citationItems":[{"id":1702,"uris":["http://zotero.org/users/local/OCWppIAO/items/D7ZTNXAL"],"itemData":{"id":1702,"type":"article-journal","abstract":"The physiological role of the prostaglandin E2 receptor EP4 subtype was investigated by generation of EP4-deficient-mice by gene targeting. Loss of the EP4 receptor was not lethal in utero, but most EP4 (-/-) neonates became pale and lethargic approximately 24 h after birth and died within 72 h. Less than 5% of the EP4 (-/-) mice survived and grew normally more than a year. Histological examination revealed that the ductus arteriosus in dead neonates remained open, while it was partially closed in the survivors. In situ hybridization study showed that EP4 mRNA was strongly expressed in the ductus. These results suggest that neonatal death is at least partly due to patent ductus arteriosus and that the EP4 receptor plays a role in regulation of the patency of this vessel. They also indicate that normal function of the EP4 receptor is essential in neonatal adaptation of the circulatory system.","container-title":"Biochemical and Biophysical Research Communications","DOI":"10.1006/bbrc.1998.8461","ISSN":"0006-291X","issue":"1","journalAbbreviation":"Biochem Biophys Res Commun","language":"eng","note":"PMID: 9600059","page":"7-12","source":"PubMed","title":"Patent ductus arteriosus and neonatal death in prostaglandin receptor EP4-deficient mice","volume":"246","author":[{"family":"Segi","given":"E."},{"family":"Sugimoto","given":"Y."},{"family":"Yamasaki","given":"A."},{"family":"Aze","given":"Y."},{"family":"Oida","given":"H."},{"family":"Nishimura","given":"T."},{"family":"Murata","given":"T."},{"family":"Matsuoka","given":"T."},{"family":"Ushikubi","given":"F."},{"family":"Hirose","given":"M."},{"family":"Tanaka","given":"T."},{"family":"Yoshida","given":"N."},{"family":"Narumiya","given":"S."},{"family":"Ichikawa","given":"A."}],"issued":{"date-parts":[["1998",5,8]]}}}],"schema":"https://github.com/citation-style-language/schema/raw/master/csl-citation.json"} </w:instrText>
      </w:r>
      <w:r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30</w:t>
      </w:r>
      <w:r w:rsidRPr="00726423">
        <w:rPr>
          <w:rFonts w:ascii="Arial" w:hAnsi="Arial" w:cs="Arial"/>
          <w:color w:val="000000" w:themeColor="text1"/>
          <w:sz w:val="22"/>
          <w:szCs w:val="22"/>
        </w:rPr>
        <w:fldChar w:fldCharType="end"/>
      </w:r>
      <w:r w:rsidRPr="00726423">
        <w:rPr>
          <w:rFonts w:ascii="Arial" w:hAnsi="Arial" w:cs="Arial"/>
          <w:color w:val="000000" w:themeColor="text1"/>
          <w:sz w:val="22"/>
          <w:szCs w:val="22"/>
        </w:rPr>
        <w:t xml:space="preserve"> and control mice. Unexpectedly, EP4 deficiency did not enhance ILC2 accumulation in the lung but reduced type 2 cytokine expression from lung ILC2s compared to WT and heterozygous control mice (</w:t>
      </w:r>
      <w:r w:rsidRPr="00726423">
        <w:rPr>
          <w:rFonts w:ascii="Arial" w:hAnsi="Arial" w:cs="Arial"/>
          <w:b/>
          <w:bCs/>
          <w:color w:val="000000" w:themeColor="text1"/>
          <w:sz w:val="22"/>
          <w:szCs w:val="22"/>
        </w:rPr>
        <w:t xml:space="preserve">Fig </w:t>
      </w:r>
      <w:r w:rsidR="00147816" w:rsidRPr="00726423">
        <w:rPr>
          <w:rFonts w:ascii="Arial" w:hAnsi="Arial" w:cs="Arial"/>
          <w:b/>
          <w:bCs/>
          <w:color w:val="000000" w:themeColor="text1"/>
          <w:sz w:val="22"/>
          <w:szCs w:val="22"/>
        </w:rPr>
        <w:t>2</w:t>
      </w:r>
      <w:proofErr w:type="gramStart"/>
      <w:r w:rsidRPr="00726423">
        <w:rPr>
          <w:rFonts w:ascii="Arial" w:hAnsi="Arial" w:cs="Arial"/>
          <w:b/>
          <w:bCs/>
          <w:color w:val="000000" w:themeColor="text1"/>
          <w:sz w:val="22"/>
          <w:szCs w:val="22"/>
        </w:rPr>
        <w:t>A,B</w:t>
      </w:r>
      <w:proofErr w:type="gramEnd"/>
      <w:r w:rsidRPr="00726423">
        <w:rPr>
          <w:rFonts w:ascii="Arial" w:hAnsi="Arial" w:cs="Arial"/>
          <w:color w:val="000000" w:themeColor="text1"/>
          <w:sz w:val="22"/>
          <w:szCs w:val="22"/>
        </w:rPr>
        <w:t>). Global EP4 deficiency also did not increase eosinophils in the lung (</w:t>
      </w:r>
      <w:r w:rsidRPr="00726423">
        <w:rPr>
          <w:rFonts w:ascii="Arial" w:hAnsi="Arial" w:cs="Arial"/>
          <w:b/>
          <w:bCs/>
          <w:color w:val="000000" w:themeColor="text1"/>
          <w:sz w:val="22"/>
          <w:szCs w:val="22"/>
        </w:rPr>
        <w:t xml:space="preserve">Fig </w:t>
      </w:r>
      <w:r w:rsidR="00147816" w:rsidRPr="00726423">
        <w:rPr>
          <w:rFonts w:ascii="Arial" w:hAnsi="Arial" w:cs="Arial"/>
          <w:b/>
          <w:bCs/>
          <w:color w:val="000000" w:themeColor="text1"/>
          <w:sz w:val="22"/>
          <w:szCs w:val="22"/>
        </w:rPr>
        <w:t>2</w:t>
      </w:r>
      <w:r w:rsidRPr="00726423">
        <w:rPr>
          <w:rFonts w:ascii="Arial" w:hAnsi="Arial" w:cs="Arial"/>
          <w:b/>
          <w:bCs/>
          <w:color w:val="000000" w:themeColor="text1"/>
          <w:sz w:val="22"/>
          <w:szCs w:val="22"/>
        </w:rPr>
        <w:t>C</w:t>
      </w:r>
      <w:r w:rsidRPr="00726423">
        <w:rPr>
          <w:rFonts w:ascii="Arial" w:hAnsi="Arial" w:cs="Arial"/>
          <w:color w:val="000000" w:themeColor="text1"/>
          <w:sz w:val="22"/>
          <w:szCs w:val="22"/>
        </w:rPr>
        <w:t xml:space="preserve">). Thus, we then investigated whether specific deletion of EP4 in ILC2s enhances lung ILC2 responses. </w:t>
      </w:r>
    </w:p>
    <w:p w14:paraId="6CD7221C" w14:textId="77777777" w:rsidR="00DD32AB" w:rsidRPr="00726423" w:rsidRDefault="00DD32AB" w:rsidP="00AF01E8">
      <w:pPr>
        <w:spacing w:line="480" w:lineRule="auto"/>
        <w:jc w:val="both"/>
        <w:rPr>
          <w:rFonts w:ascii="Arial" w:hAnsi="Arial" w:cs="Arial"/>
          <w:color w:val="000000" w:themeColor="text1"/>
          <w:sz w:val="22"/>
          <w:szCs w:val="22"/>
        </w:rPr>
      </w:pPr>
    </w:p>
    <w:p w14:paraId="14448ACE" w14:textId="3FFCFEB7" w:rsidR="00DD32AB" w:rsidRPr="00726423" w:rsidRDefault="00DD32AB" w:rsidP="00AF01E8">
      <w:pPr>
        <w:spacing w:line="480" w:lineRule="auto"/>
        <w:jc w:val="both"/>
        <w:rPr>
          <w:rFonts w:ascii="Arial" w:hAnsi="Arial" w:cs="Arial"/>
          <w:color w:val="000000" w:themeColor="text1"/>
          <w:sz w:val="22"/>
          <w:szCs w:val="22"/>
        </w:rPr>
      </w:pPr>
      <w:r w:rsidRPr="00726423">
        <w:rPr>
          <w:rFonts w:ascii="Arial" w:hAnsi="Arial" w:cs="Arial"/>
          <w:color w:val="000000" w:themeColor="text1"/>
          <w:sz w:val="22"/>
          <w:szCs w:val="22"/>
        </w:rPr>
        <w:t>As there was no mouse lines that selectively targets only ILC2s, we generated Vav</w:t>
      </w:r>
      <w:r w:rsidRPr="00726423">
        <w:rPr>
          <w:rFonts w:ascii="Arial" w:hAnsi="Arial" w:cs="Arial"/>
          <w:color w:val="000000" w:themeColor="text1"/>
          <w:sz w:val="22"/>
          <w:szCs w:val="22"/>
          <w:vertAlign w:val="superscript"/>
        </w:rPr>
        <w:t>Cre</w:t>
      </w:r>
      <w:r w:rsidRPr="00726423">
        <w:rPr>
          <w:rFonts w:ascii="Arial" w:hAnsi="Arial" w:cs="Arial"/>
          <w:color w:val="000000" w:themeColor="text1"/>
          <w:sz w:val="22"/>
          <w:szCs w:val="22"/>
        </w:rPr>
        <w:t>EP4</w:t>
      </w:r>
      <w:r w:rsidRPr="00726423">
        <w:rPr>
          <w:rFonts w:ascii="Arial" w:hAnsi="Arial" w:cs="Arial"/>
          <w:color w:val="000000" w:themeColor="text1"/>
          <w:sz w:val="22"/>
          <w:szCs w:val="22"/>
          <w:vertAlign w:val="superscript"/>
        </w:rPr>
        <w:t>fl/</w:t>
      </w:r>
      <w:proofErr w:type="spellStart"/>
      <w:r w:rsidRPr="00726423">
        <w:rPr>
          <w:rFonts w:ascii="Arial" w:hAnsi="Arial" w:cs="Arial"/>
          <w:color w:val="000000" w:themeColor="text1"/>
          <w:sz w:val="22"/>
          <w:szCs w:val="22"/>
          <w:vertAlign w:val="superscript"/>
        </w:rPr>
        <w:t>fl</w:t>
      </w:r>
      <w:proofErr w:type="spellEnd"/>
      <w:r w:rsidRPr="00726423">
        <w:rPr>
          <w:rFonts w:ascii="Arial" w:hAnsi="Arial" w:cs="Arial"/>
          <w:color w:val="000000" w:themeColor="text1"/>
          <w:sz w:val="22"/>
          <w:szCs w:val="22"/>
        </w:rPr>
        <w:t xml:space="preserve"> mice by crossing EP4-floxed mice</w:t>
      </w:r>
      <w:r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{"citationID":"a20o01erosn","properties":{"formattedCitation":"\\super 31\\nosupersub{}","plainCitation":"31","noteIndex":0},"citationItems":[{"id":1707,"uris":["http://zotero.org/users/local/OCWppIAO/items/LHGLUDFW"],"itemData":{"id":1707,"type":"article-journal","abstract":"Genetic disruption of the mouse EP4 receptor results in perinatal lethality associated with persistent patent ductus areteriosus (PDA). To circumvent this, an EP4 allele amenable to conditional deletion using the Cre/loxP system was generated. The targeting construct was comprised of a floxed exon2 in tandem with the neomycin-resistance gene in intron 2, flanked by third 3' LoxP site. Mice homozygous for the targeted allele (EP4(lox+neo/lox+neo)), or following its Cre-mediated deletion (EP4(del/del)), also die within hours of birth with PDA. In contrast, mice homozygous for a partially recombined allele, retaining exon2 but lacking neo (EP4(flox/flox)), are viable and show no overt phenotype. Postnatal deletion of the floxed EP4 gene is efficiently achieved in the liver and kidney in a transgenic mouse expressing the inducible Mx1Cre recombinase. The EP4(flox) mouse should provide a useful reagent with which to examine the physiologic roles of the EP4 receptor.","container-title":"Genesis (New York, N.Y.: 2000)","DOI":"10.1002/gene.20048","ISSN":"1526-954X","issue":"1","journalAbbreviation":"Genesis","language":"eng","note":"PMID: 15354288","page":"7-14","source":"PubMed","title":"Generation of a conditional allele of the mouse prostaglandin EP4 receptor","volume":"40","author":[{"family":"Schneider","given":"André"},{"family":"Guan","given":"YouFei"},{"family":"Zhang","given":"Yahua"},{"family":"Magnuson","given":"Mark A."},{"family":"Pettepher","given":"Cathy"},{"family":"Loftin","given":"Charles D."},{"family":"Langenbach","given":"Robert"},{"family":"Breyer","given":"Richard M."},{"family":"Breyer","given":"Matthew D."}],"issued":{"date-parts":[["2004",9]]}}}],"schema":"https://github.com/citation-style-language/schema/raw/master/csl-citation.json"} </w:instrText>
      </w:r>
      <w:r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31</w:t>
      </w:r>
      <w:r w:rsidRPr="00726423">
        <w:rPr>
          <w:rFonts w:ascii="Arial" w:hAnsi="Arial" w:cs="Arial"/>
          <w:color w:val="000000" w:themeColor="text1"/>
          <w:sz w:val="22"/>
          <w:szCs w:val="22"/>
        </w:rPr>
        <w:fldChar w:fldCharType="end"/>
      </w:r>
      <w:r w:rsidRPr="00726423">
        <w:rPr>
          <w:rFonts w:ascii="Arial" w:hAnsi="Arial" w:cs="Arial"/>
          <w:color w:val="000000" w:themeColor="text1"/>
          <w:sz w:val="22"/>
          <w:szCs w:val="22"/>
        </w:rPr>
        <w:t xml:space="preserve"> to Vav-</w:t>
      </w:r>
      <w:proofErr w:type="spellStart"/>
      <w:r w:rsidRPr="00726423">
        <w:rPr>
          <w:rFonts w:ascii="Arial" w:hAnsi="Arial" w:cs="Arial"/>
          <w:color w:val="000000" w:themeColor="text1"/>
          <w:sz w:val="22"/>
          <w:szCs w:val="22"/>
        </w:rPr>
        <w:t>cre</w:t>
      </w:r>
      <w:proofErr w:type="spellEnd"/>
      <w:r w:rsidRPr="00726423">
        <w:rPr>
          <w:rFonts w:ascii="Arial" w:hAnsi="Arial" w:cs="Arial"/>
          <w:color w:val="000000" w:themeColor="text1"/>
          <w:sz w:val="22"/>
          <w:szCs w:val="22"/>
        </w:rPr>
        <w:t xml:space="preserve"> mice</w:t>
      </w:r>
      <w:r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{"citationID":"a1etgboquou","properties":{"formattedCitation":"\\super 32\\nosupersub{}","plainCitation":"32","noteIndex":0},"citationItems":[{"id":1704,"uris":["http://zotero.org/users/local/OCWppIAO/items/E5TJJTE7"],"itemData":{"id":1704,"type":"article-journal","abstract":"Hematopoietic cells have been reported to convert into a number of non-hematopoietic cells types after transplantation/injury. Here, we have used a lineage tracing approach to determine whether hematopoietic plasticity is relevant for the normal development of hepatocytes and endothelial cells, both of which develop in close association with blood cells. Two mouse models were analyzed: vav ancestry mice, in which essentially all hematopoietic cells, including stem cells, irreversibly express yellow fluorescent protein (YFP); and lysozyme ancestry mice, in which all macrophages, as well as a small subset of all other non-myeloid hematopoietic cells, are labeled. Both lines were found to contain YFP+ hepatocytes at similar frequencies, indicating that macrophage to hepatocyte contributions occur in unperturbed mice. However, the YFP+ hepatocytes never formed clusters larger than three cells, suggesting a postnatal origin. In addition, the frequency of these cells was very low (approximately 1 in 75,000) and only increased two- to threefold after acute liver injury. Analysis of the two mouse models revealed no evidence for a hematopoietic origin of endothelial cells, showing that definitive HSCs do not function as hemangioblasts during normal development. Using endothelial cells and hepatocytes as paradigms, our study indicates that hematopoietic cells are tightly restricted in their differentiation potential during mouse embryo development and that hematopoietic plasticity plays at best a minor role in adult organ maintenance and regeneration.","container-title":"Development (Cambridge, England)","DOI":"10.1242/dev.01558","ISSN":"0950-1991","issue":"1","journalAbbreviation":"Development","language":"eng","note":"PMID: 15576407","page":"203-213","source":"PubMed","title":"Assessing the role of hematopoietic plasticity for endothelial and hepatocyte development by non-invasive lineage tracing","volume":"132","author":[{"family":"Stadtfeld","given":"Matthias"},{"family":"Graf","given":"Thomas"}],"issued":{"date-parts":[["2005",1]]}}}],"schema":"https://github.com/citation-style-language/schema/raw/master/csl-citation.json"} </w:instrText>
      </w:r>
      <w:r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32</w:t>
      </w:r>
      <w:r w:rsidRPr="00726423">
        <w:rPr>
          <w:rFonts w:ascii="Arial" w:hAnsi="Arial" w:cs="Arial"/>
          <w:color w:val="000000" w:themeColor="text1"/>
          <w:sz w:val="22"/>
          <w:szCs w:val="22"/>
        </w:rPr>
        <w:fldChar w:fldCharType="end"/>
      </w:r>
      <w:r w:rsidRPr="00726423">
        <w:rPr>
          <w:rFonts w:ascii="Arial" w:hAnsi="Arial" w:cs="Arial"/>
          <w:color w:val="000000" w:themeColor="text1"/>
          <w:sz w:val="22"/>
          <w:szCs w:val="22"/>
        </w:rPr>
        <w:t xml:space="preserve"> which drives ablation of EP4 in all hematopoietic-</w:t>
      </w:r>
      <w:r w:rsidRPr="00726423">
        <w:rPr>
          <w:rFonts w:ascii="Arial" w:hAnsi="Arial" w:cs="Arial"/>
          <w:color w:val="000000" w:themeColor="text1"/>
          <w:sz w:val="22"/>
          <w:szCs w:val="22"/>
        </w:rPr>
        <w:lastRenderedPageBreak/>
        <w:t>derived immune cells (including ILC2s). A previously published report showed that Vav-dependent EP4 deficiency enhanced lung ILC2 function and eosinophilic inflammation</w:t>
      </w:r>
      <w:r w:rsidRPr="00726423">
        <w:rPr>
          <w:rFonts w:ascii="Arial" w:hAnsi="Arial" w:cs="Arial"/>
          <w:color w:val="000000" w:themeColor="text1"/>
          <w:sz w:val="22"/>
          <w:szCs w:val="22"/>
          <w:vertAlign w:val="superscript"/>
        </w:rPr>
        <w:fldChar w:fldCharType="begin"/>
      </w:r>
      <w:r w:rsidR="00361359">
        <w:rPr>
          <w:rFonts w:ascii="Arial" w:hAnsi="Arial" w:cs="Arial"/>
          <w:color w:val="000000" w:themeColor="text1"/>
          <w:sz w:val="22"/>
          <w:szCs w:val="22"/>
          <w:vertAlign w:val="superscript"/>
        </w:rPr>
        <w:instrText xml:space="preserve"> ADDIN ZOTERO_ITEM CSL_CITATION {"citationID":"XDSr8hWG","properties":{"formattedCitation":"\\super 24\\nosupersub{}","plainCitation":"24","noteIndex":0},"citationItems":[{"id":1671,"uris":["http://zotero.org/users/local/OCWppIAO/items/BLWCA72C"],"itemData":{"id":1671,"type":"article-journal","abstract":"Evidence is accumulating that group 2 innate lymphoid cells (ILC2) play an important role in allergic airway inflammation by producing a large amount of type 2 cytokines. But it remains poorly understood how its activities are properly controlled in vivo. Here, we demonstrated that prostaglandin E2 (PGE2) had a profound inhibitory effect on IL-33-induced ILC2 expansion and IL-5 and IL-13 production in vitro. This effect was mimicked by PGE1-alcohol but attenuated by ONO-AE3-208, indicating a selective action through the E-prostanoid 4 (EP4) receptor. In the IL-33-induced asthma model, coadministration of PGE2 or PGE1-alcohol resulted in diminished IL-5 and IL-13 production, reduced eosinophilia and alleviated lung pathology. In contrast, EP4-deficient mice displayed an exacerbated inflammatory response in another ILC2-mediated asthma model induced by Alternaria extract. Mechanistic studies demonstrated that the PGE2-mediated inhibition of ILC2 was dependent on cyclic adenosine monophosphate (cAMP) production. Further downstream, PGE2-EP4-cAMP signaling led to suppression of GATA3 and ST2 expression, which is known to be critical for ILC2 activation. These findings reveal a novel function of PGE2 as a negative regulator of ILC2 activation and highlight an endogenous counter-regulatory mechanism for the control of innate allergic inflammatory responses.","container-title":"Frontiers in Immunology","DOI":"10.3389/fimmu.2018.00501","ISSN":"1664-3224","journalAbbreviation":"Front Immunol","language":"eng","note":"PMID: 29593738\nPMCID: PMC5857904","page":"501","source":"PubMed","title":"Prostaglandin E2 Inhibits Group 2 Innate Lymphoid Cell Activation and Allergic Airway Inflammation Through E-Prostanoid 4-Cyclic Adenosine Monophosphate Signaling","volume":"9","author":[{"family":"Zhou","given":"Yu"},{"family":"Wang","given":"Wei"},{"family":"Zhao","given":"Conghui"},{"family":"Wang","given":"Yan"},{"family":"Wu","given":"Haoming"},{"family":"Sun","given":"Xiuyuan"},{"family":"Guan","given":"Youfei"},{"family":"Zhang","given":"Yu"}],"issued":{"date-parts":[["2018"]]}}}],"schema":"https://github.com/citation-style-language/schema/raw/master/csl-citation.json"} </w:instrText>
      </w:r>
      <w:r w:rsidRPr="00726423">
        <w:rPr>
          <w:rFonts w:ascii="Arial" w:hAnsi="Arial" w:cs="Arial"/>
          <w:color w:val="000000" w:themeColor="text1"/>
          <w:sz w:val="22"/>
          <w:szCs w:val="22"/>
          <w:vertAlign w:val="superscript"/>
        </w:rPr>
        <w:fldChar w:fldCharType="separate"/>
      </w:r>
      <w:r w:rsidR="00361359" w:rsidRPr="00361359">
        <w:rPr>
          <w:rFonts w:ascii="Arial" w:hAnsi="Arial" w:cs="Arial"/>
          <w:color w:val="000000"/>
          <w:sz w:val="22"/>
          <w:vertAlign w:val="superscript"/>
        </w:rPr>
        <w:t>24</w:t>
      </w:r>
      <w:r w:rsidRPr="00726423">
        <w:rPr>
          <w:rFonts w:ascii="Arial" w:hAnsi="Arial" w:cs="Arial"/>
          <w:color w:val="000000" w:themeColor="text1"/>
          <w:sz w:val="22"/>
          <w:szCs w:val="22"/>
          <w:vertAlign w:val="superscript"/>
        </w:rPr>
        <w:fldChar w:fldCharType="end"/>
      </w:r>
      <w:r w:rsidRPr="00726423">
        <w:rPr>
          <w:rFonts w:ascii="Arial" w:hAnsi="Arial" w:cs="Arial"/>
          <w:color w:val="000000" w:themeColor="text1"/>
          <w:sz w:val="22"/>
          <w:szCs w:val="22"/>
        </w:rPr>
        <w:t>. However, we found that conditional EP4 deficient mice also had comparable lung ILC2 responses in response to IL-33 administration, albeit with a moderate reduction of lung ST2</w:t>
      </w:r>
      <w:r w:rsidRPr="00726423">
        <w:rPr>
          <w:rFonts w:ascii="Arial" w:hAnsi="Arial" w:cs="Arial"/>
          <w:color w:val="000000" w:themeColor="text1"/>
          <w:sz w:val="22"/>
          <w:szCs w:val="22"/>
          <w:vertAlign w:val="superscript"/>
        </w:rPr>
        <w:t>+</w:t>
      </w:r>
      <w:r w:rsidRPr="00726423">
        <w:rPr>
          <w:rFonts w:ascii="Arial" w:hAnsi="Arial" w:cs="Arial"/>
          <w:color w:val="000000" w:themeColor="text1"/>
          <w:sz w:val="22"/>
          <w:szCs w:val="22"/>
        </w:rPr>
        <w:t xml:space="preserve"> ILC2 accumulation (</w:t>
      </w:r>
      <w:r w:rsidRPr="00726423">
        <w:rPr>
          <w:rFonts w:ascii="Arial" w:hAnsi="Arial" w:cs="Arial"/>
          <w:b/>
          <w:bCs/>
          <w:color w:val="000000" w:themeColor="text1"/>
          <w:sz w:val="22"/>
          <w:szCs w:val="22"/>
        </w:rPr>
        <w:t xml:space="preserve">Fig </w:t>
      </w:r>
      <w:r w:rsidR="00147816" w:rsidRPr="00726423">
        <w:rPr>
          <w:rFonts w:ascii="Arial" w:hAnsi="Arial" w:cs="Arial"/>
          <w:b/>
          <w:bCs/>
          <w:color w:val="000000" w:themeColor="text1"/>
          <w:sz w:val="22"/>
          <w:szCs w:val="22"/>
        </w:rPr>
        <w:t>2</w:t>
      </w:r>
      <w:proofErr w:type="gramStart"/>
      <w:r w:rsidRPr="00726423">
        <w:rPr>
          <w:rFonts w:ascii="Arial" w:hAnsi="Arial" w:cs="Arial"/>
          <w:b/>
          <w:bCs/>
          <w:color w:val="000000" w:themeColor="text1"/>
          <w:sz w:val="22"/>
          <w:szCs w:val="22"/>
        </w:rPr>
        <w:t>D,E</w:t>
      </w:r>
      <w:proofErr w:type="gramEnd"/>
      <w:r w:rsidRPr="00726423">
        <w:rPr>
          <w:rFonts w:ascii="Arial" w:hAnsi="Arial" w:cs="Arial"/>
          <w:color w:val="000000" w:themeColor="text1"/>
          <w:sz w:val="22"/>
          <w:szCs w:val="22"/>
        </w:rPr>
        <w:t>). Homozygous Vav</w:t>
      </w:r>
      <w:r w:rsidRPr="00726423">
        <w:rPr>
          <w:rFonts w:ascii="Arial" w:hAnsi="Arial" w:cs="Arial"/>
          <w:color w:val="000000" w:themeColor="text1"/>
          <w:sz w:val="22"/>
          <w:szCs w:val="22"/>
          <w:vertAlign w:val="superscript"/>
        </w:rPr>
        <w:t>Cre</w:t>
      </w:r>
      <w:r w:rsidRPr="00726423">
        <w:rPr>
          <w:rFonts w:ascii="Arial" w:hAnsi="Arial" w:cs="Arial"/>
          <w:color w:val="000000" w:themeColor="text1"/>
          <w:sz w:val="22"/>
          <w:szCs w:val="22"/>
        </w:rPr>
        <w:t>EP4</w:t>
      </w:r>
      <w:r w:rsidRPr="00726423">
        <w:rPr>
          <w:rFonts w:ascii="Arial" w:hAnsi="Arial" w:cs="Arial"/>
          <w:color w:val="000000" w:themeColor="text1"/>
          <w:sz w:val="22"/>
          <w:szCs w:val="22"/>
          <w:vertAlign w:val="superscript"/>
        </w:rPr>
        <w:t>fl/</w:t>
      </w:r>
      <w:proofErr w:type="spellStart"/>
      <w:r w:rsidRPr="00726423">
        <w:rPr>
          <w:rFonts w:ascii="Arial" w:hAnsi="Arial" w:cs="Arial"/>
          <w:color w:val="000000" w:themeColor="text1"/>
          <w:sz w:val="22"/>
          <w:szCs w:val="22"/>
          <w:vertAlign w:val="superscript"/>
        </w:rPr>
        <w:t>fl</w:t>
      </w:r>
      <w:proofErr w:type="spellEnd"/>
      <w:r w:rsidRPr="00726423">
        <w:rPr>
          <w:rFonts w:ascii="Arial" w:hAnsi="Arial" w:cs="Arial"/>
          <w:color w:val="000000" w:themeColor="text1"/>
          <w:sz w:val="22"/>
          <w:szCs w:val="22"/>
        </w:rPr>
        <w:t xml:space="preserve"> mice had reduced eosinophils (</w:t>
      </w:r>
      <w:r w:rsidRPr="00726423">
        <w:rPr>
          <w:rFonts w:ascii="Arial" w:hAnsi="Arial" w:cs="Arial"/>
          <w:b/>
          <w:bCs/>
          <w:color w:val="000000" w:themeColor="text1"/>
          <w:sz w:val="22"/>
          <w:szCs w:val="22"/>
        </w:rPr>
        <w:t xml:space="preserve">Fig </w:t>
      </w:r>
      <w:r w:rsidR="00147816" w:rsidRPr="00726423">
        <w:rPr>
          <w:rFonts w:ascii="Arial" w:hAnsi="Arial" w:cs="Arial"/>
          <w:b/>
          <w:bCs/>
          <w:color w:val="000000" w:themeColor="text1"/>
          <w:sz w:val="22"/>
          <w:szCs w:val="22"/>
        </w:rPr>
        <w:t>2</w:t>
      </w:r>
      <w:r w:rsidRPr="00726423">
        <w:rPr>
          <w:rFonts w:ascii="Arial" w:hAnsi="Arial" w:cs="Arial"/>
          <w:b/>
          <w:bCs/>
          <w:color w:val="000000" w:themeColor="text1"/>
          <w:sz w:val="22"/>
          <w:szCs w:val="22"/>
        </w:rPr>
        <w:t>F</w:t>
      </w:r>
      <w:r w:rsidRPr="00726423">
        <w:rPr>
          <w:rFonts w:ascii="Arial" w:hAnsi="Arial" w:cs="Arial"/>
          <w:color w:val="000000" w:themeColor="text1"/>
          <w:sz w:val="22"/>
          <w:szCs w:val="22"/>
        </w:rPr>
        <w:t>), which was likely due to a direct effect of EP4 on Vav-expressing eosinophils. Both EP4</w:t>
      </w:r>
      <w:r w:rsidRPr="00726423">
        <w:rPr>
          <w:rFonts w:ascii="Arial" w:hAnsi="Arial" w:cs="Arial"/>
          <w:color w:val="000000" w:themeColor="text1"/>
          <w:sz w:val="22"/>
          <w:szCs w:val="22"/>
          <w:vertAlign w:val="superscript"/>
        </w:rPr>
        <w:t>–/–</w:t>
      </w:r>
      <w:r w:rsidRPr="00726423">
        <w:rPr>
          <w:rFonts w:ascii="Arial" w:hAnsi="Arial" w:cs="Arial"/>
          <w:color w:val="000000" w:themeColor="text1"/>
          <w:sz w:val="22"/>
          <w:szCs w:val="22"/>
        </w:rPr>
        <w:t xml:space="preserve"> and Vav</w:t>
      </w:r>
      <w:r w:rsidRPr="00726423">
        <w:rPr>
          <w:rFonts w:ascii="Arial" w:hAnsi="Arial" w:cs="Arial"/>
          <w:color w:val="000000" w:themeColor="text1"/>
          <w:sz w:val="22"/>
          <w:szCs w:val="22"/>
          <w:vertAlign w:val="superscript"/>
        </w:rPr>
        <w:t>Cre</w:t>
      </w:r>
      <w:r w:rsidRPr="00726423">
        <w:rPr>
          <w:rFonts w:ascii="Arial" w:hAnsi="Arial" w:cs="Arial"/>
          <w:color w:val="000000" w:themeColor="text1"/>
          <w:sz w:val="22"/>
          <w:szCs w:val="22"/>
        </w:rPr>
        <w:t>EP4</w:t>
      </w:r>
      <w:r w:rsidRPr="00726423">
        <w:rPr>
          <w:rFonts w:ascii="Arial" w:hAnsi="Arial" w:cs="Arial"/>
          <w:color w:val="000000" w:themeColor="text1"/>
          <w:sz w:val="22"/>
          <w:szCs w:val="22"/>
          <w:vertAlign w:val="superscript"/>
        </w:rPr>
        <w:t>fl/</w:t>
      </w:r>
      <w:proofErr w:type="spellStart"/>
      <w:r w:rsidRPr="00726423">
        <w:rPr>
          <w:rFonts w:ascii="Arial" w:hAnsi="Arial" w:cs="Arial"/>
          <w:color w:val="000000" w:themeColor="text1"/>
          <w:sz w:val="22"/>
          <w:szCs w:val="22"/>
          <w:vertAlign w:val="superscript"/>
        </w:rPr>
        <w:t>fl</w:t>
      </w:r>
      <w:proofErr w:type="spellEnd"/>
      <w:r w:rsidRPr="00726423">
        <w:rPr>
          <w:rFonts w:ascii="Arial" w:hAnsi="Arial" w:cs="Arial"/>
          <w:color w:val="000000" w:themeColor="text1"/>
          <w:sz w:val="22"/>
          <w:szCs w:val="22"/>
        </w:rPr>
        <w:t xml:space="preserve"> mice ablated EP4 from the germline, which may have a potential effect on ILC (including ILC2) development. To exclude this possibility, we employed another inducible EP4 deficient mouse line by crossing Thy1.2</w:t>
      </w:r>
      <w:r w:rsidRPr="00726423">
        <w:rPr>
          <w:rFonts w:ascii="Arial" w:hAnsi="Arial" w:cs="Arial"/>
          <w:color w:val="000000" w:themeColor="text1"/>
          <w:sz w:val="22"/>
          <w:szCs w:val="22"/>
          <w:vertAlign w:val="superscript"/>
        </w:rPr>
        <w:t>iCre</w:t>
      </w:r>
      <w:r w:rsidRPr="00726423">
        <w:rPr>
          <w:rFonts w:ascii="Arial" w:hAnsi="Arial" w:cs="Arial"/>
          <w:color w:val="000000" w:themeColor="text1"/>
          <w:sz w:val="22"/>
          <w:szCs w:val="22"/>
        </w:rPr>
        <w:t xml:space="preserve"> mice</w:t>
      </w:r>
      <w:r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{"citationID":"aoms8jpirc","properties":{"formattedCitation":"\\super 33\\nosupersub{}","plainCitation":"33","noteIndex":0},"citationItems":[{"id":1816,"uris":["http://zotero.org/users/local/OCWppIAO/items/RMUND2X6"],"itemData":{"id":1816,"type":"article-journal","abstract":"The axon initial segment (AIS) is critical for the initiation and propagation of action potentials. Assembly of the AIS requires interactions between scaffolding molecules and voltage-gated sodium channels, but the molecular mechanisms that stabilize the AIS are poorly understood. The neuronal isoform of Neurofascin, Nfasc186, clusters voltage-gated sodium channels at nodes of Ranvier in myelinated nerves: here, we investigate its role in AIS assembly and stabilization. Inactivation of the Nfasc gene in cerebellar Purkinje cells of adult mice causes rapid loss of Nfasc186 from the AIS but not from nodes of Ranvier. This causes AIS disintegration, impairment of motor learning and the abolition of the spontaneous tonic discharge typical of Purkinje cells. Nevertheless, action potentials with a modified waveform can still be evoked and basic motor abilities remain intact. We propose that Nfasc186 optimizes communication between mature neurons by anchoring the key elements of the adult AIS complex.","container-title":"Neuron","DOI":"10.1016/j.neuron.2011.02.021","ISSN":"1097-4199","issue":"5","journalAbbreviation":"Neuron","language":"eng","note":"PMID: 21382554\nPMCID: PMC3057015","page":"945-956","source":"PubMed","title":"A critical role for Neurofascin in regulating action potential initiation through maintenance of the axon initial segment","volume":"69","author":[{"family":"Zonta","given":"Barbara"},{"family":"Desmazieres","given":"Anne"},{"family":"Rinaldi","given":"Arianna"},{"family":"Tait","given":"Steven"},{"family":"Sherman","given":"Diane L."},{"family":"Nolan","given":"Matthew F."},{"family":"Brophy","given":"Peter J."}],"issued":{"date-parts":[["2011",3,10]]}}}],"schema":"https://github.com/citation-style-language/schema/raw/master/csl-citation.json"} </w:instrText>
      </w:r>
      <w:r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33</w:t>
      </w:r>
      <w:r w:rsidRPr="00726423">
        <w:rPr>
          <w:rFonts w:ascii="Arial" w:hAnsi="Arial" w:cs="Arial"/>
          <w:color w:val="000000" w:themeColor="text1"/>
          <w:sz w:val="22"/>
          <w:szCs w:val="22"/>
        </w:rPr>
        <w:fldChar w:fldCharType="end"/>
      </w:r>
      <w:r w:rsidRPr="00726423">
        <w:rPr>
          <w:rFonts w:ascii="Arial" w:hAnsi="Arial" w:cs="Arial"/>
          <w:color w:val="000000" w:themeColor="text1"/>
          <w:sz w:val="22"/>
          <w:szCs w:val="22"/>
        </w:rPr>
        <w:t xml:space="preserve"> to EP4-floxed mice to generate Thy1.2</w:t>
      </w:r>
      <w:r w:rsidRPr="00726423">
        <w:rPr>
          <w:rFonts w:ascii="Arial" w:hAnsi="Arial" w:cs="Arial"/>
          <w:color w:val="000000" w:themeColor="text1"/>
          <w:sz w:val="22"/>
          <w:szCs w:val="22"/>
          <w:vertAlign w:val="superscript"/>
        </w:rPr>
        <w:t>iCre</w:t>
      </w:r>
      <w:r w:rsidRPr="00726423">
        <w:rPr>
          <w:rFonts w:ascii="Arial" w:hAnsi="Arial" w:cs="Arial"/>
          <w:color w:val="000000" w:themeColor="text1"/>
          <w:sz w:val="22"/>
          <w:szCs w:val="22"/>
        </w:rPr>
        <w:t>EP4</w:t>
      </w:r>
      <w:r w:rsidRPr="00726423">
        <w:rPr>
          <w:rFonts w:ascii="Arial" w:hAnsi="Arial" w:cs="Arial"/>
          <w:color w:val="000000" w:themeColor="text1"/>
          <w:sz w:val="22"/>
          <w:szCs w:val="22"/>
          <w:vertAlign w:val="superscript"/>
        </w:rPr>
        <w:t>fl/</w:t>
      </w:r>
      <w:proofErr w:type="spellStart"/>
      <w:r w:rsidRPr="00726423">
        <w:rPr>
          <w:rFonts w:ascii="Arial" w:hAnsi="Arial" w:cs="Arial"/>
          <w:color w:val="000000" w:themeColor="text1"/>
          <w:sz w:val="22"/>
          <w:szCs w:val="22"/>
          <w:vertAlign w:val="superscript"/>
        </w:rPr>
        <w:t>fl</w:t>
      </w:r>
      <w:proofErr w:type="spellEnd"/>
      <w:r w:rsidRPr="00726423">
        <w:rPr>
          <w:rFonts w:ascii="Arial" w:hAnsi="Arial" w:cs="Arial"/>
          <w:color w:val="000000" w:themeColor="text1"/>
          <w:sz w:val="22"/>
          <w:szCs w:val="22"/>
        </w:rPr>
        <w:t xml:space="preserve"> mice, which don’t have EP4 expression in Thy1.2-expressing cells (i.e., all T cells and ILCs) after administration of tamoxifen. Again, Thy1.2-Cre driven inducible EP4 deficiency did not alter IL-33-induced lung ILC2 responses although it significantly reduced lung eosinophils (</w:t>
      </w:r>
      <w:r w:rsidRPr="00726423">
        <w:rPr>
          <w:rFonts w:ascii="Arial" w:hAnsi="Arial" w:cs="Arial"/>
          <w:b/>
          <w:bCs/>
          <w:color w:val="000000" w:themeColor="text1"/>
          <w:sz w:val="22"/>
          <w:szCs w:val="22"/>
        </w:rPr>
        <w:t xml:space="preserve">Fig </w:t>
      </w:r>
      <w:r w:rsidR="00147816" w:rsidRPr="00726423">
        <w:rPr>
          <w:rFonts w:ascii="Arial" w:hAnsi="Arial" w:cs="Arial"/>
          <w:b/>
          <w:bCs/>
          <w:color w:val="000000" w:themeColor="text1"/>
          <w:sz w:val="22"/>
          <w:szCs w:val="22"/>
        </w:rPr>
        <w:t>2</w:t>
      </w:r>
      <w:r w:rsidRPr="00726423">
        <w:rPr>
          <w:rFonts w:ascii="Arial" w:hAnsi="Arial" w:cs="Arial"/>
          <w:b/>
          <w:bCs/>
          <w:color w:val="000000" w:themeColor="text1"/>
          <w:sz w:val="22"/>
          <w:szCs w:val="22"/>
        </w:rPr>
        <w:t>G-I</w:t>
      </w:r>
      <w:r w:rsidRPr="00726423">
        <w:rPr>
          <w:rFonts w:ascii="Arial" w:hAnsi="Arial" w:cs="Arial"/>
          <w:color w:val="000000" w:themeColor="text1"/>
          <w:sz w:val="22"/>
          <w:szCs w:val="22"/>
        </w:rPr>
        <w:t>). These results suggest that endogenous PGE</w:t>
      </w:r>
      <w:r w:rsidRPr="00726423">
        <w:rPr>
          <w:rFonts w:ascii="Arial" w:hAnsi="Arial" w:cs="Arial"/>
          <w:color w:val="000000" w:themeColor="text1"/>
          <w:sz w:val="22"/>
          <w:szCs w:val="22"/>
          <w:vertAlign w:val="subscript"/>
        </w:rPr>
        <w:t>2</w:t>
      </w:r>
      <w:r w:rsidRPr="00726423">
        <w:rPr>
          <w:rFonts w:ascii="Arial" w:hAnsi="Arial" w:cs="Arial"/>
          <w:color w:val="000000" w:themeColor="text1"/>
          <w:sz w:val="22"/>
          <w:szCs w:val="22"/>
        </w:rPr>
        <w:t xml:space="preserve">-EP4 </w:t>
      </w:r>
      <w:proofErr w:type="spellStart"/>
      <w:r w:rsidR="00134A78" w:rsidRPr="00726423">
        <w:rPr>
          <w:rFonts w:ascii="Arial" w:hAnsi="Arial" w:cs="Arial"/>
          <w:color w:val="000000" w:themeColor="text1"/>
          <w:sz w:val="22"/>
          <w:szCs w:val="22"/>
        </w:rPr>
        <w:t>signaling</w:t>
      </w:r>
      <w:proofErr w:type="spellEnd"/>
      <w:r w:rsidRPr="00726423">
        <w:rPr>
          <w:rFonts w:ascii="Arial" w:hAnsi="Arial" w:cs="Arial"/>
          <w:color w:val="000000" w:themeColor="text1"/>
          <w:sz w:val="22"/>
          <w:szCs w:val="22"/>
        </w:rPr>
        <w:t xml:space="preserve"> does not significantly affect lung ILC2 responses.</w:t>
      </w:r>
    </w:p>
    <w:p w14:paraId="248DB36A" w14:textId="77777777" w:rsidR="00DD32AB" w:rsidRPr="00726423" w:rsidRDefault="00DD32AB" w:rsidP="00AF01E8">
      <w:pPr>
        <w:spacing w:line="480" w:lineRule="auto"/>
        <w:jc w:val="both"/>
        <w:rPr>
          <w:rFonts w:ascii="Arial" w:hAnsi="Arial" w:cs="Arial"/>
          <w:color w:val="000000" w:themeColor="text1"/>
          <w:sz w:val="22"/>
          <w:szCs w:val="22"/>
        </w:rPr>
      </w:pPr>
    </w:p>
    <w:p w14:paraId="285292CC" w14:textId="153E3AB9" w:rsidR="00701B61" w:rsidRPr="00726423" w:rsidRDefault="003B74B8" w:rsidP="00AF01E8">
      <w:pPr>
        <w:spacing w:line="480" w:lineRule="auto"/>
        <w:jc w:val="both"/>
        <w:rPr>
          <w:rFonts w:ascii="Arial" w:hAnsi="Arial" w:cs="Arial"/>
          <w:b/>
          <w:bCs/>
          <w:color w:val="000000" w:themeColor="text1"/>
          <w:sz w:val="22"/>
          <w:szCs w:val="22"/>
        </w:rPr>
      </w:pPr>
      <w:r w:rsidRPr="00726423">
        <w:rPr>
          <w:rFonts w:ascii="Arial" w:hAnsi="Arial" w:cs="Arial"/>
          <w:b/>
          <w:bCs/>
          <w:color w:val="000000" w:themeColor="text1"/>
          <w:sz w:val="22"/>
          <w:szCs w:val="22"/>
        </w:rPr>
        <w:t>EP4 agonism inhibits the alarmin IL-33</w:t>
      </w:r>
      <w:r w:rsidR="00115688" w:rsidRPr="00726423">
        <w:rPr>
          <w:rFonts w:ascii="Arial" w:hAnsi="Arial" w:cs="Arial"/>
          <w:b/>
          <w:bCs/>
          <w:color w:val="000000" w:themeColor="text1"/>
          <w:sz w:val="22"/>
          <w:szCs w:val="22"/>
        </w:rPr>
        <w:t>-</w:t>
      </w:r>
      <w:r w:rsidR="009B44D2" w:rsidRPr="00726423">
        <w:rPr>
          <w:rFonts w:ascii="Arial" w:hAnsi="Arial" w:cs="Arial"/>
          <w:b/>
          <w:bCs/>
          <w:color w:val="000000" w:themeColor="text1"/>
          <w:sz w:val="22"/>
          <w:szCs w:val="22"/>
        </w:rPr>
        <w:t xml:space="preserve"> and fungal antigen</w:t>
      </w:r>
      <w:r w:rsidRPr="00726423">
        <w:rPr>
          <w:rFonts w:ascii="Arial" w:hAnsi="Arial" w:cs="Arial"/>
          <w:b/>
          <w:bCs/>
          <w:color w:val="000000" w:themeColor="text1"/>
          <w:sz w:val="22"/>
          <w:szCs w:val="22"/>
        </w:rPr>
        <w:t>-induced lung ILC2 responses</w:t>
      </w:r>
      <w:r w:rsidR="00640DA4" w:rsidRPr="00726423">
        <w:rPr>
          <w:rFonts w:ascii="Arial" w:hAnsi="Arial" w:cs="Arial"/>
          <w:b/>
          <w:bCs/>
          <w:color w:val="000000" w:themeColor="text1"/>
          <w:sz w:val="22"/>
          <w:szCs w:val="22"/>
        </w:rPr>
        <w:t>.</w:t>
      </w:r>
    </w:p>
    <w:p w14:paraId="482126E5" w14:textId="16B5208A" w:rsidR="0004397E" w:rsidRPr="00726423" w:rsidRDefault="0056715E" w:rsidP="00AF01E8">
      <w:pPr>
        <w:spacing w:line="480" w:lineRule="auto"/>
        <w:jc w:val="both"/>
        <w:rPr>
          <w:rFonts w:ascii="Arial" w:hAnsi="Arial" w:cs="Arial"/>
          <w:color w:val="000000" w:themeColor="text1"/>
          <w:sz w:val="22"/>
          <w:szCs w:val="22"/>
        </w:rPr>
      </w:pPr>
      <w:r w:rsidRPr="00726423">
        <w:rPr>
          <w:rFonts w:ascii="Arial" w:hAnsi="Arial" w:cs="Arial"/>
          <w:color w:val="000000" w:themeColor="text1"/>
          <w:sz w:val="22"/>
          <w:szCs w:val="22"/>
        </w:rPr>
        <w:t>T</w:t>
      </w:r>
      <w:r w:rsidR="00414093" w:rsidRPr="00726423">
        <w:rPr>
          <w:rFonts w:ascii="Arial" w:hAnsi="Arial" w:cs="Arial"/>
          <w:color w:val="000000" w:themeColor="text1"/>
          <w:sz w:val="22"/>
          <w:szCs w:val="22"/>
        </w:rPr>
        <w:t>o examine the effect</w:t>
      </w:r>
      <w:r w:rsidR="003B74B8" w:rsidRPr="00726423">
        <w:rPr>
          <w:rFonts w:ascii="Arial" w:hAnsi="Arial" w:cs="Arial"/>
          <w:color w:val="000000" w:themeColor="text1"/>
          <w:sz w:val="22"/>
          <w:szCs w:val="22"/>
        </w:rPr>
        <w:t>s</w:t>
      </w:r>
      <w:r w:rsidR="00414093" w:rsidRPr="00726423">
        <w:rPr>
          <w:rFonts w:ascii="Arial" w:hAnsi="Arial" w:cs="Arial"/>
          <w:color w:val="000000" w:themeColor="text1"/>
          <w:sz w:val="22"/>
          <w:szCs w:val="22"/>
        </w:rPr>
        <w:t xml:space="preserve"> of </w:t>
      </w:r>
      <w:r w:rsidR="003B74B8" w:rsidRPr="00726423">
        <w:rPr>
          <w:rFonts w:ascii="Arial" w:hAnsi="Arial" w:cs="Arial"/>
          <w:color w:val="000000" w:themeColor="text1"/>
          <w:sz w:val="22"/>
          <w:szCs w:val="22"/>
        </w:rPr>
        <w:t xml:space="preserve">exogenous activation of EP2 and </w:t>
      </w:r>
      <w:r w:rsidR="00414093" w:rsidRPr="00726423">
        <w:rPr>
          <w:rFonts w:ascii="Arial" w:hAnsi="Arial" w:cs="Arial"/>
          <w:color w:val="000000" w:themeColor="text1"/>
          <w:sz w:val="22"/>
          <w:szCs w:val="22"/>
        </w:rPr>
        <w:t>EP4 on ILC2 responses</w:t>
      </w:r>
      <w:r w:rsidRPr="00726423">
        <w:rPr>
          <w:rFonts w:ascii="Arial" w:hAnsi="Arial" w:cs="Arial"/>
          <w:color w:val="000000" w:themeColor="text1"/>
          <w:sz w:val="22"/>
          <w:szCs w:val="22"/>
        </w:rPr>
        <w:t xml:space="preserve"> </w:t>
      </w:r>
      <w:r w:rsidRPr="00726423">
        <w:rPr>
          <w:rFonts w:ascii="Arial" w:hAnsi="Arial" w:cs="Arial"/>
          <w:i/>
          <w:iCs/>
          <w:color w:val="000000" w:themeColor="text1"/>
          <w:sz w:val="22"/>
          <w:szCs w:val="22"/>
        </w:rPr>
        <w:t>in vivo</w:t>
      </w:r>
      <w:r w:rsidRPr="00726423">
        <w:rPr>
          <w:rFonts w:ascii="Arial" w:hAnsi="Arial" w:cs="Arial"/>
          <w:color w:val="000000" w:themeColor="text1"/>
          <w:sz w:val="22"/>
          <w:szCs w:val="22"/>
        </w:rPr>
        <w:t>,</w:t>
      </w:r>
      <w:r w:rsidR="00414093" w:rsidRPr="00726423">
        <w:rPr>
          <w:rFonts w:ascii="Arial" w:hAnsi="Arial" w:cs="Arial"/>
          <w:color w:val="000000" w:themeColor="text1"/>
          <w:sz w:val="22"/>
          <w:szCs w:val="22"/>
        </w:rPr>
        <w:t xml:space="preserve"> </w:t>
      </w:r>
      <w:r w:rsidRPr="00726423">
        <w:rPr>
          <w:rFonts w:ascii="Arial" w:hAnsi="Arial" w:cs="Arial"/>
          <w:color w:val="000000" w:themeColor="text1"/>
          <w:sz w:val="22"/>
          <w:szCs w:val="22"/>
        </w:rPr>
        <w:t>w</w:t>
      </w:r>
      <w:r w:rsidR="00414093" w:rsidRPr="00726423">
        <w:rPr>
          <w:rFonts w:ascii="Arial" w:hAnsi="Arial" w:cs="Arial"/>
          <w:color w:val="000000" w:themeColor="text1"/>
          <w:sz w:val="22"/>
          <w:szCs w:val="22"/>
        </w:rPr>
        <w:t xml:space="preserve">e </w:t>
      </w:r>
      <w:r w:rsidR="00524739" w:rsidRPr="00726423">
        <w:rPr>
          <w:rFonts w:ascii="Arial" w:hAnsi="Arial" w:cs="Arial"/>
          <w:color w:val="000000" w:themeColor="text1"/>
          <w:sz w:val="22"/>
          <w:szCs w:val="22"/>
        </w:rPr>
        <w:t xml:space="preserve">intratracheally </w:t>
      </w:r>
      <w:r w:rsidR="00414093" w:rsidRPr="00726423">
        <w:rPr>
          <w:rFonts w:ascii="Arial" w:hAnsi="Arial" w:cs="Arial"/>
          <w:color w:val="000000" w:themeColor="text1"/>
          <w:sz w:val="22"/>
          <w:szCs w:val="22"/>
        </w:rPr>
        <w:t>administered IL-33 into</w:t>
      </w:r>
      <w:r w:rsidR="00524739" w:rsidRPr="00726423">
        <w:rPr>
          <w:rFonts w:ascii="Arial" w:hAnsi="Arial" w:cs="Arial"/>
          <w:color w:val="000000" w:themeColor="text1"/>
          <w:sz w:val="22"/>
          <w:szCs w:val="22"/>
        </w:rPr>
        <w:t xml:space="preserve"> C57BL/6</w:t>
      </w:r>
      <w:r w:rsidR="00414093" w:rsidRPr="00726423">
        <w:rPr>
          <w:rFonts w:ascii="Arial" w:hAnsi="Arial" w:cs="Arial"/>
          <w:color w:val="000000" w:themeColor="text1"/>
          <w:sz w:val="22"/>
          <w:szCs w:val="22"/>
        </w:rPr>
        <w:t xml:space="preserve"> </w:t>
      </w:r>
      <w:r w:rsidR="00524739" w:rsidRPr="00726423">
        <w:rPr>
          <w:rFonts w:ascii="Arial" w:hAnsi="Arial" w:cs="Arial"/>
          <w:color w:val="000000" w:themeColor="text1"/>
          <w:sz w:val="22"/>
          <w:szCs w:val="22"/>
        </w:rPr>
        <w:t>mice.</w:t>
      </w:r>
      <w:r w:rsidR="00414093" w:rsidRPr="00726423">
        <w:rPr>
          <w:rFonts w:ascii="Arial" w:hAnsi="Arial" w:cs="Arial"/>
          <w:color w:val="000000" w:themeColor="text1"/>
          <w:sz w:val="22"/>
          <w:szCs w:val="22"/>
        </w:rPr>
        <w:t xml:space="preserve"> </w:t>
      </w:r>
      <w:r w:rsidR="003B74B8" w:rsidRPr="00726423">
        <w:rPr>
          <w:rFonts w:ascii="Arial" w:hAnsi="Arial" w:cs="Arial"/>
          <w:color w:val="000000" w:themeColor="text1"/>
          <w:sz w:val="22"/>
          <w:szCs w:val="22"/>
        </w:rPr>
        <w:t xml:space="preserve">Administration of IL-33 induced </w:t>
      </w:r>
      <w:r w:rsidR="0004397E" w:rsidRPr="00726423">
        <w:rPr>
          <w:rFonts w:ascii="Arial" w:hAnsi="Arial" w:cs="Arial"/>
          <w:color w:val="000000" w:themeColor="text1"/>
          <w:sz w:val="22"/>
          <w:szCs w:val="22"/>
        </w:rPr>
        <w:t xml:space="preserve">accumulation of eosinophils and neutrophils in the bronchoalveolar lavage (BAL) and lung, </w:t>
      </w:r>
      <w:r w:rsidR="006B46C8" w:rsidRPr="00726423">
        <w:rPr>
          <w:rFonts w:ascii="Arial" w:hAnsi="Arial" w:cs="Arial"/>
          <w:color w:val="000000" w:themeColor="text1"/>
          <w:sz w:val="22"/>
          <w:szCs w:val="22"/>
        </w:rPr>
        <w:t>whilst such accumulation was almost</w:t>
      </w:r>
      <w:r w:rsidR="0004397E" w:rsidRPr="00726423">
        <w:rPr>
          <w:rFonts w:ascii="Arial" w:hAnsi="Arial" w:cs="Arial"/>
          <w:color w:val="000000" w:themeColor="text1"/>
          <w:sz w:val="22"/>
          <w:szCs w:val="22"/>
        </w:rPr>
        <w:t xml:space="preserve"> completely </w:t>
      </w:r>
      <w:r w:rsidR="006B46C8" w:rsidRPr="00726423">
        <w:rPr>
          <w:rFonts w:ascii="Arial" w:hAnsi="Arial" w:cs="Arial"/>
          <w:color w:val="000000" w:themeColor="text1"/>
          <w:sz w:val="22"/>
          <w:szCs w:val="22"/>
        </w:rPr>
        <w:t>attenuat</w:t>
      </w:r>
      <w:r w:rsidR="0004397E" w:rsidRPr="00726423">
        <w:rPr>
          <w:rFonts w:ascii="Arial" w:hAnsi="Arial" w:cs="Arial"/>
          <w:color w:val="000000" w:themeColor="text1"/>
          <w:sz w:val="22"/>
          <w:szCs w:val="22"/>
        </w:rPr>
        <w:t>ed by co-administration of an EP4 agonist (</w:t>
      </w:r>
      <w:r w:rsidR="0004397E" w:rsidRPr="00726423">
        <w:rPr>
          <w:rFonts w:ascii="Arial" w:hAnsi="Arial" w:cs="Arial"/>
          <w:b/>
          <w:bCs/>
          <w:color w:val="000000" w:themeColor="text1"/>
          <w:sz w:val="22"/>
          <w:szCs w:val="22"/>
        </w:rPr>
        <w:t xml:space="preserve">Fig </w:t>
      </w:r>
      <w:r w:rsidR="00E12859" w:rsidRPr="00726423">
        <w:rPr>
          <w:rFonts w:ascii="Arial" w:hAnsi="Arial" w:cs="Arial"/>
          <w:b/>
          <w:bCs/>
          <w:color w:val="000000" w:themeColor="text1"/>
          <w:sz w:val="22"/>
          <w:szCs w:val="22"/>
        </w:rPr>
        <w:t>3</w:t>
      </w:r>
      <w:r w:rsidR="0004397E" w:rsidRPr="00726423">
        <w:rPr>
          <w:rFonts w:ascii="Arial" w:hAnsi="Arial" w:cs="Arial"/>
          <w:b/>
          <w:bCs/>
          <w:color w:val="000000" w:themeColor="text1"/>
          <w:sz w:val="22"/>
          <w:szCs w:val="22"/>
        </w:rPr>
        <w:t>A-C</w:t>
      </w:r>
      <w:r w:rsidR="0004397E" w:rsidRPr="00726423">
        <w:rPr>
          <w:rFonts w:ascii="Arial" w:hAnsi="Arial" w:cs="Arial"/>
          <w:color w:val="000000" w:themeColor="text1"/>
          <w:sz w:val="22"/>
          <w:szCs w:val="22"/>
        </w:rPr>
        <w:t xml:space="preserve">). Co-administration of an EP2 agonist had </w:t>
      </w:r>
      <w:r w:rsidR="00A7564B" w:rsidRPr="00726423">
        <w:rPr>
          <w:rFonts w:ascii="Arial" w:hAnsi="Arial" w:cs="Arial"/>
          <w:color w:val="000000" w:themeColor="text1"/>
          <w:sz w:val="22"/>
          <w:szCs w:val="22"/>
        </w:rPr>
        <w:t>no significant</w:t>
      </w:r>
      <w:r w:rsidR="0004397E" w:rsidRPr="00726423">
        <w:rPr>
          <w:rFonts w:ascii="Arial" w:hAnsi="Arial" w:cs="Arial"/>
          <w:color w:val="000000" w:themeColor="text1"/>
          <w:sz w:val="22"/>
          <w:szCs w:val="22"/>
        </w:rPr>
        <w:t xml:space="preserve"> effects on IL-33-dependent accumulation of eosinophils and neutrophil</w:t>
      </w:r>
      <w:r w:rsidR="006B46C8" w:rsidRPr="00726423">
        <w:rPr>
          <w:rFonts w:ascii="Arial" w:hAnsi="Arial" w:cs="Arial"/>
          <w:color w:val="000000" w:themeColor="text1"/>
          <w:sz w:val="22"/>
          <w:szCs w:val="22"/>
        </w:rPr>
        <w:t>s</w:t>
      </w:r>
      <w:r w:rsidR="0004397E" w:rsidRPr="00726423">
        <w:rPr>
          <w:rFonts w:ascii="Arial" w:hAnsi="Arial" w:cs="Arial"/>
          <w:color w:val="000000" w:themeColor="text1"/>
          <w:sz w:val="22"/>
          <w:szCs w:val="22"/>
        </w:rPr>
        <w:t xml:space="preserve"> (</w:t>
      </w:r>
      <w:r w:rsidR="0004397E" w:rsidRPr="00726423">
        <w:rPr>
          <w:rFonts w:ascii="Arial" w:hAnsi="Arial" w:cs="Arial"/>
          <w:b/>
          <w:bCs/>
          <w:color w:val="000000" w:themeColor="text1"/>
          <w:sz w:val="22"/>
          <w:szCs w:val="22"/>
        </w:rPr>
        <w:t xml:space="preserve">Fig </w:t>
      </w:r>
      <w:r w:rsidR="00E12859" w:rsidRPr="00726423">
        <w:rPr>
          <w:rFonts w:ascii="Arial" w:hAnsi="Arial" w:cs="Arial"/>
          <w:b/>
          <w:bCs/>
          <w:color w:val="000000" w:themeColor="text1"/>
          <w:sz w:val="22"/>
          <w:szCs w:val="22"/>
        </w:rPr>
        <w:t>3</w:t>
      </w:r>
      <w:r w:rsidR="0004397E" w:rsidRPr="00726423">
        <w:rPr>
          <w:rFonts w:ascii="Arial" w:hAnsi="Arial" w:cs="Arial"/>
          <w:b/>
          <w:bCs/>
          <w:color w:val="000000" w:themeColor="text1"/>
          <w:sz w:val="22"/>
          <w:szCs w:val="22"/>
        </w:rPr>
        <w:t>A-C</w:t>
      </w:r>
      <w:r w:rsidR="0004397E" w:rsidRPr="00726423">
        <w:rPr>
          <w:rFonts w:ascii="Arial" w:hAnsi="Arial" w:cs="Arial"/>
          <w:color w:val="000000" w:themeColor="text1"/>
          <w:sz w:val="22"/>
          <w:szCs w:val="22"/>
        </w:rPr>
        <w:t xml:space="preserve">). Flow cytometric analysis </w:t>
      </w:r>
      <w:r w:rsidR="0035403B" w:rsidRPr="00726423">
        <w:rPr>
          <w:rFonts w:ascii="Arial" w:hAnsi="Arial" w:cs="Arial"/>
          <w:color w:val="000000" w:themeColor="text1"/>
          <w:sz w:val="22"/>
          <w:szCs w:val="22"/>
        </w:rPr>
        <w:t>suggeste</w:t>
      </w:r>
      <w:r w:rsidR="0004397E" w:rsidRPr="00726423">
        <w:rPr>
          <w:rFonts w:ascii="Arial" w:hAnsi="Arial" w:cs="Arial"/>
          <w:color w:val="000000" w:themeColor="text1"/>
          <w:sz w:val="22"/>
          <w:szCs w:val="22"/>
        </w:rPr>
        <w:t>d that IL-33-</w:t>
      </w:r>
      <w:r w:rsidR="00A7564B" w:rsidRPr="00726423">
        <w:rPr>
          <w:rFonts w:ascii="Arial" w:hAnsi="Arial" w:cs="Arial"/>
          <w:color w:val="000000" w:themeColor="text1"/>
          <w:sz w:val="22"/>
          <w:szCs w:val="22"/>
        </w:rPr>
        <w:t xml:space="preserve">induced </w:t>
      </w:r>
      <w:r w:rsidR="0004397E" w:rsidRPr="00726423">
        <w:rPr>
          <w:rFonts w:ascii="Arial" w:hAnsi="Arial" w:cs="Arial"/>
          <w:color w:val="000000" w:themeColor="text1"/>
          <w:sz w:val="22"/>
          <w:szCs w:val="22"/>
        </w:rPr>
        <w:t>recruit</w:t>
      </w:r>
      <w:r w:rsidR="00A7564B" w:rsidRPr="00726423">
        <w:rPr>
          <w:rFonts w:ascii="Arial" w:hAnsi="Arial" w:cs="Arial"/>
          <w:color w:val="000000" w:themeColor="text1"/>
          <w:sz w:val="22"/>
          <w:szCs w:val="22"/>
        </w:rPr>
        <w:t>ment of</w:t>
      </w:r>
      <w:r w:rsidR="0004397E" w:rsidRPr="00726423">
        <w:rPr>
          <w:rFonts w:ascii="Arial" w:hAnsi="Arial" w:cs="Arial"/>
          <w:color w:val="000000" w:themeColor="text1"/>
          <w:sz w:val="22"/>
          <w:szCs w:val="22"/>
        </w:rPr>
        <w:t xml:space="preserve"> lineage-negative ST2</w:t>
      </w:r>
      <w:r w:rsidR="0004397E" w:rsidRPr="00726423">
        <w:rPr>
          <w:rFonts w:ascii="Arial" w:hAnsi="Arial" w:cs="Arial"/>
          <w:color w:val="000000" w:themeColor="text1"/>
          <w:sz w:val="22"/>
          <w:szCs w:val="22"/>
          <w:vertAlign w:val="superscript"/>
        </w:rPr>
        <w:t>+</w:t>
      </w:r>
      <w:r w:rsidR="0004397E" w:rsidRPr="00726423">
        <w:rPr>
          <w:rFonts w:ascii="Arial" w:hAnsi="Arial" w:cs="Arial"/>
          <w:color w:val="000000" w:themeColor="text1"/>
          <w:sz w:val="22"/>
          <w:szCs w:val="22"/>
        </w:rPr>
        <w:t xml:space="preserve"> ILC2s in the airway was also impeded by the EP4</w:t>
      </w:r>
      <w:r w:rsidR="006B46C8" w:rsidRPr="00726423">
        <w:rPr>
          <w:rFonts w:ascii="Arial" w:hAnsi="Arial" w:cs="Arial"/>
          <w:color w:val="000000" w:themeColor="text1"/>
          <w:sz w:val="22"/>
          <w:szCs w:val="22"/>
        </w:rPr>
        <w:t xml:space="preserve"> agonist</w:t>
      </w:r>
      <w:r w:rsidR="0004397E" w:rsidRPr="00726423">
        <w:rPr>
          <w:rFonts w:ascii="Arial" w:hAnsi="Arial" w:cs="Arial"/>
          <w:color w:val="000000" w:themeColor="text1"/>
          <w:sz w:val="22"/>
          <w:szCs w:val="22"/>
        </w:rPr>
        <w:t xml:space="preserve"> rather than </w:t>
      </w:r>
      <w:r w:rsidR="006B46C8" w:rsidRPr="00726423">
        <w:rPr>
          <w:rFonts w:ascii="Arial" w:hAnsi="Arial" w:cs="Arial"/>
          <w:color w:val="000000" w:themeColor="text1"/>
          <w:sz w:val="22"/>
          <w:szCs w:val="22"/>
        </w:rPr>
        <w:t xml:space="preserve">the </w:t>
      </w:r>
      <w:r w:rsidR="0004397E" w:rsidRPr="00726423">
        <w:rPr>
          <w:rFonts w:ascii="Arial" w:hAnsi="Arial" w:cs="Arial"/>
          <w:color w:val="000000" w:themeColor="text1"/>
          <w:sz w:val="22"/>
          <w:szCs w:val="22"/>
        </w:rPr>
        <w:t>EP2 agonist (</w:t>
      </w:r>
      <w:r w:rsidR="0004397E" w:rsidRPr="00726423">
        <w:rPr>
          <w:rFonts w:ascii="Arial" w:hAnsi="Arial" w:cs="Arial"/>
          <w:b/>
          <w:bCs/>
          <w:color w:val="000000" w:themeColor="text1"/>
          <w:sz w:val="22"/>
          <w:szCs w:val="22"/>
        </w:rPr>
        <w:t xml:space="preserve">Fig </w:t>
      </w:r>
      <w:r w:rsidR="00E12859" w:rsidRPr="00726423">
        <w:rPr>
          <w:rFonts w:ascii="Arial" w:hAnsi="Arial" w:cs="Arial"/>
          <w:b/>
          <w:bCs/>
          <w:color w:val="000000" w:themeColor="text1"/>
          <w:sz w:val="22"/>
          <w:szCs w:val="22"/>
        </w:rPr>
        <w:t>3</w:t>
      </w:r>
      <w:proofErr w:type="gramStart"/>
      <w:r w:rsidR="0004397E" w:rsidRPr="00726423">
        <w:rPr>
          <w:rFonts w:ascii="Arial" w:hAnsi="Arial" w:cs="Arial"/>
          <w:b/>
          <w:bCs/>
          <w:color w:val="000000" w:themeColor="text1"/>
          <w:sz w:val="22"/>
          <w:szCs w:val="22"/>
        </w:rPr>
        <w:t>D,E</w:t>
      </w:r>
      <w:proofErr w:type="gramEnd"/>
      <w:r w:rsidR="0004397E" w:rsidRPr="00726423">
        <w:rPr>
          <w:rFonts w:ascii="Arial" w:hAnsi="Arial" w:cs="Arial"/>
          <w:color w:val="000000" w:themeColor="text1"/>
          <w:sz w:val="22"/>
          <w:szCs w:val="22"/>
        </w:rPr>
        <w:t xml:space="preserve">). </w:t>
      </w:r>
      <w:r w:rsidR="0035403B" w:rsidRPr="00726423">
        <w:rPr>
          <w:rFonts w:ascii="Arial" w:hAnsi="Arial" w:cs="Arial"/>
          <w:color w:val="000000" w:themeColor="text1"/>
          <w:sz w:val="22"/>
          <w:szCs w:val="22"/>
        </w:rPr>
        <w:t>Analysis of lung single cells showed that IL-33 increased numbers of total ST2</w:t>
      </w:r>
      <w:r w:rsidR="0035403B" w:rsidRPr="00726423">
        <w:rPr>
          <w:rFonts w:ascii="Arial" w:hAnsi="Arial" w:cs="Arial"/>
          <w:color w:val="000000" w:themeColor="text1"/>
          <w:sz w:val="22"/>
          <w:szCs w:val="22"/>
          <w:vertAlign w:val="superscript"/>
        </w:rPr>
        <w:t>+</w:t>
      </w:r>
      <w:r w:rsidR="0035403B" w:rsidRPr="00726423">
        <w:rPr>
          <w:rFonts w:ascii="Arial" w:hAnsi="Arial" w:cs="Arial"/>
          <w:color w:val="000000" w:themeColor="text1"/>
          <w:sz w:val="22"/>
          <w:szCs w:val="22"/>
        </w:rPr>
        <w:t xml:space="preserve"> ILC2s and their production of </w:t>
      </w:r>
      <w:r w:rsidR="006B46C8" w:rsidRPr="00726423">
        <w:rPr>
          <w:rFonts w:ascii="Arial" w:hAnsi="Arial" w:cs="Arial"/>
          <w:color w:val="000000" w:themeColor="text1"/>
          <w:sz w:val="22"/>
          <w:szCs w:val="22"/>
        </w:rPr>
        <w:t xml:space="preserve">type 2 </w:t>
      </w:r>
      <w:r w:rsidR="0035403B" w:rsidRPr="00726423">
        <w:rPr>
          <w:rFonts w:ascii="Arial" w:hAnsi="Arial" w:cs="Arial"/>
          <w:color w:val="000000" w:themeColor="text1"/>
          <w:sz w:val="22"/>
          <w:szCs w:val="22"/>
        </w:rPr>
        <w:t xml:space="preserve">cytokines </w:t>
      </w:r>
      <w:r w:rsidR="006B46C8" w:rsidRPr="00726423">
        <w:rPr>
          <w:rFonts w:ascii="Arial" w:hAnsi="Arial" w:cs="Arial"/>
          <w:color w:val="000000" w:themeColor="text1"/>
          <w:sz w:val="22"/>
          <w:szCs w:val="22"/>
        </w:rPr>
        <w:t>(e.g.,</w:t>
      </w:r>
      <w:r w:rsidR="0035403B" w:rsidRPr="00726423">
        <w:rPr>
          <w:rFonts w:ascii="Arial" w:hAnsi="Arial" w:cs="Arial"/>
          <w:color w:val="000000" w:themeColor="text1"/>
          <w:sz w:val="22"/>
          <w:szCs w:val="22"/>
        </w:rPr>
        <w:t xml:space="preserve"> IL-5 and IL-13</w:t>
      </w:r>
      <w:r w:rsidR="006B46C8" w:rsidRPr="00726423">
        <w:rPr>
          <w:rFonts w:ascii="Arial" w:hAnsi="Arial" w:cs="Arial"/>
          <w:color w:val="000000" w:themeColor="text1"/>
          <w:sz w:val="22"/>
          <w:szCs w:val="22"/>
        </w:rPr>
        <w:t>)</w:t>
      </w:r>
      <w:r w:rsidR="0035403B" w:rsidRPr="00726423">
        <w:rPr>
          <w:rFonts w:ascii="Arial" w:hAnsi="Arial" w:cs="Arial"/>
          <w:color w:val="000000" w:themeColor="text1"/>
          <w:sz w:val="22"/>
          <w:szCs w:val="22"/>
        </w:rPr>
        <w:t xml:space="preserve">, </w:t>
      </w:r>
      <w:r w:rsidR="006B46C8" w:rsidRPr="00726423">
        <w:rPr>
          <w:rFonts w:ascii="Arial" w:hAnsi="Arial" w:cs="Arial"/>
          <w:color w:val="000000" w:themeColor="text1"/>
          <w:sz w:val="22"/>
          <w:szCs w:val="22"/>
        </w:rPr>
        <w:t>with</w:t>
      </w:r>
      <w:r w:rsidR="0035403B" w:rsidRPr="00726423">
        <w:rPr>
          <w:rFonts w:ascii="Arial" w:hAnsi="Arial" w:cs="Arial"/>
          <w:color w:val="000000" w:themeColor="text1"/>
          <w:sz w:val="22"/>
          <w:szCs w:val="22"/>
        </w:rPr>
        <w:t xml:space="preserve"> accumulation of ILC2s was again inhibited by the EP4 (but not EP2) agonist (</w:t>
      </w:r>
      <w:r w:rsidR="0035403B" w:rsidRPr="00726423">
        <w:rPr>
          <w:rFonts w:ascii="Arial" w:hAnsi="Arial" w:cs="Arial"/>
          <w:b/>
          <w:bCs/>
          <w:color w:val="000000" w:themeColor="text1"/>
          <w:sz w:val="22"/>
          <w:szCs w:val="22"/>
        </w:rPr>
        <w:t xml:space="preserve">Fig </w:t>
      </w:r>
      <w:r w:rsidR="00E12859" w:rsidRPr="00726423">
        <w:rPr>
          <w:rFonts w:ascii="Arial" w:hAnsi="Arial" w:cs="Arial"/>
          <w:b/>
          <w:bCs/>
          <w:color w:val="000000" w:themeColor="text1"/>
          <w:sz w:val="22"/>
          <w:szCs w:val="22"/>
        </w:rPr>
        <w:t>3</w:t>
      </w:r>
      <w:r w:rsidR="0035403B" w:rsidRPr="00726423">
        <w:rPr>
          <w:rFonts w:ascii="Arial" w:hAnsi="Arial" w:cs="Arial"/>
          <w:b/>
          <w:bCs/>
          <w:color w:val="000000" w:themeColor="text1"/>
          <w:sz w:val="22"/>
          <w:szCs w:val="22"/>
        </w:rPr>
        <w:t>F-I</w:t>
      </w:r>
      <w:r w:rsidR="0035403B" w:rsidRPr="00726423">
        <w:rPr>
          <w:rFonts w:ascii="Arial" w:hAnsi="Arial" w:cs="Arial"/>
          <w:color w:val="000000" w:themeColor="text1"/>
          <w:sz w:val="22"/>
          <w:szCs w:val="22"/>
        </w:rPr>
        <w:t>).</w:t>
      </w:r>
    </w:p>
    <w:p w14:paraId="4E2C1645" w14:textId="603E2E5C" w:rsidR="0004397E" w:rsidRPr="00726423" w:rsidRDefault="0004397E" w:rsidP="00AF01E8">
      <w:pPr>
        <w:spacing w:line="480" w:lineRule="auto"/>
        <w:jc w:val="both"/>
        <w:rPr>
          <w:rFonts w:ascii="Arial" w:hAnsi="Arial" w:cs="Arial"/>
          <w:color w:val="000000" w:themeColor="text1"/>
          <w:sz w:val="22"/>
          <w:szCs w:val="22"/>
        </w:rPr>
      </w:pPr>
    </w:p>
    <w:p w14:paraId="26436E13" w14:textId="67C4929D" w:rsidR="00915275" w:rsidRPr="00726423" w:rsidRDefault="00C53D58" w:rsidP="00AF01E8">
      <w:pPr>
        <w:spacing w:line="480" w:lineRule="auto"/>
        <w:jc w:val="both"/>
        <w:rPr>
          <w:rFonts w:ascii="Arial" w:hAnsi="Arial" w:cs="Arial"/>
          <w:color w:val="000000" w:themeColor="text1"/>
          <w:sz w:val="22"/>
          <w:szCs w:val="22"/>
        </w:rPr>
      </w:pPr>
      <w:r w:rsidRPr="00726423">
        <w:rPr>
          <w:rFonts w:ascii="Arial" w:hAnsi="Arial" w:cs="Arial"/>
          <w:color w:val="000000" w:themeColor="text1"/>
          <w:sz w:val="22"/>
          <w:szCs w:val="22"/>
        </w:rPr>
        <w:t>Next, w</w:t>
      </w:r>
      <w:r w:rsidR="00915275" w:rsidRPr="00726423">
        <w:rPr>
          <w:rFonts w:ascii="Arial" w:hAnsi="Arial" w:cs="Arial"/>
          <w:color w:val="000000" w:themeColor="text1"/>
          <w:sz w:val="22"/>
          <w:szCs w:val="22"/>
        </w:rPr>
        <w:t>e used an</w:t>
      </w:r>
      <w:r w:rsidR="004D210F" w:rsidRPr="00726423">
        <w:rPr>
          <w:rFonts w:ascii="Arial" w:hAnsi="Arial" w:cs="Arial"/>
          <w:color w:val="000000" w:themeColor="text1"/>
          <w:sz w:val="22"/>
          <w:szCs w:val="22"/>
        </w:rPr>
        <w:t xml:space="preserve"> IL-33-dependent</w:t>
      </w:r>
      <w:r w:rsidR="00915275" w:rsidRPr="00726423">
        <w:rPr>
          <w:rFonts w:ascii="Arial" w:hAnsi="Arial" w:cs="Arial"/>
          <w:color w:val="000000" w:themeColor="text1"/>
          <w:sz w:val="22"/>
          <w:szCs w:val="22"/>
        </w:rPr>
        <w:t xml:space="preserve"> acute lung inflammation model induced by extracts of </w:t>
      </w:r>
      <w:r w:rsidR="004D210F" w:rsidRPr="00726423">
        <w:rPr>
          <w:rFonts w:ascii="Arial" w:hAnsi="Arial" w:cs="Arial"/>
          <w:i/>
          <w:iCs/>
          <w:color w:val="000000" w:themeColor="text1"/>
          <w:sz w:val="22"/>
          <w:szCs w:val="22"/>
        </w:rPr>
        <w:t>A</w:t>
      </w:r>
      <w:r w:rsidR="00915275" w:rsidRPr="00726423">
        <w:rPr>
          <w:rFonts w:ascii="Arial" w:hAnsi="Arial" w:cs="Arial"/>
          <w:i/>
          <w:iCs/>
          <w:color w:val="000000" w:themeColor="text1"/>
          <w:sz w:val="22"/>
          <w:szCs w:val="22"/>
        </w:rPr>
        <w:t xml:space="preserve">lternaria </w:t>
      </w:r>
      <w:proofErr w:type="spellStart"/>
      <w:r w:rsidR="00915275" w:rsidRPr="00726423">
        <w:rPr>
          <w:rFonts w:ascii="Arial" w:hAnsi="Arial" w:cs="Arial"/>
          <w:i/>
          <w:iCs/>
          <w:color w:val="000000" w:themeColor="text1"/>
          <w:sz w:val="22"/>
          <w:szCs w:val="22"/>
        </w:rPr>
        <w:t>alternata</w:t>
      </w:r>
      <w:proofErr w:type="spellEnd"/>
      <w:r w:rsidR="00915275" w:rsidRPr="00726423">
        <w:rPr>
          <w:rFonts w:ascii="Arial" w:hAnsi="Arial" w:cs="Arial"/>
          <w:color w:val="000000" w:themeColor="text1"/>
          <w:sz w:val="22"/>
          <w:szCs w:val="22"/>
        </w:rPr>
        <w:t xml:space="preserve"> (A.A.), </w:t>
      </w:r>
      <w:r w:rsidR="004D210F" w:rsidRPr="00726423">
        <w:rPr>
          <w:rFonts w:ascii="Arial" w:hAnsi="Arial" w:cs="Arial"/>
          <w:color w:val="000000" w:themeColor="text1"/>
          <w:sz w:val="22"/>
          <w:szCs w:val="22"/>
          <w:lang w:eastAsia="en-GB"/>
        </w:rPr>
        <w:t>an</w:t>
      </w:r>
      <w:r w:rsidR="00915275" w:rsidRPr="00726423">
        <w:rPr>
          <w:rFonts w:ascii="Arial" w:hAnsi="Arial" w:cs="Arial"/>
          <w:color w:val="000000" w:themeColor="text1"/>
          <w:sz w:val="22"/>
          <w:szCs w:val="22"/>
          <w:lang w:eastAsia="en-GB"/>
        </w:rPr>
        <w:t xml:space="preserve"> airborne fung</w:t>
      </w:r>
      <w:r w:rsidRPr="00726423">
        <w:rPr>
          <w:rFonts w:ascii="Arial" w:hAnsi="Arial" w:cs="Arial"/>
          <w:color w:val="000000" w:themeColor="text1"/>
          <w:sz w:val="22"/>
          <w:szCs w:val="22"/>
          <w:lang w:eastAsia="en-GB"/>
        </w:rPr>
        <w:t>us</w:t>
      </w:r>
      <w:r w:rsidR="00915275" w:rsidRPr="00726423">
        <w:rPr>
          <w:rFonts w:ascii="Arial" w:hAnsi="Arial" w:cs="Arial"/>
          <w:color w:val="000000" w:themeColor="text1"/>
          <w:sz w:val="22"/>
          <w:szCs w:val="22"/>
          <w:lang w:eastAsia="en-GB"/>
        </w:rPr>
        <w:t xml:space="preserve"> </w:t>
      </w:r>
      <w:r w:rsidR="00915275" w:rsidRPr="00726423">
        <w:rPr>
          <w:rFonts w:ascii="Arial" w:hAnsi="Arial" w:cs="Arial"/>
          <w:color w:val="000000" w:themeColor="text1"/>
          <w:sz w:val="22"/>
          <w:szCs w:val="22"/>
        </w:rPr>
        <w:t xml:space="preserve">that can </w:t>
      </w:r>
      <w:r w:rsidRPr="00726423">
        <w:rPr>
          <w:rFonts w:ascii="Arial" w:hAnsi="Arial" w:cs="Arial"/>
          <w:color w:val="000000" w:themeColor="text1"/>
          <w:sz w:val="22"/>
          <w:szCs w:val="22"/>
        </w:rPr>
        <w:t>promote the development of</w:t>
      </w:r>
      <w:r w:rsidR="00915275" w:rsidRPr="00726423">
        <w:rPr>
          <w:rFonts w:ascii="Arial" w:hAnsi="Arial" w:cs="Arial"/>
          <w:color w:val="000000" w:themeColor="text1"/>
          <w:sz w:val="22"/>
          <w:szCs w:val="22"/>
        </w:rPr>
        <w:t xml:space="preserve"> allergic diseases like asthma and eczema</w:t>
      </w:r>
      <w:r w:rsidR="007D7338"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{"citationID":"a20t50gbq8","properties":{"formattedCitation":"\\super 34\\nosupersub{}","plainCitation":"34","noteIndex":0},"citationItems":[{"id":1844,"uris":["http://zotero.org/users/local/OCWppIAO/items/IQJL4RBK"],"itemData":{"id":1844,"type":"article-journal","abstract":"BACKGROUND: The fungal allergen Alternaria alternata is implicated in severe asthma and rapid onset life-threatening exacerbations of disease. However, the mechanisms that underlie this severe pathogenicity remain unclear.\nOBJECTIVE: We sought to investigate the mechanism whereby Alternaria was capable of initiating severe, rapid onset allergic inflammation.\nMETHODS: IL-33 levels were quantified in wild-type and ST2(-/-) mice that lacked the IL-33 receptor given inhaled house dust mite, cat dander, or Alternaria, and the effect of inhibiting allergen-specific protease activities on IL-33 levels was assessed. An exacerbation model of allergic airway disease was established whereby mice were sensitized with house dust mite before subsequently being challenged with Alternaria (with or without serine protease activity), and inflammation, remodeling, and lung function assessed 24 hours later.\nRESULTS: Alternaria, but not other common aeroallergens, possessed intrinsic serine protease activity that elicited the rapid release of IL-33 into the airways of mice through a mechanism that was dependent upon the activation of protease activated receptor-2 and adenosine triphosphate signaling. The unique capacity of Alternaria to drive this early IL-33 release resulted in a greater pulmonary inflammation by 24 hours after challenge relative to the common aeroallergen house dust mite. Furthermore, this Alternaria serine protease-IL-33 axis triggered a rapid, augmented inflammation, mucus release, and loss of lung function in our exacerbation model.\nCONCLUSION: Alternaria-specific serine protease activity causes rapid IL-33 release, which underlies the development of a robust TH2 inflammation and exacerbation of allergic airway disease.","container-title":"The Journal of Allergy and Clinical Immunology","DOI":"10.1016/j.jaci.2014.02.002","ISSN":"1097-6825","issue":"3","journalAbbreviation":"J Allergy Clin Immunol","language":"eng","note":"PMID: 24636086\nPMCID: PMC4152000","page":"583-592.e6","source":"PubMed","title":"Alternaria-derived serine protease activity drives IL-33-mediated asthma exacerbations","volume":"134","author":[{"family":"Snelgrove","given":"Robert J."},{"family":"Gregory","given":"Lisa G."},{"family":"Peiró","given":"Teresa"},{"family":"Akthar","given":"Samia"},{"family":"Campbell","given":"Gaynor A."},{"family":"Walker","given":"Simone A."},{"family":"Lloyd","given":"Clare M."}],"issued":{"date-parts":[["2014",9]]}}}],"schema":"https://github.com/citation-style-language/schema/raw/master/csl-citation.json"} </w:instrText>
      </w:r>
      <w:r w:rsidR="007D7338"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34</w:t>
      </w:r>
      <w:r w:rsidR="007D7338" w:rsidRPr="00726423">
        <w:rPr>
          <w:rFonts w:ascii="Arial" w:hAnsi="Arial" w:cs="Arial"/>
          <w:color w:val="000000" w:themeColor="text1"/>
          <w:sz w:val="22"/>
          <w:szCs w:val="22"/>
        </w:rPr>
        <w:fldChar w:fldCharType="end"/>
      </w:r>
      <w:r w:rsidR="00915275" w:rsidRPr="00726423">
        <w:rPr>
          <w:rFonts w:ascii="Arial" w:hAnsi="Arial" w:cs="Arial"/>
          <w:color w:val="000000" w:themeColor="text1"/>
          <w:sz w:val="22"/>
          <w:szCs w:val="22"/>
        </w:rPr>
        <w:t>. Similarly, co-administration of the EP4</w:t>
      </w:r>
      <w:r w:rsidR="005D3CBF" w:rsidRPr="00726423">
        <w:rPr>
          <w:rFonts w:ascii="Arial" w:hAnsi="Arial" w:cs="Arial"/>
          <w:color w:val="000000" w:themeColor="text1"/>
          <w:sz w:val="22"/>
          <w:szCs w:val="22"/>
        </w:rPr>
        <w:t>, but not EP2,</w:t>
      </w:r>
      <w:r w:rsidR="00915275" w:rsidRPr="00726423">
        <w:rPr>
          <w:rFonts w:ascii="Arial" w:hAnsi="Arial" w:cs="Arial"/>
          <w:color w:val="000000" w:themeColor="text1"/>
          <w:sz w:val="22"/>
          <w:szCs w:val="22"/>
        </w:rPr>
        <w:t xml:space="preserve"> agonist significantly </w:t>
      </w:r>
      <w:r w:rsidR="00D17E91" w:rsidRPr="00726423">
        <w:rPr>
          <w:rFonts w:ascii="Arial" w:hAnsi="Arial" w:cs="Arial"/>
          <w:color w:val="000000" w:themeColor="text1"/>
          <w:sz w:val="22"/>
          <w:szCs w:val="22"/>
        </w:rPr>
        <w:lastRenderedPageBreak/>
        <w:t>diminished</w:t>
      </w:r>
      <w:r w:rsidR="00915275" w:rsidRPr="00726423">
        <w:rPr>
          <w:rFonts w:ascii="Arial" w:hAnsi="Arial" w:cs="Arial"/>
          <w:color w:val="000000" w:themeColor="text1"/>
          <w:sz w:val="22"/>
          <w:szCs w:val="22"/>
        </w:rPr>
        <w:t xml:space="preserve"> IL-13 production from lung ILC2s</w:t>
      </w:r>
      <w:r w:rsidR="0030621F" w:rsidRPr="00726423">
        <w:rPr>
          <w:rFonts w:ascii="Arial" w:hAnsi="Arial" w:cs="Arial"/>
          <w:color w:val="000000" w:themeColor="text1"/>
          <w:sz w:val="22"/>
          <w:szCs w:val="22"/>
        </w:rPr>
        <w:t xml:space="preserve"> (</w:t>
      </w:r>
      <w:r w:rsidR="0030621F" w:rsidRPr="00726423">
        <w:rPr>
          <w:rFonts w:ascii="Arial" w:hAnsi="Arial" w:cs="Arial"/>
          <w:b/>
          <w:bCs/>
          <w:color w:val="000000" w:themeColor="text1"/>
          <w:sz w:val="22"/>
          <w:szCs w:val="22"/>
        </w:rPr>
        <w:t xml:space="preserve">Fig </w:t>
      </w:r>
      <w:r w:rsidR="00E12859" w:rsidRPr="00726423">
        <w:rPr>
          <w:rFonts w:ascii="Arial" w:hAnsi="Arial" w:cs="Arial"/>
          <w:b/>
          <w:bCs/>
          <w:color w:val="000000" w:themeColor="text1"/>
          <w:sz w:val="22"/>
          <w:szCs w:val="22"/>
        </w:rPr>
        <w:t>4</w:t>
      </w:r>
      <w:r w:rsidR="00EA5C9D" w:rsidRPr="00726423">
        <w:rPr>
          <w:rFonts w:ascii="Arial" w:hAnsi="Arial" w:cs="Arial"/>
          <w:b/>
          <w:bCs/>
          <w:color w:val="000000" w:themeColor="text1"/>
          <w:sz w:val="22"/>
          <w:szCs w:val="22"/>
        </w:rPr>
        <w:t>A-C</w:t>
      </w:r>
      <w:r w:rsidR="0030621F" w:rsidRPr="00726423">
        <w:rPr>
          <w:rFonts w:ascii="Arial" w:hAnsi="Arial" w:cs="Arial"/>
          <w:color w:val="000000" w:themeColor="text1"/>
          <w:sz w:val="22"/>
          <w:szCs w:val="22"/>
        </w:rPr>
        <w:t>). Of note, EP4 agonist</w:t>
      </w:r>
      <w:r w:rsidR="005D3CBF" w:rsidRPr="00726423">
        <w:rPr>
          <w:rFonts w:ascii="Arial" w:hAnsi="Arial" w:cs="Arial"/>
          <w:color w:val="000000" w:themeColor="text1"/>
          <w:sz w:val="22"/>
          <w:szCs w:val="22"/>
        </w:rPr>
        <w:t xml:space="preserve"> alone</w:t>
      </w:r>
      <w:r w:rsidR="0030621F" w:rsidRPr="00726423">
        <w:rPr>
          <w:rFonts w:ascii="Arial" w:hAnsi="Arial" w:cs="Arial"/>
          <w:color w:val="000000" w:themeColor="text1"/>
          <w:sz w:val="22"/>
          <w:szCs w:val="22"/>
        </w:rPr>
        <w:t xml:space="preserve"> did not reduce IL-5 expression in ILC2s, possibly due to the short</w:t>
      </w:r>
      <w:r w:rsidR="0058657E" w:rsidRPr="00726423">
        <w:rPr>
          <w:rFonts w:ascii="Arial" w:hAnsi="Arial" w:cs="Arial"/>
          <w:color w:val="000000" w:themeColor="text1"/>
          <w:sz w:val="22"/>
          <w:szCs w:val="22"/>
        </w:rPr>
        <w:t>-</w:t>
      </w:r>
      <w:r w:rsidR="0030621F" w:rsidRPr="00726423">
        <w:rPr>
          <w:rFonts w:ascii="Arial" w:hAnsi="Arial" w:cs="Arial"/>
          <w:color w:val="000000" w:themeColor="text1"/>
          <w:sz w:val="22"/>
          <w:szCs w:val="22"/>
        </w:rPr>
        <w:t>term treatment (24 h) (</w:t>
      </w:r>
      <w:r w:rsidR="0030621F" w:rsidRPr="00726423">
        <w:rPr>
          <w:rFonts w:ascii="Arial" w:hAnsi="Arial" w:cs="Arial"/>
          <w:b/>
          <w:bCs/>
          <w:color w:val="000000" w:themeColor="text1"/>
          <w:sz w:val="22"/>
          <w:szCs w:val="22"/>
        </w:rPr>
        <w:t xml:space="preserve">Fig </w:t>
      </w:r>
      <w:r w:rsidR="00E12859" w:rsidRPr="00726423">
        <w:rPr>
          <w:rFonts w:ascii="Arial" w:hAnsi="Arial" w:cs="Arial"/>
          <w:b/>
          <w:bCs/>
          <w:color w:val="000000" w:themeColor="text1"/>
          <w:sz w:val="22"/>
          <w:szCs w:val="22"/>
        </w:rPr>
        <w:t>4</w:t>
      </w:r>
      <w:r w:rsidR="00EA5C9D" w:rsidRPr="00726423">
        <w:rPr>
          <w:rFonts w:ascii="Arial" w:hAnsi="Arial" w:cs="Arial"/>
          <w:b/>
          <w:bCs/>
          <w:color w:val="000000" w:themeColor="text1"/>
          <w:sz w:val="22"/>
          <w:szCs w:val="22"/>
        </w:rPr>
        <w:t>A-C</w:t>
      </w:r>
      <w:r w:rsidR="0030621F" w:rsidRPr="00726423">
        <w:rPr>
          <w:rFonts w:ascii="Arial" w:hAnsi="Arial" w:cs="Arial"/>
          <w:color w:val="000000" w:themeColor="text1"/>
          <w:sz w:val="22"/>
          <w:szCs w:val="22"/>
        </w:rPr>
        <w:t>).</w:t>
      </w:r>
      <w:r w:rsidR="005D3CBF" w:rsidRPr="00726423">
        <w:rPr>
          <w:rFonts w:ascii="Arial" w:hAnsi="Arial" w:cs="Arial"/>
          <w:color w:val="000000" w:themeColor="text1"/>
          <w:sz w:val="22"/>
          <w:szCs w:val="22"/>
        </w:rPr>
        <w:t xml:space="preserve"> However, co-administration of EP2 and EP4 agonists reduced </w:t>
      </w:r>
      <w:r w:rsidR="00BB5CEE" w:rsidRPr="00726423">
        <w:rPr>
          <w:rFonts w:ascii="Arial" w:hAnsi="Arial" w:cs="Arial"/>
          <w:color w:val="000000" w:themeColor="text1"/>
          <w:sz w:val="22"/>
          <w:szCs w:val="22"/>
        </w:rPr>
        <w:t xml:space="preserve">both </w:t>
      </w:r>
      <w:r w:rsidR="00EA5C9D" w:rsidRPr="00726423">
        <w:rPr>
          <w:rFonts w:ascii="Arial" w:hAnsi="Arial" w:cs="Arial"/>
          <w:color w:val="000000" w:themeColor="text1"/>
          <w:sz w:val="22"/>
          <w:szCs w:val="22"/>
        </w:rPr>
        <w:t xml:space="preserve">IL-5 and IL-13 </w:t>
      </w:r>
      <w:r w:rsidR="00BB5CEE" w:rsidRPr="00726423">
        <w:rPr>
          <w:rFonts w:ascii="Arial" w:hAnsi="Arial" w:cs="Arial"/>
          <w:color w:val="000000" w:themeColor="text1"/>
          <w:sz w:val="22"/>
          <w:szCs w:val="22"/>
        </w:rPr>
        <w:t xml:space="preserve">production from ILC2s </w:t>
      </w:r>
      <w:r w:rsidR="00EA5C9D" w:rsidRPr="00726423">
        <w:rPr>
          <w:rFonts w:ascii="Arial" w:hAnsi="Arial" w:cs="Arial"/>
          <w:color w:val="000000" w:themeColor="text1"/>
          <w:sz w:val="22"/>
          <w:szCs w:val="22"/>
        </w:rPr>
        <w:t xml:space="preserve">at </w:t>
      </w:r>
      <w:r w:rsidR="009543E7" w:rsidRPr="00726423">
        <w:rPr>
          <w:rFonts w:ascii="Arial" w:hAnsi="Arial" w:cs="Arial"/>
          <w:color w:val="000000" w:themeColor="text1"/>
          <w:sz w:val="22"/>
          <w:szCs w:val="22"/>
        </w:rPr>
        <w:t xml:space="preserve">the </w:t>
      </w:r>
      <w:r w:rsidR="00EA5C9D" w:rsidRPr="00726423">
        <w:rPr>
          <w:rFonts w:ascii="Arial" w:hAnsi="Arial" w:cs="Arial"/>
          <w:color w:val="000000" w:themeColor="text1"/>
          <w:sz w:val="22"/>
          <w:szCs w:val="22"/>
        </w:rPr>
        <w:t>single cell level (</w:t>
      </w:r>
      <w:r w:rsidR="00EA5C9D" w:rsidRPr="00726423">
        <w:rPr>
          <w:rFonts w:ascii="Arial" w:hAnsi="Arial" w:cs="Arial"/>
          <w:b/>
          <w:bCs/>
          <w:color w:val="000000" w:themeColor="text1"/>
          <w:sz w:val="22"/>
          <w:szCs w:val="22"/>
        </w:rPr>
        <w:t xml:space="preserve">Fig </w:t>
      </w:r>
      <w:r w:rsidR="00E12859" w:rsidRPr="00726423">
        <w:rPr>
          <w:rFonts w:ascii="Arial" w:hAnsi="Arial" w:cs="Arial"/>
          <w:b/>
          <w:bCs/>
          <w:color w:val="000000" w:themeColor="text1"/>
          <w:sz w:val="22"/>
          <w:szCs w:val="22"/>
        </w:rPr>
        <w:t>4</w:t>
      </w:r>
      <w:r w:rsidR="00EA5C9D" w:rsidRPr="00726423">
        <w:rPr>
          <w:rFonts w:ascii="Arial" w:hAnsi="Arial" w:cs="Arial"/>
          <w:b/>
          <w:bCs/>
          <w:color w:val="000000" w:themeColor="text1"/>
          <w:sz w:val="22"/>
          <w:szCs w:val="22"/>
        </w:rPr>
        <w:t>D</w:t>
      </w:r>
      <w:r w:rsidR="00EA5C9D" w:rsidRPr="00726423">
        <w:rPr>
          <w:rFonts w:ascii="Arial" w:hAnsi="Arial" w:cs="Arial"/>
          <w:color w:val="000000" w:themeColor="text1"/>
          <w:sz w:val="22"/>
          <w:szCs w:val="22"/>
        </w:rPr>
        <w:t>)</w:t>
      </w:r>
      <w:r w:rsidR="005D3CBF" w:rsidRPr="00726423">
        <w:rPr>
          <w:rFonts w:ascii="Arial" w:hAnsi="Arial" w:cs="Arial"/>
          <w:color w:val="000000" w:themeColor="text1"/>
          <w:sz w:val="22"/>
          <w:szCs w:val="22"/>
        </w:rPr>
        <w:t>.</w:t>
      </w:r>
      <w:r w:rsidR="0030621F" w:rsidRPr="00726423">
        <w:rPr>
          <w:rFonts w:ascii="Arial" w:hAnsi="Arial" w:cs="Arial"/>
          <w:color w:val="000000" w:themeColor="text1"/>
          <w:sz w:val="22"/>
          <w:szCs w:val="22"/>
        </w:rPr>
        <w:t xml:space="preserve"> </w:t>
      </w:r>
      <w:r w:rsidR="00EA5C9D" w:rsidRPr="00726423">
        <w:rPr>
          <w:rFonts w:ascii="Arial" w:hAnsi="Arial" w:cs="Arial"/>
          <w:color w:val="000000" w:themeColor="text1"/>
          <w:sz w:val="22"/>
          <w:szCs w:val="22"/>
        </w:rPr>
        <w:t>Consistently, exogenous activation of EP4 or both EP2 and EP4 markedly prevented A.A.-dependent accumulation of eosinophils to the lung (</w:t>
      </w:r>
      <w:r w:rsidR="00EA5C9D" w:rsidRPr="00726423">
        <w:rPr>
          <w:rFonts w:ascii="Arial" w:hAnsi="Arial" w:cs="Arial"/>
          <w:b/>
          <w:bCs/>
          <w:color w:val="000000" w:themeColor="text1"/>
          <w:sz w:val="22"/>
          <w:szCs w:val="22"/>
        </w:rPr>
        <w:t xml:space="preserve">Fig </w:t>
      </w:r>
      <w:r w:rsidR="00E12859" w:rsidRPr="00726423">
        <w:rPr>
          <w:rFonts w:ascii="Arial" w:hAnsi="Arial" w:cs="Arial"/>
          <w:b/>
          <w:bCs/>
          <w:color w:val="000000" w:themeColor="text1"/>
          <w:sz w:val="22"/>
          <w:szCs w:val="22"/>
        </w:rPr>
        <w:t>4</w:t>
      </w:r>
      <w:r w:rsidR="00EA5C9D" w:rsidRPr="00726423">
        <w:rPr>
          <w:rFonts w:ascii="Arial" w:hAnsi="Arial" w:cs="Arial"/>
          <w:b/>
          <w:bCs/>
          <w:color w:val="000000" w:themeColor="text1"/>
          <w:sz w:val="22"/>
          <w:szCs w:val="22"/>
        </w:rPr>
        <w:t>E</w:t>
      </w:r>
      <w:r w:rsidR="00EA5C9D" w:rsidRPr="00726423">
        <w:rPr>
          <w:rFonts w:ascii="Arial" w:hAnsi="Arial" w:cs="Arial"/>
          <w:color w:val="000000" w:themeColor="text1"/>
          <w:sz w:val="22"/>
          <w:szCs w:val="22"/>
        </w:rPr>
        <w:t xml:space="preserve">). </w:t>
      </w:r>
      <w:r w:rsidR="0030621F" w:rsidRPr="00726423">
        <w:rPr>
          <w:rFonts w:ascii="Arial" w:hAnsi="Arial" w:cs="Arial"/>
          <w:color w:val="000000" w:themeColor="text1"/>
          <w:sz w:val="22"/>
          <w:szCs w:val="22"/>
        </w:rPr>
        <w:t xml:space="preserve">These results indicate that exogenous activation of EP4 effectively </w:t>
      </w:r>
      <w:r w:rsidR="00C66ED5" w:rsidRPr="00726423">
        <w:rPr>
          <w:rFonts w:ascii="Arial" w:hAnsi="Arial" w:cs="Arial"/>
          <w:color w:val="000000" w:themeColor="text1"/>
          <w:sz w:val="22"/>
          <w:szCs w:val="22"/>
        </w:rPr>
        <w:t>limits</w:t>
      </w:r>
      <w:r w:rsidR="0030621F" w:rsidRPr="00726423">
        <w:rPr>
          <w:rFonts w:ascii="Arial" w:hAnsi="Arial" w:cs="Arial"/>
          <w:color w:val="000000" w:themeColor="text1"/>
          <w:sz w:val="22"/>
          <w:szCs w:val="22"/>
        </w:rPr>
        <w:t xml:space="preserve"> ILC2 </w:t>
      </w:r>
      <w:r w:rsidR="003D356D" w:rsidRPr="00726423">
        <w:rPr>
          <w:rFonts w:ascii="Arial" w:hAnsi="Arial" w:cs="Arial"/>
          <w:color w:val="000000" w:themeColor="text1"/>
          <w:sz w:val="22"/>
          <w:szCs w:val="22"/>
        </w:rPr>
        <w:t>responses and lung</w:t>
      </w:r>
      <w:r w:rsidR="0030621F" w:rsidRPr="00726423">
        <w:rPr>
          <w:rFonts w:ascii="Arial" w:hAnsi="Arial" w:cs="Arial"/>
          <w:color w:val="000000" w:themeColor="text1"/>
          <w:sz w:val="22"/>
          <w:szCs w:val="22"/>
        </w:rPr>
        <w:t xml:space="preserve"> inflammation.</w:t>
      </w:r>
    </w:p>
    <w:p w14:paraId="4512C38F" w14:textId="77777777" w:rsidR="00EA5C9D" w:rsidRPr="00726423" w:rsidRDefault="00EA5C9D" w:rsidP="00AF01E8">
      <w:pPr>
        <w:spacing w:line="480" w:lineRule="auto"/>
        <w:jc w:val="both"/>
        <w:rPr>
          <w:rFonts w:ascii="Arial" w:hAnsi="Arial" w:cs="Arial"/>
          <w:color w:val="000000" w:themeColor="text1"/>
          <w:sz w:val="22"/>
          <w:szCs w:val="22"/>
        </w:rPr>
      </w:pPr>
    </w:p>
    <w:p w14:paraId="02605FBE" w14:textId="1106A635" w:rsidR="00D01D92" w:rsidRPr="00726423" w:rsidRDefault="00C4045A" w:rsidP="00AF01E8">
      <w:pPr>
        <w:spacing w:line="480" w:lineRule="auto"/>
        <w:jc w:val="both"/>
        <w:rPr>
          <w:rFonts w:ascii="Arial" w:hAnsi="Arial" w:cs="Arial"/>
          <w:b/>
          <w:bCs/>
          <w:color w:val="000000" w:themeColor="text1"/>
          <w:sz w:val="22"/>
          <w:szCs w:val="22"/>
        </w:rPr>
      </w:pPr>
      <w:r w:rsidRPr="00726423">
        <w:rPr>
          <w:rFonts w:ascii="Arial" w:hAnsi="Arial" w:cs="Arial"/>
          <w:b/>
          <w:bCs/>
          <w:color w:val="000000" w:themeColor="text1"/>
          <w:sz w:val="22"/>
          <w:szCs w:val="22"/>
        </w:rPr>
        <w:t>PGE</w:t>
      </w:r>
      <w:r w:rsidRPr="00726423">
        <w:rPr>
          <w:rFonts w:ascii="Arial" w:hAnsi="Arial" w:cs="Arial"/>
          <w:b/>
          <w:bCs/>
          <w:color w:val="000000" w:themeColor="text1"/>
          <w:sz w:val="22"/>
          <w:szCs w:val="22"/>
          <w:vertAlign w:val="subscript"/>
        </w:rPr>
        <w:t>2</w:t>
      </w:r>
      <w:r w:rsidRPr="00726423">
        <w:rPr>
          <w:rFonts w:ascii="Arial" w:hAnsi="Arial" w:cs="Arial"/>
          <w:b/>
          <w:bCs/>
          <w:color w:val="000000" w:themeColor="text1"/>
          <w:sz w:val="22"/>
          <w:szCs w:val="22"/>
        </w:rPr>
        <w:t xml:space="preserve">-EP2/EP4-cAMP </w:t>
      </w:r>
      <w:proofErr w:type="spellStart"/>
      <w:r w:rsidR="00134A78" w:rsidRPr="00726423">
        <w:rPr>
          <w:rFonts w:ascii="Arial" w:hAnsi="Arial" w:cs="Arial"/>
          <w:b/>
          <w:bCs/>
          <w:color w:val="000000" w:themeColor="text1"/>
          <w:sz w:val="22"/>
          <w:szCs w:val="22"/>
        </w:rPr>
        <w:t>signaling</w:t>
      </w:r>
      <w:proofErr w:type="spellEnd"/>
      <w:r w:rsidRPr="00726423">
        <w:rPr>
          <w:rFonts w:ascii="Arial" w:hAnsi="Arial" w:cs="Arial"/>
          <w:b/>
          <w:bCs/>
          <w:color w:val="000000" w:themeColor="text1"/>
          <w:sz w:val="22"/>
          <w:szCs w:val="22"/>
        </w:rPr>
        <w:t xml:space="preserve"> </w:t>
      </w:r>
      <w:r w:rsidR="00EB367C" w:rsidRPr="00726423">
        <w:rPr>
          <w:rFonts w:ascii="Arial" w:hAnsi="Arial" w:cs="Arial"/>
          <w:b/>
          <w:bCs/>
          <w:color w:val="000000" w:themeColor="text1"/>
          <w:sz w:val="22"/>
          <w:szCs w:val="22"/>
        </w:rPr>
        <w:t xml:space="preserve">directly </w:t>
      </w:r>
      <w:r w:rsidRPr="00726423">
        <w:rPr>
          <w:rFonts w:ascii="Arial" w:hAnsi="Arial" w:cs="Arial"/>
          <w:b/>
          <w:bCs/>
          <w:color w:val="000000" w:themeColor="text1"/>
          <w:sz w:val="22"/>
          <w:szCs w:val="22"/>
        </w:rPr>
        <w:t xml:space="preserve">inhibits ILC2 activation </w:t>
      </w:r>
      <w:r w:rsidRPr="00726423">
        <w:rPr>
          <w:rFonts w:ascii="Arial" w:hAnsi="Arial" w:cs="Arial"/>
          <w:b/>
          <w:bCs/>
          <w:i/>
          <w:iCs/>
          <w:color w:val="000000" w:themeColor="text1"/>
          <w:sz w:val="22"/>
          <w:szCs w:val="22"/>
        </w:rPr>
        <w:t>in vitro</w:t>
      </w:r>
      <w:r w:rsidR="00640DA4" w:rsidRPr="00726423">
        <w:rPr>
          <w:rFonts w:ascii="Arial" w:hAnsi="Arial" w:cs="Arial"/>
          <w:b/>
          <w:bCs/>
          <w:color w:val="000000" w:themeColor="text1"/>
          <w:sz w:val="22"/>
          <w:szCs w:val="22"/>
        </w:rPr>
        <w:t>.</w:t>
      </w:r>
    </w:p>
    <w:p w14:paraId="1EC48C5F" w14:textId="7B396C98" w:rsidR="0027320D" w:rsidRPr="00726423" w:rsidRDefault="009722FB" w:rsidP="00AF01E8">
      <w:pPr>
        <w:spacing w:line="480" w:lineRule="auto"/>
        <w:jc w:val="both"/>
        <w:rPr>
          <w:rFonts w:ascii="Arial" w:hAnsi="Arial" w:cs="Arial"/>
          <w:color w:val="000000" w:themeColor="text1"/>
          <w:sz w:val="22"/>
          <w:szCs w:val="22"/>
        </w:rPr>
      </w:pPr>
      <w:r w:rsidRPr="00726423">
        <w:rPr>
          <w:rFonts w:ascii="Arial" w:hAnsi="Arial" w:cs="Arial"/>
          <w:color w:val="000000" w:themeColor="text1"/>
          <w:sz w:val="22"/>
          <w:szCs w:val="22"/>
        </w:rPr>
        <w:t>We next examined the underlying mechanisms for PGE</w:t>
      </w:r>
      <w:r w:rsidRPr="00726423">
        <w:rPr>
          <w:rFonts w:ascii="Arial" w:hAnsi="Arial" w:cs="Arial"/>
          <w:color w:val="000000" w:themeColor="text1"/>
          <w:sz w:val="22"/>
          <w:szCs w:val="22"/>
          <w:vertAlign w:val="subscript"/>
        </w:rPr>
        <w:t>2</w:t>
      </w:r>
      <w:r w:rsidRPr="00726423">
        <w:rPr>
          <w:rFonts w:ascii="Arial" w:hAnsi="Arial" w:cs="Arial"/>
          <w:color w:val="000000" w:themeColor="text1"/>
          <w:sz w:val="22"/>
          <w:szCs w:val="22"/>
        </w:rPr>
        <w:t xml:space="preserve"> suppression of ILC2 responses </w:t>
      </w:r>
      <w:r w:rsidRPr="00726423">
        <w:rPr>
          <w:rFonts w:ascii="Arial" w:hAnsi="Arial" w:cs="Arial"/>
          <w:i/>
          <w:iCs/>
          <w:color w:val="000000" w:themeColor="text1"/>
          <w:sz w:val="22"/>
          <w:szCs w:val="22"/>
        </w:rPr>
        <w:t>in vitro</w:t>
      </w:r>
      <w:r w:rsidRPr="00726423">
        <w:rPr>
          <w:rFonts w:ascii="Arial" w:hAnsi="Arial" w:cs="Arial"/>
          <w:color w:val="000000" w:themeColor="text1"/>
          <w:sz w:val="22"/>
          <w:szCs w:val="22"/>
        </w:rPr>
        <w:t>. To this end, w</w:t>
      </w:r>
      <w:r w:rsidR="00032455" w:rsidRPr="00726423">
        <w:rPr>
          <w:rFonts w:ascii="Arial" w:hAnsi="Arial" w:cs="Arial"/>
          <w:color w:val="000000" w:themeColor="text1"/>
          <w:sz w:val="22"/>
          <w:szCs w:val="22"/>
        </w:rPr>
        <w:t>e stimulated whole</w:t>
      </w:r>
      <w:r w:rsidR="00C4045A" w:rsidRPr="00726423">
        <w:rPr>
          <w:rFonts w:ascii="Arial" w:hAnsi="Arial" w:cs="Arial"/>
          <w:color w:val="000000" w:themeColor="text1"/>
          <w:sz w:val="22"/>
          <w:szCs w:val="22"/>
        </w:rPr>
        <w:t xml:space="preserve"> lung or bone marrow cells isolated from</w:t>
      </w:r>
      <w:r w:rsidR="00032455" w:rsidRPr="00726423">
        <w:rPr>
          <w:rFonts w:ascii="Arial" w:hAnsi="Arial" w:cs="Arial"/>
          <w:color w:val="000000" w:themeColor="text1"/>
          <w:sz w:val="22"/>
          <w:szCs w:val="22"/>
        </w:rPr>
        <w:t xml:space="preserve"> </w:t>
      </w:r>
      <w:r w:rsidR="00AF05FE" w:rsidRPr="00726423">
        <w:rPr>
          <w:rFonts w:ascii="Arial" w:hAnsi="Arial" w:cs="Arial"/>
          <w:color w:val="000000" w:themeColor="text1"/>
          <w:sz w:val="22"/>
          <w:szCs w:val="22"/>
        </w:rPr>
        <w:t>Rag2</w:t>
      </w:r>
      <w:r w:rsidR="00AF05FE" w:rsidRPr="00726423">
        <w:rPr>
          <w:rFonts w:ascii="Arial" w:hAnsi="Arial" w:cs="Arial"/>
          <w:color w:val="000000" w:themeColor="text1"/>
          <w:sz w:val="22"/>
          <w:szCs w:val="22"/>
          <w:vertAlign w:val="superscript"/>
        </w:rPr>
        <w:t>-/-</w:t>
      </w:r>
      <w:r w:rsidR="00AF05FE" w:rsidRPr="00726423">
        <w:rPr>
          <w:rFonts w:ascii="Arial" w:hAnsi="Arial" w:cs="Arial"/>
          <w:color w:val="000000" w:themeColor="text1"/>
          <w:sz w:val="22"/>
          <w:szCs w:val="22"/>
        </w:rPr>
        <w:t xml:space="preserve"> </w:t>
      </w:r>
      <w:r w:rsidR="00C4045A" w:rsidRPr="00726423">
        <w:rPr>
          <w:rFonts w:ascii="Arial" w:hAnsi="Arial" w:cs="Arial"/>
          <w:color w:val="000000" w:themeColor="text1"/>
          <w:sz w:val="22"/>
          <w:szCs w:val="22"/>
        </w:rPr>
        <w:t xml:space="preserve">mice </w:t>
      </w:r>
      <w:r w:rsidR="00AF05FE" w:rsidRPr="00726423">
        <w:rPr>
          <w:rFonts w:ascii="Arial" w:hAnsi="Arial" w:cs="Arial"/>
          <w:color w:val="000000" w:themeColor="text1"/>
          <w:sz w:val="22"/>
          <w:szCs w:val="22"/>
        </w:rPr>
        <w:t>(</w:t>
      </w:r>
      <w:r w:rsidR="00A13E11" w:rsidRPr="00726423">
        <w:rPr>
          <w:rFonts w:ascii="Arial" w:hAnsi="Arial" w:cs="Arial"/>
          <w:color w:val="000000" w:themeColor="text1"/>
          <w:sz w:val="22"/>
          <w:szCs w:val="22"/>
        </w:rPr>
        <w:t xml:space="preserve">which have </w:t>
      </w:r>
      <w:r w:rsidR="00AF05FE" w:rsidRPr="00726423">
        <w:rPr>
          <w:rFonts w:ascii="Arial" w:hAnsi="Arial" w:cs="Arial"/>
          <w:color w:val="000000" w:themeColor="text1"/>
          <w:sz w:val="22"/>
          <w:szCs w:val="22"/>
        </w:rPr>
        <w:t xml:space="preserve">no T </w:t>
      </w:r>
      <w:r w:rsidR="00A13E11" w:rsidRPr="00726423">
        <w:rPr>
          <w:rFonts w:ascii="Arial" w:hAnsi="Arial" w:cs="Arial"/>
          <w:color w:val="000000" w:themeColor="text1"/>
          <w:sz w:val="22"/>
          <w:szCs w:val="22"/>
        </w:rPr>
        <w:t>or</w:t>
      </w:r>
      <w:r w:rsidR="00AF05FE" w:rsidRPr="00726423">
        <w:rPr>
          <w:rFonts w:ascii="Arial" w:hAnsi="Arial" w:cs="Arial"/>
          <w:color w:val="000000" w:themeColor="text1"/>
          <w:sz w:val="22"/>
          <w:szCs w:val="22"/>
        </w:rPr>
        <w:t xml:space="preserve"> B cells)</w:t>
      </w:r>
      <w:r w:rsidR="00032455" w:rsidRPr="00726423">
        <w:rPr>
          <w:rFonts w:ascii="Arial" w:hAnsi="Arial" w:cs="Arial"/>
          <w:color w:val="000000" w:themeColor="text1"/>
          <w:sz w:val="22"/>
          <w:szCs w:val="22"/>
        </w:rPr>
        <w:t xml:space="preserve"> </w:t>
      </w:r>
      <w:r w:rsidR="00AF05FE" w:rsidRPr="00726423">
        <w:rPr>
          <w:rFonts w:ascii="Arial" w:hAnsi="Arial" w:cs="Arial"/>
          <w:i/>
          <w:iCs/>
          <w:color w:val="000000" w:themeColor="text1"/>
          <w:sz w:val="22"/>
          <w:szCs w:val="22"/>
        </w:rPr>
        <w:t>in vitro</w:t>
      </w:r>
      <w:r w:rsidR="00AF05FE" w:rsidRPr="00726423">
        <w:rPr>
          <w:rFonts w:ascii="Arial" w:hAnsi="Arial" w:cs="Arial"/>
          <w:color w:val="000000" w:themeColor="text1"/>
          <w:sz w:val="22"/>
          <w:szCs w:val="22"/>
        </w:rPr>
        <w:t xml:space="preserve"> with IL-33</w:t>
      </w:r>
      <w:r w:rsidR="00C4045A" w:rsidRPr="00726423">
        <w:rPr>
          <w:rFonts w:ascii="Arial" w:hAnsi="Arial" w:cs="Arial"/>
          <w:color w:val="000000" w:themeColor="text1"/>
          <w:sz w:val="22"/>
          <w:szCs w:val="22"/>
        </w:rPr>
        <w:t>, IL-2 and IL-7</w:t>
      </w:r>
      <w:r w:rsidR="00AF05FE" w:rsidRPr="00726423">
        <w:rPr>
          <w:rFonts w:ascii="Arial" w:hAnsi="Arial" w:cs="Arial"/>
          <w:color w:val="000000" w:themeColor="text1"/>
          <w:sz w:val="22"/>
          <w:szCs w:val="22"/>
        </w:rPr>
        <w:t>.</w:t>
      </w:r>
      <w:r w:rsidR="00C4045A" w:rsidRPr="00726423">
        <w:rPr>
          <w:rFonts w:ascii="Arial" w:hAnsi="Arial" w:cs="Arial"/>
          <w:color w:val="000000" w:themeColor="text1"/>
          <w:sz w:val="22"/>
          <w:szCs w:val="22"/>
        </w:rPr>
        <w:t xml:space="preserve"> Th</w:t>
      </w:r>
      <w:r w:rsidR="0032079A" w:rsidRPr="00726423">
        <w:rPr>
          <w:rFonts w:ascii="Arial" w:hAnsi="Arial" w:cs="Arial"/>
          <w:color w:val="000000" w:themeColor="text1"/>
          <w:sz w:val="22"/>
          <w:szCs w:val="22"/>
        </w:rPr>
        <w:t>is</w:t>
      </w:r>
      <w:r w:rsidR="00C4045A" w:rsidRPr="00726423">
        <w:rPr>
          <w:rFonts w:ascii="Arial" w:hAnsi="Arial" w:cs="Arial"/>
          <w:color w:val="000000" w:themeColor="text1"/>
          <w:sz w:val="22"/>
          <w:szCs w:val="22"/>
        </w:rPr>
        <w:t xml:space="preserve"> cytokine cocktail induced production of type 2 cytokines in the supernatants after 3-5 days of culture (</w:t>
      </w:r>
      <w:r w:rsidR="00C4045A" w:rsidRPr="00726423">
        <w:rPr>
          <w:rFonts w:ascii="Arial" w:hAnsi="Arial" w:cs="Arial"/>
          <w:b/>
          <w:bCs/>
          <w:color w:val="000000" w:themeColor="text1"/>
          <w:sz w:val="22"/>
          <w:szCs w:val="22"/>
        </w:rPr>
        <w:t>Fig 5</w:t>
      </w:r>
      <w:proofErr w:type="gramStart"/>
      <w:r w:rsidR="00C4045A" w:rsidRPr="00726423">
        <w:rPr>
          <w:rFonts w:ascii="Arial" w:hAnsi="Arial" w:cs="Arial"/>
          <w:b/>
          <w:bCs/>
          <w:color w:val="000000" w:themeColor="text1"/>
          <w:sz w:val="22"/>
          <w:szCs w:val="22"/>
        </w:rPr>
        <w:t>A,B</w:t>
      </w:r>
      <w:proofErr w:type="gramEnd"/>
      <w:r w:rsidR="00C4045A" w:rsidRPr="00726423">
        <w:rPr>
          <w:rFonts w:ascii="Arial" w:hAnsi="Arial" w:cs="Arial"/>
          <w:color w:val="000000" w:themeColor="text1"/>
          <w:sz w:val="22"/>
          <w:szCs w:val="22"/>
        </w:rPr>
        <w:t>). As seen in human ILC2 cell cultures</w:t>
      </w:r>
      <w:r w:rsidR="00DB3127"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{"citationID":"a246d78gt7q","properties":{"formattedCitation":"\\super 23\\nosupersub{}","plainCitation":"23","noteIndex":0},"citationItems":[{"id":1662,"uris":["http://zotero.org/users/local/OCWppIAO/items/82L3FZJA"],"itemData":{"id":1662,"type":"article-journal","abstract":"BACKGROUND: Group 2 innate lymphoid cells (ILC2s) are involved in the initial phase of type 2 inflammation and can amplify allergic immune responses by orchestrating other type 2 immune cells. Prostaglandin (PG) E2 is a bioactive lipid that plays protective roles in the lung, particularly during allergic inflammation.\nOBJECTIVE: We set out to investigate how PGE2 regulates human ILC2 function.\nMETHODS: The effects of PGE2 on human ILC2 proliferation and intracellular cytokine and transcription factor expression were assessed by means of flow cytometry. Cytokine production was measured by using ELISA, and real-time quantitative PCR was performed to detect PGE2 receptor expression.\nRESULTS: PGE2 inhibited GATA-3 expression, as well as production of the type 2 cytokines IL-5 and IL-13, from human tonsillar and blood ILC2s in response to stimulation with a combination of IL-25, IL-33, thymic stromal lymphopoietin, and IL-2. Furthermore, PGE2 downregulated the expression of IL-2 receptor α (CD25). In line with this observation, PGE2 decreased ILC2 proliferation. These effects were mediated by the combined action of E-type prostanoid receptor (EP) 2 and EP4 receptors, which were specifically expressed on ILC2s.\nCONCLUSION: Our findings reveal that PGE2 limits ILC2 activation and propose that selective EP2 and EP4 receptor agonists might serve as a promising therapeutic approach in treating allergic diseases by suppressing ILC2 function.","container-title":"The Journal of Allergy and Clinical Immunology","DOI":"10.1016/j.jaci.2017.09.050","ISSN":"1097-6825","issue":"5","journalAbbreviation":"J Allergy Clin Immunol","language":"eng","note":"PMID: 29217133\nPMCID: PMC5929462","page":"1761-1773.e6","source":"PubMed","title":"Prostaglandin E2 suppresses human group 2 innate lymphoid cell function","volume":"141","author":[{"family":"Maric","given":"Jovana"},{"family":"Ravindran","given":"Avinash"},{"family":"Mazzurana","given":"Luca"},{"family":"Björklund","given":"Åsa K."},{"family":"Van Acker","given":"Aline"},{"family":"Rao","given":"Anna"},{"family":"Friberg","given":"Danielle"},{"family":"Dahlén","given":"Sven-Erik"},{"family":"Heinemann","given":"Akos"},{"family":"Konya","given":"Viktoria"},{"family":"Mjösberg","given":"Jenny"}],"issued":{"date-parts":[["2018",5]]}}}],"schema":"https://github.com/citation-style-language/schema/raw/master/csl-citation.json"} </w:instrText>
      </w:r>
      <w:r w:rsidR="00DB3127"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23</w:t>
      </w:r>
      <w:r w:rsidR="00DB3127" w:rsidRPr="00726423">
        <w:rPr>
          <w:rFonts w:ascii="Arial" w:hAnsi="Arial" w:cs="Arial"/>
          <w:color w:val="000000" w:themeColor="text1"/>
          <w:sz w:val="22"/>
          <w:szCs w:val="22"/>
        </w:rPr>
        <w:fldChar w:fldCharType="end"/>
      </w:r>
      <w:r w:rsidR="00C4045A" w:rsidRPr="00726423">
        <w:rPr>
          <w:rFonts w:ascii="Arial" w:hAnsi="Arial" w:cs="Arial"/>
          <w:color w:val="000000" w:themeColor="text1"/>
          <w:sz w:val="22"/>
          <w:szCs w:val="22"/>
        </w:rPr>
        <w:t>,</w:t>
      </w:r>
      <w:r w:rsidR="00AF05FE" w:rsidRPr="00726423">
        <w:rPr>
          <w:rFonts w:ascii="Arial" w:hAnsi="Arial" w:cs="Arial"/>
          <w:color w:val="000000" w:themeColor="text1"/>
          <w:sz w:val="22"/>
          <w:szCs w:val="22"/>
        </w:rPr>
        <w:t xml:space="preserve"> </w:t>
      </w:r>
      <w:r w:rsidR="00C4045A" w:rsidRPr="00726423">
        <w:rPr>
          <w:rFonts w:ascii="Arial" w:hAnsi="Arial" w:cs="Arial"/>
          <w:color w:val="000000" w:themeColor="text1"/>
          <w:sz w:val="22"/>
          <w:szCs w:val="22"/>
        </w:rPr>
        <w:t>a</w:t>
      </w:r>
      <w:r w:rsidR="00AF05FE" w:rsidRPr="00726423">
        <w:rPr>
          <w:rFonts w:ascii="Arial" w:hAnsi="Arial" w:cs="Arial"/>
          <w:color w:val="000000" w:themeColor="text1"/>
          <w:sz w:val="22"/>
          <w:szCs w:val="22"/>
        </w:rPr>
        <w:t>ddition of exogenous PGE</w:t>
      </w:r>
      <w:r w:rsidR="00AF05FE" w:rsidRPr="00726423">
        <w:rPr>
          <w:rFonts w:ascii="Arial" w:hAnsi="Arial" w:cs="Arial"/>
          <w:color w:val="000000" w:themeColor="text1"/>
          <w:sz w:val="22"/>
          <w:szCs w:val="22"/>
          <w:vertAlign w:val="subscript"/>
        </w:rPr>
        <w:t>2</w:t>
      </w:r>
      <w:r w:rsidR="00AF05FE" w:rsidRPr="00726423">
        <w:rPr>
          <w:rFonts w:ascii="Arial" w:hAnsi="Arial" w:cs="Arial"/>
          <w:color w:val="000000" w:themeColor="text1"/>
          <w:sz w:val="22"/>
          <w:szCs w:val="22"/>
        </w:rPr>
        <w:t xml:space="preserve"> significantly reduced IL-33-induced </w:t>
      </w:r>
      <w:r w:rsidR="00C4045A" w:rsidRPr="00726423">
        <w:rPr>
          <w:rFonts w:ascii="Arial" w:hAnsi="Arial" w:cs="Arial"/>
          <w:color w:val="000000" w:themeColor="text1"/>
          <w:sz w:val="22"/>
          <w:szCs w:val="22"/>
        </w:rPr>
        <w:t>IL-5 and IL-13 production (</w:t>
      </w:r>
      <w:r w:rsidR="00C4045A" w:rsidRPr="00726423">
        <w:rPr>
          <w:rFonts w:ascii="Arial" w:hAnsi="Arial" w:cs="Arial"/>
          <w:b/>
          <w:bCs/>
          <w:color w:val="000000" w:themeColor="text1"/>
          <w:sz w:val="22"/>
          <w:szCs w:val="22"/>
        </w:rPr>
        <w:t>Fig 5A,B</w:t>
      </w:r>
      <w:r w:rsidR="00C4045A" w:rsidRPr="00726423">
        <w:rPr>
          <w:rFonts w:ascii="Arial" w:hAnsi="Arial" w:cs="Arial"/>
          <w:color w:val="000000" w:themeColor="text1"/>
          <w:sz w:val="22"/>
          <w:szCs w:val="22"/>
        </w:rPr>
        <w:t xml:space="preserve">). Blocking </w:t>
      </w:r>
      <w:r w:rsidR="00F724AF" w:rsidRPr="00726423">
        <w:rPr>
          <w:rFonts w:ascii="Arial" w:hAnsi="Arial" w:cs="Arial"/>
          <w:color w:val="000000" w:themeColor="text1"/>
          <w:sz w:val="22"/>
          <w:szCs w:val="22"/>
        </w:rPr>
        <w:t xml:space="preserve">the </w:t>
      </w:r>
      <w:r w:rsidR="00C4045A" w:rsidRPr="00726423">
        <w:rPr>
          <w:rFonts w:ascii="Arial" w:hAnsi="Arial" w:cs="Arial"/>
          <w:color w:val="000000" w:themeColor="text1"/>
          <w:sz w:val="22"/>
          <w:szCs w:val="22"/>
        </w:rPr>
        <w:t xml:space="preserve">synthesis of endogenous PGs </w:t>
      </w:r>
      <w:r w:rsidR="00F724AF" w:rsidRPr="00726423">
        <w:rPr>
          <w:rFonts w:ascii="Arial" w:hAnsi="Arial" w:cs="Arial"/>
          <w:color w:val="000000" w:themeColor="text1"/>
          <w:sz w:val="22"/>
          <w:szCs w:val="22"/>
        </w:rPr>
        <w:t>with</w:t>
      </w:r>
      <w:r w:rsidR="00C4045A" w:rsidRPr="00726423">
        <w:rPr>
          <w:rFonts w:ascii="Arial" w:hAnsi="Arial" w:cs="Arial"/>
          <w:color w:val="000000" w:themeColor="text1"/>
          <w:sz w:val="22"/>
          <w:szCs w:val="22"/>
        </w:rPr>
        <w:t xml:space="preserve"> indomethacin had no effects on IL-5 and IL-13 production from lung cell cultures (</w:t>
      </w:r>
      <w:r w:rsidR="00C4045A" w:rsidRPr="00726423">
        <w:rPr>
          <w:rFonts w:ascii="Arial" w:hAnsi="Arial" w:cs="Arial"/>
          <w:b/>
          <w:bCs/>
          <w:color w:val="000000" w:themeColor="text1"/>
          <w:sz w:val="22"/>
          <w:szCs w:val="22"/>
        </w:rPr>
        <w:t>Fig 5A</w:t>
      </w:r>
      <w:r w:rsidR="00C4045A" w:rsidRPr="00726423">
        <w:rPr>
          <w:rFonts w:ascii="Arial" w:hAnsi="Arial" w:cs="Arial"/>
          <w:color w:val="000000" w:themeColor="text1"/>
          <w:sz w:val="22"/>
          <w:szCs w:val="22"/>
        </w:rPr>
        <w:t>) but significantly upregulated IL-13 production from whole bone marrow cell cultures (</w:t>
      </w:r>
      <w:r w:rsidR="00C4045A" w:rsidRPr="00726423">
        <w:rPr>
          <w:rFonts w:ascii="Arial" w:hAnsi="Arial" w:cs="Arial"/>
          <w:b/>
          <w:bCs/>
          <w:color w:val="000000" w:themeColor="text1"/>
          <w:sz w:val="22"/>
          <w:szCs w:val="22"/>
        </w:rPr>
        <w:t>Fig 5B</w:t>
      </w:r>
      <w:r w:rsidR="00C4045A" w:rsidRPr="00726423">
        <w:rPr>
          <w:rFonts w:ascii="Arial" w:hAnsi="Arial" w:cs="Arial"/>
          <w:color w:val="000000" w:themeColor="text1"/>
          <w:sz w:val="22"/>
          <w:szCs w:val="22"/>
        </w:rPr>
        <w:t xml:space="preserve">). </w:t>
      </w:r>
      <w:r w:rsidR="0027320D" w:rsidRPr="00726423">
        <w:rPr>
          <w:rFonts w:ascii="Arial" w:hAnsi="Arial" w:cs="Arial"/>
          <w:color w:val="000000" w:themeColor="text1"/>
          <w:sz w:val="22"/>
          <w:szCs w:val="22"/>
        </w:rPr>
        <w:t>The inhibitory effect of PGE</w:t>
      </w:r>
      <w:r w:rsidR="0027320D" w:rsidRPr="00726423">
        <w:rPr>
          <w:rFonts w:ascii="Arial" w:hAnsi="Arial" w:cs="Arial"/>
          <w:color w:val="000000" w:themeColor="text1"/>
          <w:sz w:val="22"/>
          <w:szCs w:val="22"/>
          <w:vertAlign w:val="subscript"/>
        </w:rPr>
        <w:t>2</w:t>
      </w:r>
      <w:r w:rsidR="0027320D" w:rsidRPr="00726423">
        <w:rPr>
          <w:rFonts w:ascii="Arial" w:hAnsi="Arial" w:cs="Arial"/>
          <w:color w:val="000000" w:themeColor="text1"/>
          <w:sz w:val="22"/>
          <w:szCs w:val="22"/>
        </w:rPr>
        <w:t xml:space="preserve"> on type 2 cytokine production was mimicked by an EP2 agonist and an EP4 agonist (</w:t>
      </w:r>
      <w:r w:rsidR="0027320D" w:rsidRPr="00726423">
        <w:rPr>
          <w:rFonts w:ascii="Arial" w:hAnsi="Arial" w:cs="Arial"/>
          <w:b/>
          <w:bCs/>
          <w:color w:val="000000" w:themeColor="text1"/>
          <w:sz w:val="22"/>
          <w:szCs w:val="22"/>
        </w:rPr>
        <w:t>Fig 5A</w:t>
      </w:r>
      <w:r w:rsidR="0027320D" w:rsidRPr="00726423">
        <w:rPr>
          <w:rFonts w:ascii="Arial" w:hAnsi="Arial" w:cs="Arial"/>
          <w:color w:val="000000" w:themeColor="text1"/>
          <w:sz w:val="22"/>
          <w:szCs w:val="22"/>
        </w:rPr>
        <w:t xml:space="preserve">). Results from flow cytometric analysis </w:t>
      </w:r>
      <w:r w:rsidR="000D1863" w:rsidRPr="00726423">
        <w:rPr>
          <w:rFonts w:ascii="Arial" w:hAnsi="Arial" w:cs="Arial"/>
          <w:color w:val="000000" w:themeColor="text1"/>
          <w:sz w:val="22"/>
          <w:szCs w:val="22"/>
        </w:rPr>
        <w:t>also showed that PGE</w:t>
      </w:r>
      <w:r w:rsidR="000D1863" w:rsidRPr="00726423">
        <w:rPr>
          <w:rFonts w:ascii="Arial" w:hAnsi="Arial" w:cs="Arial"/>
          <w:color w:val="000000" w:themeColor="text1"/>
          <w:sz w:val="22"/>
          <w:szCs w:val="22"/>
          <w:vertAlign w:val="subscript"/>
        </w:rPr>
        <w:t>2</w:t>
      </w:r>
      <w:r w:rsidR="000D1863" w:rsidRPr="00726423">
        <w:rPr>
          <w:rFonts w:ascii="Arial" w:hAnsi="Arial" w:cs="Arial"/>
          <w:color w:val="000000" w:themeColor="text1"/>
          <w:sz w:val="22"/>
          <w:szCs w:val="22"/>
        </w:rPr>
        <w:t>, EP2 agonist and EP4 agonist suppressed survival and expansion of total ST2</w:t>
      </w:r>
      <w:r w:rsidR="000D1863" w:rsidRPr="00726423">
        <w:rPr>
          <w:rFonts w:ascii="Arial" w:hAnsi="Arial" w:cs="Arial"/>
          <w:color w:val="000000" w:themeColor="text1"/>
          <w:sz w:val="22"/>
          <w:szCs w:val="22"/>
          <w:vertAlign w:val="superscript"/>
        </w:rPr>
        <w:t>+</w:t>
      </w:r>
      <w:r w:rsidR="000D1863" w:rsidRPr="00726423">
        <w:rPr>
          <w:rFonts w:ascii="Arial" w:hAnsi="Arial" w:cs="Arial"/>
          <w:color w:val="000000" w:themeColor="text1"/>
          <w:sz w:val="22"/>
          <w:szCs w:val="22"/>
        </w:rPr>
        <w:t xml:space="preserve"> ILC2s and their expression of IL-5 and IL-13 (</w:t>
      </w:r>
      <w:r w:rsidR="000D1863" w:rsidRPr="00726423">
        <w:rPr>
          <w:rFonts w:ascii="Arial" w:hAnsi="Arial" w:cs="Arial"/>
          <w:b/>
          <w:bCs/>
          <w:color w:val="000000" w:themeColor="text1"/>
          <w:sz w:val="22"/>
          <w:szCs w:val="22"/>
        </w:rPr>
        <w:t>Fig S</w:t>
      </w:r>
      <w:r w:rsidR="00BB25DE" w:rsidRPr="00726423">
        <w:rPr>
          <w:rFonts w:ascii="Arial" w:hAnsi="Arial" w:cs="Arial"/>
          <w:b/>
          <w:bCs/>
          <w:color w:val="000000" w:themeColor="text1"/>
          <w:sz w:val="22"/>
          <w:szCs w:val="22"/>
        </w:rPr>
        <w:t>2</w:t>
      </w:r>
      <w:r w:rsidR="000D1863" w:rsidRPr="00726423">
        <w:rPr>
          <w:rFonts w:ascii="Arial" w:hAnsi="Arial" w:cs="Arial"/>
          <w:color w:val="000000" w:themeColor="text1"/>
          <w:sz w:val="22"/>
          <w:szCs w:val="22"/>
        </w:rPr>
        <w:t>). Furthermore,</w:t>
      </w:r>
      <w:r w:rsidR="0027320D" w:rsidRPr="00726423">
        <w:rPr>
          <w:rFonts w:ascii="Arial" w:hAnsi="Arial" w:cs="Arial"/>
          <w:color w:val="000000" w:themeColor="text1"/>
          <w:sz w:val="22"/>
          <w:szCs w:val="22"/>
        </w:rPr>
        <w:t xml:space="preserve"> </w:t>
      </w:r>
      <w:r w:rsidR="00F724AF" w:rsidRPr="00726423">
        <w:rPr>
          <w:rFonts w:ascii="Arial" w:hAnsi="Arial" w:cs="Arial"/>
          <w:color w:val="000000" w:themeColor="text1"/>
          <w:sz w:val="22"/>
          <w:szCs w:val="22"/>
        </w:rPr>
        <w:t xml:space="preserve">the </w:t>
      </w:r>
      <w:r w:rsidR="0027320D" w:rsidRPr="00726423">
        <w:rPr>
          <w:rFonts w:ascii="Arial" w:hAnsi="Arial" w:cs="Arial"/>
          <w:color w:val="000000" w:themeColor="text1"/>
          <w:sz w:val="22"/>
          <w:szCs w:val="22"/>
        </w:rPr>
        <w:t xml:space="preserve">inhibitory effect </w:t>
      </w:r>
      <w:r w:rsidR="000D1C28" w:rsidRPr="00726423">
        <w:rPr>
          <w:rFonts w:ascii="Arial" w:hAnsi="Arial" w:cs="Arial"/>
          <w:color w:val="000000" w:themeColor="text1"/>
          <w:sz w:val="22"/>
          <w:szCs w:val="22"/>
        </w:rPr>
        <w:t>of PGE</w:t>
      </w:r>
      <w:r w:rsidR="000D1C28" w:rsidRPr="00726423">
        <w:rPr>
          <w:rFonts w:ascii="Arial" w:hAnsi="Arial" w:cs="Arial"/>
          <w:color w:val="000000" w:themeColor="text1"/>
          <w:sz w:val="22"/>
          <w:szCs w:val="22"/>
          <w:vertAlign w:val="subscript"/>
        </w:rPr>
        <w:t>2</w:t>
      </w:r>
      <w:r w:rsidR="000D1C28" w:rsidRPr="00726423">
        <w:rPr>
          <w:rFonts w:ascii="Arial" w:hAnsi="Arial" w:cs="Arial"/>
          <w:color w:val="000000" w:themeColor="text1"/>
          <w:sz w:val="22"/>
          <w:szCs w:val="22"/>
        </w:rPr>
        <w:t xml:space="preserve"> </w:t>
      </w:r>
      <w:r w:rsidR="0027320D" w:rsidRPr="00726423">
        <w:rPr>
          <w:rFonts w:ascii="Arial" w:hAnsi="Arial" w:cs="Arial"/>
          <w:color w:val="000000" w:themeColor="text1"/>
          <w:sz w:val="22"/>
          <w:szCs w:val="22"/>
        </w:rPr>
        <w:t xml:space="preserve">was also mimicked by </w:t>
      </w:r>
      <w:proofErr w:type="spellStart"/>
      <w:r w:rsidR="0027320D" w:rsidRPr="00726423">
        <w:rPr>
          <w:rFonts w:ascii="Arial" w:hAnsi="Arial" w:cs="Arial"/>
          <w:color w:val="000000" w:themeColor="text1"/>
          <w:sz w:val="22"/>
          <w:szCs w:val="22"/>
        </w:rPr>
        <w:t>dibutyryl</w:t>
      </w:r>
      <w:proofErr w:type="spellEnd"/>
      <w:r w:rsidR="0027320D" w:rsidRPr="00726423">
        <w:rPr>
          <w:rFonts w:ascii="Arial" w:hAnsi="Arial" w:cs="Arial"/>
          <w:color w:val="000000" w:themeColor="text1"/>
          <w:sz w:val="22"/>
          <w:szCs w:val="22"/>
        </w:rPr>
        <w:t>-cyclic AMP (</w:t>
      </w:r>
      <w:proofErr w:type="spellStart"/>
      <w:r w:rsidR="0027320D" w:rsidRPr="00726423">
        <w:rPr>
          <w:rFonts w:ascii="Arial" w:hAnsi="Arial" w:cs="Arial"/>
          <w:color w:val="000000" w:themeColor="text1"/>
          <w:sz w:val="22"/>
          <w:szCs w:val="22"/>
        </w:rPr>
        <w:t>db</w:t>
      </w:r>
      <w:proofErr w:type="spellEnd"/>
      <w:r w:rsidR="0027320D" w:rsidRPr="00726423">
        <w:rPr>
          <w:rFonts w:ascii="Arial" w:hAnsi="Arial" w:cs="Arial"/>
          <w:color w:val="000000" w:themeColor="text1"/>
          <w:sz w:val="22"/>
          <w:szCs w:val="22"/>
        </w:rPr>
        <w:t xml:space="preserve">-cAMP, a cell-permeable cAMP </w:t>
      </w:r>
      <w:proofErr w:type="spellStart"/>
      <w:r w:rsidR="0027320D" w:rsidRPr="00726423">
        <w:rPr>
          <w:rFonts w:ascii="Arial" w:hAnsi="Arial" w:cs="Arial"/>
          <w:color w:val="000000" w:themeColor="text1"/>
          <w:sz w:val="22"/>
          <w:szCs w:val="22"/>
        </w:rPr>
        <w:t>analog</w:t>
      </w:r>
      <w:proofErr w:type="spellEnd"/>
      <w:r w:rsidR="0027320D" w:rsidRPr="00726423">
        <w:rPr>
          <w:rFonts w:ascii="Arial" w:hAnsi="Arial" w:cs="Arial"/>
          <w:color w:val="000000" w:themeColor="text1"/>
          <w:sz w:val="22"/>
          <w:szCs w:val="22"/>
        </w:rPr>
        <w:t xml:space="preserve">) and IBMX (an inhibitor of cyclic nucleotide </w:t>
      </w:r>
      <w:proofErr w:type="spellStart"/>
      <w:r w:rsidR="0027320D" w:rsidRPr="00726423">
        <w:rPr>
          <w:rFonts w:ascii="Arial" w:hAnsi="Arial" w:cs="Arial"/>
          <w:color w:val="000000" w:themeColor="text1"/>
          <w:sz w:val="22"/>
          <w:szCs w:val="22"/>
        </w:rPr>
        <w:t>phosphodiesterases</w:t>
      </w:r>
      <w:proofErr w:type="spellEnd"/>
      <w:r w:rsidR="0027320D" w:rsidRPr="00726423">
        <w:rPr>
          <w:rFonts w:ascii="Arial" w:hAnsi="Arial" w:cs="Arial"/>
          <w:color w:val="000000" w:themeColor="text1"/>
          <w:sz w:val="22"/>
          <w:szCs w:val="22"/>
        </w:rPr>
        <w:t xml:space="preserve"> that increases the intracellular cAMP level through blocking cAMP degradation) (</w:t>
      </w:r>
      <w:r w:rsidR="0027320D" w:rsidRPr="00726423">
        <w:rPr>
          <w:rFonts w:ascii="Arial" w:hAnsi="Arial" w:cs="Arial"/>
          <w:b/>
          <w:bCs/>
          <w:color w:val="000000" w:themeColor="text1"/>
          <w:sz w:val="22"/>
          <w:szCs w:val="22"/>
        </w:rPr>
        <w:t>Fig 5B</w:t>
      </w:r>
      <w:r w:rsidR="0027320D" w:rsidRPr="00726423">
        <w:rPr>
          <w:rFonts w:ascii="Arial" w:hAnsi="Arial" w:cs="Arial"/>
          <w:color w:val="000000" w:themeColor="text1"/>
          <w:sz w:val="22"/>
          <w:szCs w:val="22"/>
        </w:rPr>
        <w:t xml:space="preserve">). These </w:t>
      </w:r>
      <w:r w:rsidR="00EB367C" w:rsidRPr="00726423">
        <w:rPr>
          <w:rFonts w:ascii="Arial" w:hAnsi="Arial" w:cs="Arial"/>
          <w:color w:val="000000" w:themeColor="text1"/>
          <w:sz w:val="22"/>
          <w:szCs w:val="22"/>
        </w:rPr>
        <w:t>results</w:t>
      </w:r>
      <w:r w:rsidR="0027320D" w:rsidRPr="00726423">
        <w:rPr>
          <w:rFonts w:ascii="Arial" w:hAnsi="Arial" w:cs="Arial"/>
          <w:color w:val="000000" w:themeColor="text1"/>
          <w:sz w:val="22"/>
          <w:szCs w:val="22"/>
        </w:rPr>
        <w:t xml:space="preserve"> </w:t>
      </w:r>
      <w:r w:rsidR="0032079A" w:rsidRPr="00726423">
        <w:rPr>
          <w:rFonts w:ascii="Arial" w:hAnsi="Arial" w:cs="Arial"/>
          <w:color w:val="000000" w:themeColor="text1"/>
          <w:sz w:val="22"/>
          <w:szCs w:val="22"/>
        </w:rPr>
        <w:t xml:space="preserve">strongly </w:t>
      </w:r>
      <w:r w:rsidR="0027320D" w:rsidRPr="00726423">
        <w:rPr>
          <w:rFonts w:ascii="Arial" w:hAnsi="Arial" w:cs="Arial"/>
          <w:color w:val="000000" w:themeColor="text1"/>
          <w:sz w:val="22"/>
          <w:szCs w:val="22"/>
        </w:rPr>
        <w:t>suggest</w:t>
      </w:r>
      <w:r w:rsidR="00EB367C" w:rsidRPr="00726423">
        <w:rPr>
          <w:rFonts w:ascii="Arial" w:hAnsi="Arial" w:cs="Arial"/>
          <w:color w:val="000000" w:themeColor="text1"/>
          <w:sz w:val="22"/>
          <w:szCs w:val="22"/>
        </w:rPr>
        <w:t xml:space="preserve"> that th</w:t>
      </w:r>
      <w:r w:rsidR="00DB3127" w:rsidRPr="00726423">
        <w:rPr>
          <w:rFonts w:ascii="Arial" w:hAnsi="Arial" w:cs="Arial"/>
          <w:color w:val="000000" w:themeColor="text1"/>
          <w:sz w:val="22"/>
          <w:szCs w:val="22"/>
        </w:rPr>
        <w:t>e</w:t>
      </w:r>
      <w:r w:rsidR="00EB367C" w:rsidRPr="00726423">
        <w:rPr>
          <w:rFonts w:ascii="Arial" w:hAnsi="Arial" w:cs="Arial"/>
          <w:color w:val="000000" w:themeColor="text1"/>
          <w:sz w:val="22"/>
          <w:szCs w:val="22"/>
        </w:rPr>
        <w:t xml:space="preserve"> PGE</w:t>
      </w:r>
      <w:r w:rsidR="00EB367C" w:rsidRPr="00726423">
        <w:rPr>
          <w:rFonts w:ascii="Arial" w:hAnsi="Arial" w:cs="Arial"/>
          <w:color w:val="000000" w:themeColor="text1"/>
          <w:sz w:val="22"/>
          <w:szCs w:val="22"/>
          <w:vertAlign w:val="subscript"/>
        </w:rPr>
        <w:t>2</w:t>
      </w:r>
      <w:r w:rsidR="00EB367C" w:rsidRPr="00726423">
        <w:rPr>
          <w:rFonts w:ascii="Arial" w:hAnsi="Arial" w:cs="Arial"/>
          <w:color w:val="000000" w:themeColor="text1"/>
          <w:sz w:val="22"/>
          <w:szCs w:val="22"/>
        </w:rPr>
        <w:t xml:space="preserve">-EP2/EP4-cAMP </w:t>
      </w:r>
      <w:proofErr w:type="spellStart"/>
      <w:r w:rsidR="00134A78" w:rsidRPr="00726423">
        <w:rPr>
          <w:rFonts w:ascii="Arial" w:hAnsi="Arial" w:cs="Arial"/>
          <w:color w:val="000000" w:themeColor="text1"/>
          <w:sz w:val="22"/>
          <w:szCs w:val="22"/>
        </w:rPr>
        <w:t>signaling</w:t>
      </w:r>
      <w:proofErr w:type="spellEnd"/>
      <w:r w:rsidR="00EB367C" w:rsidRPr="00726423">
        <w:rPr>
          <w:rFonts w:ascii="Arial" w:hAnsi="Arial" w:cs="Arial"/>
          <w:color w:val="000000" w:themeColor="text1"/>
          <w:sz w:val="22"/>
          <w:szCs w:val="22"/>
        </w:rPr>
        <w:t xml:space="preserve"> pathway suppresses ILC2 responses </w:t>
      </w:r>
      <w:r w:rsidR="00EB367C" w:rsidRPr="00726423">
        <w:rPr>
          <w:rFonts w:ascii="Arial" w:hAnsi="Arial" w:cs="Arial"/>
          <w:i/>
          <w:iCs/>
          <w:color w:val="000000" w:themeColor="text1"/>
          <w:sz w:val="22"/>
          <w:szCs w:val="22"/>
        </w:rPr>
        <w:t>in vitro</w:t>
      </w:r>
      <w:r w:rsidR="00EB367C" w:rsidRPr="00726423">
        <w:rPr>
          <w:rFonts w:ascii="Arial" w:hAnsi="Arial" w:cs="Arial"/>
          <w:color w:val="000000" w:themeColor="text1"/>
          <w:sz w:val="22"/>
          <w:szCs w:val="22"/>
        </w:rPr>
        <w:t xml:space="preserve">. </w:t>
      </w:r>
    </w:p>
    <w:p w14:paraId="12E746EB" w14:textId="77777777" w:rsidR="0027320D" w:rsidRPr="00726423" w:rsidRDefault="0027320D" w:rsidP="00AF01E8">
      <w:pPr>
        <w:spacing w:line="480" w:lineRule="auto"/>
        <w:jc w:val="both"/>
        <w:rPr>
          <w:rFonts w:ascii="Arial" w:hAnsi="Arial" w:cs="Arial"/>
          <w:color w:val="000000" w:themeColor="text1"/>
          <w:sz w:val="22"/>
          <w:szCs w:val="22"/>
        </w:rPr>
      </w:pPr>
    </w:p>
    <w:p w14:paraId="1FFFF811" w14:textId="65080212" w:rsidR="001F661B" w:rsidRPr="00726423" w:rsidRDefault="0034716F" w:rsidP="00AF01E8">
      <w:pPr>
        <w:spacing w:line="480" w:lineRule="auto"/>
        <w:jc w:val="both"/>
        <w:rPr>
          <w:rFonts w:ascii="Arial" w:hAnsi="Arial" w:cs="Arial"/>
          <w:color w:val="000000" w:themeColor="text1"/>
          <w:sz w:val="22"/>
          <w:szCs w:val="22"/>
        </w:rPr>
      </w:pPr>
      <w:r w:rsidRPr="00726423">
        <w:rPr>
          <w:rFonts w:ascii="Arial" w:hAnsi="Arial" w:cs="Arial"/>
          <w:color w:val="000000" w:themeColor="text1"/>
          <w:sz w:val="22"/>
          <w:szCs w:val="22"/>
        </w:rPr>
        <w:t xml:space="preserve">To </w:t>
      </w:r>
      <w:r w:rsidR="00032455" w:rsidRPr="00726423">
        <w:rPr>
          <w:rFonts w:ascii="Arial" w:hAnsi="Arial" w:cs="Arial"/>
          <w:color w:val="000000" w:themeColor="text1"/>
          <w:sz w:val="22"/>
          <w:szCs w:val="22"/>
        </w:rPr>
        <w:t>investigate whether PGE</w:t>
      </w:r>
      <w:r w:rsidR="00032455" w:rsidRPr="00726423">
        <w:rPr>
          <w:rFonts w:ascii="Arial" w:hAnsi="Arial" w:cs="Arial"/>
          <w:color w:val="000000" w:themeColor="text1"/>
          <w:sz w:val="22"/>
          <w:szCs w:val="22"/>
          <w:vertAlign w:val="subscript"/>
        </w:rPr>
        <w:t>2</w:t>
      </w:r>
      <w:r w:rsidR="00032455" w:rsidRPr="00726423">
        <w:rPr>
          <w:rFonts w:ascii="Arial" w:hAnsi="Arial" w:cs="Arial"/>
          <w:color w:val="000000" w:themeColor="text1"/>
          <w:sz w:val="22"/>
          <w:szCs w:val="22"/>
        </w:rPr>
        <w:t xml:space="preserve"> </w:t>
      </w:r>
      <w:r w:rsidRPr="00726423">
        <w:rPr>
          <w:rFonts w:ascii="Arial" w:hAnsi="Arial" w:cs="Arial"/>
          <w:color w:val="000000" w:themeColor="text1"/>
          <w:sz w:val="22"/>
          <w:szCs w:val="22"/>
        </w:rPr>
        <w:t xml:space="preserve">directly </w:t>
      </w:r>
      <w:r w:rsidR="00032455" w:rsidRPr="00726423">
        <w:rPr>
          <w:rFonts w:ascii="Arial" w:hAnsi="Arial" w:cs="Arial"/>
          <w:color w:val="000000" w:themeColor="text1"/>
          <w:sz w:val="22"/>
          <w:szCs w:val="22"/>
        </w:rPr>
        <w:t>controls ILC2 activation</w:t>
      </w:r>
      <w:r w:rsidRPr="00726423">
        <w:rPr>
          <w:rFonts w:ascii="Arial" w:hAnsi="Arial" w:cs="Arial"/>
          <w:color w:val="000000" w:themeColor="text1"/>
          <w:sz w:val="22"/>
          <w:szCs w:val="22"/>
        </w:rPr>
        <w:t xml:space="preserve">, we sorted ILC2s from lung </w:t>
      </w:r>
      <w:r w:rsidR="008465E3" w:rsidRPr="00726423">
        <w:rPr>
          <w:rFonts w:ascii="Arial" w:hAnsi="Arial" w:cs="Arial"/>
          <w:color w:val="000000" w:themeColor="text1"/>
          <w:sz w:val="22"/>
          <w:szCs w:val="22"/>
        </w:rPr>
        <w:t>(</w:t>
      </w:r>
      <w:r w:rsidR="008465E3" w:rsidRPr="00726423">
        <w:rPr>
          <w:rFonts w:ascii="Arial" w:hAnsi="Arial" w:cs="Arial"/>
          <w:b/>
          <w:bCs/>
          <w:color w:val="000000" w:themeColor="text1"/>
          <w:sz w:val="22"/>
          <w:szCs w:val="22"/>
        </w:rPr>
        <w:t>Fig 5C-F</w:t>
      </w:r>
      <w:r w:rsidR="008465E3" w:rsidRPr="00726423">
        <w:rPr>
          <w:rFonts w:ascii="Arial" w:hAnsi="Arial" w:cs="Arial"/>
          <w:color w:val="000000" w:themeColor="text1"/>
          <w:sz w:val="22"/>
          <w:szCs w:val="22"/>
        </w:rPr>
        <w:t xml:space="preserve">) </w:t>
      </w:r>
      <w:r w:rsidRPr="00726423">
        <w:rPr>
          <w:rFonts w:ascii="Arial" w:hAnsi="Arial" w:cs="Arial"/>
          <w:color w:val="000000" w:themeColor="text1"/>
          <w:sz w:val="22"/>
          <w:szCs w:val="22"/>
        </w:rPr>
        <w:t>or bone marrows</w:t>
      </w:r>
      <w:r w:rsidR="008465E3" w:rsidRPr="00726423">
        <w:rPr>
          <w:rFonts w:ascii="Arial" w:hAnsi="Arial" w:cs="Arial"/>
          <w:color w:val="000000" w:themeColor="text1"/>
          <w:sz w:val="22"/>
          <w:szCs w:val="22"/>
        </w:rPr>
        <w:t xml:space="preserve"> (</w:t>
      </w:r>
      <w:r w:rsidR="008465E3" w:rsidRPr="00726423">
        <w:rPr>
          <w:rFonts w:ascii="Arial" w:hAnsi="Arial" w:cs="Arial"/>
          <w:b/>
          <w:bCs/>
          <w:color w:val="000000" w:themeColor="text1"/>
          <w:sz w:val="22"/>
          <w:szCs w:val="22"/>
        </w:rPr>
        <w:t>Fig S</w:t>
      </w:r>
      <w:r w:rsidR="00BB25DE" w:rsidRPr="00726423">
        <w:rPr>
          <w:rFonts w:ascii="Arial" w:hAnsi="Arial" w:cs="Arial"/>
          <w:b/>
          <w:bCs/>
          <w:color w:val="000000" w:themeColor="text1"/>
          <w:sz w:val="22"/>
          <w:szCs w:val="22"/>
        </w:rPr>
        <w:t>3</w:t>
      </w:r>
      <w:r w:rsidR="008465E3" w:rsidRPr="00726423">
        <w:rPr>
          <w:rFonts w:ascii="Arial" w:hAnsi="Arial" w:cs="Arial"/>
          <w:color w:val="000000" w:themeColor="text1"/>
          <w:sz w:val="22"/>
          <w:szCs w:val="22"/>
        </w:rPr>
        <w:t>)</w:t>
      </w:r>
      <w:r w:rsidRPr="00726423">
        <w:rPr>
          <w:rFonts w:ascii="Arial" w:hAnsi="Arial" w:cs="Arial"/>
          <w:color w:val="000000" w:themeColor="text1"/>
          <w:sz w:val="22"/>
          <w:szCs w:val="22"/>
        </w:rPr>
        <w:t xml:space="preserve"> and cultured </w:t>
      </w:r>
      <w:r w:rsidR="00A3253A" w:rsidRPr="00726423">
        <w:rPr>
          <w:rFonts w:ascii="Arial" w:hAnsi="Arial" w:cs="Arial"/>
          <w:color w:val="000000" w:themeColor="text1"/>
          <w:sz w:val="22"/>
          <w:szCs w:val="22"/>
        </w:rPr>
        <w:t xml:space="preserve">them </w:t>
      </w:r>
      <w:r w:rsidRPr="00726423">
        <w:rPr>
          <w:rFonts w:ascii="Arial" w:hAnsi="Arial" w:cs="Arial"/>
          <w:color w:val="000000" w:themeColor="text1"/>
          <w:sz w:val="22"/>
          <w:szCs w:val="22"/>
        </w:rPr>
        <w:t>with IL-33 and/or PGE</w:t>
      </w:r>
      <w:r w:rsidRPr="00726423">
        <w:rPr>
          <w:rFonts w:ascii="Arial" w:hAnsi="Arial" w:cs="Arial"/>
          <w:color w:val="000000" w:themeColor="text1"/>
          <w:sz w:val="22"/>
          <w:szCs w:val="22"/>
          <w:vertAlign w:val="subscript"/>
        </w:rPr>
        <w:t>2</w:t>
      </w:r>
      <w:r w:rsidRPr="00726423">
        <w:rPr>
          <w:rFonts w:ascii="Arial" w:hAnsi="Arial" w:cs="Arial"/>
          <w:color w:val="000000" w:themeColor="text1"/>
          <w:sz w:val="22"/>
          <w:szCs w:val="22"/>
        </w:rPr>
        <w:t>. Addition of PGE</w:t>
      </w:r>
      <w:r w:rsidRPr="00726423">
        <w:rPr>
          <w:rFonts w:ascii="Arial" w:hAnsi="Arial" w:cs="Arial"/>
          <w:color w:val="000000" w:themeColor="text1"/>
          <w:sz w:val="22"/>
          <w:szCs w:val="22"/>
          <w:vertAlign w:val="subscript"/>
        </w:rPr>
        <w:t>2</w:t>
      </w:r>
      <w:r w:rsidRPr="00726423">
        <w:rPr>
          <w:rFonts w:ascii="Arial" w:hAnsi="Arial" w:cs="Arial"/>
          <w:color w:val="000000" w:themeColor="text1"/>
          <w:sz w:val="22"/>
          <w:szCs w:val="22"/>
        </w:rPr>
        <w:t xml:space="preserve"> significantly decreased ILC2 viability</w:t>
      </w:r>
      <w:r w:rsidR="00EB367C" w:rsidRPr="00726423">
        <w:rPr>
          <w:rFonts w:ascii="Arial" w:hAnsi="Arial" w:cs="Arial"/>
          <w:color w:val="000000" w:themeColor="text1"/>
          <w:sz w:val="22"/>
          <w:szCs w:val="22"/>
        </w:rPr>
        <w:t>,</w:t>
      </w:r>
      <w:r w:rsidRPr="00726423">
        <w:rPr>
          <w:rFonts w:ascii="Arial" w:hAnsi="Arial" w:cs="Arial"/>
          <w:color w:val="000000" w:themeColor="text1"/>
          <w:sz w:val="22"/>
          <w:szCs w:val="22"/>
        </w:rPr>
        <w:t xml:space="preserve"> </w:t>
      </w:r>
      <w:r w:rsidR="00EB367C" w:rsidRPr="00726423">
        <w:rPr>
          <w:rFonts w:ascii="Arial" w:hAnsi="Arial" w:cs="Arial"/>
          <w:color w:val="000000" w:themeColor="text1"/>
          <w:sz w:val="22"/>
          <w:szCs w:val="22"/>
        </w:rPr>
        <w:t xml:space="preserve">cellular </w:t>
      </w:r>
      <w:r w:rsidRPr="00726423">
        <w:rPr>
          <w:rFonts w:ascii="Arial" w:hAnsi="Arial" w:cs="Arial"/>
          <w:color w:val="000000" w:themeColor="text1"/>
          <w:sz w:val="22"/>
          <w:szCs w:val="22"/>
        </w:rPr>
        <w:t>size (i.e., FSC</w:t>
      </w:r>
      <w:r w:rsidR="00626AB4" w:rsidRPr="00726423">
        <w:rPr>
          <w:rFonts w:ascii="Arial" w:hAnsi="Arial" w:cs="Arial"/>
          <w:color w:val="000000" w:themeColor="text1"/>
          <w:sz w:val="22"/>
          <w:szCs w:val="22"/>
        </w:rPr>
        <w:t xml:space="preserve"> [forward scatter]</w:t>
      </w:r>
      <w:r w:rsidRPr="00726423">
        <w:rPr>
          <w:rFonts w:ascii="Arial" w:hAnsi="Arial" w:cs="Arial"/>
          <w:color w:val="000000" w:themeColor="text1"/>
          <w:sz w:val="22"/>
          <w:szCs w:val="22"/>
        </w:rPr>
        <w:t>)</w:t>
      </w:r>
      <w:r w:rsidR="00EB367C" w:rsidRPr="00726423">
        <w:rPr>
          <w:rFonts w:ascii="Arial" w:hAnsi="Arial" w:cs="Arial"/>
          <w:color w:val="000000" w:themeColor="text1"/>
          <w:sz w:val="22"/>
          <w:szCs w:val="22"/>
        </w:rPr>
        <w:t>,</w:t>
      </w:r>
      <w:r w:rsidRPr="00726423">
        <w:rPr>
          <w:rFonts w:ascii="Arial" w:hAnsi="Arial" w:cs="Arial"/>
          <w:color w:val="000000" w:themeColor="text1"/>
          <w:sz w:val="22"/>
          <w:szCs w:val="22"/>
        </w:rPr>
        <w:t xml:space="preserve"> and </w:t>
      </w:r>
      <w:r w:rsidR="00EB367C" w:rsidRPr="00726423">
        <w:rPr>
          <w:rFonts w:ascii="Arial" w:hAnsi="Arial" w:cs="Arial"/>
          <w:color w:val="000000" w:themeColor="text1"/>
          <w:sz w:val="22"/>
          <w:szCs w:val="22"/>
        </w:rPr>
        <w:t>IL-13 (but not IL-5) expression and secretion</w:t>
      </w:r>
      <w:r w:rsidRPr="00726423">
        <w:rPr>
          <w:rFonts w:ascii="Arial" w:hAnsi="Arial" w:cs="Arial"/>
          <w:color w:val="000000" w:themeColor="text1"/>
          <w:sz w:val="22"/>
          <w:szCs w:val="22"/>
        </w:rPr>
        <w:t xml:space="preserve"> (</w:t>
      </w:r>
      <w:r w:rsidRPr="00726423">
        <w:rPr>
          <w:rFonts w:ascii="Arial" w:hAnsi="Arial" w:cs="Arial"/>
          <w:b/>
          <w:bCs/>
          <w:color w:val="000000" w:themeColor="text1"/>
          <w:sz w:val="22"/>
          <w:szCs w:val="22"/>
        </w:rPr>
        <w:t xml:space="preserve">Fig </w:t>
      </w:r>
      <w:r w:rsidR="00EB367C" w:rsidRPr="00726423">
        <w:rPr>
          <w:rFonts w:ascii="Arial" w:hAnsi="Arial" w:cs="Arial"/>
          <w:b/>
          <w:bCs/>
          <w:color w:val="000000" w:themeColor="text1"/>
          <w:sz w:val="22"/>
          <w:szCs w:val="22"/>
        </w:rPr>
        <w:t>5C</w:t>
      </w:r>
      <w:r w:rsidRPr="00726423">
        <w:rPr>
          <w:rFonts w:ascii="Arial" w:hAnsi="Arial" w:cs="Arial"/>
          <w:b/>
          <w:bCs/>
          <w:color w:val="000000" w:themeColor="text1"/>
          <w:sz w:val="22"/>
          <w:szCs w:val="22"/>
        </w:rPr>
        <w:t>-</w:t>
      </w:r>
      <w:r w:rsidR="00EB367C" w:rsidRPr="00726423">
        <w:rPr>
          <w:rFonts w:ascii="Arial" w:hAnsi="Arial" w:cs="Arial"/>
          <w:b/>
          <w:bCs/>
          <w:color w:val="000000" w:themeColor="text1"/>
          <w:sz w:val="22"/>
          <w:szCs w:val="22"/>
        </w:rPr>
        <w:t>F</w:t>
      </w:r>
      <w:r w:rsidRPr="00726423">
        <w:rPr>
          <w:rFonts w:ascii="Arial" w:hAnsi="Arial" w:cs="Arial"/>
          <w:b/>
          <w:bCs/>
          <w:color w:val="000000" w:themeColor="text1"/>
          <w:sz w:val="22"/>
          <w:szCs w:val="22"/>
        </w:rPr>
        <w:t xml:space="preserve"> and Fig </w:t>
      </w:r>
      <w:r w:rsidR="00EB367C" w:rsidRPr="00726423">
        <w:rPr>
          <w:rFonts w:ascii="Arial" w:hAnsi="Arial" w:cs="Arial"/>
          <w:b/>
          <w:bCs/>
          <w:color w:val="000000" w:themeColor="text1"/>
          <w:sz w:val="22"/>
          <w:szCs w:val="22"/>
        </w:rPr>
        <w:t>S</w:t>
      </w:r>
      <w:r w:rsidR="00BB25DE" w:rsidRPr="00726423">
        <w:rPr>
          <w:rFonts w:ascii="Arial" w:hAnsi="Arial" w:cs="Arial"/>
          <w:b/>
          <w:bCs/>
          <w:color w:val="000000" w:themeColor="text1"/>
          <w:sz w:val="22"/>
          <w:szCs w:val="22"/>
        </w:rPr>
        <w:t>3</w:t>
      </w:r>
      <w:r w:rsidRPr="00726423">
        <w:rPr>
          <w:rFonts w:ascii="Arial" w:hAnsi="Arial" w:cs="Arial"/>
          <w:color w:val="000000" w:themeColor="text1"/>
          <w:sz w:val="22"/>
          <w:szCs w:val="22"/>
        </w:rPr>
        <w:t>)</w:t>
      </w:r>
      <w:r w:rsidR="001F661B" w:rsidRPr="00726423">
        <w:rPr>
          <w:rFonts w:ascii="Arial" w:hAnsi="Arial" w:cs="Arial"/>
          <w:color w:val="000000" w:themeColor="text1"/>
          <w:sz w:val="22"/>
          <w:szCs w:val="22"/>
        </w:rPr>
        <w:t>.</w:t>
      </w:r>
      <w:r w:rsidRPr="00726423">
        <w:rPr>
          <w:rFonts w:ascii="Arial" w:hAnsi="Arial" w:cs="Arial"/>
          <w:color w:val="000000" w:themeColor="text1"/>
          <w:sz w:val="22"/>
          <w:szCs w:val="22"/>
        </w:rPr>
        <w:t xml:space="preserve"> </w:t>
      </w:r>
      <w:r w:rsidR="001F661B" w:rsidRPr="00726423">
        <w:rPr>
          <w:rFonts w:ascii="Arial" w:hAnsi="Arial" w:cs="Arial"/>
          <w:color w:val="000000" w:themeColor="text1"/>
          <w:sz w:val="22"/>
          <w:szCs w:val="22"/>
        </w:rPr>
        <w:t xml:space="preserve">This is in agreement with a previous report </w:t>
      </w:r>
      <w:r w:rsidR="008465E3" w:rsidRPr="00726423">
        <w:rPr>
          <w:rFonts w:ascii="Arial" w:hAnsi="Arial" w:cs="Arial"/>
          <w:color w:val="000000" w:themeColor="text1"/>
          <w:sz w:val="22"/>
          <w:szCs w:val="22"/>
        </w:rPr>
        <w:t xml:space="preserve">showing </w:t>
      </w:r>
      <w:r w:rsidR="001F661B" w:rsidRPr="00726423">
        <w:rPr>
          <w:rFonts w:ascii="Arial" w:hAnsi="Arial" w:cs="Arial"/>
          <w:color w:val="000000" w:themeColor="text1"/>
          <w:sz w:val="22"/>
          <w:szCs w:val="22"/>
        </w:rPr>
        <w:t xml:space="preserve">that cAMP </w:t>
      </w:r>
      <w:r w:rsidR="001F661B" w:rsidRPr="00726423">
        <w:rPr>
          <w:rFonts w:ascii="Arial" w:hAnsi="Arial" w:cs="Arial"/>
          <w:color w:val="000000" w:themeColor="text1"/>
          <w:sz w:val="22"/>
          <w:szCs w:val="22"/>
        </w:rPr>
        <w:lastRenderedPageBreak/>
        <w:t>inhibits ILC2 production of IL-13 rather than IL-5</w:t>
      </w:r>
      <w:r w:rsidR="00D73B11" w:rsidRPr="00726423">
        <w:rPr>
          <w:rFonts w:ascii="Arial" w:hAnsi="Arial" w:cs="Arial"/>
          <w:color w:val="000000" w:themeColor="text1"/>
          <w:sz w:val="22"/>
          <w:szCs w:val="22"/>
          <w:vertAlign w:val="superscript"/>
        </w:rPr>
        <w:fldChar w:fldCharType="begin"/>
      </w:r>
      <w:r w:rsidR="00361359">
        <w:rPr>
          <w:rFonts w:ascii="Arial" w:hAnsi="Arial" w:cs="Arial"/>
          <w:color w:val="000000" w:themeColor="text1"/>
          <w:sz w:val="22"/>
          <w:szCs w:val="22"/>
          <w:vertAlign w:val="superscript"/>
        </w:rPr>
        <w:instrText xml:space="preserve"> ADDIN ZOTERO_ITEM CSL_CITATION {"citationID":"a1s549jbsqu","properties":{"formattedCitation":"\\super 35\\nosupersub{}","plainCitation":"35","noteIndex":0},"citationItems":[{"id":1674,"uris":["http://zotero.org/users/local/OCWppIAO/items/BGHMASSZ"],"itemData":{"id":1674,"type":"article-journal","abstract":"Innate lymphocytes maintain tissue homeostasis at mucosal barriers, with group 2 innate lymphoid cells (ILC2s) producing type 2 cytokines and controlling helminth infection. While the molecular understanding of ILC2 responses has advanced, the complexity of microenvironmental factors impacting ILC2s is becoming increasingly apparent. Herein, we used single-cell analysis to explore the diversity of gene expression among lung lymphocytes during helminth infection. Following infection, we identified a subset of ILC2s that preferentially expressed Il5-encoding interleukin (IL)-5, together with Calca-encoding calcitonin gene-related peptide (CGRP) and its cognate receptor components. CGRP in concert with IL-33 and neuromedin U (NMU) supported IL-5 but constrained IL-13 expression and ILC2 proliferation. Without CGRP signaling, ILC2 responses and worm expulsion were enhanced. Collectively, these data point to CGRP as a context-dependent negative regulatory factor that shapes innate lymphocyte responses to alarmins and neuropeptides during type 2 innate immune responses.","container-title":"Immunity","DOI":"10.1016/j.immuni.2019.06.009","ISSN":"1097-4180","issue":"4","journalAbbreviation":"Immunity","language":"eng","note":"PMID: 31353223\nPMCID: PMC6801073","page":"682-695.e6","source":"PubMed","title":"Neuropeptide CGRP Limits Group 2 Innate Lymphoid Cell Responses and Constrains Type 2 Inflammation","volume":"51","author":[{"family":"Nagashima","given":"Hiroyuki"},{"family":"Mahlakõiv","given":"Tanel"},{"family":"Shih","given":"Han-Yu"},{"family":"Davis","given":"Fred P."},{"family":"Meylan","given":"Francoise"},{"family":"Huang","given":"Yuefeng"},{"family":"Harrison","given":"Oliver J."},{"family":"Yao","given":"Chen"},{"family":"Mikami","given":"Yohei"},{"family":"Urban","given":"Joseph F."},{"family":"Caron","given":"Kathleen M."},{"family":"Belkaid","given":"Yasmine"},{"family":"Kanno","given":"Yuka"},{"family":"Artis","given":"David"},{"family":"O'Shea","given":"John J."}],"issued":{"date-parts":[["2019",10,15]]}}}],"schema":"https://github.com/citation-style-language/schema/raw/master/csl-citation.json"} </w:instrText>
      </w:r>
      <w:r w:rsidR="00D73B11" w:rsidRPr="00726423">
        <w:rPr>
          <w:rFonts w:ascii="Arial" w:hAnsi="Arial" w:cs="Arial"/>
          <w:color w:val="000000" w:themeColor="text1"/>
          <w:sz w:val="22"/>
          <w:szCs w:val="22"/>
          <w:vertAlign w:val="superscript"/>
        </w:rPr>
        <w:fldChar w:fldCharType="separate"/>
      </w:r>
      <w:r w:rsidR="00361359" w:rsidRPr="00361359">
        <w:rPr>
          <w:rFonts w:ascii="Arial" w:hAnsi="Arial" w:cs="Arial"/>
          <w:color w:val="000000"/>
          <w:sz w:val="22"/>
          <w:vertAlign w:val="superscript"/>
        </w:rPr>
        <w:t>35</w:t>
      </w:r>
      <w:r w:rsidR="00D73B11" w:rsidRPr="00726423">
        <w:rPr>
          <w:rFonts w:ascii="Arial" w:hAnsi="Arial" w:cs="Arial"/>
          <w:color w:val="000000" w:themeColor="text1"/>
          <w:sz w:val="22"/>
          <w:szCs w:val="22"/>
          <w:vertAlign w:val="superscript"/>
        </w:rPr>
        <w:fldChar w:fldCharType="end"/>
      </w:r>
      <w:r w:rsidR="001F661B" w:rsidRPr="00726423">
        <w:rPr>
          <w:rFonts w:ascii="Arial" w:hAnsi="Arial" w:cs="Arial"/>
          <w:color w:val="000000" w:themeColor="text1"/>
          <w:sz w:val="22"/>
          <w:szCs w:val="22"/>
        </w:rPr>
        <w:t xml:space="preserve">. These results </w:t>
      </w:r>
      <w:r w:rsidRPr="00726423">
        <w:rPr>
          <w:rFonts w:ascii="Arial" w:hAnsi="Arial" w:cs="Arial"/>
          <w:color w:val="000000" w:themeColor="text1"/>
          <w:sz w:val="22"/>
          <w:szCs w:val="22"/>
        </w:rPr>
        <w:t>suggest that PGE</w:t>
      </w:r>
      <w:r w:rsidRPr="00726423">
        <w:rPr>
          <w:rFonts w:ascii="Arial" w:hAnsi="Arial" w:cs="Arial"/>
          <w:color w:val="000000" w:themeColor="text1"/>
          <w:sz w:val="22"/>
          <w:szCs w:val="22"/>
          <w:vertAlign w:val="subscript"/>
        </w:rPr>
        <w:t>2</w:t>
      </w:r>
      <w:r w:rsidRPr="00726423">
        <w:rPr>
          <w:rFonts w:ascii="Arial" w:hAnsi="Arial" w:cs="Arial"/>
          <w:color w:val="000000" w:themeColor="text1"/>
          <w:sz w:val="22"/>
          <w:szCs w:val="22"/>
        </w:rPr>
        <w:t xml:space="preserve"> directly acts on ILC2s and controls ILC2 survival, growth and </w:t>
      </w:r>
      <w:r w:rsidR="001F661B" w:rsidRPr="00726423">
        <w:rPr>
          <w:rFonts w:ascii="Arial" w:hAnsi="Arial" w:cs="Arial"/>
          <w:color w:val="000000" w:themeColor="text1"/>
          <w:sz w:val="22"/>
          <w:szCs w:val="22"/>
        </w:rPr>
        <w:t xml:space="preserve">function. </w:t>
      </w:r>
    </w:p>
    <w:p w14:paraId="1E5AB001" w14:textId="77777777" w:rsidR="007823D6" w:rsidRPr="00726423" w:rsidRDefault="007823D6" w:rsidP="00AF01E8">
      <w:pPr>
        <w:spacing w:line="480" w:lineRule="auto"/>
        <w:jc w:val="both"/>
        <w:rPr>
          <w:rFonts w:ascii="Arial" w:hAnsi="Arial" w:cs="Arial"/>
          <w:color w:val="000000" w:themeColor="text1"/>
          <w:sz w:val="22"/>
          <w:szCs w:val="22"/>
        </w:rPr>
      </w:pPr>
    </w:p>
    <w:p w14:paraId="4F7AA960" w14:textId="2B992BD4" w:rsidR="00EB367C" w:rsidRPr="00726423" w:rsidRDefault="00EB367C" w:rsidP="00AF01E8">
      <w:pPr>
        <w:spacing w:line="480" w:lineRule="auto"/>
        <w:jc w:val="both"/>
        <w:rPr>
          <w:rFonts w:ascii="Arial" w:hAnsi="Arial" w:cs="Arial"/>
          <w:b/>
          <w:bCs/>
          <w:color w:val="000000" w:themeColor="text1"/>
          <w:sz w:val="22"/>
          <w:szCs w:val="22"/>
        </w:rPr>
      </w:pPr>
      <w:r w:rsidRPr="00726423">
        <w:rPr>
          <w:rFonts w:ascii="Arial" w:hAnsi="Arial" w:cs="Arial"/>
          <w:b/>
          <w:bCs/>
          <w:color w:val="000000" w:themeColor="text1"/>
          <w:sz w:val="22"/>
          <w:szCs w:val="22"/>
        </w:rPr>
        <w:t xml:space="preserve">cAMP </w:t>
      </w:r>
      <w:r w:rsidR="00167F92" w:rsidRPr="00726423">
        <w:rPr>
          <w:rFonts w:ascii="Arial" w:hAnsi="Arial" w:cs="Arial"/>
          <w:b/>
          <w:bCs/>
          <w:color w:val="000000" w:themeColor="text1"/>
          <w:sz w:val="22"/>
          <w:szCs w:val="22"/>
        </w:rPr>
        <w:t>regulate</w:t>
      </w:r>
      <w:r w:rsidR="00F836A4" w:rsidRPr="00726423">
        <w:rPr>
          <w:rFonts w:ascii="Arial" w:hAnsi="Arial" w:cs="Arial"/>
          <w:b/>
          <w:bCs/>
          <w:color w:val="000000" w:themeColor="text1"/>
          <w:sz w:val="22"/>
          <w:szCs w:val="22"/>
        </w:rPr>
        <w:t>s</w:t>
      </w:r>
      <w:r w:rsidRPr="00726423">
        <w:rPr>
          <w:rFonts w:ascii="Arial" w:hAnsi="Arial" w:cs="Arial"/>
          <w:b/>
          <w:bCs/>
          <w:color w:val="000000" w:themeColor="text1"/>
          <w:sz w:val="22"/>
          <w:szCs w:val="22"/>
        </w:rPr>
        <w:t xml:space="preserve"> IL-33-dependent and IL-33-independent </w:t>
      </w:r>
      <w:r w:rsidR="00F836A4" w:rsidRPr="00726423">
        <w:rPr>
          <w:rFonts w:ascii="Arial" w:hAnsi="Arial" w:cs="Arial"/>
          <w:b/>
          <w:bCs/>
          <w:color w:val="000000" w:themeColor="text1"/>
          <w:sz w:val="22"/>
          <w:szCs w:val="22"/>
        </w:rPr>
        <w:t>ILC2 gene expression</w:t>
      </w:r>
      <w:r w:rsidR="00640DA4" w:rsidRPr="00726423">
        <w:rPr>
          <w:rFonts w:ascii="Arial" w:hAnsi="Arial" w:cs="Arial"/>
          <w:b/>
          <w:bCs/>
          <w:color w:val="000000" w:themeColor="text1"/>
          <w:sz w:val="22"/>
          <w:szCs w:val="22"/>
        </w:rPr>
        <w:t>.</w:t>
      </w:r>
    </w:p>
    <w:p w14:paraId="3C4617BF" w14:textId="1AAF473A" w:rsidR="0034283E" w:rsidRPr="00726423" w:rsidRDefault="001F661B" w:rsidP="00AF01E8">
      <w:pPr>
        <w:spacing w:line="480" w:lineRule="auto"/>
        <w:jc w:val="both"/>
        <w:rPr>
          <w:rFonts w:ascii="Arial" w:hAnsi="Arial" w:cs="Arial"/>
          <w:color w:val="000000" w:themeColor="text1"/>
          <w:sz w:val="22"/>
          <w:szCs w:val="22"/>
        </w:rPr>
      </w:pPr>
      <w:r w:rsidRPr="00726423">
        <w:rPr>
          <w:rFonts w:ascii="Arial" w:hAnsi="Arial" w:cs="Arial"/>
          <w:color w:val="000000" w:themeColor="text1"/>
          <w:sz w:val="22"/>
          <w:szCs w:val="22"/>
        </w:rPr>
        <w:t xml:space="preserve">To </w:t>
      </w:r>
      <w:r w:rsidR="00480BD0" w:rsidRPr="00726423">
        <w:rPr>
          <w:rFonts w:ascii="Arial" w:hAnsi="Arial" w:cs="Arial"/>
          <w:color w:val="000000" w:themeColor="text1"/>
          <w:sz w:val="22"/>
          <w:szCs w:val="22"/>
        </w:rPr>
        <w:t>understand</w:t>
      </w:r>
      <w:r w:rsidRPr="00726423">
        <w:rPr>
          <w:rFonts w:ascii="Arial" w:hAnsi="Arial" w:cs="Arial"/>
          <w:color w:val="000000" w:themeColor="text1"/>
          <w:sz w:val="22"/>
          <w:szCs w:val="22"/>
        </w:rPr>
        <w:t xml:space="preserve"> the underlying mechanisms</w:t>
      </w:r>
      <w:r w:rsidR="00480BD0" w:rsidRPr="00726423">
        <w:rPr>
          <w:rFonts w:ascii="Arial" w:hAnsi="Arial" w:cs="Arial"/>
          <w:color w:val="000000" w:themeColor="text1"/>
          <w:sz w:val="22"/>
          <w:szCs w:val="22"/>
        </w:rPr>
        <w:t xml:space="preserve"> for PGE</w:t>
      </w:r>
      <w:r w:rsidR="00480BD0" w:rsidRPr="00726423">
        <w:rPr>
          <w:rFonts w:ascii="Arial" w:hAnsi="Arial" w:cs="Arial"/>
          <w:color w:val="000000" w:themeColor="text1"/>
          <w:sz w:val="22"/>
          <w:szCs w:val="22"/>
          <w:vertAlign w:val="subscript"/>
        </w:rPr>
        <w:t>2</w:t>
      </w:r>
      <w:r w:rsidR="00480BD0" w:rsidRPr="00726423">
        <w:rPr>
          <w:rFonts w:ascii="Arial" w:hAnsi="Arial" w:cs="Arial"/>
          <w:color w:val="000000" w:themeColor="text1"/>
          <w:sz w:val="22"/>
          <w:szCs w:val="22"/>
        </w:rPr>
        <w:t xml:space="preserve"> suppression of ILC2 responses</w:t>
      </w:r>
      <w:r w:rsidRPr="00726423">
        <w:rPr>
          <w:rFonts w:ascii="Arial" w:hAnsi="Arial" w:cs="Arial"/>
          <w:color w:val="000000" w:themeColor="text1"/>
          <w:sz w:val="22"/>
          <w:szCs w:val="22"/>
        </w:rPr>
        <w:t xml:space="preserve">, we </w:t>
      </w:r>
      <w:r w:rsidR="00F13BD4" w:rsidRPr="00726423">
        <w:rPr>
          <w:rFonts w:ascii="Arial" w:hAnsi="Arial" w:cs="Arial"/>
          <w:color w:val="000000" w:themeColor="text1"/>
          <w:sz w:val="22"/>
          <w:szCs w:val="22"/>
        </w:rPr>
        <w:t>examined a published dataset</w:t>
      </w:r>
      <w:r w:rsidR="00F13BD4" w:rsidRPr="00726423">
        <w:rPr>
          <w:rFonts w:ascii="Arial" w:hAnsi="Arial" w:cs="Arial"/>
          <w:color w:val="000000" w:themeColor="text1"/>
          <w:sz w:val="22"/>
          <w:szCs w:val="22"/>
          <w:vertAlign w:val="superscript"/>
        </w:rPr>
        <w:fldChar w:fldCharType="begin"/>
      </w:r>
      <w:r w:rsidR="00361359">
        <w:rPr>
          <w:rFonts w:ascii="Arial" w:hAnsi="Arial" w:cs="Arial"/>
          <w:color w:val="000000" w:themeColor="text1"/>
          <w:sz w:val="22"/>
          <w:szCs w:val="22"/>
          <w:vertAlign w:val="superscript"/>
        </w:rPr>
        <w:instrText xml:space="preserve"> ADDIN ZOTERO_ITEM CSL_CITATION {"citationID":"a16hc9ah015","properties":{"formattedCitation":"\\super 35\\nosupersub{}","plainCitation":"35","noteIndex":0},"citationItems":[{"id":1674,"uris":["http://zotero.org/users/local/OCWppIAO/items/BGHMASSZ"],"itemData":{"id":1674,"type":"article-journal","abstract":"Innate lymphocytes maintain tissue homeostasis at mucosal barriers, with group 2 innate lymphoid cells (ILC2s) producing type 2 cytokines and controlling helminth infection. While the molecular understanding of ILC2 responses has advanced, the complexity of microenvironmental factors impacting ILC2s is becoming increasingly apparent. Herein, we used single-cell analysis to explore the diversity of gene expression among lung lymphocytes during helminth infection. Following infection, we identified a subset of ILC2s that preferentially expressed Il5-encoding interleukin (IL)-5, together with Calca-encoding calcitonin gene-related peptide (CGRP) and its cognate receptor components. CGRP in concert with IL-33 and neuromedin U (NMU) supported IL-5 but constrained IL-13 expression and ILC2 proliferation. Without CGRP signaling, ILC2 responses and worm expulsion were enhanced. Collectively, these data point to CGRP as a context-dependent negative regulatory factor that shapes innate lymphocyte responses to alarmins and neuropeptides during type 2 innate immune responses.","container-title":"Immunity","DOI":"10.1016/j.immuni.2019.06.009","ISSN":"1097-4180","issue":"4","journalAbbreviation":"Immunity","language":"eng","note":"PMID: 31353223\nPMCID: PMC6801073","page":"682-695.e6","source":"PubMed","title":"Neuropeptide CGRP Limits Group 2 Innate Lymphoid Cell Responses and Constrains Type 2 Inflammation","volume":"51","author":[{"family":"Nagashima","given":"Hiroyuki"},{"family":"Mahlakõiv","given":"Tanel"},{"family":"Shih","given":"Han-Yu"},{"family":"Davis","given":"Fred P."},{"family":"Meylan","given":"Francoise"},{"family":"Huang","given":"Yuefeng"},{"family":"Harrison","given":"Oliver J."},{"family":"Yao","given":"Chen"},{"family":"Mikami","given":"Yohei"},{"family":"Urban","given":"Joseph F."},{"family":"Caron","given":"Kathleen M."},{"family":"Belkaid","given":"Yasmine"},{"family":"Kanno","given":"Yuka"},{"family":"Artis","given":"David"},{"family":"O'Shea","given":"John J."}],"issued":{"date-parts":[["2019",10,15]]}}}],"schema":"https://github.com/citation-style-language/schema/raw/master/csl-citation.json"} </w:instrText>
      </w:r>
      <w:r w:rsidR="00F13BD4" w:rsidRPr="00726423">
        <w:rPr>
          <w:rFonts w:ascii="Arial" w:hAnsi="Arial" w:cs="Arial"/>
          <w:color w:val="000000" w:themeColor="text1"/>
          <w:sz w:val="22"/>
          <w:szCs w:val="22"/>
          <w:vertAlign w:val="superscript"/>
        </w:rPr>
        <w:fldChar w:fldCharType="separate"/>
      </w:r>
      <w:r w:rsidR="00361359" w:rsidRPr="00361359">
        <w:rPr>
          <w:rFonts w:ascii="Arial" w:hAnsi="Arial" w:cs="Arial"/>
          <w:color w:val="000000"/>
          <w:sz w:val="22"/>
          <w:vertAlign w:val="superscript"/>
        </w:rPr>
        <w:t>35</w:t>
      </w:r>
      <w:r w:rsidR="00F13BD4" w:rsidRPr="00726423">
        <w:rPr>
          <w:rFonts w:ascii="Arial" w:hAnsi="Arial" w:cs="Arial"/>
          <w:color w:val="000000" w:themeColor="text1"/>
          <w:sz w:val="22"/>
          <w:szCs w:val="22"/>
          <w:vertAlign w:val="superscript"/>
        </w:rPr>
        <w:fldChar w:fldCharType="end"/>
      </w:r>
      <w:r w:rsidR="00F13BD4" w:rsidRPr="00726423">
        <w:rPr>
          <w:rFonts w:ascii="Arial" w:hAnsi="Arial" w:cs="Arial"/>
          <w:color w:val="000000" w:themeColor="text1"/>
          <w:sz w:val="22"/>
          <w:szCs w:val="22"/>
        </w:rPr>
        <w:t xml:space="preserve"> and </w:t>
      </w:r>
      <w:r w:rsidRPr="00726423">
        <w:rPr>
          <w:rFonts w:ascii="Arial" w:hAnsi="Arial" w:cs="Arial"/>
          <w:color w:val="000000" w:themeColor="text1"/>
          <w:sz w:val="22"/>
          <w:szCs w:val="22"/>
        </w:rPr>
        <w:t xml:space="preserve">analysed </w:t>
      </w:r>
      <w:r w:rsidR="00AA0307" w:rsidRPr="00726423">
        <w:rPr>
          <w:rFonts w:ascii="Arial" w:hAnsi="Arial" w:cs="Arial"/>
          <w:color w:val="000000" w:themeColor="text1"/>
          <w:sz w:val="22"/>
          <w:szCs w:val="22"/>
        </w:rPr>
        <w:t xml:space="preserve">the effects of cAMP on ILC2 </w:t>
      </w:r>
      <w:r w:rsidRPr="00726423">
        <w:rPr>
          <w:rFonts w:ascii="Arial" w:hAnsi="Arial" w:cs="Arial"/>
          <w:color w:val="000000" w:themeColor="text1"/>
          <w:sz w:val="22"/>
          <w:szCs w:val="22"/>
        </w:rPr>
        <w:t xml:space="preserve">gene expression. </w:t>
      </w:r>
      <w:r w:rsidR="00AA0307" w:rsidRPr="00726423">
        <w:rPr>
          <w:rFonts w:ascii="Arial" w:hAnsi="Arial" w:cs="Arial"/>
          <w:color w:val="000000" w:themeColor="text1"/>
          <w:sz w:val="22"/>
          <w:szCs w:val="22"/>
        </w:rPr>
        <w:t>Gene set</w:t>
      </w:r>
      <w:r w:rsidR="008D18CA" w:rsidRPr="00726423">
        <w:rPr>
          <w:rFonts w:ascii="Arial" w:hAnsi="Arial" w:cs="Arial"/>
          <w:color w:val="000000" w:themeColor="text1"/>
          <w:sz w:val="22"/>
          <w:szCs w:val="22"/>
        </w:rPr>
        <w:t xml:space="preserve"> enrichment analysis show</w:t>
      </w:r>
      <w:r w:rsidR="001B2A4B" w:rsidRPr="00726423">
        <w:rPr>
          <w:rFonts w:ascii="Arial" w:hAnsi="Arial" w:cs="Arial"/>
          <w:color w:val="000000" w:themeColor="text1"/>
          <w:sz w:val="22"/>
          <w:szCs w:val="22"/>
        </w:rPr>
        <w:t>ed</w:t>
      </w:r>
      <w:r w:rsidR="008D18CA" w:rsidRPr="00726423">
        <w:rPr>
          <w:rFonts w:ascii="Arial" w:hAnsi="Arial" w:cs="Arial"/>
          <w:color w:val="000000" w:themeColor="text1"/>
          <w:sz w:val="22"/>
          <w:szCs w:val="22"/>
        </w:rPr>
        <w:t xml:space="preserve"> that, i</w:t>
      </w:r>
      <w:r w:rsidRPr="00726423">
        <w:rPr>
          <w:rFonts w:ascii="Arial" w:hAnsi="Arial" w:cs="Arial"/>
          <w:color w:val="000000" w:themeColor="text1"/>
          <w:sz w:val="22"/>
          <w:szCs w:val="22"/>
        </w:rPr>
        <w:t xml:space="preserve">n addition to </w:t>
      </w:r>
      <w:r w:rsidR="00AA0307" w:rsidRPr="00726423">
        <w:rPr>
          <w:rFonts w:ascii="Arial" w:hAnsi="Arial" w:cs="Arial"/>
          <w:color w:val="000000" w:themeColor="text1"/>
          <w:sz w:val="22"/>
          <w:szCs w:val="22"/>
        </w:rPr>
        <w:t>restricting</w:t>
      </w:r>
      <w:r w:rsidRPr="00726423">
        <w:rPr>
          <w:rFonts w:ascii="Arial" w:hAnsi="Arial" w:cs="Arial"/>
          <w:color w:val="000000" w:themeColor="text1"/>
          <w:sz w:val="22"/>
          <w:szCs w:val="22"/>
        </w:rPr>
        <w:t xml:space="preserve"> cell cycle</w:t>
      </w:r>
      <w:r w:rsidR="001B2A4B" w:rsidRPr="00726423">
        <w:rPr>
          <w:rFonts w:ascii="Arial" w:hAnsi="Arial" w:cs="Arial"/>
          <w:color w:val="000000" w:themeColor="text1"/>
          <w:sz w:val="22"/>
          <w:szCs w:val="22"/>
        </w:rPr>
        <w:t xml:space="preserve"> </w:t>
      </w:r>
      <w:r w:rsidR="009707DF" w:rsidRPr="00726423">
        <w:rPr>
          <w:rFonts w:ascii="Arial" w:hAnsi="Arial" w:cs="Arial"/>
          <w:color w:val="000000" w:themeColor="text1"/>
          <w:sz w:val="22"/>
          <w:szCs w:val="22"/>
        </w:rPr>
        <w:t xml:space="preserve">progression </w:t>
      </w:r>
      <w:r w:rsidR="00A3253A" w:rsidRPr="00726423">
        <w:rPr>
          <w:rFonts w:ascii="Arial" w:hAnsi="Arial" w:cs="Arial"/>
          <w:color w:val="000000" w:themeColor="text1"/>
          <w:sz w:val="22"/>
          <w:szCs w:val="22"/>
        </w:rPr>
        <w:t xml:space="preserve">as </w:t>
      </w:r>
      <w:r w:rsidR="001B2A4B" w:rsidRPr="00726423">
        <w:rPr>
          <w:rFonts w:ascii="Arial" w:hAnsi="Arial" w:cs="Arial"/>
          <w:color w:val="000000" w:themeColor="text1"/>
          <w:sz w:val="22"/>
          <w:szCs w:val="22"/>
        </w:rPr>
        <w:t>reported previously</w:t>
      </w:r>
      <w:r w:rsidR="0025776E" w:rsidRPr="00726423">
        <w:rPr>
          <w:rFonts w:ascii="Arial" w:hAnsi="Arial" w:cs="Arial"/>
          <w:color w:val="000000" w:themeColor="text1"/>
          <w:sz w:val="22"/>
          <w:szCs w:val="22"/>
          <w:vertAlign w:val="superscript"/>
        </w:rPr>
        <w:fldChar w:fldCharType="begin"/>
      </w:r>
      <w:r w:rsidR="00361359">
        <w:rPr>
          <w:rFonts w:ascii="Arial" w:hAnsi="Arial" w:cs="Arial"/>
          <w:color w:val="000000" w:themeColor="text1"/>
          <w:sz w:val="22"/>
          <w:szCs w:val="22"/>
          <w:vertAlign w:val="superscript"/>
        </w:rPr>
        <w:instrText xml:space="preserve"> ADDIN ZOTERO_ITEM CSL_CITATION {"citationID":"a1mmcglvj7j","properties":{"formattedCitation":"\\super 35\\nosupersub{}","plainCitation":"35","noteIndex":0},"citationItems":[{"id":1674,"uris":["http://zotero.org/users/local/OCWppIAO/items/BGHMASSZ"],"itemData":{"id":1674,"type":"article-journal","abstract":"Innate lymphocytes maintain tissue homeostasis at mucosal barriers, with group 2 innate lymphoid cells (ILC2s) producing type 2 cytokines and controlling helminth infection. While the molecular understanding of ILC2 responses has advanced, the complexity of microenvironmental factors impacting ILC2s is becoming increasingly apparent. Herein, we used single-cell analysis to explore the diversity of gene expression among lung lymphocytes during helminth infection. Following infection, we identified a subset of ILC2s that preferentially expressed Il5-encoding interleukin (IL)-5, together with Calca-encoding calcitonin gene-related peptide (CGRP) and its cognate receptor components. CGRP in concert with IL-33 and neuromedin U (NMU) supported IL-5 but constrained IL-13 expression and ILC2 proliferation. Without CGRP signaling, ILC2 responses and worm expulsion were enhanced. Collectively, these data point to CGRP as a context-dependent negative regulatory factor that shapes innate lymphocyte responses to alarmins and neuropeptides during type 2 innate immune responses.","container-title":"Immunity","DOI":"10.1016/j.immuni.2019.06.009","ISSN":"1097-4180","issue":"4","journalAbbreviation":"Immunity","language":"eng","note":"PMID: 31353223\nPMCID: PMC6801073","page":"682-695.e6","source":"PubMed","title":"Neuropeptide CGRP Limits Group 2 Innate Lymphoid Cell Responses and Constrains Type 2 Inflammation","volume":"51","author":[{"family":"Nagashima","given":"Hiroyuki"},{"family":"Mahlakõiv","given":"Tanel"},{"family":"Shih","given":"Han-Yu"},{"family":"Davis","given":"Fred P."},{"family":"Meylan","given":"Francoise"},{"family":"Huang","given":"Yuefeng"},{"family":"Harrison","given":"Oliver J."},{"family":"Yao","given":"Chen"},{"family":"Mikami","given":"Yohei"},{"family":"Urban","given":"Joseph F."},{"family":"Caron","given":"Kathleen M."},{"family":"Belkaid","given":"Yasmine"},{"family":"Kanno","given":"Yuka"},{"family":"Artis","given":"David"},{"family":"O'Shea","given":"John J."}],"issued":{"date-parts":[["2019",10,15]]}}}],"schema":"https://github.com/citation-style-language/schema/raw/master/csl-citation.json"} </w:instrText>
      </w:r>
      <w:r w:rsidR="0025776E" w:rsidRPr="00726423">
        <w:rPr>
          <w:rFonts w:ascii="Arial" w:hAnsi="Arial" w:cs="Arial"/>
          <w:color w:val="000000" w:themeColor="text1"/>
          <w:sz w:val="22"/>
          <w:szCs w:val="22"/>
          <w:vertAlign w:val="superscript"/>
        </w:rPr>
        <w:fldChar w:fldCharType="separate"/>
      </w:r>
      <w:r w:rsidR="00361359" w:rsidRPr="00361359">
        <w:rPr>
          <w:rFonts w:ascii="Arial" w:hAnsi="Arial" w:cs="Arial"/>
          <w:color w:val="000000"/>
          <w:sz w:val="22"/>
          <w:vertAlign w:val="superscript"/>
        </w:rPr>
        <w:t>35</w:t>
      </w:r>
      <w:r w:rsidR="0025776E" w:rsidRPr="00726423">
        <w:rPr>
          <w:rFonts w:ascii="Arial" w:hAnsi="Arial" w:cs="Arial"/>
          <w:color w:val="000000" w:themeColor="text1"/>
          <w:sz w:val="22"/>
          <w:szCs w:val="22"/>
          <w:vertAlign w:val="superscript"/>
        </w:rPr>
        <w:fldChar w:fldCharType="end"/>
      </w:r>
      <w:r w:rsidR="00716F9A" w:rsidRPr="00726423">
        <w:rPr>
          <w:rFonts w:ascii="Arial" w:hAnsi="Arial" w:cs="Arial"/>
          <w:color w:val="000000" w:themeColor="text1"/>
          <w:sz w:val="22"/>
          <w:szCs w:val="22"/>
        </w:rPr>
        <w:t>, cAMP markedly</w:t>
      </w:r>
      <w:r w:rsidRPr="00726423">
        <w:rPr>
          <w:rFonts w:ascii="Arial" w:hAnsi="Arial" w:cs="Arial"/>
          <w:color w:val="000000" w:themeColor="text1"/>
          <w:sz w:val="22"/>
          <w:szCs w:val="22"/>
        </w:rPr>
        <w:t xml:space="preserve"> enhanc</w:t>
      </w:r>
      <w:r w:rsidR="00716F9A" w:rsidRPr="00726423">
        <w:rPr>
          <w:rFonts w:ascii="Arial" w:hAnsi="Arial" w:cs="Arial"/>
          <w:color w:val="000000" w:themeColor="text1"/>
          <w:sz w:val="22"/>
          <w:szCs w:val="22"/>
        </w:rPr>
        <w:t>ed</w:t>
      </w:r>
      <w:r w:rsidRPr="00726423">
        <w:rPr>
          <w:rFonts w:ascii="Arial" w:hAnsi="Arial" w:cs="Arial"/>
          <w:color w:val="000000" w:themeColor="text1"/>
          <w:sz w:val="22"/>
          <w:szCs w:val="22"/>
        </w:rPr>
        <w:t xml:space="preserve"> apopto</w:t>
      </w:r>
      <w:r w:rsidR="001B2A4B" w:rsidRPr="00726423">
        <w:rPr>
          <w:rFonts w:ascii="Arial" w:hAnsi="Arial" w:cs="Arial"/>
          <w:color w:val="000000" w:themeColor="text1"/>
          <w:sz w:val="22"/>
          <w:szCs w:val="22"/>
        </w:rPr>
        <w:t>sis-associated</w:t>
      </w:r>
      <w:r w:rsidR="00716F9A" w:rsidRPr="00726423">
        <w:rPr>
          <w:rFonts w:ascii="Arial" w:hAnsi="Arial" w:cs="Arial"/>
          <w:color w:val="000000" w:themeColor="text1"/>
          <w:sz w:val="22"/>
          <w:szCs w:val="22"/>
        </w:rPr>
        <w:t xml:space="preserve"> pathways</w:t>
      </w:r>
      <w:r w:rsidR="001B2A4B" w:rsidRPr="00726423">
        <w:rPr>
          <w:rFonts w:ascii="Arial" w:hAnsi="Arial" w:cs="Arial"/>
          <w:color w:val="000000" w:themeColor="text1"/>
          <w:sz w:val="22"/>
          <w:szCs w:val="22"/>
        </w:rPr>
        <w:t xml:space="preserve"> (</w:t>
      </w:r>
      <w:r w:rsidR="001B2A4B" w:rsidRPr="00726423">
        <w:rPr>
          <w:rFonts w:ascii="Arial" w:hAnsi="Arial" w:cs="Arial"/>
          <w:b/>
          <w:bCs/>
          <w:color w:val="000000" w:themeColor="text1"/>
          <w:sz w:val="22"/>
          <w:szCs w:val="22"/>
        </w:rPr>
        <w:t>Fig 5G</w:t>
      </w:r>
      <w:r w:rsidR="001B2A4B" w:rsidRPr="00726423">
        <w:rPr>
          <w:rFonts w:ascii="Arial" w:hAnsi="Arial" w:cs="Arial"/>
          <w:color w:val="000000" w:themeColor="text1"/>
          <w:sz w:val="22"/>
          <w:szCs w:val="22"/>
        </w:rPr>
        <w:t>).</w:t>
      </w:r>
      <w:r w:rsidR="00716F9A" w:rsidRPr="00726423">
        <w:rPr>
          <w:rFonts w:ascii="Arial" w:hAnsi="Arial" w:cs="Arial"/>
          <w:color w:val="000000" w:themeColor="text1"/>
          <w:sz w:val="22"/>
          <w:szCs w:val="22"/>
        </w:rPr>
        <w:t xml:space="preserve"> </w:t>
      </w:r>
      <w:r w:rsidR="001B2A4B" w:rsidRPr="00726423">
        <w:rPr>
          <w:rFonts w:ascii="Arial" w:hAnsi="Arial" w:cs="Arial"/>
          <w:color w:val="000000" w:themeColor="text1"/>
          <w:sz w:val="22"/>
          <w:szCs w:val="22"/>
        </w:rPr>
        <w:t>Expression of</w:t>
      </w:r>
      <w:r w:rsidR="00716F9A" w:rsidRPr="00726423">
        <w:rPr>
          <w:rFonts w:ascii="Arial" w:hAnsi="Arial" w:cs="Arial"/>
          <w:color w:val="000000" w:themeColor="text1"/>
          <w:sz w:val="22"/>
          <w:szCs w:val="22"/>
        </w:rPr>
        <w:t xml:space="preserve"> pro-apopto</w:t>
      </w:r>
      <w:r w:rsidR="0078630C" w:rsidRPr="00726423">
        <w:rPr>
          <w:rFonts w:ascii="Arial" w:hAnsi="Arial" w:cs="Arial"/>
          <w:color w:val="000000" w:themeColor="text1"/>
          <w:sz w:val="22"/>
          <w:szCs w:val="22"/>
        </w:rPr>
        <w:t>sis associated</w:t>
      </w:r>
      <w:r w:rsidR="00716F9A" w:rsidRPr="00726423">
        <w:rPr>
          <w:rFonts w:ascii="Arial" w:hAnsi="Arial" w:cs="Arial"/>
          <w:color w:val="000000" w:themeColor="text1"/>
          <w:sz w:val="22"/>
          <w:szCs w:val="22"/>
        </w:rPr>
        <w:t xml:space="preserve"> genes (e.g., </w:t>
      </w:r>
      <w:r w:rsidR="00716F9A" w:rsidRPr="00726423">
        <w:rPr>
          <w:rFonts w:ascii="Arial" w:hAnsi="Arial" w:cs="Arial"/>
          <w:i/>
          <w:iCs/>
          <w:color w:val="000000" w:themeColor="text1"/>
          <w:sz w:val="22"/>
          <w:szCs w:val="22"/>
        </w:rPr>
        <w:t>Bad, Bak1</w:t>
      </w:r>
      <w:r w:rsidR="0078630C" w:rsidRPr="00726423">
        <w:rPr>
          <w:rFonts w:ascii="Arial" w:hAnsi="Arial" w:cs="Arial"/>
          <w:color w:val="000000" w:themeColor="text1"/>
          <w:sz w:val="22"/>
          <w:szCs w:val="22"/>
        </w:rPr>
        <w:t>,</w:t>
      </w:r>
      <w:r w:rsidR="00716F9A" w:rsidRPr="00726423">
        <w:rPr>
          <w:rFonts w:ascii="Arial" w:hAnsi="Arial" w:cs="Arial"/>
          <w:color w:val="000000" w:themeColor="text1"/>
          <w:sz w:val="22"/>
          <w:szCs w:val="22"/>
        </w:rPr>
        <w:t xml:space="preserve"> caspases</w:t>
      </w:r>
      <w:r w:rsidR="0078630C" w:rsidRPr="00726423">
        <w:rPr>
          <w:rFonts w:ascii="Arial" w:hAnsi="Arial" w:cs="Arial"/>
          <w:color w:val="000000" w:themeColor="text1"/>
          <w:sz w:val="22"/>
          <w:szCs w:val="22"/>
        </w:rPr>
        <w:t xml:space="preserve">, </w:t>
      </w:r>
      <w:r w:rsidR="0078630C" w:rsidRPr="00726423">
        <w:rPr>
          <w:rFonts w:ascii="Arial" w:hAnsi="Arial" w:cs="Arial"/>
          <w:i/>
          <w:iCs/>
          <w:color w:val="000000" w:themeColor="text1"/>
          <w:sz w:val="22"/>
          <w:szCs w:val="22"/>
        </w:rPr>
        <w:t>Pdcd1</w:t>
      </w:r>
      <w:r w:rsidR="00716F9A" w:rsidRPr="00726423">
        <w:rPr>
          <w:rFonts w:ascii="Arial" w:hAnsi="Arial" w:cs="Arial"/>
          <w:color w:val="000000" w:themeColor="text1"/>
          <w:sz w:val="22"/>
          <w:szCs w:val="22"/>
        </w:rPr>
        <w:t>)</w:t>
      </w:r>
      <w:r w:rsidR="001B2A4B" w:rsidRPr="00726423">
        <w:rPr>
          <w:rFonts w:ascii="Arial" w:hAnsi="Arial" w:cs="Arial"/>
          <w:color w:val="000000" w:themeColor="text1"/>
          <w:sz w:val="22"/>
          <w:szCs w:val="22"/>
        </w:rPr>
        <w:t xml:space="preserve"> were upregulated by cAMP independently of IL-33 (</w:t>
      </w:r>
      <w:r w:rsidR="001B2A4B" w:rsidRPr="00726423">
        <w:rPr>
          <w:rFonts w:ascii="Arial" w:hAnsi="Arial" w:cs="Arial"/>
          <w:b/>
          <w:bCs/>
          <w:color w:val="000000" w:themeColor="text1"/>
          <w:sz w:val="22"/>
          <w:szCs w:val="22"/>
        </w:rPr>
        <w:t>Fig 5H</w:t>
      </w:r>
      <w:r w:rsidR="001B2A4B" w:rsidRPr="00726423">
        <w:rPr>
          <w:rFonts w:ascii="Arial" w:hAnsi="Arial" w:cs="Arial"/>
          <w:color w:val="000000" w:themeColor="text1"/>
          <w:sz w:val="22"/>
          <w:szCs w:val="22"/>
        </w:rPr>
        <w:t xml:space="preserve">). In contrast, IL-33-induced expression of </w:t>
      </w:r>
      <w:r w:rsidR="00716F9A" w:rsidRPr="00726423">
        <w:rPr>
          <w:rFonts w:ascii="Arial" w:hAnsi="Arial" w:cs="Arial"/>
          <w:color w:val="000000" w:themeColor="text1"/>
          <w:sz w:val="22"/>
          <w:szCs w:val="22"/>
        </w:rPr>
        <w:t xml:space="preserve">anti-apoptotic genes (e.g., </w:t>
      </w:r>
      <w:r w:rsidR="00716F9A" w:rsidRPr="00726423">
        <w:rPr>
          <w:rFonts w:ascii="Arial" w:hAnsi="Arial" w:cs="Arial"/>
          <w:i/>
          <w:iCs/>
          <w:color w:val="000000" w:themeColor="text1"/>
          <w:sz w:val="22"/>
          <w:szCs w:val="22"/>
        </w:rPr>
        <w:t xml:space="preserve">Bcl2l1, Bcl3, </w:t>
      </w:r>
      <w:r w:rsidR="0078630C" w:rsidRPr="00726423">
        <w:rPr>
          <w:rFonts w:ascii="Arial" w:hAnsi="Arial" w:cs="Arial"/>
          <w:i/>
          <w:iCs/>
          <w:color w:val="000000" w:themeColor="text1"/>
          <w:sz w:val="22"/>
          <w:szCs w:val="22"/>
        </w:rPr>
        <w:t>Trp53, Ptk2</w:t>
      </w:r>
      <w:r w:rsidR="00716F9A" w:rsidRPr="00726423">
        <w:rPr>
          <w:rFonts w:ascii="Arial" w:hAnsi="Arial" w:cs="Arial"/>
          <w:color w:val="000000" w:themeColor="text1"/>
          <w:sz w:val="22"/>
          <w:szCs w:val="22"/>
        </w:rPr>
        <w:t xml:space="preserve">) </w:t>
      </w:r>
      <w:r w:rsidR="001B2A4B" w:rsidRPr="00726423">
        <w:rPr>
          <w:rFonts w:ascii="Arial" w:hAnsi="Arial" w:cs="Arial"/>
          <w:color w:val="000000" w:themeColor="text1"/>
          <w:sz w:val="22"/>
          <w:szCs w:val="22"/>
        </w:rPr>
        <w:t xml:space="preserve">were down-regulated by cAMP </w:t>
      </w:r>
      <w:r w:rsidR="00716F9A" w:rsidRPr="00726423">
        <w:rPr>
          <w:rFonts w:ascii="Arial" w:hAnsi="Arial" w:cs="Arial"/>
          <w:color w:val="000000" w:themeColor="text1"/>
          <w:sz w:val="22"/>
          <w:szCs w:val="22"/>
        </w:rPr>
        <w:t>(</w:t>
      </w:r>
      <w:r w:rsidR="00716F9A" w:rsidRPr="00726423">
        <w:rPr>
          <w:rFonts w:ascii="Arial" w:hAnsi="Arial" w:cs="Arial"/>
          <w:b/>
          <w:bCs/>
          <w:color w:val="000000" w:themeColor="text1"/>
          <w:sz w:val="22"/>
          <w:szCs w:val="22"/>
        </w:rPr>
        <w:t xml:space="preserve">Fig </w:t>
      </w:r>
      <w:r w:rsidR="001B2A4B" w:rsidRPr="00726423">
        <w:rPr>
          <w:rFonts w:ascii="Arial" w:hAnsi="Arial" w:cs="Arial"/>
          <w:b/>
          <w:bCs/>
          <w:color w:val="000000" w:themeColor="text1"/>
          <w:sz w:val="22"/>
          <w:szCs w:val="22"/>
        </w:rPr>
        <w:t>5H</w:t>
      </w:r>
      <w:r w:rsidR="00716F9A" w:rsidRPr="00726423">
        <w:rPr>
          <w:rFonts w:ascii="Arial" w:hAnsi="Arial" w:cs="Arial"/>
          <w:color w:val="000000" w:themeColor="text1"/>
          <w:sz w:val="22"/>
          <w:szCs w:val="22"/>
        </w:rPr>
        <w:t>)</w:t>
      </w:r>
      <w:r w:rsidR="00625907" w:rsidRPr="00726423">
        <w:rPr>
          <w:rFonts w:ascii="Arial" w:hAnsi="Arial" w:cs="Arial"/>
          <w:color w:val="000000" w:themeColor="text1"/>
          <w:sz w:val="22"/>
          <w:szCs w:val="22"/>
        </w:rPr>
        <w:t>.</w:t>
      </w:r>
      <w:r w:rsidR="00716F9A" w:rsidRPr="00726423">
        <w:rPr>
          <w:rFonts w:ascii="Arial" w:hAnsi="Arial" w:cs="Arial"/>
          <w:color w:val="000000" w:themeColor="text1"/>
          <w:sz w:val="22"/>
          <w:szCs w:val="22"/>
        </w:rPr>
        <w:t xml:space="preserve"> </w:t>
      </w:r>
      <w:r w:rsidR="00625907" w:rsidRPr="00726423">
        <w:rPr>
          <w:rFonts w:ascii="Arial" w:hAnsi="Arial" w:cs="Arial"/>
          <w:color w:val="000000" w:themeColor="text1"/>
          <w:sz w:val="22"/>
          <w:szCs w:val="22"/>
        </w:rPr>
        <w:t>Th</w:t>
      </w:r>
      <w:r w:rsidR="009707DF" w:rsidRPr="00726423">
        <w:rPr>
          <w:rFonts w:ascii="Arial" w:hAnsi="Arial" w:cs="Arial"/>
          <w:color w:val="000000" w:themeColor="text1"/>
          <w:sz w:val="22"/>
          <w:szCs w:val="22"/>
        </w:rPr>
        <w:t>is differential cAMP-altered</w:t>
      </w:r>
      <w:r w:rsidR="00625907" w:rsidRPr="00726423">
        <w:rPr>
          <w:rFonts w:ascii="Arial" w:hAnsi="Arial" w:cs="Arial"/>
          <w:color w:val="000000" w:themeColor="text1"/>
          <w:sz w:val="22"/>
          <w:szCs w:val="22"/>
        </w:rPr>
        <w:t xml:space="preserve"> expression of pro- and anti-apoptotic genes contributes </w:t>
      </w:r>
      <w:r w:rsidR="00716F9A" w:rsidRPr="00726423">
        <w:rPr>
          <w:rFonts w:ascii="Arial" w:hAnsi="Arial" w:cs="Arial"/>
          <w:color w:val="000000" w:themeColor="text1"/>
          <w:sz w:val="22"/>
          <w:szCs w:val="22"/>
        </w:rPr>
        <w:t xml:space="preserve">to </w:t>
      </w:r>
      <w:r w:rsidR="009707DF" w:rsidRPr="00726423">
        <w:rPr>
          <w:rFonts w:ascii="Arial" w:hAnsi="Arial" w:cs="Arial"/>
          <w:color w:val="000000" w:themeColor="text1"/>
          <w:sz w:val="22"/>
          <w:szCs w:val="22"/>
        </w:rPr>
        <w:t xml:space="preserve">overall </w:t>
      </w:r>
      <w:r w:rsidR="00716F9A" w:rsidRPr="00726423">
        <w:rPr>
          <w:rFonts w:ascii="Arial" w:hAnsi="Arial" w:cs="Arial"/>
          <w:color w:val="000000" w:themeColor="text1"/>
          <w:sz w:val="22"/>
          <w:szCs w:val="22"/>
        </w:rPr>
        <w:t xml:space="preserve">reduced cell survival. Moreover, </w:t>
      </w:r>
      <w:r w:rsidR="00AA0307" w:rsidRPr="00726423">
        <w:rPr>
          <w:rFonts w:ascii="Arial" w:hAnsi="Arial" w:cs="Arial"/>
          <w:color w:val="000000" w:themeColor="text1"/>
          <w:sz w:val="22"/>
          <w:szCs w:val="22"/>
        </w:rPr>
        <w:t>IL-33</w:t>
      </w:r>
      <w:r w:rsidR="00260D2C" w:rsidRPr="00726423">
        <w:rPr>
          <w:rFonts w:ascii="Arial" w:hAnsi="Arial" w:cs="Arial"/>
          <w:color w:val="000000" w:themeColor="text1"/>
          <w:sz w:val="22"/>
          <w:szCs w:val="22"/>
        </w:rPr>
        <w:t xml:space="preserve"> elevated expression of</w:t>
      </w:r>
      <w:r w:rsidR="008D18CA" w:rsidRPr="00726423">
        <w:rPr>
          <w:rFonts w:ascii="Arial" w:hAnsi="Arial" w:cs="Arial"/>
          <w:color w:val="000000" w:themeColor="text1"/>
          <w:sz w:val="22"/>
          <w:szCs w:val="22"/>
        </w:rPr>
        <w:t xml:space="preserve"> </w:t>
      </w:r>
      <w:r w:rsidR="00260D2C" w:rsidRPr="00726423">
        <w:rPr>
          <w:rFonts w:ascii="Arial" w:hAnsi="Arial" w:cs="Arial"/>
          <w:color w:val="000000" w:themeColor="text1"/>
          <w:sz w:val="22"/>
          <w:szCs w:val="22"/>
        </w:rPr>
        <w:t xml:space="preserve">the </w:t>
      </w:r>
      <w:r w:rsidR="008D18CA" w:rsidRPr="00726423">
        <w:rPr>
          <w:rFonts w:ascii="Arial" w:hAnsi="Arial" w:cs="Arial"/>
          <w:color w:val="000000" w:themeColor="text1"/>
          <w:sz w:val="22"/>
          <w:szCs w:val="22"/>
        </w:rPr>
        <w:t>STAT5 pathway</w:t>
      </w:r>
      <w:r w:rsidR="00AA0307" w:rsidRPr="00726423">
        <w:rPr>
          <w:rFonts w:ascii="Arial" w:hAnsi="Arial" w:cs="Arial"/>
          <w:color w:val="000000" w:themeColor="text1"/>
          <w:sz w:val="22"/>
          <w:szCs w:val="22"/>
        </w:rPr>
        <w:t xml:space="preserve"> genes including cytokines/receptors (</w:t>
      </w:r>
      <w:r w:rsidR="00AA0307" w:rsidRPr="00726423">
        <w:rPr>
          <w:rFonts w:ascii="Arial" w:hAnsi="Arial" w:cs="Arial"/>
          <w:i/>
          <w:iCs/>
          <w:color w:val="000000" w:themeColor="text1"/>
          <w:sz w:val="22"/>
          <w:szCs w:val="22"/>
        </w:rPr>
        <w:t>Il2ra, Il9, Csf2, Csf2r</w:t>
      </w:r>
      <w:r w:rsidR="00AA0307" w:rsidRPr="00726423">
        <w:rPr>
          <w:rFonts w:ascii="Arial" w:hAnsi="Arial" w:cs="Arial"/>
          <w:color w:val="000000" w:themeColor="text1"/>
          <w:sz w:val="22"/>
          <w:szCs w:val="22"/>
        </w:rPr>
        <w:t>), JAK family</w:t>
      </w:r>
      <w:r w:rsidR="00260D2C" w:rsidRPr="00726423">
        <w:rPr>
          <w:rFonts w:ascii="Arial" w:hAnsi="Arial" w:cs="Arial"/>
          <w:color w:val="000000" w:themeColor="text1"/>
          <w:sz w:val="22"/>
          <w:szCs w:val="22"/>
        </w:rPr>
        <w:t xml:space="preserve"> members</w:t>
      </w:r>
      <w:r w:rsidR="00AA0307" w:rsidRPr="00726423">
        <w:rPr>
          <w:rFonts w:ascii="Arial" w:hAnsi="Arial" w:cs="Arial"/>
          <w:color w:val="000000" w:themeColor="text1"/>
          <w:sz w:val="22"/>
          <w:szCs w:val="22"/>
        </w:rPr>
        <w:t xml:space="preserve"> (</w:t>
      </w:r>
      <w:r w:rsidR="00AA0307" w:rsidRPr="00726423">
        <w:rPr>
          <w:rFonts w:ascii="Arial" w:hAnsi="Arial" w:cs="Arial"/>
          <w:i/>
          <w:iCs/>
          <w:color w:val="000000" w:themeColor="text1"/>
          <w:sz w:val="22"/>
          <w:szCs w:val="22"/>
        </w:rPr>
        <w:t>Jak1, Tyk2</w:t>
      </w:r>
      <w:r w:rsidR="00AA0307" w:rsidRPr="00726423">
        <w:rPr>
          <w:rFonts w:ascii="Arial" w:hAnsi="Arial" w:cs="Arial"/>
          <w:color w:val="000000" w:themeColor="text1"/>
          <w:sz w:val="22"/>
          <w:szCs w:val="22"/>
        </w:rPr>
        <w:t xml:space="preserve">) and </w:t>
      </w:r>
      <w:r w:rsidR="00AA0307" w:rsidRPr="00726423">
        <w:rPr>
          <w:rFonts w:ascii="Arial" w:hAnsi="Arial" w:cs="Arial"/>
          <w:i/>
          <w:iCs/>
          <w:color w:val="000000" w:themeColor="text1"/>
          <w:sz w:val="22"/>
          <w:szCs w:val="22"/>
        </w:rPr>
        <w:t>Stat5a</w:t>
      </w:r>
      <w:r w:rsidR="00AA0307" w:rsidRPr="00726423">
        <w:rPr>
          <w:rFonts w:ascii="Arial" w:hAnsi="Arial" w:cs="Arial"/>
          <w:color w:val="000000" w:themeColor="text1"/>
          <w:sz w:val="22"/>
          <w:szCs w:val="22"/>
        </w:rPr>
        <w:t xml:space="preserve"> and </w:t>
      </w:r>
      <w:r w:rsidR="00AA0307" w:rsidRPr="00726423">
        <w:rPr>
          <w:rFonts w:ascii="Arial" w:hAnsi="Arial" w:cs="Arial"/>
          <w:i/>
          <w:iCs/>
          <w:color w:val="000000" w:themeColor="text1"/>
          <w:sz w:val="22"/>
          <w:szCs w:val="22"/>
        </w:rPr>
        <w:t>Stat5b</w:t>
      </w:r>
      <w:r w:rsidR="00AA0307" w:rsidRPr="00726423">
        <w:rPr>
          <w:rFonts w:ascii="Arial" w:hAnsi="Arial" w:cs="Arial"/>
          <w:color w:val="000000" w:themeColor="text1"/>
          <w:sz w:val="22"/>
          <w:szCs w:val="22"/>
        </w:rPr>
        <w:t xml:space="preserve"> themselves</w:t>
      </w:r>
      <w:r w:rsidR="00260D2C" w:rsidRPr="00726423">
        <w:rPr>
          <w:rFonts w:ascii="Arial" w:hAnsi="Arial" w:cs="Arial"/>
          <w:color w:val="000000" w:themeColor="text1"/>
          <w:sz w:val="22"/>
          <w:szCs w:val="22"/>
        </w:rPr>
        <w:t>,</w:t>
      </w:r>
      <w:r w:rsidR="00B933AC" w:rsidRPr="00726423">
        <w:rPr>
          <w:rFonts w:ascii="Arial" w:hAnsi="Arial" w:cs="Arial"/>
          <w:color w:val="000000" w:themeColor="text1"/>
          <w:sz w:val="22"/>
          <w:szCs w:val="22"/>
        </w:rPr>
        <w:t xml:space="preserve"> </w:t>
      </w:r>
      <w:r w:rsidR="00260D2C" w:rsidRPr="00726423">
        <w:rPr>
          <w:rFonts w:ascii="Arial" w:hAnsi="Arial" w:cs="Arial"/>
          <w:color w:val="000000" w:themeColor="text1"/>
          <w:sz w:val="22"/>
          <w:szCs w:val="22"/>
        </w:rPr>
        <w:t xml:space="preserve">which </w:t>
      </w:r>
      <w:r w:rsidR="009707DF" w:rsidRPr="00726423">
        <w:rPr>
          <w:rFonts w:ascii="Arial" w:hAnsi="Arial" w:cs="Arial"/>
          <w:color w:val="000000" w:themeColor="text1"/>
          <w:sz w:val="22"/>
          <w:szCs w:val="22"/>
        </w:rPr>
        <w:t>were all</w:t>
      </w:r>
      <w:r w:rsidR="00260D2C" w:rsidRPr="00726423">
        <w:rPr>
          <w:rFonts w:ascii="Arial" w:hAnsi="Arial" w:cs="Arial"/>
          <w:color w:val="000000" w:themeColor="text1"/>
          <w:sz w:val="22"/>
          <w:szCs w:val="22"/>
        </w:rPr>
        <w:t xml:space="preserve"> down-regulated by cAMP (</w:t>
      </w:r>
      <w:r w:rsidR="00260D2C" w:rsidRPr="00726423">
        <w:rPr>
          <w:rFonts w:ascii="Arial" w:hAnsi="Arial" w:cs="Arial"/>
          <w:b/>
          <w:bCs/>
          <w:color w:val="000000" w:themeColor="text1"/>
          <w:sz w:val="22"/>
          <w:szCs w:val="22"/>
        </w:rPr>
        <w:t>Fig 5H</w:t>
      </w:r>
      <w:r w:rsidR="00260D2C" w:rsidRPr="00726423">
        <w:rPr>
          <w:rFonts w:ascii="Arial" w:hAnsi="Arial" w:cs="Arial"/>
          <w:color w:val="000000" w:themeColor="text1"/>
          <w:sz w:val="22"/>
          <w:szCs w:val="22"/>
        </w:rPr>
        <w:t xml:space="preserve">). </w:t>
      </w:r>
      <w:r w:rsidR="00AA0307" w:rsidRPr="00726423">
        <w:rPr>
          <w:rFonts w:ascii="Arial" w:hAnsi="Arial" w:cs="Arial"/>
          <w:color w:val="000000" w:themeColor="text1"/>
          <w:sz w:val="22"/>
          <w:szCs w:val="22"/>
        </w:rPr>
        <w:t>STAT5</w:t>
      </w:r>
      <w:r w:rsidR="00B933AC" w:rsidRPr="00726423">
        <w:rPr>
          <w:rFonts w:ascii="Arial" w:hAnsi="Arial" w:cs="Arial"/>
          <w:color w:val="000000" w:themeColor="text1"/>
          <w:sz w:val="22"/>
          <w:szCs w:val="22"/>
        </w:rPr>
        <w:t xml:space="preserve"> is important for ILC2 accumulation at lymphoid and nonlymphoid tissues</w:t>
      </w:r>
      <w:r w:rsidR="00D73B11" w:rsidRPr="00726423">
        <w:rPr>
          <w:rFonts w:ascii="Arial" w:hAnsi="Arial" w:cs="Arial"/>
          <w:color w:val="000000" w:themeColor="text1"/>
          <w:sz w:val="22"/>
          <w:szCs w:val="22"/>
          <w:vertAlign w:val="superscript"/>
        </w:rPr>
        <w:fldChar w:fldCharType="begin"/>
      </w:r>
      <w:r w:rsidR="00361359">
        <w:rPr>
          <w:rFonts w:ascii="Arial" w:hAnsi="Arial" w:cs="Arial"/>
          <w:color w:val="000000" w:themeColor="text1"/>
          <w:sz w:val="22"/>
          <w:szCs w:val="22"/>
          <w:vertAlign w:val="superscript"/>
        </w:rPr>
        <w:instrText xml:space="preserve"> ADDIN ZOTERO_ITEM CSL_CITATION {"citationID":"a110rqbehq0","properties":{"formattedCitation":"\\super 36\\nosupersub{}","plainCitation":"36","noteIndex":0},"citationItems":[{"id":1677,"uris":["http://zotero.org/users/local/OCWppIAO/items/2ZZ39CXC"],"itemData":{"id":1677,"type":"article-journal","abstract":"Innate lymphoid cells (ILCs) patrol environmental interfaces to defend against infection and protect barrier integrity. Using a genetic tuning model, we demonstrate that the signal-dependent transcription factor (TF) STAT5 is critical for accumulation of all known ILC subsets in mice and reveal a hierarchy of STAT5 dependency for populating lymphoid and nonlymphoid tissues. We apply transcriptome and genomic distribution analyses to define a STAT5 gene signature in natural killer (NK) cells, the prototypical ILC subset, and provide a systems-based molecular rationale for its key functions downstream of IL-15. We also uncover surprising features of STAT5 behavior, most notably the wholesale redistribution that occurs when NK cells shift from tonic signaling to acute cytokine-driven signaling, and genome-wide coordination with T-bet, another key TF in ILC biology. Collectively, our data position STAT5 as a central node in the TF network that instructs ILC development, homeostasis, and function and provide mechanistic insights on how it works at cellular and molecular levels.","container-title":"The Journal of Experimental Medicine","DOI":"10.1084/jem.20150907","ISSN":"1540-9538","issue":"10","journalAbbreviation":"J Exp Med","language":"eng","note":"PMID: 28916644\nPMCID: PMC5626390","page":"2999-3014","source":"PubMed","title":"Subset- and tissue-defined STAT5 thresholds control homeostasis and function of innate lymphoid cells","volume":"214","author":[{"family":"Villarino","given":"Alejandro V."},{"family":"Sciumè","given":"Giuseppe"},{"family":"Davis","given":"Fred P."},{"family":"Iwata","given":"Shigeru"},{"family":"Zitti","given":"Beatrice"},{"family":"Robinson","given":"Gertraud W."},{"family":"Hennighausen","given":"Lothar"},{"family":"Kanno","given":"Yuka"},{"family":"O'Shea","given":"John J."}],"issued":{"date-parts":[["2017",10,2]]}}}],"schema":"https://github.com/citation-style-language/schema/raw/master/csl-citation.json"} </w:instrText>
      </w:r>
      <w:r w:rsidR="00D73B11" w:rsidRPr="00726423">
        <w:rPr>
          <w:rFonts w:ascii="Arial" w:hAnsi="Arial" w:cs="Arial"/>
          <w:color w:val="000000" w:themeColor="text1"/>
          <w:sz w:val="22"/>
          <w:szCs w:val="22"/>
          <w:vertAlign w:val="superscript"/>
        </w:rPr>
        <w:fldChar w:fldCharType="separate"/>
      </w:r>
      <w:r w:rsidR="00361359" w:rsidRPr="00361359">
        <w:rPr>
          <w:rFonts w:ascii="Arial" w:hAnsi="Arial" w:cs="Arial"/>
          <w:color w:val="000000"/>
          <w:sz w:val="22"/>
          <w:vertAlign w:val="superscript"/>
        </w:rPr>
        <w:t>36</w:t>
      </w:r>
      <w:r w:rsidR="00D73B11" w:rsidRPr="00726423">
        <w:rPr>
          <w:rFonts w:ascii="Arial" w:hAnsi="Arial" w:cs="Arial"/>
          <w:color w:val="000000" w:themeColor="text1"/>
          <w:sz w:val="22"/>
          <w:szCs w:val="22"/>
          <w:vertAlign w:val="superscript"/>
        </w:rPr>
        <w:fldChar w:fldCharType="end"/>
      </w:r>
      <w:r w:rsidR="00B933AC" w:rsidRPr="00726423">
        <w:rPr>
          <w:rFonts w:ascii="Arial" w:hAnsi="Arial" w:cs="Arial"/>
          <w:color w:val="000000" w:themeColor="text1"/>
          <w:sz w:val="22"/>
          <w:szCs w:val="22"/>
        </w:rPr>
        <w:t xml:space="preserve">. </w:t>
      </w:r>
      <w:r w:rsidR="00D25583" w:rsidRPr="00726423">
        <w:rPr>
          <w:rFonts w:ascii="Arial" w:hAnsi="Arial" w:cs="Arial"/>
          <w:color w:val="000000" w:themeColor="text1"/>
          <w:sz w:val="22"/>
          <w:szCs w:val="22"/>
        </w:rPr>
        <w:t xml:space="preserve">Similar to </w:t>
      </w:r>
      <w:r w:rsidR="00AA0307" w:rsidRPr="00726423">
        <w:rPr>
          <w:rFonts w:ascii="Arial" w:hAnsi="Arial" w:cs="Arial"/>
          <w:color w:val="000000" w:themeColor="text1"/>
          <w:sz w:val="22"/>
          <w:szCs w:val="22"/>
        </w:rPr>
        <w:t>findings</w:t>
      </w:r>
      <w:r w:rsidR="00B933AC" w:rsidRPr="00726423">
        <w:rPr>
          <w:rFonts w:ascii="Arial" w:hAnsi="Arial" w:cs="Arial"/>
          <w:color w:val="000000" w:themeColor="text1"/>
          <w:sz w:val="22"/>
          <w:szCs w:val="22"/>
        </w:rPr>
        <w:t xml:space="preserve"> observed in T cells</w:t>
      </w:r>
      <w:r w:rsidR="00AB5110" w:rsidRPr="00726423">
        <w:rPr>
          <w:rFonts w:ascii="Arial" w:hAnsi="Arial" w:cs="Arial"/>
          <w:color w:val="000000" w:themeColor="text1"/>
          <w:sz w:val="22"/>
          <w:szCs w:val="22"/>
          <w:vertAlign w:val="superscript"/>
        </w:rPr>
        <w:fldChar w:fldCharType="begin"/>
      </w:r>
      <w:r w:rsidR="00361359">
        <w:rPr>
          <w:rFonts w:ascii="Arial" w:hAnsi="Arial" w:cs="Arial"/>
          <w:color w:val="000000" w:themeColor="text1"/>
          <w:sz w:val="22"/>
          <w:szCs w:val="22"/>
          <w:vertAlign w:val="superscript"/>
        </w:rPr>
        <w:instrText xml:space="preserve"> ADDIN ZOTERO_ITEM CSL_CITATION {"citationID":"a1amam3et2d","properties":{"formattedCitation":"\\super 37\\nosupersub{}","plainCitation":"37","noteIndex":0},"citationItems":[{"id":1683,"uris":["http://zotero.org/users/local/OCWppIAO/items/TMS6EEBU"],"itemData":{"id":1683,"type":"article-journal","abstract":"T helper 1 (Th1) cells have critical roles in various autoimmune and proinflammatory diseases. cAMP has long been believed to act as a suppressor of IFN-γ production and Th1 cell-mediated immune inflammation. Here we show that cAMP actively promotes Th1 differentiation by inducing gene expression of cytokine receptors involved in this process. PGE2 signalling through EP2/EP4 receptors mobilizes the cAMP-PKA pathway, which induces CREB- and its co-activator CRTC2-mediated transcription of IL-12Rβ2 and IFN-γR1. Meanwhile, cAMP-mediated suppression of T-cell receptor signalling is overcome by simultaneous activation of PI3-kinase through EP2/EP4 and/or CD28. Loss of EP4 in T cells restricts expression of IL-12Rβ2 and IFN-γR1, and attenuates Th1 cell-mediated inflammation in vivo. These findings clarify the molecular mechanisms and pathological contexts of cAMP-mediated Th1 differentiation and have clinical and therapeutic implications for deployment of cAMP modulators as immunoregulatory drugs.","container-title":"Nature Communications","DOI":"10.1038/ncomms2684","ISSN":"2041-1723","journalAbbreviation":"Nat Commun","language":"eng","note":"PMID: 23575689\nPMCID: PMC3644078","page":"1685","source":"PubMed","title":"Prostaglandin E</w:instrText>
      </w:r>
      <w:r w:rsidR="00361359">
        <w:rPr>
          <w:rFonts w:ascii="Cambria Math" w:hAnsi="Cambria Math" w:cs="Cambria Math"/>
          <w:color w:val="000000" w:themeColor="text1"/>
          <w:sz w:val="22"/>
          <w:szCs w:val="22"/>
          <w:vertAlign w:val="superscript"/>
        </w:rPr>
        <w:instrText>₂</w:instrText>
      </w:r>
      <w:r w:rsidR="00361359">
        <w:rPr>
          <w:rFonts w:ascii="Arial" w:hAnsi="Arial" w:cs="Arial"/>
          <w:color w:val="000000" w:themeColor="text1"/>
          <w:sz w:val="22"/>
          <w:szCs w:val="22"/>
          <w:vertAlign w:val="superscript"/>
        </w:rPr>
        <w:instrText xml:space="preserve"> promotes Th1 differentiation via synergistic amplification of IL-12 signalling by cAMP and PI3-kinase","volume":"4","author":[{"family":"Yao","given":"Chengcan"},{"family":"Hirata","given":"Takako"},{"family":"Soontrapa","given":"Kitipong"},{"family":"Ma","given":"Xiaojun"},{"family":"Takemori","given":"Hiroshi"},{"family":"Narumiya","given":"Shuh"}],"issued":{"date-parts":[["2013"]]}}}],"schema":"https://github.com/citation-style-language/schema/raw/master/csl-citation.json"} </w:instrText>
      </w:r>
      <w:r w:rsidR="00AB5110" w:rsidRPr="00726423">
        <w:rPr>
          <w:rFonts w:ascii="Arial" w:hAnsi="Arial" w:cs="Arial"/>
          <w:color w:val="000000" w:themeColor="text1"/>
          <w:sz w:val="22"/>
          <w:szCs w:val="22"/>
          <w:vertAlign w:val="superscript"/>
        </w:rPr>
        <w:fldChar w:fldCharType="separate"/>
      </w:r>
      <w:r w:rsidR="00361359" w:rsidRPr="00361359">
        <w:rPr>
          <w:rFonts w:ascii="Arial" w:hAnsi="Arial" w:cs="Arial"/>
          <w:color w:val="000000"/>
          <w:sz w:val="22"/>
          <w:vertAlign w:val="superscript"/>
        </w:rPr>
        <w:t>37</w:t>
      </w:r>
      <w:r w:rsidR="00AB5110" w:rsidRPr="00726423">
        <w:rPr>
          <w:rFonts w:ascii="Arial" w:hAnsi="Arial" w:cs="Arial"/>
          <w:color w:val="000000" w:themeColor="text1"/>
          <w:sz w:val="22"/>
          <w:szCs w:val="22"/>
          <w:vertAlign w:val="superscript"/>
        </w:rPr>
        <w:fldChar w:fldCharType="end"/>
      </w:r>
      <w:r w:rsidR="00B933AC" w:rsidRPr="00726423">
        <w:rPr>
          <w:rFonts w:ascii="Arial" w:hAnsi="Arial" w:cs="Arial"/>
          <w:color w:val="000000" w:themeColor="text1"/>
          <w:sz w:val="22"/>
          <w:szCs w:val="22"/>
        </w:rPr>
        <w:t>, cAMP up-regulated gene expression involved in the IL-12 pathway</w:t>
      </w:r>
      <w:r w:rsidR="00AA0307" w:rsidRPr="00726423">
        <w:rPr>
          <w:rFonts w:ascii="Arial" w:hAnsi="Arial" w:cs="Arial"/>
          <w:color w:val="000000" w:themeColor="text1"/>
          <w:sz w:val="22"/>
          <w:szCs w:val="22"/>
        </w:rPr>
        <w:t xml:space="preserve"> (e.g., </w:t>
      </w:r>
      <w:r w:rsidR="00AA0307" w:rsidRPr="00726423">
        <w:rPr>
          <w:rFonts w:ascii="Arial" w:hAnsi="Arial" w:cs="Arial"/>
          <w:i/>
          <w:iCs/>
          <w:color w:val="000000" w:themeColor="text1"/>
          <w:sz w:val="22"/>
          <w:szCs w:val="22"/>
        </w:rPr>
        <w:t>Il12rb2</w:t>
      </w:r>
      <w:r w:rsidR="00AA0307" w:rsidRPr="00726423">
        <w:rPr>
          <w:rFonts w:ascii="Arial" w:hAnsi="Arial" w:cs="Arial"/>
          <w:color w:val="000000" w:themeColor="text1"/>
          <w:sz w:val="22"/>
          <w:szCs w:val="22"/>
        </w:rPr>
        <w:t>)</w:t>
      </w:r>
      <w:r w:rsidR="00B933AC" w:rsidRPr="00726423">
        <w:rPr>
          <w:rFonts w:ascii="Arial" w:hAnsi="Arial" w:cs="Arial"/>
          <w:color w:val="000000" w:themeColor="text1"/>
          <w:sz w:val="22"/>
          <w:szCs w:val="22"/>
        </w:rPr>
        <w:t xml:space="preserve"> and </w:t>
      </w:r>
      <w:r w:rsidR="001E3DB0" w:rsidRPr="00726423">
        <w:rPr>
          <w:rFonts w:ascii="Arial" w:hAnsi="Arial" w:cs="Arial"/>
          <w:color w:val="000000" w:themeColor="text1"/>
          <w:sz w:val="22"/>
          <w:szCs w:val="22"/>
        </w:rPr>
        <w:t xml:space="preserve">the </w:t>
      </w:r>
      <w:r w:rsidR="00B933AC" w:rsidRPr="00726423">
        <w:rPr>
          <w:rFonts w:ascii="Arial" w:hAnsi="Arial" w:cs="Arial"/>
          <w:color w:val="000000" w:themeColor="text1"/>
          <w:sz w:val="22"/>
          <w:szCs w:val="22"/>
        </w:rPr>
        <w:t>i</w:t>
      </w:r>
      <w:r w:rsidR="00B933AC" w:rsidRPr="00726423">
        <w:rPr>
          <w:rFonts w:ascii="Arial" w:hAnsi="Arial" w:cs="Arial"/>
          <w:color w:val="000000" w:themeColor="text1"/>
          <w:sz w:val="22"/>
          <w:szCs w:val="22"/>
          <w:lang w:eastAsia="en-GB"/>
        </w:rPr>
        <w:t>nterferon</w:t>
      </w:r>
      <w:r w:rsidR="00B933AC" w:rsidRPr="00726423">
        <w:rPr>
          <w:rFonts w:ascii="Arial" w:hAnsi="Arial" w:cs="Arial"/>
          <w:color w:val="000000" w:themeColor="text1"/>
          <w:sz w:val="22"/>
          <w:szCs w:val="22"/>
        </w:rPr>
        <w:t xml:space="preserve"> pathway</w:t>
      </w:r>
      <w:r w:rsidR="00260D2C" w:rsidRPr="00726423">
        <w:rPr>
          <w:rFonts w:ascii="Arial" w:hAnsi="Arial" w:cs="Arial"/>
          <w:color w:val="000000" w:themeColor="text1"/>
          <w:sz w:val="22"/>
          <w:szCs w:val="22"/>
        </w:rPr>
        <w:t>, the latter</w:t>
      </w:r>
      <w:r w:rsidR="00B933AC" w:rsidRPr="00726423">
        <w:rPr>
          <w:rFonts w:ascii="Arial" w:hAnsi="Arial" w:cs="Arial"/>
          <w:color w:val="000000" w:themeColor="text1"/>
          <w:sz w:val="22"/>
          <w:szCs w:val="22"/>
        </w:rPr>
        <w:t xml:space="preserve"> </w:t>
      </w:r>
      <w:r w:rsidR="00AA0307" w:rsidRPr="00726423">
        <w:rPr>
          <w:rFonts w:ascii="Arial" w:hAnsi="Arial" w:cs="Arial"/>
          <w:color w:val="000000" w:themeColor="text1"/>
          <w:sz w:val="22"/>
          <w:szCs w:val="22"/>
        </w:rPr>
        <w:t>includ</w:t>
      </w:r>
      <w:r w:rsidR="00260D2C" w:rsidRPr="00726423">
        <w:rPr>
          <w:rFonts w:ascii="Arial" w:hAnsi="Arial" w:cs="Arial"/>
          <w:color w:val="000000" w:themeColor="text1"/>
          <w:sz w:val="22"/>
          <w:szCs w:val="22"/>
        </w:rPr>
        <w:t>ed cytokine</w:t>
      </w:r>
      <w:r w:rsidR="00B933AC" w:rsidRPr="00726423">
        <w:rPr>
          <w:rFonts w:ascii="Arial" w:hAnsi="Arial" w:cs="Arial"/>
          <w:color w:val="000000" w:themeColor="text1"/>
          <w:sz w:val="22"/>
          <w:szCs w:val="22"/>
        </w:rPr>
        <w:t xml:space="preserve"> </w:t>
      </w:r>
      <w:r w:rsidR="00AA0307" w:rsidRPr="00726423">
        <w:rPr>
          <w:rFonts w:ascii="Arial" w:hAnsi="Arial" w:cs="Arial"/>
          <w:color w:val="000000" w:themeColor="text1"/>
          <w:sz w:val="22"/>
          <w:szCs w:val="22"/>
        </w:rPr>
        <w:t>receptors</w:t>
      </w:r>
      <w:r w:rsidR="00B933AC" w:rsidRPr="00726423">
        <w:rPr>
          <w:rFonts w:ascii="Arial" w:hAnsi="Arial" w:cs="Arial"/>
          <w:color w:val="000000" w:themeColor="text1"/>
          <w:sz w:val="22"/>
          <w:szCs w:val="22"/>
        </w:rPr>
        <w:t xml:space="preserve"> (</w:t>
      </w:r>
      <w:r w:rsidR="00B933AC" w:rsidRPr="00726423">
        <w:rPr>
          <w:rFonts w:ascii="Arial" w:hAnsi="Arial" w:cs="Arial"/>
          <w:i/>
          <w:iCs/>
          <w:color w:val="000000" w:themeColor="text1"/>
          <w:sz w:val="22"/>
          <w:szCs w:val="22"/>
        </w:rPr>
        <w:t xml:space="preserve">Il18r, Il18rap, </w:t>
      </w:r>
      <w:proofErr w:type="spellStart"/>
      <w:r w:rsidR="00B933AC" w:rsidRPr="00726423">
        <w:rPr>
          <w:rFonts w:ascii="Arial" w:hAnsi="Arial" w:cs="Arial"/>
          <w:i/>
          <w:iCs/>
          <w:color w:val="000000" w:themeColor="text1"/>
          <w:sz w:val="22"/>
          <w:szCs w:val="22"/>
        </w:rPr>
        <w:t>Ifng</w:t>
      </w:r>
      <w:proofErr w:type="spellEnd"/>
      <w:r w:rsidR="00B933AC" w:rsidRPr="00726423">
        <w:rPr>
          <w:rFonts w:ascii="Arial" w:hAnsi="Arial" w:cs="Arial"/>
          <w:i/>
          <w:iCs/>
          <w:color w:val="000000" w:themeColor="text1"/>
          <w:sz w:val="22"/>
          <w:szCs w:val="22"/>
        </w:rPr>
        <w:t>, Ifngr1, Ifnar1, Ifnar2</w:t>
      </w:r>
      <w:r w:rsidR="00B933AC" w:rsidRPr="00726423">
        <w:rPr>
          <w:rFonts w:ascii="Arial" w:hAnsi="Arial" w:cs="Arial"/>
          <w:color w:val="000000" w:themeColor="text1"/>
          <w:sz w:val="22"/>
          <w:szCs w:val="22"/>
        </w:rPr>
        <w:t>) and downstream i</w:t>
      </w:r>
      <w:r w:rsidR="00B933AC" w:rsidRPr="00726423">
        <w:rPr>
          <w:rFonts w:ascii="Arial" w:hAnsi="Arial" w:cs="Arial"/>
          <w:color w:val="000000" w:themeColor="text1"/>
          <w:sz w:val="22"/>
          <w:szCs w:val="22"/>
          <w:lang w:eastAsia="en-GB"/>
        </w:rPr>
        <w:t>nterferon-stimulated or gamma-activated</w:t>
      </w:r>
      <w:r w:rsidR="00B933AC" w:rsidRPr="00726423">
        <w:rPr>
          <w:rFonts w:ascii="Arial" w:hAnsi="Arial" w:cs="Arial"/>
          <w:color w:val="000000" w:themeColor="text1"/>
          <w:sz w:val="22"/>
          <w:szCs w:val="22"/>
        </w:rPr>
        <w:t xml:space="preserve"> genes (</w:t>
      </w:r>
      <w:r w:rsidR="00B933AC" w:rsidRPr="00726423">
        <w:rPr>
          <w:rFonts w:ascii="Arial" w:hAnsi="Arial" w:cs="Arial"/>
          <w:i/>
          <w:iCs/>
          <w:color w:val="000000" w:themeColor="text1"/>
          <w:sz w:val="22"/>
          <w:szCs w:val="22"/>
        </w:rPr>
        <w:t>Ifit1, Irf8, Isg15, Hif1a</w:t>
      </w:r>
      <w:r w:rsidR="00B933AC" w:rsidRPr="00726423">
        <w:rPr>
          <w:rFonts w:ascii="Arial" w:hAnsi="Arial" w:cs="Arial"/>
          <w:color w:val="000000" w:themeColor="text1"/>
          <w:sz w:val="22"/>
          <w:szCs w:val="22"/>
        </w:rPr>
        <w:t>) (</w:t>
      </w:r>
      <w:r w:rsidR="00B933AC" w:rsidRPr="00726423">
        <w:rPr>
          <w:rFonts w:ascii="Arial" w:hAnsi="Arial" w:cs="Arial"/>
          <w:b/>
          <w:bCs/>
          <w:color w:val="000000" w:themeColor="text1"/>
          <w:sz w:val="22"/>
          <w:szCs w:val="22"/>
        </w:rPr>
        <w:t xml:space="preserve">Fig </w:t>
      </w:r>
      <w:r w:rsidR="00516E8C" w:rsidRPr="00726423">
        <w:rPr>
          <w:rFonts w:ascii="Arial" w:hAnsi="Arial" w:cs="Arial"/>
          <w:b/>
          <w:bCs/>
          <w:color w:val="000000" w:themeColor="text1"/>
          <w:sz w:val="22"/>
          <w:szCs w:val="22"/>
        </w:rPr>
        <w:t>5H</w:t>
      </w:r>
      <w:r w:rsidR="00B933AC" w:rsidRPr="00726423">
        <w:rPr>
          <w:rFonts w:ascii="Arial" w:hAnsi="Arial" w:cs="Arial"/>
          <w:color w:val="000000" w:themeColor="text1"/>
          <w:sz w:val="22"/>
          <w:szCs w:val="22"/>
        </w:rPr>
        <w:t>).</w:t>
      </w:r>
      <w:r w:rsidR="00260D2C" w:rsidRPr="00726423">
        <w:rPr>
          <w:rFonts w:ascii="Arial" w:hAnsi="Arial" w:cs="Arial"/>
          <w:color w:val="000000" w:themeColor="text1"/>
          <w:sz w:val="22"/>
          <w:szCs w:val="22"/>
        </w:rPr>
        <w:t xml:space="preserve"> IL-33 had no impacts on </w:t>
      </w:r>
      <w:r w:rsidR="00516E8C" w:rsidRPr="00726423">
        <w:rPr>
          <w:rFonts w:ascii="Arial" w:hAnsi="Arial" w:cs="Arial"/>
          <w:color w:val="000000" w:themeColor="text1"/>
          <w:sz w:val="22"/>
          <w:szCs w:val="22"/>
        </w:rPr>
        <w:t xml:space="preserve">IL-12 and interferon pathway gene </w:t>
      </w:r>
      <w:r w:rsidR="00260D2C" w:rsidRPr="00726423">
        <w:rPr>
          <w:rFonts w:ascii="Arial" w:hAnsi="Arial" w:cs="Arial"/>
          <w:color w:val="000000" w:themeColor="text1"/>
          <w:sz w:val="22"/>
          <w:szCs w:val="22"/>
        </w:rPr>
        <w:t>expression (</w:t>
      </w:r>
      <w:r w:rsidR="00260D2C" w:rsidRPr="00726423">
        <w:rPr>
          <w:rFonts w:ascii="Arial" w:hAnsi="Arial" w:cs="Arial"/>
          <w:b/>
          <w:bCs/>
          <w:color w:val="000000" w:themeColor="text1"/>
          <w:sz w:val="22"/>
          <w:szCs w:val="22"/>
        </w:rPr>
        <w:t>Fig 5H</w:t>
      </w:r>
      <w:r w:rsidR="00260D2C" w:rsidRPr="00726423">
        <w:rPr>
          <w:rFonts w:ascii="Arial" w:hAnsi="Arial" w:cs="Arial"/>
          <w:color w:val="000000" w:themeColor="text1"/>
          <w:sz w:val="22"/>
          <w:szCs w:val="22"/>
        </w:rPr>
        <w:t>).</w:t>
      </w:r>
      <w:r w:rsidR="00B933AC" w:rsidRPr="00726423">
        <w:rPr>
          <w:rFonts w:ascii="Arial" w:hAnsi="Arial" w:cs="Arial"/>
          <w:color w:val="000000" w:themeColor="text1"/>
          <w:sz w:val="22"/>
          <w:szCs w:val="22"/>
        </w:rPr>
        <w:t xml:space="preserve"> The </w:t>
      </w:r>
      <w:r w:rsidR="007E70DE" w:rsidRPr="00726423">
        <w:rPr>
          <w:rFonts w:ascii="Arial" w:hAnsi="Arial" w:cs="Arial"/>
          <w:color w:val="000000" w:themeColor="text1"/>
          <w:sz w:val="22"/>
          <w:szCs w:val="22"/>
        </w:rPr>
        <w:t>i</w:t>
      </w:r>
      <w:r w:rsidR="007E70DE" w:rsidRPr="00726423">
        <w:rPr>
          <w:rFonts w:ascii="Arial" w:hAnsi="Arial" w:cs="Arial"/>
          <w:color w:val="000000" w:themeColor="text1"/>
          <w:sz w:val="22"/>
          <w:szCs w:val="22"/>
          <w:lang w:eastAsia="en-GB"/>
        </w:rPr>
        <w:t>nterferon</w:t>
      </w:r>
      <w:r w:rsidR="007E70DE" w:rsidRPr="00726423">
        <w:rPr>
          <w:rFonts w:ascii="Arial" w:hAnsi="Arial" w:cs="Arial"/>
          <w:color w:val="000000" w:themeColor="text1"/>
          <w:sz w:val="22"/>
          <w:szCs w:val="22"/>
        </w:rPr>
        <w:t>-</w:t>
      </w:r>
      <w:r w:rsidR="00B933AC" w:rsidRPr="00726423">
        <w:rPr>
          <w:rFonts w:ascii="Arial" w:hAnsi="Arial" w:cs="Arial"/>
          <w:color w:val="000000" w:themeColor="text1"/>
          <w:sz w:val="22"/>
          <w:szCs w:val="22"/>
        </w:rPr>
        <w:t xml:space="preserve"> and IL-12</w:t>
      </w:r>
      <w:r w:rsidR="007E70DE" w:rsidRPr="00726423">
        <w:rPr>
          <w:rFonts w:ascii="Arial" w:hAnsi="Arial" w:cs="Arial"/>
          <w:color w:val="000000" w:themeColor="text1"/>
          <w:sz w:val="22"/>
          <w:szCs w:val="22"/>
        </w:rPr>
        <w:t xml:space="preserve">-activated STAT1/2/4 repress ILC2 activation </w:t>
      </w:r>
      <w:r w:rsidR="00DC123D" w:rsidRPr="00726423">
        <w:rPr>
          <w:rFonts w:ascii="Arial" w:hAnsi="Arial" w:cs="Arial"/>
          <w:color w:val="000000" w:themeColor="text1"/>
          <w:sz w:val="22"/>
          <w:szCs w:val="22"/>
        </w:rPr>
        <w:t xml:space="preserve">by </w:t>
      </w:r>
      <w:r w:rsidR="007E70DE" w:rsidRPr="00726423">
        <w:rPr>
          <w:rFonts w:ascii="Arial" w:hAnsi="Arial" w:cs="Arial"/>
          <w:color w:val="000000" w:themeColor="text1"/>
          <w:sz w:val="22"/>
          <w:szCs w:val="22"/>
        </w:rPr>
        <w:t>antagoniz</w:t>
      </w:r>
      <w:r w:rsidR="0046021A" w:rsidRPr="00726423">
        <w:rPr>
          <w:rFonts w:ascii="Arial" w:hAnsi="Arial" w:cs="Arial"/>
          <w:color w:val="000000" w:themeColor="text1"/>
          <w:sz w:val="22"/>
          <w:szCs w:val="22"/>
        </w:rPr>
        <w:t>ing</w:t>
      </w:r>
      <w:r w:rsidR="007E70DE" w:rsidRPr="00726423">
        <w:rPr>
          <w:rFonts w:ascii="Arial" w:hAnsi="Arial" w:cs="Arial"/>
          <w:color w:val="000000" w:themeColor="text1"/>
          <w:sz w:val="22"/>
          <w:szCs w:val="22"/>
        </w:rPr>
        <w:t xml:space="preserve"> STAT5</w:t>
      </w:r>
      <w:r w:rsidR="00AB5110" w:rsidRPr="00726423">
        <w:rPr>
          <w:rFonts w:ascii="Arial" w:hAnsi="Arial" w:cs="Arial"/>
          <w:color w:val="000000" w:themeColor="text1"/>
          <w:sz w:val="22"/>
          <w:szCs w:val="22"/>
          <w:vertAlign w:val="superscript"/>
        </w:rPr>
        <w:fldChar w:fldCharType="begin"/>
      </w:r>
      <w:r w:rsidR="00361359">
        <w:rPr>
          <w:rFonts w:ascii="Arial" w:hAnsi="Arial" w:cs="Arial"/>
          <w:color w:val="000000" w:themeColor="text1"/>
          <w:sz w:val="22"/>
          <w:szCs w:val="22"/>
          <w:vertAlign w:val="superscript"/>
        </w:rPr>
        <w:instrText xml:space="preserve"> ADDIN ZOTERO_ITEM CSL_CITATION {"citationID":"aus2pul18","properties":{"formattedCitation":"\\super 38\\nosupersub{}","plainCitation":"38","noteIndex":0},"citationItems":[{"id":1686,"uris":["http://zotero.org/users/local/OCWppIAO/items/5IKG2Y2V"],"itemData":{"id":1686,"type":"article-journal","abstract":"BACKGROUND: Group 2 innate lymphoid cells (ILC2s) are involved in type 2 immune responses in mucosal organs and are associated with various allergic diseases in humans. Studies are needed to understand the molecules and pathways that control ILC2s.\nOBJECTIVE: The aim of this study was to develop a mouse model that limits the innate type 2 immune response in the lung and to investigate the immunologic mechanisms involved in regulation of lung ILC2s.\nMETHODS: Naïve BALB/c mice were administered various toll-like receptor (TLR) agonists and exposed intranasally (i.n.) to the fungal allergen Alternaria alternata. The mechanisms were investigated using gene knockout mice and cultures of lung cells and isolated lung ILC2s.\nRESULTS: Polyinosinic-polycytidylic acid [poly (I:C)] effectively inhibited innate type 2 response to A. alternata. Poly (I:C) promoted production of interferon (IFN)-α, -β, and -γ, and its inhibitory effects were dependent on the IFN-α/β receptor pathway. IFN-β was 100-times more potent than IFN-α at inhibiting type 2 cytokine production by lung ILC2s. Signal transducer and activator of transcription 5 (STAT5)-activating cytokines, including interleukin-2 (IL-2), IL-7, and thymic stromal lymphopoietin (TSLP), but not IL-33, promoted survival and proliferation of lung ILC2s in vitro, while IFN-β blocked these effects. Expression of the transcription factor GATA3, which is critical for differentiation and maintenance of ILC2s, was inhibited by IFN-β.\nCONCLUSION: IFN-β blocks the effects of STAT5-activating cytokines on lung ILC2s and inhibits their survival and effector functions. Administration of IFN-β may provide a new strategy to treat diseases involving ILC2s.","container-title":"The Journal of Allergy and Clinical Immunology","DOI":"10.1016/j.jaci.2021.07.041","ISSN":"1097-6825","journalAbbreviation":"J Allergy Clin Immunol","language":"eng","note":"PMID: 34428519","page":"S0091-6749(21)01296-3","source":"PubMed","title":"TLR3-driven IFN-β antagonizes STAT5-activating cytokines and suppresses innate type 2 response in the lung","author":[{"family":"Tei","given":"Rinna"},{"family":"Iijima","given":"Koji"},{"family":"Matsumoto","given":"Koji"},{"family":"Kobayashi","given":"Takao"},{"family":"Lama","given":"Jyoti"},{"family":"Jacobsen","given":"Elizabeth A."},{"family":"Kita","given":"Hirohito"}],"issued":{"date-parts":[["2021",8,21]]}}}],"schema":"https://github.com/citation-style-language/schema/raw/master/csl-citation.json"} </w:instrText>
      </w:r>
      <w:r w:rsidR="00AB5110" w:rsidRPr="00726423">
        <w:rPr>
          <w:rFonts w:ascii="Arial" w:hAnsi="Arial" w:cs="Arial"/>
          <w:color w:val="000000" w:themeColor="text1"/>
          <w:sz w:val="22"/>
          <w:szCs w:val="22"/>
          <w:vertAlign w:val="superscript"/>
        </w:rPr>
        <w:fldChar w:fldCharType="separate"/>
      </w:r>
      <w:r w:rsidR="00361359" w:rsidRPr="00361359">
        <w:rPr>
          <w:rFonts w:ascii="Arial" w:hAnsi="Arial" w:cs="Arial"/>
          <w:color w:val="000000"/>
          <w:sz w:val="22"/>
          <w:vertAlign w:val="superscript"/>
        </w:rPr>
        <w:t>38</w:t>
      </w:r>
      <w:r w:rsidR="00AB5110" w:rsidRPr="00726423">
        <w:rPr>
          <w:rFonts w:ascii="Arial" w:hAnsi="Arial" w:cs="Arial"/>
          <w:color w:val="000000" w:themeColor="text1"/>
          <w:sz w:val="22"/>
          <w:szCs w:val="22"/>
          <w:vertAlign w:val="superscript"/>
        </w:rPr>
        <w:fldChar w:fldCharType="end"/>
      </w:r>
      <w:r w:rsidR="007E70DE" w:rsidRPr="00726423">
        <w:rPr>
          <w:rFonts w:ascii="Arial" w:hAnsi="Arial" w:cs="Arial"/>
          <w:color w:val="000000" w:themeColor="text1"/>
          <w:sz w:val="22"/>
          <w:szCs w:val="22"/>
        </w:rPr>
        <w:t xml:space="preserve">. </w:t>
      </w:r>
      <w:r w:rsidR="00516E8C" w:rsidRPr="00726423">
        <w:rPr>
          <w:rFonts w:ascii="Arial" w:hAnsi="Arial" w:cs="Arial"/>
          <w:color w:val="000000" w:themeColor="text1"/>
          <w:sz w:val="22"/>
          <w:szCs w:val="22"/>
        </w:rPr>
        <w:t>Similarly, cAMP enhanced STAT3 expression (</w:t>
      </w:r>
      <w:r w:rsidR="00516E8C" w:rsidRPr="00726423">
        <w:rPr>
          <w:rFonts w:ascii="Arial" w:hAnsi="Arial" w:cs="Arial"/>
          <w:b/>
          <w:bCs/>
          <w:color w:val="000000" w:themeColor="text1"/>
          <w:sz w:val="22"/>
          <w:szCs w:val="22"/>
        </w:rPr>
        <w:t xml:space="preserve">Fig </w:t>
      </w:r>
      <w:r w:rsidR="00A3253A" w:rsidRPr="00726423">
        <w:rPr>
          <w:rFonts w:ascii="Arial" w:hAnsi="Arial" w:cs="Arial"/>
          <w:b/>
          <w:bCs/>
          <w:color w:val="000000" w:themeColor="text1"/>
          <w:sz w:val="22"/>
          <w:szCs w:val="22"/>
        </w:rPr>
        <w:t>5</w:t>
      </w:r>
      <w:r w:rsidR="00516E8C" w:rsidRPr="00726423">
        <w:rPr>
          <w:rFonts w:ascii="Arial" w:hAnsi="Arial" w:cs="Arial"/>
          <w:b/>
          <w:bCs/>
          <w:color w:val="000000" w:themeColor="text1"/>
          <w:sz w:val="22"/>
          <w:szCs w:val="22"/>
        </w:rPr>
        <w:t>H</w:t>
      </w:r>
      <w:r w:rsidR="00516E8C" w:rsidRPr="00726423">
        <w:rPr>
          <w:rFonts w:ascii="Arial" w:hAnsi="Arial" w:cs="Arial"/>
          <w:color w:val="000000" w:themeColor="text1"/>
          <w:sz w:val="22"/>
          <w:szCs w:val="22"/>
        </w:rPr>
        <w:t>) which usually competes with STAT5 for binding to gene promoters</w:t>
      </w:r>
      <w:r w:rsidR="00516E8C" w:rsidRPr="00726423">
        <w:rPr>
          <w:rFonts w:ascii="Arial" w:hAnsi="Arial" w:cs="Arial"/>
          <w:color w:val="000000" w:themeColor="text1"/>
          <w:sz w:val="22"/>
          <w:szCs w:val="22"/>
          <w:vertAlign w:val="superscript"/>
        </w:rPr>
        <w:fldChar w:fldCharType="begin"/>
      </w:r>
      <w:r w:rsidR="00361359">
        <w:rPr>
          <w:rFonts w:ascii="Arial" w:hAnsi="Arial" w:cs="Arial"/>
          <w:color w:val="000000" w:themeColor="text1"/>
          <w:sz w:val="22"/>
          <w:szCs w:val="22"/>
          <w:vertAlign w:val="superscript"/>
        </w:rPr>
        <w:instrText xml:space="preserve"> ADDIN ZOTERO_ITEM CSL_CITATION {"citationID":"a2dpmi10n0q","properties":{"formattedCitation":"\\super 39\\nosupersub{}","plainCitation":"39","noteIndex":0},"citationItems":[{"id":1680,"uris":["http://zotero.org/users/local/OCWppIAO/items/WTX8EGAF"],"itemData":{"id":1680,"type":"article-journal","abstract":"STAT3 and STAT5 proteins are oncogenic downstream mediators of the JAK-STAT pathway. Deregulated STAT3 and STAT5 signaling promotes cancer cell proliferation and survival in conjunction with other core cancer pathways. Nuclear phosphorylated STAT3 and STAT5 regulate cell-type-specific transcription profiles via binding to promoter elements and exert more complex functions involving interaction with various transcriptional coactivators or corepressors and chromatin remodeling proteins. The JAK-STAT pathway can rapidly reshape the chromatin landscape upon cytokine, hormone, or growth factor stimulation and unphosphorylated STAT proteins also appear to be functional with respect to regulating chromatin accessibility. Notably, cancer genome landscape studies have implicated mutations in various epigenetic modifiers as well as the JAK-STAT pathway as underlying causes of many cancers, particularly acute leukemia and lymphomas. However, it is incompletely understood how mutations within these pathways can interact and synergize to promote cancer. We summarize the current knowledge of oncogenic STAT3 and STAT5 functions downstream of cytokine signaling and provide details on prerequisites for DNA binding and gene transcription. We also discuss key interactions of STAT3 and STAT5 with chromatin remodeling factors such as DNA methyltransferases, histone modifiers, cofactors, corepressors, and other transcription factors.","container-title":"Leukemia","DOI":"10.1038/s41375-018-0117-x","ISSN":"1476-5551","issue":"8","journalAbbreviation":"Leukemia","language":"eng","note":"PMID: 29728695\nPMCID: PMC6087715","page":"1713-1726","source":"PubMed","title":"Implications of STAT3 and STAT5 signaling on gene regulation and chromatin remodeling in hematopoietic cancer","volume":"32","author":[{"family":"Wingelhofer","given":"Bettina"},{"family":"Neubauer","given":"Heidi A."},{"family":"Valent","given":"Peter"},{"family":"Han","given":"Xiaonan"},{"family":"Constantinescu","given":"Stefan N."},{"family":"Gunning","given":"Patrick T."},{"family":"Müller","given":"Mathias"},{"family":"Moriggl","given":"Richard"}],"issued":{"date-parts":[["2018",8]]}}}],"schema":"https://github.com/citation-style-language/schema/raw/master/csl-citation.json"} </w:instrText>
      </w:r>
      <w:r w:rsidR="00516E8C" w:rsidRPr="00726423">
        <w:rPr>
          <w:rFonts w:ascii="Arial" w:hAnsi="Arial" w:cs="Arial"/>
          <w:color w:val="000000" w:themeColor="text1"/>
          <w:sz w:val="22"/>
          <w:szCs w:val="22"/>
          <w:vertAlign w:val="superscript"/>
        </w:rPr>
        <w:fldChar w:fldCharType="separate"/>
      </w:r>
      <w:r w:rsidR="00361359" w:rsidRPr="00361359">
        <w:rPr>
          <w:rFonts w:ascii="Arial" w:hAnsi="Arial" w:cs="Arial"/>
          <w:color w:val="000000"/>
          <w:sz w:val="22"/>
          <w:vertAlign w:val="superscript"/>
        </w:rPr>
        <w:t>39</w:t>
      </w:r>
      <w:r w:rsidR="00516E8C" w:rsidRPr="00726423">
        <w:rPr>
          <w:rFonts w:ascii="Arial" w:hAnsi="Arial" w:cs="Arial"/>
          <w:color w:val="000000" w:themeColor="text1"/>
          <w:sz w:val="22"/>
          <w:szCs w:val="22"/>
          <w:vertAlign w:val="superscript"/>
        </w:rPr>
        <w:fldChar w:fldCharType="end"/>
      </w:r>
      <w:r w:rsidR="00516E8C" w:rsidRPr="00726423">
        <w:rPr>
          <w:rFonts w:ascii="Arial" w:hAnsi="Arial" w:cs="Arial"/>
          <w:color w:val="000000" w:themeColor="text1"/>
          <w:sz w:val="22"/>
          <w:szCs w:val="22"/>
        </w:rPr>
        <w:t xml:space="preserve">. </w:t>
      </w:r>
      <w:r w:rsidR="0034283E" w:rsidRPr="00726423">
        <w:rPr>
          <w:rFonts w:ascii="Arial" w:hAnsi="Arial" w:cs="Arial"/>
          <w:color w:val="000000" w:themeColor="text1"/>
          <w:sz w:val="22"/>
          <w:szCs w:val="22"/>
        </w:rPr>
        <w:t xml:space="preserve">Furthermore, STAT5 is recruited to </w:t>
      </w:r>
      <w:r w:rsidR="00D82225" w:rsidRPr="00726423">
        <w:rPr>
          <w:rFonts w:ascii="Arial" w:hAnsi="Arial" w:cs="Arial"/>
          <w:color w:val="000000" w:themeColor="text1"/>
          <w:sz w:val="22"/>
          <w:szCs w:val="22"/>
        </w:rPr>
        <w:t xml:space="preserve">the </w:t>
      </w:r>
      <w:r w:rsidR="0034283E" w:rsidRPr="00726423">
        <w:rPr>
          <w:rFonts w:ascii="Arial" w:hAnsi="Arial" w:cs="Arial"/>
          <w:color w:val="000000" w:themeColor="text1"/>
          <w:sz w:val="22"/>
          <w:szCs w:val="22"/>
        </w:rPr>
        <w:t>c-</w:t>
      </w:r>
      <w:proofErr w:type="spellStart"/>
      <w:r w:rsidR="0034283E" w:rsidRPr="00726423">
        <w:rPr>
          <w:rFonts w:ascii="Arial" w:hAnsi="Arial" w:cs="Arial"/>
          <w:color w:val="000000" w:themeColor="text1"/>
          <w:sz w:val="22"/>
          <w:szCs w:val="22"/>
        </w:rPr>
        <w:t>Myc</w:t>
      </w:r>
      <w:proofErr w:type="spellEnd"/>
      <w:r w:rsidR="0034283E" w:rsidRPr="00726423">
        <w:rPr>
          <w:rFonts w:ascii="Arial" w:hAnsi="Arial" w:cs="Arial"/>
          <w:color w:val="000000" w:themeColor="text1"/>
          <w:sz w:val="22"/>
          <w:szCs w:val="22"/>
        </w:rPr>
        <w:t xml:space="preserve"> enhancer</w:t>
      </w:r>
      <w:r w:rsidR="00AB5110" w:rsidRPr="00726423">
        <w:rPr>
          <w:rFonts w:ascii="Arial" w:hAnsi="Arial" w:cs="Arial"/>
          <w:color w:val="000000" w:themeColor="text1"/>
          <w:sz w:val="22"/>
          <w:szCs w:val="22"/>
          <w:vertAlign w:val="superscript"/>
        </w:rPr>
        <w:fldChar w:fldCharType="begin"/>
      </w:r>
      <w:r w:rsidR="00361359">
        <w:rPr>
          <w:rFonts w:ascii="Arial" w:hAnsi="Arial" w:cs="Arial"/>
          <w:color w:val="000000" w:themeColor="text1"/>
          <w:sz w:val="22"/>
          <w:szCs w:val="22"/>
          <w:vertAlign w:val="superscript"/>
        </w:rPr>
        <w:instrText xml:space="preserve"> ADDIN ZOTERO_ITEM CSL_CITATION {"citationID":"arc8nsbk0l","properties":{"formattedCitation":"\\super 40\\nosupersub{}","plainCitation":"40","noteIndex":0},"citationItems":[{"id":1688,"uris":["http://zotero.org/users/local/OCWppIAO/items/VQVYTDBA"],"itemData":{"id":1688,"type":"article-journal","abstract":"BACKGROUND: c-Myc has been proposed as a putative target gene of signal transducer and activator of transcription 5 (STAT5). No functional STAT5 binding site has been identified so far within the c-Myc gene locus, therefore a direct transcriptional regulation by STAT5 remains uncertain. c-Myc super-enhancer, located 1.7 Mb downstream of the c-Myc gene locus, was recently reported as essential for the regulation of c-Myc gene expression by hematopoietic transcription factors and bromodomain and extra-terminal (BET) proteins and for leukemia maintenance. c-Myc super-enhancer is composed of five regulatory regions (E1-E5) which recruit transcription and chromatin-associated factors, mediating chromatin looping and interaction with the c-Myc promoter.\nRESULTS: We now show that STAT5 strongly binds to c-Myc super-enhancer regions E3 and E4, both in normal and transformed Ba/F3 cells. We also found that the BET protein bromodomain-containing protein 2 (BRD2), a co-factor of STAT5, co-localizes with STAT5 at E3/E4 in Ba/F3 cells transformed by the constitutively active STAT5-1*6 mutant, but not in non-transformed Ba/F3 cells. BRD2 binding at E3/E4 coincides with c-Myc transcriptional activation and is lost upon treatment with deacetylase and BET inhibitors, both of which inhibit STAT5 transcriptional activity and c-Myc gene expression.\nCONCLUSIONS: Our data suggest that constitutive STAT5 binding to c-Myc super-enhancer might contribute to BRD2 maintenance and thus allow sustained expression of c-Myc in Ba/F3 cells transformed by STAT5-1*6.","container-title":"BMC molecular biology","DOI":"10.1186/s12867-016-0063-y","ISSN":"1471-2199","journalAbbreviation":"BMC Mol Biol","language":"eng","note":"PMID: 27074708\nPMCID: PMC4831086","page":"10","source":"PubMed","title":"Signal transducer and activator of transcription STAT5 is recruited to c-Myc super-enhancer","volume":"17","author":[{"family":"Pinz","given":"Sophia"},{"family":"Unser","given":"Samy"},{"family":"Rascle","given":"Anne"}],"issued":{"date-parts":[["2016",4,14]]}}}],"schema":"https://github.com/citation-style-language/schema/raw/master/csl-citation.json"} </w:instrText>
      </w:r>
      <w:r w:rsidR="00AB5110" w:rsidRPr="00726423">
        <w:rPr>
          <w:rFonts w:ascii="Arial" w:hAnsi="Arial" w:cs="Arial"/>
          <w:color w:val="000000" w:themeColor="text1"/>
          <w:sz w:val="22"/>
          <w:szCs w:val="22"/>
          <w:vertAlign w:val="superscript"/>
        </w:rPr>
        <w:fldChar w:fldCharType="separate"/>
      </w:r>
      <w:r w:rsidR="00361359" w:rsidRPr="00361359">
        <w:rPr>
          <w:rFonts w:ascii="Arial" w:hAnsi="Arial" w:cs="Arial"/>
          <w:color w:val="000000"/>
          <w:sz w:val="22"/>
          <w:vertAlign w:val="superscript"/>
        </w:rPr>
        <w:t>40</w:t>
      </w:r>
      <w:r w:rsidR="00AB5110" w:rsidRPr="00726423">
        <w:rPr>
          <w:rFonts w:ascii="Arial" w:hAnsi="Arial" w:cs="Arial"/>
          <w:color w:val="000000" w:themeColor="text1"/>
          <w:sz w:val="22"/>
          <w:szCs w:val="22"/>
          <w:vertAlign w:val="superscript"/>
        </w:rPr>
        <w:fldChar w:fldCharType="end"/>
      </w:r>
      <w:r w:rsidR="0034283E" w:rsidRPr="00726423">
        <w:rPr>
          <w:rFonts w:ascii="Arial" w:hAnsi="Arial" w:cs="Arial"/>
          <w:color w:val="000000" w:themeColor="text1"/>
          <w:sz w:val="22"/>
          <w:szCs w:val="22"/>
        </w:rPr>
        <w:t xml:space="preserve">, which may contribute to cAMP down-regulation of </w:t>
      </w:r>
      <w:r w:rsidR="00C33279" w:rsidRPr="00726423">
        <w:rPr>
          <w:rFonts w:ascii="Arial" w:hAnsi="Arial" w:cs="Arial"/>
          <w:color w:val="000000" w:themeColor="text1"/>
          <w:sz w:val="22"/>
          <w:szCs w:val="22"/>
        </w:rPr>
        <w:t>the M</w:t>
      </w:r>
      <w:r w:rsidR="001E3DB0" w:rsidRPr="00726423">
        <w:rPr>
          <w:rFonts w:ascii="Arial" w:hAnsi="Arial" w:cs="Arial"/>
          <w:color w:val="000000" w:themeColor="text1"/>
          <w:sz w:val="22"/>
          <w:szCs w:val="22"/>
        </w:rPr>
        <w:t>YC</w:t>
      </w:r>
      <w:r w:rsidR="00C33279" w:rsidRPr="00726423">
        <w:rPr>
          <w:rFonts w:ascii="Arial" w:hAnsi="Arial" w:cs="Arial"/>
          <w:color w:val="000000" w:themeColor="text1"/>
          <w:sz w:val="22"/>
          <w:szCs w:val="22"/>
        </w:rPr>
        <w:t xml:space="preserve"> pathway (</w:t>
      </w:r>
      <w:r w:rsidR="00C33279" w:rsidRPr="00726423">
        <w:rPr>
          <w:rFonts w:ascii="Arial" w:hAnsi="Arial" w:cs="Arial"/>
          <w:b/>
          <w:bCs/>
          <w:color w:val="000000" w:themeColor="text1"/>
          <w:sz w:val="22"/>
          <w:szCs w:val="22"/>
        </w:rPr>
        <w:t xml:space="preserve">Fig </w:t>
      </w:r>
      <w:r w:rsidR="00A3253A" w:rsidRPr="00726423">
        <w:rPr>
          <w:rFonts w:ascii="Arial" w:hAnsi="Arial" w:cs="Arial"/>
          <w:b/>
          <w:bCs/>
          <w:color w:val="000000" w:themeColor="text1"/>
          <w:sz w:val="22"/>
          <w:szCs w:val="22"/>
        </w:rPr>
        <w:t>5G</w:t>
      </w:r>
      <w:r w:rsidR="00C33279" w:rsidRPr="00726423">
        <w:rPr>
          <w:rFonts w:ascii="Arial" w:hAnsi="Arial" w:cs="Arial"/>
          <w:color w:val="000000" w:themeColor="text1"/>
          <w:sz w:val="22"/>
          <w:szCs w:val="22"/>
        </w:rPr>
        <w:t>)</w:t>
      </w:r>
      <w:r w:rsidR="00516E8C" w:rsidRPr="00726423">
        <w:rPr>
          <w:rFonts w:ascii="Arial" w:hAnsi="Arial" w:cs="Arial"/>
          <w:color w:val="000000" w:themeColor="text1"/>
          <w:sz w:val="22"/>
          <w:szCs w:val="22"/>
        </w:rPr>
        <w:t>.</w:t>
      </w:r>
      <w:r w:rsidR="001E3DB0" w:rsidRPr="00726423">
        <w:rPr>
          <w:rFonts w:ascii="Arial" w:hAnsi="Arial" w:cs="Arial"/>
          <w:color w:val="000000" w:themeColor="text1"/>
          <w:sz w:val="22"/>
          <w:szCs w:val="22"/>
        </w:rPr>
        <w:t xml:space="preserve"> </w:t>
      </w:r>
      <w:r w:rsidR="00516E8C" w:rsidRPr="00726423">
        <w:rPr>
          <w:rFonts w:ascii="Arial" w:hAnsi="Arial" w:cs="Arial"/>
          <w:color w:val="000000" w:themeColor="text1"/>
          <w:sz w:val="22"/>
          <w:szCs w:val="22"/>
        </w:rPr>
        <w:t xml:space="preserve">MYC </w:t>
      </w:r>
      <w:r w:rsidR="00F266DB" w:rsidRPr="00726423">
        <w:rPr>
          <w:rFonts w:ascii="Arial" w:hAnsi="Arial" w:cs="Arial"/>
          <w:color w:val="000000" w:themeColor="text1"/>
          <w:sz w:val="22"/>
          <w:szCs w:val="22"/>
        </w:rPr>
        <w:t xml:space="preserve">plays an important role in cellular metabolism, and it </w:t>
      </w:r>
      <w:r w:rsidR="00516E8C" w:rsidRPr="00726423">
        <w:rPr>
          <w:rFonts w:ascii="Arial" w:hAnsi="Arial" w:cs="Arial"/>
          <w:color w:val="000000" w:themeColor="text1"/>
          <w:sz w:val="22"/>
          <w:szCs w:val="22"/>
        </w:rPr>
        <w:t>has been reported to</w:t>
      </w:r>
      <w:r w:rsidR="00C33279" w:rsidRPr="00726423">
        <w:rPr>
          <w:rFonts w:ascii="Arial" w:hAnsi="Arial" w:cs="Arial"/>
          <w:color w:val="000000" w:themeColor="text1"/>
          <w:sz w:val="22"/>
          <w:szCs w:val="22"/>
        </w:rPr>
        <w:t xml:space="preserve"> play a critical role in ILC2</w:t>
      </w:r>
      <w:r w:rsidR="00C3086F" w:rsidRPr="00726423">
        <w:rPr>
          <w:rFonts w:ascii="Arial" w:hAnsi="Arial" w:cs="Arial"/>
          <w:color w:val="000000" w:themeColor="text1"/>
          <w:sz w:val="22"/>
          <w:szCs w:val="22"/>
        </w:rPr>
        <w:t xml:space="preserve">-mediated </w:t>
      </w:r>
      <w:r w:rsidR="00C33279" w:rsidRPr="00726423">
        <w:rPr>
          <w:rFonts w:ascii="Arial" w:hAnsi="Arial" w:cs="Arial"/>
          <w:color w:val="000000" w:themeColor="text1"/>
          <w:sz w:val="22"/>
          <w:szCs w:val="22"/>
        </w:rPr>
        <w:t>airway inflammation</w:t>
      </w:r>
      <w:r w:rsidR="00AB5110" w:rsidRPr="00726423">
        <w:rPr>
          <w:rFonts w:ascii="Arial" w:hAnsi="Arial" w:cs="Arial"/>
          <w:color w:val="000000" w:themeColor="text1"/>
          <w:sz w:val="22"/>
          <w:szCs w:val="22"/>
          <w:vertAlign w:val="superscript"/>
        </w:rPr>
        <w:fldChar w:fldCharType="begin"/>
      </w:r>
      <w:r w:rsidR="00361359">
        <w:rPr>
          <w:rFonts w:ascii="Arial" w:hAnsi="Arial" w:cs="Arial"/>
          <w:color w:val="000000" w:themeColor="text1"/>
          <w:sz w:val="22"/>
          <w:szCs w:val="22"/>
          <w:vertAlign w:val="superscript"/>
        </w:rPr>
        <w:instrText xml:space="preserve"> ADDIN ZOTERO_ITEM CSL_CITATION {"citationID":"a3cq5vp6pd","properties":{"formattedCitation":"\\super 41\\nosupersub{}","plainCitation":"41","noteIndex":0},"citationItems":[{"id":1691,"uris":["http://zotero.org/users/local/OCWppIAO/items/CADKAABR"],"itemData":{"id":1691,"type":"article-journal","abstract":"BACKGROUND: Asthma is a complicated chronic inflammatory disorder characterized by airway inflammation and bronchial hyperresponsiveness. Group 2 innate lymphoid cells (ILC2) are tissue-resident innate effector cells that can mediate airway inflammation and hyperresponsiveness through production of IL-5, IL-13 and VEGFA. ILC2 in asthma patients exhibit an activated phenotype. However, molecular pathways that control ILC2 activation are not well understood.\nMETHODS: MYC expression was examined in ILC2 sorted from peripheral blood of healthy controls and asthma patients or cultured with or without activating cytokines. CRISPR knockout technique was used to delete c-Myc in primary murine lung ILC2 or an ILC2 cell line. Cell proliferation was examined, gene expression pattern was profiled by genome-wide microarray analysis, and direct gene targets were identified by Chromatin immunoprecipitation (ChIP). ILC2 responses, airway inflammation and airway hyperresponsiveness were examined in Balb/c mice challenged with Alternaria extracts, with or without treatment with JQ1.\nRESULTS: ILC2 from asthma patients expressed increased amounts of MYC. Deletion of c-Myc in ILC2 results in reduced proliferation, decreased cytokine production, and reduced expression of many lymphocyte activation genes. ChIP identified Stat6 as a direct gene target of c-Myc in ILC2. In vivo inhibition of c-Myc by JQ1 treatment repressed ILC2 activity and suppressed Alternaria-induced airway inflammation and AHR.\nCONCLUSION: c-Myc expression is upregulated during ILC2 activation. c-Myc is essential for ILC2 activation and their in vivo pathogenic effects. These findings suggest that targeting c-Myc may unlock novel strategies to combat asthma or asthma exacerbation.","container-title":"Allergy","DOI":"10.1111/all.14149","ISSN":"1398-9995","issue":"4","journalAbbreviation":"Allergy","language":"eng","note":"PMID: 31833571\nPMCID: PMC7176544","page":"841-852","source":"PubMed","title":"A critical role for c-Myc in group 2 innate lymphoid cell activation","volume":"75","author":[{"family":"Ye","given":"Longyun"},{"family":"Pan","given":"Jiexue"},{"family":"Liang","given":"Mingwei"},{"family":"Pasha","given":"Muhammad Asghar"},{"family":"Shen","given":"Xiaofei"},{"family":"D'Souza","given":"Shanti S."},{"family":"Fung","given":"Ivan Ting Hin"},{"family":"Wang","given":"Yinna"},{"family":"Patel","given":"Gargi"},{"family":"Tang","given":"Dale D."},{"family":"Yang","given":"Qi"}],"issued":{"date-parts":[["2020",4]]}}}],"schema":"https://github.com/citation-style-language/schema/raw/master/csl-citation.json"} </w:instrText>
      </w:r>
      <w:r w:rsidR="00AB5110" w:rsidRPr="00726423">
        <w:rPr>
          <w:rFonts w:ascii="Arial" w:hAnsi="Arial" w:cs="Arial"/>
          <w:color w:val="000000" w:themeColor="text1"/>
          <w:sz w:val="22"/>
          <w:szCs w:val="22"/>
          <w:vertAlign w:val="superscript"/>
        </w:rPr>
        <w:fldChar w:fldCharType="separate"/>
      </w:r>
      <w:r w:rsidR="00361359" w:rsidRPr="00361359">
        <w:rPr>
          <w:rFonts w:ascii="Arial" w:hAnsi="Arial" w:cs="Arial"/>
          <w:color w:val="000000"/>
          <w:sz w:val="22"/>
          <w:vertAlign w:val="superscript"/>
        </w:rPr>
        <w:t>41</w:t>
      </w:r>
      <w:r w:rsidR="00AB5110" w:rsidRPr="00726423">
        <w:rPr>
          <w:rFonts w:ascii="Arial" w:hAnsi="Arial" w:cs="Arial"/>
          <w:color w:val="000000" w:themeColor="text1"/>
          <w:sz w:val="22"/>
          <w:szCs w:val="22"/>
          <w:vertAlign w:val="superscript"/>
        </w:rPr>
        <w:fldChar w:fldCharType="end"/>
      </w:r>
      <w:r w:rsidR="00C33279" w:rsidRPr="00726423">
        <w:rPr>
          <w:rFonts w:ascii="Arial" w:hAnsi="Arial" w:cs="Arial"/>
          <w:color w:val="000000" w:themeColor="text1"/>
          <w:sz w:val="22"/>
          <w:szCs w:val="22"/>
        </w:rPr>
        <w:t>.</w:t>
      </w:r>
      <w:r w:rsidR="00A86F29" w:rsidRPr="00726423">
        <w:rPr>
          <w:rFonts w:ascii="Arial" w:hAnsi="Arial" w:cs="Arial"/>
          <w:color w:val="000000" w:themeColor="text1"/>
          <w:sz w:val="22"/>
          <w:szCs w:val="22"/>
        </w:rPr>
        <w:t xml:space="preserve"> </w:t>
      </w:r>
    </w:p>
    <w:p w14:paraId="080D949B" w14:textId="181EEB43" w:rsidR="00032455" w:rsidRPr="00726423" w:rsidRDefault="00032455" w:rsidP="00AF01E8">
      <w:pPr>
        <w:spacing w:line="480" w:lineRule="auto"/>
        <w:jc w:val="both"/>
        <w:rPr>
          <w:rFonts w:ascii="Arial" w:hAnsi="Arial" w:cs="Arial"/>
          <w:color w:val="000000" w:themeColor="text1"/>
          <w:sz w:val="22"/>
          <w:szCs w:val="22"/>
        </w:rPr>
      </w:pPr>
    </w:p>
    <w:p w14:paraId="6C6F6412" w14:textId="24688773" w:rsidR="00411E84" w:rsidRPr="00726423" w:rsidRDefault="00411E84" w:rsidP="00AF01E8">
      <w:pPr>
        <w:spacing w:line="480" w:lineRule="auto"/>
        <w:jc w:val="both"/>
        <w:rPr>
          <w:rFonts w:ascii="Arial" w:hAnsi="Arial" w:cs="Arial"/>
          <w:b/>
          <w:bCs/>
          <w:color w:val="000000" w:themeColor="text1"/>
          <w:sz w:val="22"/>
          <w:szCs w:val="22"/>
        </w:rPr>
      </w:pPr>
      <w:r w:rsidRPr="00726423">
        <w:rPr>
          <w:rFonts w:ascii="Arial" w:hAnsi="Arial" w:cs="Arial"/>
          <w:b/>
          <w:bCs/>
          <w:color w:val="000000" w:themeColor="text1"/>
          <w:sz w:val="22"/>
          <w:szCs w:val="22"/>
        </w:rPr>
        <w:t>PGE</w:t>
      </w:r>
      <w:r w:rsidRPr="00726423">
        <w:rPr>
          <w:rFonts w:ascii="Arial" w:hAnsi="Arial" w:cs="Arial"/>
          <w:b/>
          <w:bCs/>
          <w:color w:val="000000" w:themeColor="text1"/>
          <w:sz w:val="22"/>
          <w:szCs w:val="22"/>
          <w:vertAlign w:val="subscript"/>
        </w:rPr>
        <w:t>2</w:t>
      </w:r>
      <w:r w:rsidRPr="00726423">
        <w:rPr>
          <w:rFonts w:ascii="Arial" w:hAnsi="Arial" w:cs="Arial"/>
          <w:b/>
          <w:bCs/>
          <w:color w:val="000000" w:themeColor="text1"/>
          <w:sz w:val="22"/>
          <w:szCs w:val="22"/>
        </w:rPr>
        <w:t xml:space="preserve"> </w:t>
      </w:r>
      <w:r w:rsidR="006E1D72" w:rsidRPr="00726423">
        <w:rPr>
          <w:rFonts w:ascii="Arial" w:hAnsi="Arial" w:cs="Arial"/>
          <w:b/>
          <w:bCs/>
          <w:color w:val="000000" w:themeColor="text1"/>
          <w:sz w:val="22"/>
          <w:szCs w:val="22"/>
        </w:rPr>
        <w:t>regulate</w:t>
      </w:r>
      <w:r w:rsidRPr="00726423">
        <w:rPr>
          <w:rFonts w:ascii="Arial" w:hAnsi="Arial" w:cs="Arial"/>
          <w:b/>
          <w:bCs/>
          <w:color w:val="000000" w:themeColor="text1"/>
          <w:sz w:val="22"/>
          <w:szCs w:val="22"/>
        </w:rPr>
        <w:t>s ILC2 cellular metabolism</w:t>
      </w:r>
      <w:r w:rsidR="00640DA4" w:rsidRPr="00726423">
        <w:rPr>
          <w:rFonts w:ascii="Arial" w:hAnsi="Arial" w:cs="Arial"/>
          <w:b/>
          <w:bCs/>
          <w:color w:val="000000" w:themeColor="text1"/>
          <w:sz w:val="22"/>
          <w:szCs w:val="22"/>
        </w:rPr>
        <w:t>.</w:t>
      </w:r>
    </w:p>
    <w:p w14:paraId="428DD843" w14:textId="06F42323" w:rsidR="00D00E49" w:rsidRPr="00726423" w:rsidRDefault="006E1D72" w:rsidP="00AF01E8">
      <w:pPr>
        <w:spacing w:line="480" w:lineRule="auto"/>
        <w:jc w:val="both"/>
        <w:rPr>
          <w:rFonts w:ascii="Arial" w:hAnsi="Arial" w:cs="Arial"/>
          <w:color w:val="000000" w:themeColor="text1"/>
          <w:sz w:val="22"/>
          <w:szCs w:val="22"/>
        </w:rPr>
      </w:pPr>
      <w:r w:rsidRPr="00726423">
        <w:rPr>
          <w:rFonts w:ascii="Arial" w:hAnsi="Arial" w:cs="Arial"/>
          <w:color w:val="000000" w:themeColor="text1"/>
          <w:sz w:val="22"/>
          <w:szCs w:val="22"/>
        </w:rPr>
        <w:t>In this study, w</w:t>
      </w:r>
      <w:r w:rsidR="00993E0C" w:rsidRPr="00726423">
        <w:rPr>
          <w:rFonts w:ascii="Arial" w:hAnsi="Arial" w:cs="Arial"/>
          <w:color w:val="000000" w:themeColor="text1"/>
          <w:sz w:val="22"/>
          <w:szCs w:val="22"/>
        </w:rPr>
        <w:t xml:space="preserve">e have </w:t>
      </w:r>
      <w:r w:rsidRPr="00726423">
        <w:rPr>
          <w:rFonts w:ascii="Arial" w:hAnsi="Arial" w:cs="Arial"/>
          <w:color w:val="000000" w:themeColor="text1"/>
          <w:sz w:val="22"/>
          <w:szCs w:val="22"/>
        </w:rPr>
        <w:t xml:space="preserve">established </w:t>
      </w:r>
      <w:r w:rsidR="004B02B3" w:rsidRPr="00726423">
        <w:rPr>
          <w:rFonts w:ascii="Arial" w:hAnsi="Arial" w:cs="Arial"/>
          <w:color w:val="000000" w:themeColor="text1"/>
          <w:sz w:val="22"/>
          <w:szCs w:val="22"/>
        </w:rPr>
        <w:t>that</w:t>
      </w:r>
      <w:r w:rsidR="0042054A" w:rsidRPr="00726423">
        <w:rPr>
          <w:rFonts w:ascii="Arial" w:hAnsi="Arial" w:cs="Arial"/>
          <w:color w:val="000000" w:themeColor="text1"/>
          <w:sz w:val="22"/>
          <w:szCs w:val="22"/>
        </w:rPr>
        <w:t xml:space="preserve"> PGE</w:t>
      </w:r>
      <w:r w:rsidR="0042054A" w:rsidRPr="00726423">
        <w:rPr>
          <w:rFonts w:ascii="Arial" w:hAnsi="Arial" w:cs="Arial"/>
          <w:color w:val="000000" w:themeColor="text1"/>
          <w:sz w:val="22"/>
          <w:szCs w:val="22"/>
          <w:vertAlign w:val="subscript"/>
        </w:rPr>
        <w:t>2</w:t>
      </w:r>
      <w:r w:rsidR="0042054A" w:rsidRPr="00726423">
        <w:rPr>
          <w:rFonts w:ascii="Arial" w:hAnsi="Arial" w:cs="Arial"/>
          <w:color w:val="000000" w:themeColor="text1"/>
          <w:sz w:val="22"/>
          <w:szCs w:val="22"/>
        </w:rPr>
        <w:t xml:space="preserve"> reduce</w:t>
      </w:r>
      <w:r w:rsidRPr="00726423">
        <w:rPr>
          <w:rFonts w:ascii="Arial" w:hAnsi="Arial" w:cs="Arial"/>
          <w:color w:val="000000" w:themeColor="text1"/>
          <w:sz w:val="22"/>
          <w:szCs w:val="22"/>
        </w:rPr>
        <w:t>s</w:t>
      </w:r>
      <w:r w:rsidR="0042054A" w:rsidRPr="00726423">
        <w:rPr>
          <w:rFonts w:ascii="Arial" w:hAnsi="Arial" w:cs="Arial"/>
          <w:color w:val="000000" w:themeColor="text1"/>
          <w:sz w:val="22"/>
          <w:szCs w:val="22"/>
        </w:rPr>
        <w:t xml:space="preserve"> ILC2 survival</w:t>
      </w:r>
      <w:r w:rsidR="008F3C8C" w:rsidRPr="00726423">
        <w:rPr>
          <w:rFonts w:ascii="Arial" w:hAnsi="Arial" w:cs="Arial"/>
          <w:color w:val="000000" w:themeColor="text1"/>
          <w:sz w:val="22"/>
          <w:szCs w:val="22"/>
        </w:rPr>
        <w:t>,</w:t>
      </w:r>
      <w:r w:rsidR="0042054A" w:rsidRPr="00726423">
        <w:rPr>
          <w:rFonts w:ascii="Arial" w:hAnsi="Arial" w:cs="Arial"/>
          <w:color w:val="000000" w:themeColor="text1"/>
          <w:sz w:val="22"/>
          <w:szCs w:val="22"/>
        </w:rPr>
        <w:t xml:space="preserve"> </w:t>
      </w:r>
      <w:r w:rsidR="00F266DB" w:rsidRPr="00726423">
        <w:rPr>
          <w:rFonts w:ascii="Arial" w:hAnsi="Arial" w:cs="Arial"/>
          <w:color w:val="000000" w:themeColor="text1"/>
          <w:sz w:val="22"/>
          <w:szCs w:val="22"/>
        </w:rPr>
        <w:t xml:space="preserve">cell </w:t>
      </w:r>
      <w:r w:rsidR="0042054A" w:rsidRPr="00726423">
        <w:rPr>
          <w:rFonts w:ascii="Arial" w:hAnsi="Arial" w:cs="Arial"/>
          <w:color w:val="000000" w:themeColor="text1"/>
          <w:sz w:val="22"/>
          <w:szCs w:val="22"/>
        </w:rPr>
        <w:t>size</w:t>
      </w:r>
      <w:r w:rsidR="008F3C8C" w:rsidRPr="00726423">
        <w:rPr>
          <w:rFonts w:ascii="Arial" w:hAnsi="Arial" w:cs="Arial"/>
          <w:color w:val="000000" w:themeColor="text1"/>
          <w:sz w:val="22"/>
          <w:szCs w:val="22"/>
        </w:rPr>
        <w:t xml:space="preserve"> and proliferation</w:t>
      </w:r>
      <w:r w:rsidRPr="00726423">
        <w:rPr>
          <w:rFonts w:ascii="Arial" w:hAnsi="Arial" w:cs="Arial"/>
          <w:color w:val="000000" w:themeColor="text1"/>
          <w:sz w:val="22"/>
          <w:szCs w:val="22"/>
        </w:rPr>
        <w:t xml:space="preserve"> </w:t>
      </w:r>
      <w:r w:rsidRPr="00726423">
        <w:rPr>
          <w:rFonts w:ascii="Arial" w:hAnsi="Arial" w:cs="Arial"/>
          <w:b/>
          <w:bCs/>
          <w:color w:val="000000" w:themeColor="text1"/>
          <w:sz w:val="22"/>
          <w:szCs w:val="22"/>
        </w:rPr>
        <w:t>(Fig 5</w:t>
      </w:r>
      <w:proofErr w:type="gramStart"/>
      <w:r w:rsidRPr="00726423">
        <w:rPr>
          <w:rFonts w:ascii="Arial" w:hAnsi="Arial" w:cs="Arial"/>
          <w:b/>
          <w:bCs/>
          <w:color w:val="000000" w:themeColor="text1"/>
          <w:sz w:val="22"/>
          <w:szCs w:val="22"/>
        </w:rPr>
        <w:t>C,D</w:t>
      </w:r>
      <w:proofErr w:type="gramEnd"/>
      <w:r w:rsidRPr="00726423">
        <w:rPr>
          <w:rFonts w:ascii="Arial" w:hAnsi="Arial" w:cs="Arial"/>
          <w:color w:val="000000" w:themeColor="text1"/>
          <w:sz w:val="22"/>
          <w:szCs w:val="22"/>
        </w:rPr>
        <w:t>)</w:t>
      </w:r>
      <w:r w:rsidR="008F3C8C" w:rsidRPr="00726423">
        <w:rPr>
          <w:rFonts w:ascii="Arial" w:hAnsi="Arial" w:cs="Arial"/>
          <w:color w:val="000000" w:themeColor="text1"/>
          <w:sz w:val="22"/>
          <w:szCs w:val="22"/>
        </w:rPr>
        <w:t xml:space="preserve">, </w:t>
      </w:r>
      <w:r w:rsidR="00F266DB" w:rsidRPr="00726423">
        <w:rPr>
          <w:rFonts w:ascii="Arial" w:hAnsi="Arial" w:cs="Arial"/>
          <w:color w:val="000000" w:themeColor="text1"/>
          <w:sz w:val="22"/>
          <w:szCs w:val="22"/>
        </w:rPr>
        <w:t xml:space="preserve">all </w:t>
      </w:r>
      <w:r w:rsidRPr="00726423">
        <w:rPr>
          <w:rFonts w:ascii="Arial" w:hAnsi="Arial" w:cs="Arial"/>
          <w:color w:val="000000" w:themeColor="text1"/>
          <w:sz w:val="22"/>
          <w:szCs w:val="22"/>
        </w:rPr>
        <w:t xml:space="preserve">of which </w:t>
      </w:r>
      <w:r w:rsidR="00F266DB" w:rsidRPr="00726423">
        <w:rPr>
          <w:rFonts w:ascii="Arial" w:hAnsi="Arial" w:cs="Arial"/>
          <w:color w:val="000000" w:themeColor="text1"/>
          <w:sz w:val="22"/>
          <w:szCs w:val="22"/>
        </w:rPr>
        <w:t xml:space="preserve">are </w:t>
      </w:r>
      <w:r w:rsidRPr="00726423">
        <w:rPr>
          <w:rFonts w:ascii="Arial" w:hAnsi="Arial" w:cs="Arial"/>
          <w:color w:val="000000" w:themeColor="text1"/>
          <w:sz w:val="22"/>
          <w:szCs w:val="22"/>
        </w:rPr>
        <w:t>hallmark events during</w:t>
      </w:r>
      <w:r w:rsidR="008F3C8C" w:rsidRPr="00726423">
        <w:rPr>
          <w:rFonts w:ascii="Arial" w:hAnsi="Arial" w:cs="Arial"/>
          <w:color w:val="000000" w:themeColor="text1"/>
          <w:sz w:val="22"/>
          <w:szCs w:val="22"/>
        </w:rPr>
        <w:t xml:space="preserve"> cell</w:t>
      </w:r>
      <w:r w:rsidRPr="00726423">
        <w:rPr>
          <w:rFonts w:ascii="Arial" w:hAnsi="Arial" w:cs="Arial"/>
          <w:color w:val="000000" w:themeColor="text1"/>
          <w:sz w:val="22"/>
          <w:szCs w:val="22"/>
        </w:rPr>
        <w:t>ular</w:t>
      </w:r>
      <w:r w:rsidR="008F3C8C" w:rsidRPr="00726423">
        <w:rPr>
          <w:rFonts w:ascii="Arial" w:hAnsi="Arial" w:cs="Arial"/>
          <w:color w:val="000000" w:themeColor="text1"/>
          <w:sz w:val="22"/>
          <w:szCs w:val="22"/>
        </w:rPr>
        <w:t xml:space="preserve"> metabolism</w:t>
      </w:r>
      <w:r w:rsidR="0042054A" w:rsidRPr="00726423">
        <w:rPr>
          <w:rFonts w:ascii="Arial" w:hAnsi="Arial" w:cs="Arial"/>
          <w:color w:val="000000" w:themeColor="text1"/>
          <w:sz w:val="22"/>
          <w:szCs w:val="22"/>
        </w:rPr>
        <w:t>.</w:t>
      </w:r>
      <w:r w:rsidR="003231F2" w:rsidRPr="00726423">
        <w:rPr>
          <w:rFonts w:ascii="Arial" w:hAnsi="Arial" w:cs="Arial"/>
          <w:color w:val="000000" w:themeColor="text1"/>
          <w:sz w:val="22"/>
          <w:szCs w:val="22"/>
        </w:rPr>
        <w:t xml:space="preserve"> </w:t>
      </w:r>
      <w:r w:rsidR="00993E0C" w:rsidRPr="00726423">
        <w:rPr>
          <w:rFonts w:ascii="Arial" w:hAnsi="Arial" w:cs="Arial"/>
          <w:color w:val="000000" w:themeColor="text1"/>
          <w:sz w:val="22"/>
          <w:szCs w:val="22"/>
        </w:rPr>
        <w:t xml:space="preserve">Similarly, </w:t>
      </w:r>
      <w:r w:rsidR="00993E0C" w:rsidRPr="00726423">
        <w:rPr>
          <w:rFonts w:ascii="Arial" w:hAnsi="Arial" w:cs="Arial"/>
          <w:i/>
          <w:iCs/>
          <w:color w:val="000000" w:themeColor="text1"/>
          <w:sz w:val="22"/>
          <w:szCs w:val="22"/>
        </w:rPr>
        <w:t>in vivo</w:t>
      </w:r>
      <w:r w:rsidR="00993E0C" w:rsidRPr="00726423">
        <w:rPr>
          <w:rFonts w:ascii="Arial" w:hAnsi="Arial" w:cs="Arial"/>
          <w:color w:val="000000" w:themeColor="text1"/>
          <w:sz w:val="22"/>
          <w:szCs w:val="22"/>
        </w:rPr>
        <w:t xml:space="preserve"> activation of EP4 </w:t>
      </w:r>
      <w:r w:rsidR="00993E0C" w:rsidRPr="00726423">
        <w:rPr>
          <w:rFonts w:ascii="Arial" w:hAnsi="Arial" w:cs="Arial"/>
          <w:color w:val="000000" w:themeColor="text1"/>
          <w:sz w:val="22"/>
          <w:szCs w:val="22"/>
        </w:rPr>
        <w:lastRenderedPageBreak/>
        <w:t xml:space="preserve">and, </w:t>
      </w:r>
      <w:r w:rsidRPr="00726423">
        <w:rPr>
          <w:rFonts w:ascii="Arial" w:hAnsi="Arial" w:cs="Arial"/>
          <w:color w:val="000000" w:themeColor="text1"/>
          <w:sz w:val="22"/>
          <w:szCs w:val="22"/>
        </w:rPr>
        <w:t>possibly</w:t>
      </w:r>
      <w:r w:rsidR="00993E0C" w:rsidRPr="00726423">
        <w:rPr>
          <w:rFonts w:ascii="Arial" w:hAnsi="Arial" w:cs="Arial"/>
          <w:color w:val="000000" w:themeColor="text1"/>
          <w:sz w:val="22"/>
          <w:szCs w:val="22"/>
        </w:rPr>
        <w:t xml:space="preserve"> EP2, by their respective agonists reduced Ki-67-expressing ST2</w:t>
      </w:r>
      <w:r w:rsidR="00993E0C" w:rsidRPr="00726423">
        <w:rPr>
          <w:rFonts w:ascii="Arial" w:hAnsi="Arial" w:cs="Arial"/>
          <w:color w:val="000000" w:themeColor="text1"/>
          <w:sz w:val="22"/>
          <w:szCs w:val="22"/>
          <w:vertAlign w:val="superscript"/>
        </w:rPr>
        <w:t>+</w:t>
      </w:r>
      <w:r w:rsidR="00993E0C" w:rsidRPr="00726423">
        <w:rPr>
          <w:rFonts w:ascii="Arial" w:hAnsi="Arial" w:cs="Arial"/>
          <w:color w:val="000000" w:themeColor="text1"/>
          <w:sz w:val="22"/>
          <w:szCs w:val="22"/>
        </w:rPr>
        <w:t xml:space="preserve"> ILC2s in lungs of mice treated with IL-33 (</w:t>
      </w:r>
      <w:r w:rsidR="00993E0C" w:rsidRPr="00726423">
        <w:rPr>
          <w:rFonts w:ascii="Arial" w:hAnsi="Arial" w:cs="Arial"/>
          <w:b/>
          <w:bCs/>
          <w:color w:val="000000" w:themeColor="text1"/>
          <w:sz w:val="22"/>
          <w:szCs w:val="22"/>
        </w:rPr>
        <w:t>Fig 6</w:t>
      </w:r>
      <w:proofErr w:type="gramStart"/>
      <w:r w:rsidR="00993E0C" w:rsidRPr="00726423">
        <w:rPr>
          <w:rFonts w:ascii="Arial" w:hAnsi="Arial" w:cs="Arial"/>
          <w:b/>
          <w:bCs/>
          <w:color w:val="000000" w:themeColor="text1"/>
          <w:sz w:val="22"/>
          <w:szCs w:val="22"/>
        </w:rPr>
        <w:t>A,B</w:t>
      </w:r>
      <w:proofErr w:type="gramEnd"/>
      <w:r w:rsidR="00993E0C" w:rsidRPr="00726423">
        <w:rPr>
          <w:rFonts w:ascii="Arial" w:hAnsi="Arial" w:cs="Arial"/>
          <w:color w:val="000000" w:themeColor="text1"/>
          <w:sz w:val="22"/>
          <w:szCs w:val="22"/>
        </w:rPr>
        <w:t>). In contrast, EP2 deficiency increased Ki-67</w:t>
      </w:r>
      <w:r w:rsidR="00993E0C" w:rsidRPr="00726423">
        <w:rPr>
          <w:rFonts w:ascii="Arial" w:hAnsi="Arial" w:cs="Arial"/>
          <w:color w:val="000000" w:themeColor="text1"/>
          <w:sz w:val="22"/>
          <w:szCs w:val="22"/>
          <w:vertAlign w:val="superscript"/>
        </w:rPr>
        <w:t>+</w:t>
      </w:r>
      <w:r w:rsidR="00993E0C" w:rsidRPr="00726423">
        <w:rPr>
          <w:rFonts w:ascii="Arial" w:hAnsi="Arial" w:cs="Arial"/>
          <w:color w:val="000000" w:themeColor="text1"/>
          <w:sz w:val="22"/>
          <w:szCs w:val="22"/>
        </w:rPr>
        <w:t>ST2</w:t>
      </w:r>
      <w:r w:rsidR="00993E0C" w:rsidRPr="00726423">
        <w:rPr>
          <w:rFonts w:ascii="Arial" w:hAnsi="Arial" w:cs="Arial"/>
          <w:color w:val="000000" w:themeColor="text1"/>
          <w:sz w:val="22"/>
          <w:szCs w:val="22"/>
          <w:vertAlign w:val="superscript"/>
        </w:rPr>
        <w:t>+</w:t>
      </w:r>
      <w:r w:rsidR="00993E0C" w:rsidRPr="00726423">
        <w:rPr>
          <w:rFonts w:ascii="Arial" w:hAnsi="Arial" w:cs="Arial"/>
          <w:color w:val="000000" w:themeColor="text1"/>
          <w:sz w:val="22"/>
          <w:szCs w:val="22"/>
        </w:rPr>
        <w:t xml:space="preserve"> ILC2s in the lung (</w:t>
      </w:r>
      <w:r w:rsidR="00993E0C" w:rsidRPr="00726423">
        <w:rPr>
          <w:rFonts w:ascii="Arial" w:hAnsi="Arial" w:cs="Arial"/>
          <w:b/>
          <w:bCs/>
          <w:color w:val="000000" w:themeColor="text1"/>
          <w:sz w:val="22"/>
          <w:szCs w:val="22"/>
        </w:rPr>
        <w:t>Fig 6</w:t>
      </w:r>
      <w:proofErr w:type="gramStart"/>
      <w:r w:rsidR="00993E0C" w:rsidRPr="00726423">
        <w:rPr>
          <w:rFonts w:ascii="Arial" w:hAnsi="Arial" w:cs="Arial"/>
          <w:b/>
          <w:bCs/>
          <w:color w:val="000000" w:themeColor="text1"/>
          <w:sz w:val="22"/>
          <w:szCs w:val="22"/>
        </w:rPr>
        <w:t>C,D</w:t>
      </w:r>
      <w:proofErr w:type="gramEnd"/>
      <w:r w:rsidR="00993E0C" w:rsidRPr="00726423">
        <w:rPr>
          <w:rFonts w:ascii="Arial" w:hAnsi="Arial" w:cs="Arial"/>
          <w:color w:val="000000" w:themeColor="text1"/>
          <w:sz w:val="22"/>
          <w:szCs w:val="22"/>
        </w:rPr>
        <w:t>). These results, together with the results from RNA-</w:t>
      </w:r>
      <w:proofErr w:type="spellStart"/>
      <w:r w:rsidR="00993E0C" w:rsidRPr="00726423">
        <w:rPr>
          <w:rFonts w:ascii="Arial" w:hAnsi="Arial" w:cs="Arial"/>
          <w:color w:val="000000" w:themeColor="text1"/>
          <w:sz w:val="22"/>
          <w:szCs w:val="22"/>
        </w:rPr>
        <w:t>seq</w:t>
      </w:r>
      <w:proofErr w:type="spellEnd"/>
      <w:r w:rsidR="00993E0C" w:rsidRPr="00726423">
        <w:rPr>
          <w:rFonts w:ascii="Arial" w:hAnsi="Arial" w:cs="Arial"/>
          <w:color w:val="000000" w:themeColor="text1"/>
          <w:sz w:val="22"/>
          <w:szCs w:val="22"/>
        </w:rPr>
        <w:t xml:space="preserve"> analysis</w:t>
      </w:r>
      <w:r w:rsidRPr="00726423">
        <w:rPr>
          <w:rFonts w:ascii="Arial" w:hAnsi="Arial" w:cs="Arial"/>
          <w:color w:val="000000" w:themeColor="text1"/>
          <w:sz w:val="22"/>
          <w:szCs w:val="22"/>
        </w:rPr>
        <w:t xml:space="preserve"> (</w:t>
      </w:r>
      <w:r w:rsidRPr="00726423">
        <w:rPr>
          <w:rFonts w:ascii="Arial" w:hAnsi="Arial" w:cs="Arial"/>
          <w:b/>
          <w:bCs/>
          <w:color w:val="000000" w:themeColor="text1"/>
          <w:sz w:val="22"/>
          <w:szCs w:val="22"/>
        </w:rPr>
        <w:t>Fig 5</w:t>
      </w:r>
      <w:proofErr w:type="gramStart"/>
      <w:r w:rsidRPr="00726423">
        <w:rPr>
          <w:rFonts w:ascii="Arial" w:hAnsi="Arial" w:cs="Arial"/>
          <w:b/>
          <w:bCs/>
          <w:color w:val="000000" w:themeColor="text1"/>
          <w:sz w:val="22"/>
          <w:szCs w:val="22"/>
        </w:rPr>
        <w:t>G,H</w:t>
      </w:r>
      <w:proofErr w:type="gramEnd"/>
      <w:r w:rsidRPr="00726423">
        <w:rPr>
          <w:rFonts w:ascii="Arial" w:hAnsi="Arial" w:cs="Arial"/>
          <w:color w:val="000000" w:themeColor="text1"/>
          <w:sz w:val="22"/>
          <w:szCs w:val="22"/>
        </w:rPr>
        <w:t>)</w:t>
      </w:r>
      <w:r w:rsidR="00993E0C" w:rsidRPr="00726423">
        <w:rPr>
          <w:rFonts w:ascii="Arial" w:hAnsi="Arial" w:cs="Arial"/>
          <w:color w:val="000000" w:themeColor="text1"/>
          <w:sz w:val="22"/>
          <w:szCs w:val="22"/>
        </w:rPr>
        <w:t>, may imply changes in energy metabolism of ILC2s by PGE</w:t>
      </w:r>
      <w:r w:rsidR="00993E0C" w:rsidRPr="00726423">
        <w:rPr>
          <w:rFonts w:ascii="Arial" w:hAnsi="Arial" w:cs="Arial"/>
          <w:color w:val="000000" w:themeColor="text1"/>
          <w:sz w:val="22"/>
          <w:szCs w:val="22"/>
          <w:vertAlign w:val="subscript"/>
        </w:rPr>
        <w:t>2</w:t>
      </w:r>
      <w:r w:rsidR="00993E0C" w:rsidRPr="00726423">
        <w:rPr>
          <w:rFonts w:ascii="Arial" w:hAnsi="Arial" w:cs="Arial"/>
          <w:color w:val="000000" w:themeColor="text1"/>
          <w:sz w:val="22"/>
          <w:szCs w:val="22"/>
        </w:rPr>
        <w:t xml:space="preserve">-cAMP </w:t>
      </w:r>
      <w:proofErr w:type="spellStart"/>
      <w:r w:rsidR="00134A78" w:rsidRPr="00726423">
        <w:rPr>
          <w:rFonts w:ascii="Arial" w:hAnsi="Arial" w:cs="Arial"/>
          <w:color w:val="000000" w:themeColor="text1"/>
          <w:sz w:val="22"/>
          <w:szCs w:val="22"/>
        </w:rPr>
        <w:t>signaling</w:t>
      </w:r>
      <w:proofErr w:type="spellEnd"/>
      <w:r w:rsidR="00993E0C" w:rsidRPr="00726423">
        <w:rPr>
          <w:rFonts w:ascii="Arial" w:hAnsi="Arial" w:cs="Arial"/>
          <w:color w:val="000000" w:themeColor="text1"/>
          <w:sz w:val="22"/>
          <w:szCs w:val="22"/>
        </w:rPr>
        <w:t>.</w:t>
      </w:r>
      <w:r w:rsidR="00D00E49" w:rsidRPr="00726423">
        <w:rPr>
          <w:rFonts w:ascii="Arial" w:hAnsi="Arial" w:cs="Arial"/>
          <w:color w:val="000000" w:themeColor="text1"/>
          <w:sz w:val="22"/>
          <w:szCs w:val="22"/>
        </w:rPr>
        <w:t xml:space="preserve"> </w:t>
      </w:r>
      <w:r w:rsidRPr="00726423">
        <w:rPr>
          <w:rFonts w:ascii="Arial" w:hAnsi="Arial" w:cs="Arial"/>
          <w:color w:val="000000" w:themeColor="text1"/>
          <w:sz w:val="22"/>
          <w:szCs w:val="22"/>
        </w:rPr>
        <w:t>Therefore, t</w:t>
      </w:r>
      <w:r w:rsidR="003231F2" w:rsidRPr="00726423">
        <w:rPr>
          <w:rFonts w:ascii="Arial" w:hAnsi="Arial" w:cs="Arial"/>
          <w:color w:val="000000" w:themeColor="text1"/>
          <w:sz w:val="22"/>
          <w:szCs w:val="22"/>
        </w:rPr>
        <w:t xml:space="preserve">o examine if </w:t>
      </w:r>
      <w:r w:rsidR="00733394" w:rsidRPr="00726423">
        <w:rPr>
          <w:rFonts w:ascii="Arial" w:hAnsi="Arial" w:cs="Arial"/>
          <w:color w:val="000000" w:themeColor="text1"/>
          <w:sz w:val="22"/>
          <w:szCs w:val="22"/>
        </w:rPr>
        <w:t>PGE</w:t>
      </w:r>
      <w:r w:rsidR="00733394" w:rsidRPr="00726423">
        <w:rPr>
          <w:rFonts w:ascii="Arial" w:hAnsi="Arial" w:cs="Arial"/>
          <w:color w:val="000000" w:themeColor="text1"/>
          <w:sz w:val="22"/>
          <w:szCs w:val="22"/>
          <w:vertAlign w:val="subscript"/>
        </w:rPr>
        <w:t>2</w:t>
      </w:r>
      <w:r w:rsidR="00733394" w:rsidRPr="00726423">
        <w:rPr>
          <w:rFonts w:ascii="Arial" w:hAnsi="Arial" w:cs="Arial"/>
          <w:color w:val="000000" w:themeColor="text1"/>
          <w:sz w:val="22"/>
          <w:szCs w:val="22"/>
        </w:rPr>
        <w:t xml:space="preserve"> directly regulates ILC2 metabolism, we </w:t>
      </w:r>
      <w:r w:rsidR="007740BF" w:rsidRPr="00726423">
        <w:rPr>
          <w:rFonts w:ascii="Arial" w:hAnsi="Arial" w:cs="Arial"/>
          <w:color w:val="000000" w:themeColor="text1"/>
          <w:sz w:val="22"/>
          <w:szCs w:val="22"/>
        </w:rPr>
        <w:t xml:space="preserve">measured metabolic changes </w:t>
      </w:r>
      <w:r w:rsidRPr="00726423">
        <w:rPr>
          <w:rFonts w:ascii="Arial" w:hAnsi="Arial" w:cs="Arial"/>
          <w:color w:val="000000" w:themeColor="text1"/>
          <w:sz w:val="22"/>
          <w:szCs w:val="22"/>
        </w:rPr>
        <w:t>in</w:t>
      </w:r>
      <w:r w:rsidR="007740BF" w:rsidRPr="00726423">
        <w:rPr>
          <w:rFonts w:ascii="Arial" w:hAnsi="Arial" w:cs="Arial"/>
          <w:color w:val="000000" w:themeColor="text1"/>
          <w:sz w:val="22"/>
          <w:szCs w:val="22"/>
        </w:rPr>
        <w:t xml:space="preserve"> cultured lung ILC2s using the Seahorse assay</w:t>
      </w:r>
      <w:r w:rsidR="00D00E49" w:rsidRPr="00726423">
        <w:rPr>
          <w:rFonts w:ascii="Arial" w:hAnsi="Arial" w:cs="Arial"/>
          <w:color w:val="000000" w:themeColor="text1"/>
          <w:sz w:val="22"/>
          <w:szCs w:val="22"/>
        </w:rPr>
        <w:t>s</w:t>
      </w:r>
      <w:r w:rsidR="00733394" w:rsidRPr="00726423">
        <w:rPr>
          <w:rFonts w:ascii="Arial" w:hAnsi="Arial" w:cs="Arial"/>
          <w:color w:val="000000" w:themeColor="text1"/>
          <w:sz w:val="22"/>
          <w:szCs w:val="22"/>
        </w:rPr>
        <w:t xml:space="preserve">. </w:t>
      </w:r>
      <w:r w:rsidR="007740BF" w:rsidRPr="00726423">
        <w:rPr>
          <w:rFonts w:ascii="Arial" w:hAnsi="Arial" w:cs="Arial"/>
          <w:color w:val="000000" w:themeColor="text1"/>
          <w:sz w:val="22"/>
          <w:szCs w:val="22"/>
        </w:rPr>
        <w:t xml:space="preserve">Indeed, </w:t>
      </w:r>
      <w:r w:rsidR="00733394" w:rsidRPr="00726423">
        <w:rPr>
          <w:rFonts w:ascii="Arial" w:hAnsi="Arial" w:cs="Arial"/>
          <w:color w:val="000000" w:themeColor="text1"/>
          <w:sz w:val="22"/>
          <w:szCs w:val="22"/>
        </w:rPr>
        <w:t>PGE</w:t>
      </w:r>
      <w:r w:rsidR="00733394" w:rsidRPr="00726423">
        <w:rPr>
          <w:rFonts w:ascii="Arial" w:hAnsi="Arial" w:cs="Arial"/>
          <w:color w:val="000000" w:themeColor="text1"/>
          <w:sz w:val="22"/>
          <w:szCs w:val="22"/>
          <w:vertAlign w:val="subscript"/>
        </w:rPr>
        <w:t>2</w:t>
      </w:r>
      <w:r w:rsidR="00733394" w:rsidRPr="00726423">
        <w:rPr>
          <w:rFonts w:ascii="Arial" w:hAnsi="Arial" w:cs="Arial"/>
          <w:color w:val="000000" w:themeColor="text1"/>
          <w:sz w:val="22"/>
          <w:szCs w:val="22"/>
        </w:rPr>
        <w:t xml:space="preserve"> </w:t>
      </w:r>
      <w:r w:rsidR="00FA40CC" w:rsidRPr="00726423">
        <w:rPr>
          <w:rFonts w:ascii="Arial" w:hAnsi="Arial" w:cs="Arial"/>
          <w:color w:val="000000" w:themeColor="text1"/>
          <w:sz w:val="22"/>
          <w:szCs w:val="22"/>
        </w:rPr>
        <w:t>reduced oxygen consumption rate (OCR, an indicator of mitochondrial phosphorylation), extracellular acidification rate (ECAR, an indicator of aerobic glycolysis) and glycolytic proton efflux rate (PER</w:t>
      </w:r>
      <w:r w:rsidR="00363EEE" w:rsidRPr="00726423">
        <w:rPr>
          <w:rFonts w:ascii="Arial" w:hAnsi="Arial" w:cs="Arial"/>
          <w:color w:val="000000" w:themeColor="text1"/>
          <w:sz w:val="22"/>
          <w:szCs w:val="22"/>
        </w:rPr>
        <w:t>, a real-time indicator of glycolysis rate</w:t>
      </w:r>
      <w:r w:rsidR="00FA40CC" w:rsidRPr="00726423">
        <w:rPr>
          <w:rFonts w:ascii="Arial" w:hAnsi="Arial" w:cs="Arial"/>
          <w:color w:val="000000" w:themeColor="text1"/>
          <w:sz w:val="22"/>
          <w:szCs w:val="22"/>
        </w:rPr>
        <w:t xml:space="preserve">) of </w:t>
      </w:r>
      <w:r w:rsidR="00363EEE" w:rsidRPr="00726423">
        <w:rPr>
          <w:rFonts w:ascii="Arial" w:hAnsi="Arial" w:cs="Arial"/>
          <w:color w:val="000000" w:themeColor="text1"/>
          <w:sz w:val="22"/>
          <w:szCs w:val="22"/>
        </w:rPr>
        <w:t>ILC2s (</w:t>
      </w:r>
      <w:r w:rsidR="00363EEE" w:rsidRPr="00726423">
        <w:rPr>
          <w:rFonts w:ascii="Arial" w:hAnsi="Arial" w:cs="Arial"/>
          <w:b/>
          <w:bCs/>
          <w:color w:val="000000" w:themeColor="text1"/>
          <w:sz w:val="22"/>
          <w:szCs w:val="22"/>
        </w:rPr>
        <w:t xml:space="preserve">Fig </w:t>
      </w:r>
      <w:r w:rsidR="00D00E49" w:rsidRPr="00726423">
        <w:rPr>
          <w:rFonts w:ascii="Arial" w:hAnsi="Arial" w:cs="Arial"/>
          <w:b/>
          <w:bCs/>
          <w:color w:val="000000" w:themeColor="text1"/>
          <w:sz w:val="22"/>
          <w:szCs w:val="22"/>
        </w:rPr>
        <w:t>6</w:t>
      </w:r>
      <w:r w:rsidR="00363EEE" w:rsidRPr="00726423">
        <w:rPr>
          <w:rFonts w:ascii="Arial" w:hAnsi="Arial" w:cs="Arial"/>
          <w:b/>
          <w:bCs/>
          <w:color w:val="000000" w:themeColor="text1"/>
          <w:sz w:val="22"/>
          <w:szCs w:val="22"/>
        </w:rPr>
        <w:t>E</w:t>
      </w:r>
      <w:r w:rsidR="00D00E49" w:rsidRPr="00726423">
        <w:rPr>
          <w:rFonts w:ascii="Arial" w:hAnsi="Arial" w:cs="Arial"/>
          <w:b/>
          <w:bCs/>
          <w:color w:val="000000" w:themeColor="text1"/>
          <w:sz w:val="22"/>
          <w:szCs w:val="22"/>
        </w:rPr>
        <w:t>-G</w:t>
      </w:r>
      <w:r w:rsidR="00363EEE" w:rsidRPr="00726423">
        <w:rPr>
          <w:rFonts w:ascii="Arial" w:hAnsi="Arial" w:cs="Arial"/>
          <w:color w:val="000000" w:themeColor="text1"/>
          <w:sz w:val="22"/>
          <w:szCs w:val="22"/>
        </w:rPr>
        <w:t>), suggesting that PGE</w:t>
      </w:r>
      <w:r w:rsidR="00363EEE" w:rsidRPr="00726423">
        <w:rPr>
          <w:rFonts w:ascii="Arial" w:hAnsi="Arial" w:cs="Arial"/>
          <w:color w:val="000000" w:themeColor="text1"/>
          <w:sz w:val="22"/>
          <w:szCs w:val="22"/>
          <w:vertAlign w:val="subscript"/>
        </w:rPr>
        <w:t>2</w:t>
      </w:r>
      <w:r w:rsidR="00363EEE" w:rsidRPr="00726423">
        <w:rPr>
          <w:rFonts w:ascii="Arial" w:hAnsi="Arial" w:cs="Arial"/>
          <w:color w:val="000000" w:themeColor="text1"/>
          <w:sz w:val="22"/>
          <w:szCs w:val="22"/>
        </w:rPr>
        <w:t xml:space="preserve"> directly inhibits IL-33-dependent ILC2 </w:t>
      </w:r>
      <w:r w:rsidR="00D00E49" w:rsidRPr="00726423">
        <w:rPr>
          <w:rFonts w:ascii="Arial" w:hAnsi="Arial" w:cs="Arial"/>
          <w:color w:val="000000" w:themeColor="text1"/>
          <w:sz w:val="22"/>
          <w:szCs w:val="22"/>
        </w:rPr>
        <w:t xml:space="preserve">energy </w:t>
      </w:r>
      <w:r w:rsidR="00363EEE" w:rsidRPr="00726423">
        <w:rPr>
          <w:rFonts w:ascii="Arial" w:hAnsi="Arial" w:cs="Arial"/>
          <w:color w:val="000000" w:themeColor="text1"/>
          <w:sz w:val="22"/>
          <w:szCs w:val="22"/>
        </w:rPr>
        <w:t>metabolism</w:t>
      </w:r>
      <w:r w:rsidRPr="00726423">
        <w:rPr>
          <w:rFonts w:ascii="Arial" w:hAnsi="Arial" w:cs="Arial"/>
          <w:color w:val="000000" w:themeColor="text1"/>
          <w:sz w:val="22"/>
          <w:szCs w:val="22"/>
        </w:rPr>
        <w:t xml:space="preserve"> </w:t>
      </w:r>
      <w:r w:rsidRPr="00726423">
        <w:rPr>
          <w:rFonts w:ascii="Arial" w:hAnsi="Arial" w:cs="Arial"/>
          <w:i/>
          <w:iCs/>
          <w:color w:val="000000" w:themeColor="text1"/>
          <w:sz w:val="22"/>
          <w:szCs w:val="22"/>
        </w:rPr>
        <w:t>in vitro</w:t>
      </w:r>
      <w:r w:rsidR="00363EEE" w:rsidRPr="00726423">
        <w:rPr>
          <w:rFonts w:ascii="Arial" w:hAnsi="Arial" w:cs="Arial"/>
          <w:color w:val="000000" w:themeColor="text1"/>
          <w:sz w:val="22"/>
          <w:szCs w:val="22"/>
        </w:rPr>
        <w:t>.</w:t>
      </w:r>
      <w:r w:rsidR="00443EA5" w:rsidRPr="00726423">
        <w:rPr>
          <w:rFonts w:ascii="Arial" w:hAnsi="Arial" w:cs="Arial"/>
          <w:color w:val="000000" w:themeColor="text1"/>
          <w:sz w:val="22"/>
          <w:szCs w:val="22"/>
        </w:rPr>
        <w:t xml:space="preserve"> </w:t>
      </w:r>
    </w:p>
    <w:p w14:paraId="5132B14F" w14:textId="77777777" w:rsidR="00D00E49" w:rsidRPr="00726423" w:rsidRDefault="00D00E49" w:rsidP="00AF01E8">
      <w:pPr>
        <w:spacing w:line="480" w:lineRule="auto"/>
        <w:jc w:val="both"/>
        <w:rPr>
          <w:rFonts w:ascii="Arial" w:hAnsi="Arial" w:cs="Arial"/>
          <w:color w:val="000000" w:themeColor="text1"/>
          <w:sz w:val="22"/>
          <w:szCs w:val="22"/>
        </w:rPr>
      </w:pPr>
    </w:p>
    <w:p w14:paraId="6CCE0110" w14:textId="73333ABE" w:rsidR="003D16D9" w:rsidRPr="00726423" w:rsidRDefault="00443EA5" w:rsidP="00AF01E8">
      <w:pPr>
        <w:spacing w:line="480" w:lineRule="auto"/>
        <w:jc w:val="both"/>
        <w:rPr>
          <w:rFonts w:ascii="Arial" w:hAnsi="Arial" w:cs="Arial"/>
          <w:color w:val="000000" w:themeColor="text1"/>
          <w:sz w:val="22"/>
          <w:szCs w:val="22"/>
        </w:rPr>
      </w:pPr>
      <w:r w:rsidRPr="00726423">
        <w:rPr>
          <w:rFonts w:ascii="Arial" w:hAnsi="Arial" w:cs="Arial"/>
          <w:color w:val="000000" w:themeColor="text1"/>
          <w:sz w:val="22"/>
          <w:szCs w:val="22"/>
        </w:rPr>
        <w:t xml:space="preserve">To determine whether PG </w:t>
      </w:r>
      <w:proofErr w:type="spellStart"/>
      <w:r w:rsidRPr="00726423">
        <w:rPr>
          <w:rFonts w:ascii="Arial" w:hAnsi="Arial" w:cs="Arial"/>
          <w:color w:val="000000" w:themeColor="text1"/>
          <w:sz w:val="22"/>
          <w:szCs w:val="22"/>
        </w:rPr>
        <w:t>signaling</w:t>
      </w:r>
      <w:proofErr w:type="spellEnd"/>
      <w:r w:rsidRPr="00726423">
        <w:rPr>
          <w:rFonts w:ascii="Arial" w:hAnsi="Arial" w:cs="Arial"/>
          <w:color w:val="000000" w:themeColor="text1"/>
          <w:sz w:val="22"/>
          <w:szCs w:val="22"/>
        </w:rPr>
        <w:t xml:space="preserve"> controls ILC2 responses through inhibiting ILC2 metabolism in vivo, we treated WT C57BL/6 mice with IL-33 and indomethacin. Some mice received 2-deoxy-D-glucose (2-DG), a glucose analogue </w:t>
      </w:r>
      <w:r w:rsidR="00903057" w:rsidRPr="00726423">
        <w:rPr>
          <w:rFonts w:ascii="Arial" w:hAnsi="Arial" w:cs="Arial"/>
          <w:color w:val="000000" w:themeColor="text1"/>
          <w:sz w:val="22"/>
          <w:szCs w:val="22"/>
        </w:rPr>
        <w:t>that</w:t>
      </w:r>
      <w:r w:rsidRPr="00726423">
        <w:rPr>
          <w:rFonts w:ascii="Arial" w:hAnsi="Arial" w:cs="Arial"/>
          <w:color w:val="000000" w:themeColor="text1"/>
          <w:sz w:val="22"/>
          <w:szCs w:val="22"/>
        </w:rPr>
        <w:t xml:space="preserve"> inhibits glycolysis through blocking glucose hexokinase. </w:t>
      </w:r>
      <w:r w:rsidR="003D16D9" w:rsidRPr="00726423">
        <w:rPr>
          <w:rFonts w:ascii="Arial" w:hAnsi="Arial" w:cs="Arial"/>
          <w:color w:val="000000" w:themeColor="text1"/>
          <w:sz w:val="22"/>
          <w:szCs w:val="22"/>
        </w:rPr>
        <w:t>Similar to previous report</w:t>
      </w:r>
      <w:r w:rsidR="00A05173" w:rsidRPr="00726423">
        <w:rPr>
          <w:rFonts w:ascii="Arial" w:hAnsi="Arial" w:cs="Arial"/>
          <w:color w:val="000000" w:themeColor="text1"/>
          <w:sz w:val="22"/>
          <w:szCs w:val="22"/>
        </w:rPr>
        <w:t>s</w:t>
      </w:r>
      <w:r w:rsidR="003D16D9" w:rsidRPr="00726423">
        <w:rPr>
          <w:rFonts w:ascii="Arial" w:hAnsi="Arial" w:cs="Arial"/>
          <w:color w:val="000000" w:themeColor="text1"/>
          <w:sz w:val="22"/>
          <w:szCs w:val="22"/>
        </w:rPr>
        <w:t xml:space="preserve"> showing that 2-DG had no impact on </w:t>
      </w:r>
      <w:r w:rsidR="00A05173" w:rsidRPr="00726423">
        <w:rPr>
          <w:rFonts w:ascii="Arial" w:hAnsi="Arial" w:cs="Arial"/>
          <w:color w:val="000000" w:themeColor="text1"/>
          <w:sz w:val="22"/>
          <w:szCs w:val="22"/>
        </w:rPr>
        <w:t xml:space="preserve">IL-33- or </w:t>
      </w:r>
      <w:r w:rsidR="003D16D9" w:rsidRPr="00726423">
        <w:rPr>
          <w:rFonts w:ascii="Arial" w:hAnsi="Arial" w:cs="Arial"/>
          <w:color w:val="000000" w:themeColor="text1"/>
          <w:sz w:val="22"/>
          <w:szCs w:val="22"/>
        </w:rPr>
        <w:t>helminth infection</w:t>
      </w:r>
      <w:r w:rsidR="002F155D" w:rsidRPr="00726423">
        <w:rPr>
          <w:rFonts w:ascii="Arial" w:hAnsi="Arial" w:cs="Arial"/>
          <w:color w:val="000000" w:themeColor="text1"/>
          <w:sz w:val="22"/>
          <w:szCs w:val="22"/>
        </w:rPr>
        <w:t>-</w:t>
      </w:r>
      <w:r w:rsidR="003D16D9" w:rsidRPr="00726423">
        <w:rPr>
          <w:rFonts w:ascii="Arial" w:hAnsi="Arial" w:cs="Arial"/>
          <w:color w:val="000000" w:themeColor="text1"/>
          <w:sz w:val="22"/>
          <w:szCs w:val="22"/>
        </w:rPr>
        <w:t>induced ILC2 activation</w:t>
      </w:r>
      <w:r w:rsidR="00AB5110" w:rsidRPr="00726423">
        <w:rPr>
          <w:rFonts w:ascii="Arial" w:hAnsi="Arial" w:cs="Arial"/>
          <w:color w:val="000000" w:themeColor="text1"/>
          <w:sz w:val="22"/>
          <w:szCs w:val="22"/>
          <w:vertAlign w:val="superscript"/>
        </w:rPr>
        <w:fldChar w:fldCharType="begin"/>
      </w:r>
      <w:r w:rsidR="00361359">
        <w:rPr>
          <w:rFonts w:ascii="Arial" w:hAnsi="Arial" w:cs="Arial"/>
          <w:color w:val="000000" w:themeColor="text1"/>
          <w:sz w:val="22"/>
          <w:szCs w:val="22"/>
          <w:vertAlign w:val="superscript"/>
        </w:rPr>
        <w:instrText xml:space="preserve"> ADDIN ZOTERO_ITEM CSL_CITATION {"citationID":"a17eqjf35ho","properties":{"formattedCitation":"\\super 42\\nosupersub{}","plainCitation":"42","noteIndex":0},"citationItems":[{"id":1694,"uris":["http://zotero.org/users/local/OCWppIAO/items/4AKN762J"],"itemData":{"id":1694,"type":"article-journal","abstract":"Innate lymphoid cells (ILC) play an important role in many immune processes, including control of infections, inflammation, and tissue repair. To date, little is known about the metabolism of ILC and whether these cells can metabolically adapt in response to environmental signals. Here we show that type 2 innate lymphoid cells (ILC2), important mediators of barrier immunity, predominantly depend on fatty acid (FA) metabolism during helminth infection. Further, in situations where an essential nutrient, such as vitamin A, is limited, ILC2 sustain their function and selectively maintain interleukin 13 (IL-13) production via increased acquisition and utilization of FA. Together, these results reveal that ILC2 preferentially use FAs to maintain their function in the context of helminth infection or malnutrition and propose that enhanced FA usage and FA-dependent IL-13 production by ILC2 could represent a host adaptation to maintain barrier immunity under dietary restriction.","container-title":"The Journal of Experimental Medicine","DOI":"10.1084/jem.20151448","ISSN":"1540-9538","issue":"8","journalAbbreviation":"J Exp Med","language":"eng","note":"PMID: 27432938\nPMCID: PMC4986525","page":"1409-1418","source":"PubMed","title":"Critical role of fatty acid metabolism in ILC2-mediated barrier protection during malnutrition and helminth infection","volume":"213","author":[{"family":"Wilhelm","given":"Christoph"},{"family":"Harrison","given":"Oliver J."},{"family":"Schmitt","given":"Vanessa"},{"family":"Pelletier","given":"Martin"},{"family":"Spencer","given":"Sean P."},{"family":"Urban","given":"Joseph F."},{"family":"Ploch","given":"Michelle"},{"family":"Ramalingam","given":"Thirumalai R."},{"family":"Siegel","given":"Richard M."},{"family":"Belkaid","given":"Yasmine"}],"issued":{"date-parts":[["2016",7,25]]}}}],"schema":"https://github.com/citation-style-language/schema/raw/master/csl-citation.json"} </w:instrText>
      </w:r>
      <w:r w:rsidR="00AB5110" w:rsidRPr="00726423">
        <w:rPr>
          <w:rFonts w:ascii="Arial" w:hAnsi="Arial" w:cs="Arial"/>
          <w:color w:val="000000" w:themeColor="text1"/>
          <w:sz w:val="22"/>
          <w:szCs w:val="22"/>
          <w:vertAlign w:val="superscript"/>
        </w:rPr>
        <w:fldChar w:fldCharType="separate"/>
      </w:r>
      <w:r w:rsidR="00361359" w:rsidRPr="00361359">
        <w:rPr>
          <w:rFonts w:ascii="Arial" w:hAnsi="Arial" w:cs="Arial"/>
          <w:color w:val="000000"/>
          <w:sz w:val="22"/>
          <w:vertAlign w:val="superscript"/>
        </w:rPr>
        <w:t>42</w:t>
      </w:r>
      <w:r w:rsidR="00AB5110" w:rsidRPr="00726423">
        <w:rPr>
          <w:rFonts w:ascii="Arial" w:hAnsi="Arial" w:cs="Arial"/>
          <w:color w:val="000000" w:themeColor="text1"/>
          <w:sz w:val="22"/>
          <w:szCs w:val="22"/>
          <w:vertAlign w:val="superscript"/>
        </w:rPr>
        <w:fldChar w:fldCharType="end"/>
      </w:r>
      <w:r w:rsidR="008D0A10">
        <w:rPr>
          <w:rFonts w:ascii="Arial" w:hAnsi="Arial" w:cs="Arial"/>
          <w:color w:val="000000" w:themeColor="text1"/>
          <w:sz w:val="22"/>
          <w:szCs w:val="22"/>
          <w:vertAlign w:val="superscript"/>
        </w:rPr>
        <w:t>,</w:t>
      </w:r>
      <w:r w:rsidR="00BE1886" w:rsidRPr="00726423">
        <w:rPr>
          <w:rFonts w:ascii="Arial" w:hAnsi="Arial" w:cs="Arial"/>
          <w:color w:val="000000" w:themeColor="text1"/>
          <w:sz w:val="22"/>
          <w:szCs w:val="22"/>
          <w:vertAlign w:val="superscript"/>
        </w:rPr>
        <w:fldChar w:fldCharType="begin"/>
      </w:r>
      <w:r w:rsidR="00361359">
        <w:rPr>
          <w:rFonts w:ascii="Arial" w:hAnsi="Arial" w:cs="Arial"/>
          <w:color w:val="000000" w:themeColor="text1"/>
          <w:sz w:val="22"/>
          <w:szCs w:val="22"/>
          <w:vertAlign w:val="superscript"/>
        </w:rPr>
        <w:instrText xml:space="preserve"> ADDIN ZOTERO_ITEM CSL_CITATION {"citationID":"a2j7tdui22k","properties":{"formattedCitation":"\\super 43\\nosupersub{}","plainCitation":"43","noteIndex":0},"citationItems":[{"id":1715,"uris":["http://zotero.org/users/local/OCWppIAO/items/5N5GJDAV"],"itemData":{"id":1715,"type":"article-journal","abstract":"Allergic asthma is a leading chronic disease associated with airway hyperreactivity (AHR). Type-2 innate lymphoid cells (ILC2s) are a potent source of T-helper 2 (Th2) cytokines that promote AHR and lung inflammation. As the programmed cell death protein-1 (PD-1) inhibitory axis regulates a variety of immune responses, here we investigate PD-1 function in pulmonary ILC2s during IL-33-induced airway inflammation. PD-1 limits the viability of ILC2s and downregulates their effector functions. Additionally, PD-1 deficiency shifts ILC2 metabolism toward glycolysis, glutaminolysis and methionine catabolism. PD-1 thus acts as a metabolic checkpoint in ILC2s, affecting cellular activation and proliferation. As the blockade of PD-1 exacerbates AHR, we also develop a human PD-1 agonist and show that it can ameliorate AHR and suppresses lung inflammation in a humanized mouse model. Together, these results highlight the importance of PD-1 agonistic treatment in allergic asthma and underscore its therapeutic potential.","container-title":"Nature Communications","DOI":"10.1038/s41467-020-17813-1","ISSN":"2041-1723","issue":"1","journalAbbreviation":"Nat Commun","language":"eng","note":"PMID: 32778730\nPMCID: PMC7417739","page":"3998","source":"PubMed","title":"PD-1 pathway regulates ILC2 metabolism and PD-1 agonist treatment ameliorates airway hyperreactivity","volume":"11","author":[{"family":"Helou","given":"Doumet Georges"},{"family":"Shafiei-Jahani","given":"Pedram"},{"family":"Lo","given":"Richard"},{"family":"Howard","given":"Emily"},{"family":"Hurrell","given":"Benjamin P."},{"family":"Galle-Treger","given":"Lauriane"},{"family":"Painter","given":"Jacob D."},{"family":"Lewis","given":"Gavin"},{"family":"Soroosh","given":"Pejman"},{"family":"Sharpe","given":"Arlene H."},{"family":"Akbari","given":"Omid"}],"issued":{"date-parts":[["2020",8,10]]}}}],"schema":"https://github.com/citation-style-language/schema/raw/master/csl-citation.json"} </w:instrText>
      </w:r>
      <w:r w:rsidR="00BE1886" w:rsidRPr="00726423">
        <w:rPr>
          <w:rFonts w:ascii="Arial" w:hAnsi="Arial" w:cs="Arial"/>
          <w:color w:val="000000" w:themeColor="text1"/>
          <w:sz w:val="22"/>
          <w:szCs w:val="22"/>
          <w:vertAlign w:val="superscript"/>
        </w:rPr>
        <w:fldChar w:fldCharType="separate"/>
      </w:r>
      <w:r w:rsidR="00361359" w:rsidRPr="00361359">
        <w:rPr>
          <w:rFonts w:ascii="Arial" w:hAnsi="Arial" w:cs="Arial"/>
          <w:color w:val="000000"/>
          <w:sz w:val="22"/>
          <w:vertAlign w:val="superscript"/>
        </w:rPr>
        <w:t>43</w:t>
      </w:r>
      <w:r w:rsidR="00BE1886" w:rsidRPr="00726423">
        <w:rPr>
          <w:rFonts w:ascii="Arial" w:hAnsi="Arial" w:cs="Arial"/>
          <w:color w:val="000000" w:themeColor="text1"/>
          <w:sz w:val="22"/>
          <w:szCs w:val="22"/>
          <w:vertAlign w:val="superscript"/>
        </w:rPr>
        <w:fldChar w:fldCharType="end"/>
      </w:r>
      <w:r w:rsidR="003D16D9" w:rsidRPr="00726423">
        <w:rPr>
          <w:rFonts w:ascii="Arial" w:hAnsi="Arial" w:cs="Arial"/>
          <w:color w:val="000000" w:themeColor="text1"/>
          <w:sz w:val="22"/>
          <w:szCs w:val="22"/>
        </w:rPr>
        <w:t xml:space="preserve">, </w:t>
      </w:r>
      <w:r w:rsidR="00F23209" w:rsidRPr="00726423">
        <w:rPr>
          <w:rFonts w:ascii="Arial" w:hAnsi="Arial" w:cs="Arial"/>
          <w:color w:val="000000" w:themeColor="text1"/>
          <w:sz w:val="22"/>
          <w:szCs w:val="22"/>
        </w:rPr>
        <w:t>here we also report that 2-DG</w:t>
      </w:r>
      <w:r w:rsidR="003D16D9" w:rsidRPr="00726423">
        <w:rPr>
          <w:rFonts w:ascii="Arial" w:hAnsi="Arial" w:cs="Arial"/>
          <w:color w:val="000000" w:themeColor="text1"/>
          <w:sz w:val="22"/>
          <w:szCs w:val="22"/>
        </w:rPr>
        <w:t xml:space="preserve"> affect</w:t>
      </w:r>
      <w:r w:rsidR="004B02B3" w:rsidRPr="00726423">
        <w:rPr>
          <w:rFonts w:ascii="Arial" w:hAnsi="Arial" w:cs="Arial"/>
          <w:color w:val="000000" w:themeColor="text1"/>
          <w:sz w:val="22"/>
          <w:szCs w:val="22"/>
        </w:rPr>
        <w:t>ed</w:t>
      </w:r>
      <w:r w:rsidR="003D16D9" w:rsidRPr="00726423">
        <w:rPr>
          <w:rFonts w:ascii="Arial" w:hAnsi="Arial" w:cs="Arial"/>
          <w:color w:val="000000" w:themeColor="text1"/>
          <w:sz w:val="22"/>
          <w:szCs w:val="22"/>
        </w:rPr>
        <w:t xml:space="preserve"> neither IL-33-induced </w:t>
      </w:r>
      <w:r w:rsidR="002F155D" w:rsidRPr="00726423">
        <w:rPr>
          <w:rFonts w:ascii="Arial" w:hAnsi="Arial" w:cs="Arial"/>
          <w:color w:val="000000" w:themeColor="text1"/>
          <w:sz w:val="22"/>
          <w:szCs w:val="22"/>
        </w:rPr>
        <w:t xml:space="preserve">ILC2 </w:t>
      </w:r>
      <w:r w:rsidR="003D16D9" w:rsidRPr="00726423">
        <w:rPr>
          <w:rFonts w:ascii="Arial" w:hAnsi="Arial" w:cs="Arial"/>
          <w:color w:val="000000" w:themeColor="text1"/>
          <w:sz w:val="22"/>
          <w:szCs w:val="22"/>
        </w:rPr>
        <w:t xml:space="preserve">accumulation and </w:t>
      </w:r>
      <w:r w:rsidR="00F23209" w:rsidRPr="00726423">
        <w:rPr>
          <w:rFonts w:ascii="Arial" w:hAnsi="Arial" w:cs="Arial"/>
          <w:color w:val="000000" w:themeColor="text1"/>
          <w:sz w:val="22"/>
          <w:szCs w:val="22"/>
        </w:rPr>
        <w:t xml:space="preserve">type 2 </w:t>
      </w:r>
      <w:r w:rsidR="003D16D9" w:rsidRPr="00726423">
        <w:rPr>
          <w:rFonts w:ascii="Arial" w:hAnsi="Arial" w:cs="Arial"/>
          <w:color w:val="000000" w:themeColor="text1"/>
          <w:sz w:val="22"/>
          <w:szCs w:val="22"/>
        </w:rPr>
        <w:t xml:space="preserve">cytokine production nor eosinophil </w:t>
      </w:r>
      <w:r w:rsidR="002F155D" w:rsidRPr="00726423">
        <w:rPr>
          <w:rFonts w:ascii="Arial" w:hAnsi="Arial" w:cs="Arial"/>
          <w:color w:val="000000" w:themeColor="text1"/>
          <w:sz w:val="22"/>
          <w:szCs w:val="22"/>
        </w:rPr>
        <w:t>recruitment</w:t>
      </w:r>
      <w:r w:rsidR="00187627" w:rsidRPr="00726423">
        <w:rPr>
          <w:rFonts w:ascii="Arial" w:hAnsi="Arial" w:cs="Arial"/>
          <w:color w:val="000000" w:themeColor="text1"/>
          <w:sz w:val="22"/>
          <w:szCs w:val="22"/>
        </w:rPr>
        <w:t xml:space="preserve"> in mice with intact PG </w:t>
      </w:r>
      <w:proofErr w:type="spellStart"/>
      <w:r w:rsidR="00187627" w:rsidRPr="00726423">
        <w:rPr>
          <w:rFonts w:ascii="Arial" w:hAnsi="Arial" w:cs="Arial"/>
          <w:color w:val="000000" w:themeColor="text1"/>
          <w:sz w:val="22"/>
          <w:szCs w:val="22"/>
        </w:rPr>
        <w:t>signaling</w:t>
      </w:r>
      <w:proofErr w:type="spellEnd"/>
      <w:r w:rsidR="00903057" w:rsidRPr="00726423">
        <w:rPr>
          <w:rFonts w:ascii="Arial" w:hAnsi="Arial" w:cs="Arial"/>
          <w:color w:val="000000" w:themeColor="text1"/>
          <w:sz w:val="22"/>
          <w:szCs w:val="22"/>
        </w:rPr>
        <w:t xml:space="preserve"> (i.e., without indomethacin-treatment)</w:t>
      </w:r>
      <w:r w:rsidR="00187627" w:rsidRPr="00726423">
        <w:rPr>
          <w:rFonts w:ascii="Arial" w:hAnsi="Arial" w:cs="Arial"/>
          <w:color w:val="000000" w:themeColor="text1"/>
          <w:sz w:val="22"/>
          <w:szCs w:val="22"/>
        </w:rPr>
        <w:t xml:space="preserve"> </w:t>
      </w:r>
      <w:r w:rsidR="003D16D9" w:rsidRPr="00726423">
        <w:rPr>
          <w:rFonts w:ascii="Arial" w:hAnsi="Arial" w:cs="Arial"/>
          <w:color w:val="000000" w:themeColor="text1"/>
          <w:sz w:val="22"/>
          <w:szCs w:val="22"/>
        </w:rPr>
        <w:t>(</w:t>
      </w:r>
      <w:r w:rsidR="003D16D9" w:rsidRPr="00726423">
        <w:rPr>
          <w:rFonts w:ascii="Arial" w:hAnsi="Arial" w:cs="Arial"/>
          <w:b/>
          <w:bCs/>
          <w:color w:val="000000" w:themeColor="text1"/>
          <w:sz w:val="22"/>
          <w:szCs w:val="22"/>
        </w:rPr>
        <w:t xml:space="preserve">Fig </w:t>
      </w:r>
      <w:r w:rsidR="00903057" w:rsidRPr="00726423">
        <w:rPr>
          <w:rFonts w:ascii="Arial" w:hAnsi="Arial" w:cs="Arial"/>
          <w:b/>
          <w:bCs/>
          <w:color w:val="000000" w:themeColor="text1"/>
          <w:sz w:val="22"/>
          <w:szCs w:val="22"/>
        </w:rPr>
        <w:t>6H-J</w:t>
      </w:r>
      <w:r w:rsidR="003D16D9" w:rsidRPr="00726423">
        <w:rPr>
          <w:rFonts w:ascii="Arial" w:hAnsi="Arial" w:cs="Arial"/>
          <w:color w:val="000000" w:themeColor="text1"/>
          <w:sz w:val="22"/>
          <w:szCs w:val="22"/>
        </w:rPr>
        <w:t xml:space="preserve">). </w:t>
      </w:r>
      <w:r w:rsidR="00187627" w:rsidRPr="00726423">
        <w:rPr>
          <w:rFonts w:ascii="Arial" w:hAnsi="Arial" w:cs="Arial"/>
          <w:color w:val="000000" w:themeColor="text1"/>
          <w:sz w:val="22"/>
          <w:szCs w:val="22"/>
        </w:rPr>
        <w:t>However, in indomethacin-treated mice where biosynthesis of endogenous PGs including PGE</w:t>
      </w:r>
      <w:r w:rsidR="00187627" w:rsidRPr="00726423">
        <w:rPr>
          <w:rFonts w:ascii="Arial" w:hAnsi="Arial" w:cs="Arial"/>
          <w:color w:val="000000" w:themeColor="text1"/>
          <w:sz w:val="22"/>
          <w:szCs w:val="22"/>
          <w:vertAlign w:val="subscript"/>
        </w:rPr>
        <w:t>2</w:t>
      </w:r>
      <w:r w:rsidR="00187627" w:rsidRPr="00726423">
        <w:rPr>
          <w:rFonts w:ascii="Arial" w:hAnsi="Arial" w:cs="Arial"/>
          <w:color w:val="000000" w:themeColor="text1"/>
          <w:sz w:val="22"/>
          <w:szCs w:val="22"/>
        </w:rPr>
        <w:t xml:space="preserve"> was blocked, 2-DG strikingly reduced ILC2 </w:t>
      </w:r>
      <w:r w:rsidR="005B5A28" w:rsidRPr="00726423">
        <w:rPr>
          <w:rFonts w:ascii="Arial" w:hAnsi="Arial" w:cs="Arial"/>
          <w:color w:val="000000" w:themeColor="text1"/>
          <w:sz w:val="22"/>
          <w:szCs w:val="22"/>
        </w:rPr>
        <w:t xml:space="preserve">and Th2 </w:t>
      </w:r>
      <w:r w:rsidR="00187627" w:rsidRPr="00726423">
        <w:rPr>
          <w:rFonts w:ascii="Arial" w:hAnsi="Arial" w:cs="Arial"/>
          <w:color w:val="000000" w:themeColor="text1"/>
          <w:sz w:val="22"/>
          <w:szCs w:val="22"/>
        </w:rPr>
        <w:t xml:space="preserve">numbers and </w:t>
      </w:r>
      <w:r w:rsidR="005B5A28" w:rsidRPr="00726423">
        <w:rPr>
          <w:rFonts w:ascii="Arial" w:hAnsi="Arial" w:cs="Arial"/>
          <w:color w:val="000000" w:themeColor="text1"/>
          <w:sz w:val="22"/>
          <w:szCs w:val="22"/>
        </w:rPr>
        <w:t xml:space="preserve">type 2 </w:t>
      </w:r>
      <w:r w:rsidR="00187627" w:rsidRPr="00726423">
        <w:rPr>
          <w:rFonts w:ascii="Arial" w:hAnsi="Arial" w:cs="Arial"/>
          <w:color w:val="000000" w:themeColor="text1"/>
          <w:sz w:val="22"/>
          <w:szCs w:val="22"/>
        </w:rPr>
        <w:t xml:space="preserve">cytokine production in the </w:t>
      </w:r>
      <w:r w:rsidR="005B5A28" w:rsidRPr="00726423">
        <w:rPr>
          <w:rFonts w:ascii="Arial" w:hAnsi="Arial" w:cs="Arial"/>
          <w:color w:val="000000" w:themeColor="text1"/>
          <w:sz w:val="22"/>
          <w:szCs w:val="22"/>
        </w:rPr>
        <w:t>lung</w:t>
      </w:r>
      <w:r w:rsidR="00187627" w:rsidRPr="00726423">
        <w:rPr>
          <w:rFonts w:ascii="Arial" w:hAnsi="Arial" w:cs="Arial"/>
          <w:color w:val="000000" w:themeColor="text1"/>
          <w:sz w:val="22"/>
          <w:szCs w:val="22"/>
        </w:rPr>
        <w:t xml:space="preserve"> (</w:t>
      </w:r>
      <w:r w:rsidR="00187627" w:rsidRPr="00726423">
        <w:rPr>
          <w:rFonts w:ascii="Arial" w:hAnsi="Arial" w:cs="Arial"/>
          <w:b/>
          <w:bCs/>
          <w:color w:val="000000" w:themeColor="text1"/>
          <w:sz w:val="22"/>
          <w:szCs w:val="22"/>
        </w:rPr>
        <w:t xml:space="preserve">Fig </w:t>
      </w:r>
      <w:r w:rsidR="00903057" w:rsidRPr="00726423">
        <w:rPr>
          <w:rFonts w:ascii="Arial" w:hAnsi="Arial" w:cs="Arial"/>
          <w:b/>
          <w:bCs/>
          <w:color w:val="000000" w:themeColor="text1"/>
          <w:sz w:val="22"/>
          <w:szCs w:val="22"/>
        </w:rPr>
        <w:t>6H-</w:t>
      </w:r>
      <w:r w:rsidR="00F23209" w:rsidRPr="00726423">
        <w:rPr>
          <w:rFonts w:ascii="Arial" w:hAnsi="Arial" w:cs="Arial"/>
          <w:b/>
          <w:bCs/>
          <w:color w:val="000000" w:themeColor="text1"/>
          <w:sz w:val="22"/>
          <w:szCs w:val="22"/>
        </w:rPr>
        <w:t>I</w:t>
      </w:r>
      <w:r w:rsidR="00187627" w:rsidRPr="00726423">
        <w:rPr>
          <w:rFonts w:ascii="Arial" w:hAnsi="Arial" w:cs="Arial"/>
          <w:color w:val="000000" w:themeColor="text1"/>
          <w:sz w:val="22"/>
          <w:szCs w:val="22"/>
        </w:rPr>
        <w:t xml:space="preserve">). </w:t>
      </w:r>
      <w:r w:rsidR="005B5A28" w:rsidRPr="00726423">
        <w:rPr>
          <w:rFonts w:ascii="Arial" w:hAnsi="Arial" w:cs="Arial"/>
          <w:color w:val="000000" w:themeColor="text1"/>
          <w:sz w:val="22"/>
          <w:szCs w:val="22"/>
        </w:rPr>
        <w:t xml:space="preserve">Accordingly, </w:t>
      </w:r>
      <w:r w:rsidR="00F23209" w:rsidRPr="00726423">
        <w:rPr>
          <w:rFonts w:ascii="Arial" w:hAnsi="Arial" w:cs="Arial"/>
          <w:color w:val="000000" w:themeColor="text1"/>
          <w:sz w:val="22"/>
          <w:szCs w:val="22"/>
        </w:rPr>
        <w:t xml:space="preserve">overall </w:t>
      </w:r>
      <w:r w:rsidR="005B5A28" w:rsidRPr="00726423">
        <w:rPr>
          <w:rFonts w:ascii="Arial" w:hAnsi="Arial" w:cs="Arial"/>
          <w:color w:val="000000" w:themeColor="text1"/>
          <w:sz w:val="22"/>
          <w:szCs w:val="22"/>
        </w:rPr>
        <w:t xml:space="preserve">lung inflammation was also </w:t>
      </w:r>
      <w:r w:rsidR="00F23209" w:rsidRPr="00726423">
        <w:rPr>
          <w:rFonts w:ascii="Arial" w:hAnsi="Arial" w:cs="Arial"/>
          <w:color w:val="000000" w:themeColor="text1"/>
          <w:sz w:val="22"/>
          <w:szCs w:val="22"/>
        </w:rPr>
        <w:t>decreas</w:t>
      </w:r>
      <w:r w:rsidR="005B5A28" w:rsidRPr="00726423">
        <w:rPr>
          <w:rFonts w:ascii="Arial" w:hAnsi="Arial" w:cs="Arial"/>
          <w:color w:val="000000" w:themeColor="text1"/>
          <w:sz w:val="22"/>
          <w:szCs w:val="22"/>
        </w:rPr>
        <w:t xml:space="preserve">ed by 2-DG in indomethacin-treated mice </w:t>
      </w:r>
      <w:r w:rsidR="00B90773" w:rsidRPr="00726423">
        <w:rPr>
          <w:rFonts w:ascii="Arial" w:hAnsi="Arial" w:cs="Arial"/>
          <w:color w:val="000000" w:themeColor="text1"/>
          <w:sz w:val="22"/>
          <w:szCs w:val="22"/>
        </w:rPr>
        <w:t xml:space="preserve">as evidenced by reduction of </w:t>
      </w:r>
      <w:r w:rsidR="00F23209" w:rsidRPr="00726423">
        <w:rPr>
          <w:rFonts w:ascii="Arial" w:hAnsi="Arial" w:cs="Arial"/>
          <w:color w:val="000000" w:themeColor="text1"/>
          <w:sz w:val="22"/>
          <w:szCs w:val="22"/>
        </w:rPr>
        <w:t xml:space="preserve">both </w:t>
      </w:r>
      <w:r w:rsidR="00B90773" w:rsidRPr="00726423">
        <w:rPr>
          <w:rFonts w:ascii="Arial" w:hAnsi="Arial" w:cs="Arial"/>
          <w:color w:val="000000" w:themeColor="text1"/>
          <w:sz w:val="22"/>
          <w:szCs w:val="22"/>
        </w:rPr>
        <w:t xml:space="preserve">eosinophils and neutrophils </w:t>
      </w:r>
      <w:r w:rsidR="005B5A28" w:rsidRPr="00726423">
        <w:rPr>
          <w:rFonts w:ascii="Arial" w:hAnsi="Arial" w:cs="Arial"/>
          <w:color w:val="000000" w:themeColor="text1"/>
          <w:sz w:val="22"/>
          <w:szCs w:val="22"/>
        </w:rPr>
        <w:t>(</w:t>
      </w:r>
      <w:r w:rsidR="005B5A28" w:rsidRPr="00726423">
        <w:rPr>
          <w:rFonts w:ascii="Arial" w:hAnsi="Arial" w:cs="Arial"/>
          <w:b/>
          <w:bCs/>
          <w:color w:val="000000" w:themeColor="text1"/>
          <w:sz w:val="22"/>
          <w:szCs w:val="22"/>
        </w:rPr>
        <w:t xml:space="preserve">Fig </w:t>
      </w:r>
      <w:r w:rsidR="00F23209" w:rsidRPr="00726423">
        <w:rPr>
          <w:rFonts w:ascii="Arial" w:hAnsi="Arial" w:cs="Arial"/>
          <w:b/>
          <w:bCs/>
          <w:color w:val="000000" w:themeColor="text1"/>
          <w:sz w:val="22"/>
          <w:szCs w:val="22"/>
        </w:rPr>
        <w:t>6J</w:t>
      </w:r>
      <w:r w:rsidR="005B5A28" w:rsidRPr="00726423">
        <w:rPr>
          <w:rFonts w:ascii="Arial" w:hAnsi="Arial" w:cs="Arial"/>
          <w:color w:val="000000" w:themeColor="text1"/>
          <w:sz w:val="22"/>
          <w:szCs w:val="22"/>
        </w:rPr>
        <w:t>).</w:t>
      </w:r>
      <w:r w:rsidR="00304EF6" w:rsidRPr="00726423">
        <w:rPr>
          <w:rFonts w:ascii="Arial" w:hAnsi="Arial" w:cs="Arial"/>
          <w:color w:val="000000" w:themeColor="text1"/>
          <w:sz w:val="22"/>
          <w:szCs w:val="22"/>
        </w:rPr>
        <w:t xml:space="preserve"> These results suggest that </w:t>
      </w:r>
      <w:r w:rsidR="006A2201" w:rsidRPr="00726423">
        <w:rPr>
          <w:rFonts w:ascii="Arial" w:hAnsi="Arial" w:cs="Arial"/>
          <w:color w:val="000000" w:themeColor="text1"/>
          <w:sz w:val="22"/>
          <w:szCs w:val="22"/>
        </w:rPr>
        <w:t>PGE</w:t>
      </w:r>
      <w:r w:rsidR="006A2201" w:rsidRPr="00726423">
        <w:rPr>
          <w:rFonts w:ascii="Arial" w:hAnsi="Arial" w:cs="Arial"/>
          <w:color w:val="000000" w:themeColor="text1"/>
          <w:sz w:val="22"/>
          <w:szCs w:val="22"/>
          <w:vertAlign w:val="subscript"/>
        </w:rPr>
        <w:t>2</w:t>
      </w:r>
      <w:r w:rsidR="006A2201" w:rsidRPr="00726423">
        <w:rPr>
          <w:rFonts w:ascii="Arial" w:hAnsi="Arial" w:cs="Arial"/>
          <w:color w:val="000000" w:themeColor="text1"/>
          <w:sz w:val="22"/>
          <w:szCs w:val="22"/>
        </w:rPr>
        <w:t xml:space="preserve"> </w:t>
      </w:r>
      <w:r w:rsidR="00F23209" w:rsidRPr="00726423">
        <w:rPr>
          <w:rFonts w:ascii="Arial" w:hAnsi="Arial" w:cs="Arial"/>
          <w:color w:val="000000" w:themeColor="text1"/>
          <w:sz w:val="22"/>
          <w:szCs w:val="22"/>
        </w:rPr>
        <w:t>impede</w:t>
      </w:r>
      <w:r w:rsidR="006A2201" w:rsidRPr="00726423">
        <w:rPr>
          <w:rFonts w:ascii="Arial" w:hAnsi="Arial" w:cs="Arial"/>
          <w:color w:val="000000" w:themeColor="text1"/>
          <w:sz w:val="22"/>
          <w:szCs w:val="22"/>
        </w:rPr>
        <w:t xml:space="preserve">s ILC2 energy metabolism </w:t>
      </w:r>
      <w:r w:rsidR="00F23209" w:rsidRPr="00726423">
        <w:rPr>
          <w:rFonts w:ascii="Arial" w:hAnsi="Arial" w:cs="Arial"/>
          <w:color w:val="000000" w:themeColor="text1"/>
          <w:sz w:val="22"/>
          <w:szCs w:val="22"/>
        </w:rPr>
        <w:t>and</w:t>
      </w:r>
      <w:r w:rsidR="006A2201" w:rsidRPr="00726423">
        <w:rPr>
          <w:rFonts w:ascii="Arial" w:hAnsi="Arial" w:cs="Arial"/>
          <w:color w:val="000000" w:themeColor="text1"/>
          <w:sz w:val="22"/>
          <w:szCs w:val="22"/>
        </w:rPr>
        <w:t xml:space="preserve"> constr</w:t>
      </w:r>
      <w:r w:rsidR="00F23209" w:rsidRPr="00726423">
        <w:rPr>
          <w:rFonts w:ascii="Arial" w:hAnsi="Arial" w:cs="Arial"/>
          <w:color w:val="000000" w:themeColor="text1"/>
          <w:sz w:val="22"/>
          <w:szCs w:val="22"/>
        </w:rPr>
        <w:t>icts</w:t>
      </w:r>
      <w:r w:rsidR="006A2201" w:rsidRPr="00726423">
        <w:rPr>
          <w:rFonts w:ascii="Arial" w:hAnsi="Arial" w:cs="Arial"/>
          <w:color w:val="000000" w:themeColor="text1"/>
          <w:sz w:val="22"/>
          <w:szCs w:val="22"/>
        </w:rPr>
        <w:t xml:space="preserve"> </w:t>
      </w:r>
      <w:r w:rsidR="00903057" w:rsidRPr="00726423">
        <w:rPr>
          <w:rFonts w:ascii="Arial" w:hAnsi="Arial" w:cs="Arial"/>
          <w:color w:val="000000" w:themeColor="text1"/>
          <w:sz w:val="22"/>
          <w:szCs w:val="22"/>
        </w:rPr>
        <w:t xml:space="preserve">IL-33-induced </w:t>
      </w:r>
      <w:r w:rsidR="006A2201" w:rsidRPr="00726423">
        <w:rPr>
          <w:rFonts w:ascii="Arial" w:hAnsi="Arial" w:cs="Arial"/>
          <w:color w:val="000000" w:themeColor="text1"/>
          <w:sz w:val="22"/>
          <w:szCs w:val="22"/>
        </w:rPr>
        <w:t xml:space="preserve">type 2 immune responses. </w:t>
      </w:r>
    </w:p>
    <w:p w14:paraId="76D95D3D" w14:textId="0BDAE127" w:rsidR="00363EEE" w:rsidRPr="00726423" w:rsidRDefault="00363EEE" w:rsidP="00AF01E8">
      <w:pPr>
        <w:spacing w:line="480" w:lineRule="auto"/>
        <w:jc w:val="both"/>
        <w:rPr>
          <w:rFonts w:ascii="Arial" w:hAnsi="Arial" w:cs="Arial"/>
          <w:color w:val="000000" w:themeColor="text1"/>
          <w:sz w:val="22"/>
          <w:szCs w:val="22"/>
        </w:rPr>
      </w:pPr>
    </w:p>
    <w:p w14:paraId="7A9409A7" w14:textId="7E7C5DDC" w:rsidR="00EA2C5E" w:rsidRPr="00726423" w:rsidRDefault="00640DA4" w:rsidP="00AF01E8">
      <w:pPr>
        <w:spacing w:line="480" w:lineRule="auto"/>
        <w:jc w:val="both"/>
        <w:rPr>
          <w:rFonts w:ascii="Arial" w:hAnsi="Arial" w:cs="Arial"/>
          <w:color w:val="000000" w:themeColor="text1"/>
          <w:sz w:val="22"/>
          <w:szCs w:val="22"/>
        </w:rPr>
      </w:pPr>
      <w:r w:rsidRPr="00726423">
        <w:rPr>
          <w:rFonts w:ascii="Arial" w:hAnsi="Arial" w:cs="Arial"/>
          <w:b/>
          <w:bCs/>
          <w:color w:val="000000" w:themeColor="text1"/>
          <w:sz w:val="22"/>
          <w:szCs w:val="22"/>
        </w:rPr>
        <w:t>Discussion</w:t>
      </w:r>
      <w:r w:rsidR="00EA2C5E" w:rsidRPr="00726423">
        <w:rPr>
          <w:rFonts w:ascii="Arial" w:hAnsi="Arial" w:cs="Arial"/>
          <w:color w:val="000000" w:themeColor="text1"/>
          <w:sz w:val="22"/>
          <w:szCs w:val="22"/>
        </w:rPr>
        <w:t xml:space="preserve"> </w:t>
      </w:r>
    </w:p>
    <w:p w14:paraId="06FC71BF" w14:textId="444B48EF" w:rsidR="00AA44D6" w:rsidRPr="00726423" w:rsidRDefault="0046143B" w:rsidP="00AF01E8">
      <w:pPr>
        <w:spacing w:line="480" w:lineRule="auto"/>
        <w:jc w:val="both"/>
        <w:rPr>
          <w:rFonts w:ascii="Arial" w:hAnsi="Arial" w:cs="Arial"/>
          <w:color w:val="000000" w:themeColor="text1"/>
          <w:sz w:val="22"/>
          <w:szCs w:val="22"/>
        </w:rPr>
      </w:pPr>
      <w:r w:rsidRPr="00726423">
        <w:rPr>
          <w:rFonts w:ascii="Arial" w:hAnsi="Arial" w:cs="Arial"/>
          <w:color w:val="000000" w:themeColor="text1"/>
          <w:sz w:val="22"/>
          <w:szCs w:val="22"/>
        </w:rPr>
        <w:t>Here, we report that PGE</w:t>
      </w:r>
      <w:r w:rsidRPr="00726423">
        <w:rPr>
          <w:rFonts w:ascii="Arial" w:hAnsi="Arial" w:cs="Arial"/>
          <w:color w:val="000000" w:themeColor="text1"/>
          <w:sz w:val="22"/>
          <w:szCs w:val="22"/>
          <w:vertAlign w:val="subscript"/>
        </w:rPr>
        <w:t>2</w:t>
      </w:r>
      <w:r w:rsidRPr="00726423">
        <w:rPr>
          <w:rFonts w:ascii="Arial" w:hAnsi="Arial" w:cs="Arial"/>
          <w:color w:val="000000" w:themeColor="text1"/>
          <w:sz w:val="22"/>
          <w:szCs w:val="22"/>
        </w:rPr>
        <w:t xml:space="preserve">-EP2/EP4 </w:t>
      </w:r>
      <w:proofErr w:type="spellStart"/>
      <w:r w:rsidR="00134A78" w:rsidRPr="00726423">
        <w:rPr>
          <w:rFonts w:ascii="Arial" w:hAnsi="Arial" w:cs="Arial"/>
          <w:color w:val="000000" w:themeColor="text1"/>
          <w:sz w:val="22"/>
          <w:szCs w:val="22"/>
        </w:rPr>
        <w:t>signaling</w:t>
      </w:r>
      <w:proofErr w:type="spellEnd"/>
      <w:r w:rsidRPr="00726423">
        <w:rPr>
          <w:rFonts w:ascii="Arial" w:hAnsi="Arial" w:cs="Arial"/>
          <w:color w:val="000000" w:themeColor="text1"/>
          <w:sz w:val="22"/>
          <w:szCs w:val="22"/>
        </w:rPr>
        <w:t xml:space="preserve"> limits </w:t>
      </w:r>
      <w:r w:rsidR="00500806" w:rsidRPr="00726423">
        <w:rPr>
          <w:rFonts w:ascii="Arial" w:hAnsi="Arial" w:cs="Arial"/>
          <w:color w:val="000000" w:themeColor="text1"/>
          <w:sz w:val="22"/>
          <w:szCs w:val="22"/>
        </w:rPr>
        <w:t>type 2</w:t>
      </w:r>
      <w:r w:rsidRPr="00726423">
        <w:rPr>
          <w:rFonts w:ascii="Arial" w:hAnsi="Arial" w:cs="Arial"/>
          <w:color w:val="000000" w:themeColor="text1"/>
          <w:sz w:val="22"/>
          <w:szCs w:val="22"/>
        </w:rPr>
        <w:t xml:space="preserve"> lung inflammation through negative regulation of ILC2 responses. </w:t>
      </w:r>
      <w:r w:rsidR="006C14A4" w:rsidRPr="00726423">
        <w:rPr>
          <w:rFonts w:ascii="Arial" w:hAnsi="Arial" w:cs="Arial"/>
          <w:color w:val="000000" w:themeColor="text1"/>
          <w:sz w:val="22"/>
          <w:szCs w:val="22"/>
        </w:rPr>
        <w:t>B</w:t>
      </w:r>
      <w:r w:rsidR="00AA44D6" w:rsidRPr="00726423">
        <w:rPr>
          <w:rFonts w:ascii="Arial" w:hAnsi="Arial" w:cs="Arial"/>
          <w:color w:val="000000" w:themeColor="text1"/>
          <w:sz w:val="22"/>
          <w:szCs w:val="22"/>
        </w:rPr>
        <w:t xml:space="preserve">oth </w:t>
      </w:r>
      <w:r w:rsidR="006C6A7E" w:rsidRPr="00726423">
        <w:rPr>
          <w:rFonts w:ascii="Arial" w:hAnsi="Arial" w:cs="Arial"/>
          <w:color w:val="000000" w:themeColor="text1"/>
          <w:sz w:val="22"/>
          <w:szCs w:val="22"/>
        </w:rPr>
        <w:t xml:space="preserve">EP2 and EP4 </w:t>
      </w:r>
      <w:r w:rsidR="00AA44D6" w:rsidRPr="00726423">
        <w:rPr>
          <w:rFonts w:ascii="Arial" w:hAnsi="Arial" w:cs="Arial"/>
          <w:color w:val="000000" w:themeColor="text1"/>
          <w:sz w:val="22"/>
          <w:szCs w:val="22"/>
        </w:rPr>
        <w:t xml:space="preserve">activate the downstream cAMP-PKA </w:t>
      </w:r>
      <w:proofErr w:type="spellStart"/>
      <w:r w:rsidR="00134A78" w:rsidRPr="00726423">
        <w:rPr>
          <w:rFonts w:ascii="Arial" w:hAnsi="Arial" w:cs="Arial"/>
          <w:color w:val="000000" w:themeColor="text1"/>
          <w:sz w:val="22"/>
          <w:szCs w:val="22"/>
        </w:rPr>
        <w:t>signaling</w:t>
      </w:r>
      <w:proofErr w:type="spellEnd"/>
      <w:r w:rsidR="00AA44D6" w:rsidRPr="00726423">
        <w:rPr>
          <w:rFonts w:ascii="Arial" w:hAnsi="Arial" w:cs="Arial"/>
          <w:color w:val="000000" w:themeColor="text1"/>
          <w:sz w:val="22"/>
          <w:szCs w:val="22"/>
        </w:rPr>
        <w:t xml:space="preserve"> pathway, thus can have redundant or additive functions </w:t>
      </w:r>
      <w:r w:rsidR="00AA44D6" w:rsidRPr="00726423">
        <w:rPr>
          <w:rFonts w:ascii="Arial" w:hAnsi="Arial" w:cs="Arial"/>
          <w:i/>
          <w:iCs/>
          <w:color w:val="000000" w:themeColor="text1"/>
          <w:sz w:val="22"/>
          <w:szCs w:val="22"/>
        </w:rPr>
        <w:t>in vivo</w:t>
      </w:r>
      <w:r w:rsidR="00AA44D6" w:rsidRPr="00726423">
        <w:rPr>
          <w:rFonts w:ascii="Arial" w:hAnsi="Arial" w:cs="Arial"/>
          <w:color w:val="000000" w:themeColor="text1"/>
          <w:sz w:val="22"/>
          <w:szCs w:val="22"/>
        </w:rPr>
        <w:t xml:space="preserve">. </w:t>
      </w:r>
      <w:r w:rsidR="00500806" w:rsidRPr="00726423">
        <w:rPr>
          <w:rFonts w:ascii="Arial" w:hAnsi="Arial" w:cs="Arial"/>
          <w:color w:val="000000" w:themeColor="text1"/>
          <w:sz w:val="22"/>
          <w:szCs w:val="22"/>
        </w:rPr>
        <w:t xml:space="preserve">Blockade of both receptors </w:t>
      </w:r>
      <w:r w:rsidR="00745CDE" w:rsidRPr="00726423">
        <w:rPr>
          <w:rFonts w:ascii="Arial" w:hAnsi="Arial" w:cs="Arial"/>
          <w:color w:val="000000" w:themeColor="text1"/>
          <w:sz w:val="22"/>
          <w:szCs w:val="22"/>
        </w:rPr>
        <w:t xml:space="preserve">is more effective than blocking </w:t>
      </w:r>
      <w:r w:rsidR="00016A95" w:rsidRPr="00726423">
        <w:rPr>
          <w:rFonts w:ascii="Arial" w:hAnsi="Arial" w:cs="Arial"/>
          <w:color w:val="000000" w:themeColor="text1"/>
          <w:sz w:val="22"/>
          <w:szCs w:val="22"/>
        </w:rPr>
        <w:t xml:space="preserve">just </w:t>
      </w:r>
      <w:r w:rsidR="00745CDE" w:rsidRPr="00726423">
        <w:rPr>
          <w:rFonts w:ascii="Arial" w:hAnsi="Arial" w:cs="Arial"/>
          <w:color w:val="000000" w:themeColor="text1"/>
          <w:sz w:val="22"/>
          <w:szCs w:val="22"/>
        </w:rPr>
        <w:t>one</w:t>
      </w:r>
      <w:r w:rsidR="00500806" w:rsidRPr="00726423">
        <w:rPr>
          <w:rFonts w:ascii="Arial" w:hAnsi="Arial" w:cs="Arial"/>
          <w:color w:val="000000" w:themeColor="text1"/>
          <w:sz w:val="22"/>
          <w:szCs w:val="22"/>
        </w:rPr>
        <w:t xml:space="preserve"> receptor</w:t>
      </w:r>
      <w:r w:rsidR="00745CDE" w:rsidRPr="00726423">
        <w:rPr>
          <w:rFonts w:ascii="Arial" w:hAnsi="Arial" w:cs="Arial"/>
          <w:color w:val="000000" w:themeColor="text1"/>
          <w:sz w:val="22"/>
          <w:szCs w:val="22"/>
        </w:rPr>
        <w:t xml:space="preserve">. </w:t>
      </w:r>
      <w:r w:rsidR="00AA44D6" w:rsidRPr="00726423">
        <w:rPr>
          <w:rFonts w:ascii="Arial" w:hAnsi="Arial" w:cs="Arial"/>
          <w:color w:val="000000" w:themeColor="text1"/>
          <w:sz w:val="22"/>
          <w:szCs w:val="22"/>
        </w:rPr>
        <w:t>For example, EP2 and EP4 collaboratively promotes T cell-mediated psoriasis</w:t>
      </w:r>
      <w:r w:rsidR="00724B3D"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{"citationID":"a120bfqod3e","properties":{"formattedCitation":"\\super 44\\nosupersub{}","plainCitation":"44","noteIndex":0},"citationItems":[{"id":1822,"uris":["http://zotero.org/users/local/OCWppIAO/items/CFY96ZQQ"],"itemData":{"id":1822,"type":"article-journal","abstract":"BACKGROUND: IL-23 is the key cytokine for generation of pathogenic IL-17-producing helper T (TH17) cells, which contribute critically to autoimmune diseases. However, how IL-23 generates pathogenic TH17 cells remains to be elucidated.\nOBJECTIVES: We sought to examine the involvement, molecular mechanisms, and clinical implications of prostaglandin (PG) E2-EP2/EP4 signaling in induction of IL-23-driven pathogenic TH17 cells.\nMETHODS: The role of PGE2 in induction of pathogenic TH17 cells was investigated in mouse TH17 cells in culture in vitro and in an IL-23-induced psoriasis mouse model in vivo. Clinical relevance of the findings in mice was examined by using gene expression profiling of IL-23 and PGE2-EP2/EP4 signaling in psoriatic skin from patients.\nRESULTS: IL-23 induces Ptgs2, encoding COX2 in TH17 cells, and produces PGE2, which acts back on the PGE receptors EP2 and EP4 in these cells and enhances IL-23-induced expression of an IL-23 receptor subunit gene, Il23r, by activating signal transducer and activator of transcription (STAT) 3, cAMP-responsive element binding protein 1, and nuclear factor κ light chain enhancer of activated B cells (NF-κB) through cyclic AMP-protein kinase A signaling. This PGE2 signaling also induces expression of various inflammation-related genes, which possibly function in TH17 cell-mediated pathology. Combined deletion of EP2 and EP4 selectively in T cells suppressed accumulation of IL-17A+ and IL-17A+IFN-γ+ pathogenic Th17 cells and abolished skin inflammation in an IL-23-induced psoriasis mouse model. Analysis of human psoriatic skin biopsy specimens shows positive correlation between PGE2 signaling and the IL-23/TH17 pathway.\nCONCLUSIONS: T cell-intrinsic EP2/EP4 signaling is critical in IL-23-driven generation of pathogenic TH17 cells and consequent pathogenesis in the skin.","container-title":"The Journal of Allergy and Clinical Immunology","DOI":"10.1016/j.jaci.2018.05.036","ISSN":"1097-6825","issue":"2","journalAbbreviation":"J Allergy Clin Immunol","language":"eng","note":"PMID: 29935220\nPMCID: PMC6354914","page":"631-643","source":"PubMed","title":"T cell-intrinsic prostaglandin E2-EP2/EP4 signaling is critical in pathogenic TH17 cell-driven inflammation","volume":"143","author":[{"family":"Lee","given":"Jinju"},{"family":"Aoki","given":"Tomohiro"},{"family":"Thumkeo","given":"Dean"},{"family":"Siriwach","given":"Ratklao"},{"family":"Yao","given":"Chengcan"},{"family":"Narumiya","given":"Shuh"}],"issued":{"date-parts":[["2019",2]]}}}],"schema":"https://github.com/citation-style-language/schema/raw/master/csl-citation.json"} </w:instrText>
      </w:r>
      <w:r w:rsidR="00724B3D"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44</w:t>
      </w:r>
      <w:r w:rsidR="00724B3D" w:rsidRPr="00726423">
        <w:rPr>
          <w:rFonts w:ascii="Arial" w:hAnsi="Arial" w:cs="Arial"/>
          <w:color w:val="000000" w:themeColor="text1"/>
          <w:sz w:val="22"/>
          <w:szCs w:val="22"/>
        </w:rPr>
        <w:fldChar w:fldCharType="end"/>
      </w:r>
      <w:r w:rsidR="006C6A7E" w:rsidRPr="00726423">
        <w:rPr>
          <w:rFonts w:ascii="Arial" w:hAnsi="Arial" w:cs="Arial"/>
          <w:color w:val="000000" w:themeColor="text1"/>
          <w:sz w:val="22"/>
          <w:szCs w:val="22"/>
        </w:rPr>
        <w:t xml:space="preserve">. Under certain circumstances, </w:t>
      </w:r>
      <w:r w:rsidR="001A0E87" w:rsidRPr="00726423">
        <w:rPr>
          <w:rFonts w:ascii="Arial" w:hAnsi="Arial" w:cs="Arial"/>
          <w:color w:val="000000" w:themeColor="text1"/>
          <w:sz w:val="22"/>
          <w:szCs w:val="22"/>
        </w:rPr>
        <w:t xml:space="preserve">the </w:t>
      </w:r>
      <w:r w:rsidR="006C6A7E" w:rsidRPr="00726423">
        <w:rPr>
          <w:rFonts w:ascii="Arial" w:hAnsi="Arial" w:cs="Arial"/>
          <w:color w:val="000000" w:themeColor="text1"/>
          <w:sz w:val="22"/>
          <w:szCs w:val="22"/>
        </w:rPr>
        <w:t>action</w:t>
      </w:r>
      <w:r w:rsidR="00724B3D" w:rsidRPr="00726423">
        <w:rPr>
          <w:rFonts w:ascii="Arial" w:hAnsi="Arial" w:cs="Arial"/>
          <w:color w:val="000000" w:themeColor="text1"/>
          <w:sz w:val="22"/>
          <w:szCs w:val="22"/>
        </w:rPr>
        <w:t>s</w:t>
      </w:r>
      <w:r w:rsidR="006C6A7E" w:rsidRPr="00726423">
        <w:rPr>
          <w:rFonts w:ascii="Arial" w:hAnsi="Arial" w:cs="Arial"/>
          <w:color w:val="000000" w:themeColor="text1"/>
          <w:sz w:val="22"/>
          <w:szCs w:val="22"/>
        </w:rPr>
        <w:t xml:space="preserve"> </w:t>
      </w:r>
      <w:r w:rsidR="001A0E87" w:rsidRPr="00726423">
        <w:rPr>
          <w:rFonts w:ascii="Arial" w:hAnsi="Arial" w:cs="Arial"/>
          <w:color w:val="000000" w:themeColor="text1"/>
          <w:sz w:val="22"/>
          <w:szCs w:val="22"/>
        </w:rPr>
        <w:t>of PGE</w:t>
      </w:r>
      <w:r w:rsidR="001A0E87" w:rsidRPr="00726423">
        <w:rPr>
          <w:rFonts w:ascii="Arial" w:hAnsi="Arial" w:cs="Arial"/>
          <w:color w:val="000000" w:themeColor="text1"/>
          <w:sz w:val="22"/>
          <w:szCs w:val="22"/>
          <w:vertAlign w:val="subscript"/>
        </w:rPr>
        <w:t>2</w:t>
      </w:r>
      <w:r w:rsidR="001A0E87" w:rsidRPr="00726423">
        <w:rPr>
          <w:rFonts w:ascii="Arial" w:hAnsi="Arial" w:cs="Arial"/>
          <w:color w:val="000000" w:themeColor="text1"/>
          <w:sz w:val="22"/>
          <w:szCs w:val="22"/>
        </w:rPr>
        <w:t xml:space="preserve"> </w:t>
      </w:r>
      <w:r w:rsidR="006C6A7E" w:rsidRPr="00726423">
        <w:rPr>
          <w:rFonts w:ascii="Arial" w:hAnsi="Arial" w:cs="Arial"/>
          <w:i/>
          <w:iCs/>
          <w:color w:val="000000" w:themeColor="text1"/>
          <w:sz w:val="22"/>
          <w:szCs w:val="22"/>
        </w:rPr>
        <w:t>in vivo</w:t>
      </w:r>
      <w:r w:rsidR="006C6A7E" w:rsidRPr="00726423">
        <w:rPr>
          <w:rFonts w:ascii="Arial" w:hAnsi="Arial" w:cs="Arial"/>
          <w:color w:val="000000" w:themeColor="text1"/>
          <w:sz w:val="22"/>
          <w:szCs w:val="22"/>
        </w:rPr>
        <w:t xml:space="preserve"> </w:t>
      </w:r>
      <w:r w:rsidR="00745CDE" w:rsidRPr="00726423">
        <w:rPr>
          <w:rFonts w:ascii="Arial" w:hAnsi="Arial" w:cs="Arial"/>
          <w:color w:val="000000" w:themeColor="text1"/>
          <w:sz w:val="22"/>
          <w:szCs w:val="22"/>
        </w:rPr>
        <w:t>may be</w:t>
      </w:r>
      <w:r w:rsidR="006C6A7E" w:rsidRPr="00726423">
        <w:rPr>
          <w:rFonts w:ascii="Arial" w:hAnsi="Arial" w:cs="Arial"/>
          <w:color w:val="000000" w:themeColor="text1"/>
          <w:sz w:val="22"/>
          <w:szCs w:val="22"/>
        </w:rPr>
        <w:t xml:space="preserve"> dominantly </w:t>
      </w:r>
      <w:r w:rsidR="006C6A7E" w:rsidRPr="00726423">
        <w:rPr>
          <w:rFonts w:ascii="Arial" w:hAnsi="Arial" w:cs="Arial"/>
          <w:color w:val="000000" w:themeColor="text1"/>
          <w:sz w:val="22"/>
          <w:szCs w:val="22"/>
        </w:rPr>
        <w:lastRenderedPageBreak/>
        <w:t>mediated by one receptor</w:t>
      </w:r>
      <w:r w:rsidR="00745CDE" w:rsidRPr="00726423">
        <w:rPr>
          <w:rFonts w:ascii="Arial" w:hAnsi="Arial" w:cs="Arial"/>
          <w:color w:val="000000" w:themeColor="text1"/>
          <w:sz w:val="22"/>
          <w:szCs w:val="22"/>
        </w:rPr>
        <w:t xml:space="preserve">, leaving the other </w:t>
      </w:r>
      <w:r w:rsidR="00724B3D" w:rsidRPr="00726423">
        <w:rPr>
          <w:rFonts w:ascii="Arial" w:hAnsi="Arial" w:cs="Arial"/>
          <w:color w:val="000000" w:themeColor="text1"/>
          <w:sz w:val="22"/>
          <w:szCs w:val="22"/>
        </w:rPr>
        <w:t xml:space="preserve">receptor </w:t>
      </w:r>
      <w:r w:rsidR="00745CDE" w:rsidRPr="00726423">
        <w:rPr>
          <w:rFonts w:ascii="Arial" w:hAnsi="Arial" w:cs="Arial"/>
          <w:color w:val="000000" w:themeColor="text1"/>
          <w:sz w:val="22"/>
          <w:szCs w:val="22"/>
        </w:rPr>
        <w:t>dispensable</w:t>
      </w:r>
      <w:r w:rsidR="006C6A7E" w:rsidRPr="00726423">
        <w:rPr>
          <w:rFonts w:ascii="Arial" w:hAnsi="Arial" w:cs="Arial"/>
          <w:color w:val="000000" w:themeColor="text1"/>
          <w:sz w:val="22"/>
          <w:szCs w:val="22"/>
        </w:rPr>
        <w:t>. For example, the effects of PGE</w:t>
      </w:r>
      <w:r w:rsidR="006C6A7E" w:rsidRPr="00726423">
        <w:rPr>
          <w:rFonts w:ascii="Arial" w:hAnsi="Arial" w:cs="Arial"/>
          <w:color w:val="000000" w:themeColor="text1"/>
          <w:sz w:val="22"/>
          <w:szCs w:val="22"/>
          <w:vertAlign w:val="subscript"/>
        </w:rPr>
        <w:t>2</w:t>
      </w:r>
      <w:r w:rsidR="006C6A7E" w:rsidRPr="00726423">
        <w:rPr>
          <w:rFonts w:ascii="Arial" w:hAnsi="Arial" w:cs="Arial"/>
          <w:color w:val="000000" w:themeColor="text1"/>
          <w:sz w:val="22"/>
          <w:szCs w:val="22"/>
        </w:rPr>
        <w:t xml:space="preserve"> </w:t>
      </w:r>
      <w:r w:rsidR="00745CDE" w:rsidRPr="00726423">
        <w:rPr>
          <w:rFonts w:ascii="Arial" w:hAnsi="Arial" w:cs="Arial"/>
          <w:color w:val="000000" w:themeColor="text1"/>
          <w:sz w:val="22"/>
          <w:szCs w:val="22"/>
        </w:rPr>
        <w:t>o</w:t>
      </w:r>
      <w:r w:rsidR="006C6A7E" w:rsidRPr="00726423">
        <w:rPr>
          <w:rFonts w:ascii="Arial" w:hAnsi="Arial" w:cs="Arial"/>
          <w:color w:val="000000" w:themeColor="text1"/>
          <w:sz w:val="22"/>
          <w:szCs w:val="22"/>
        </w:rPr>
        <w:t>n T cell-mediated intestinal homeostasis</w:t>
      </w:r>
      <w:r w:rsidR="00745CDE" w:rsidRPr="00726423">
        <w:rPr>
          <w:rFonts w:ascii="Arial" w:hAnsi="Arial" w:cs="Arial"/>
          <w:color w:val="000000" w:themeColor="text1"/>
          <w:sz w:val="22"/>
          <w:szCs w:val="22"/>
        </w:rPr>
        <w:t xml:space="preserve"> and gut or brain</w:t>
      </w:r>
      <w:r w:rsidR="006C6A7E" w:rsidRPr="00726423">
        <w:rPr>
          <w:rFonts w:ascii="Arial" w:hAnsi="Arial" w:cs="Arial"/>
          <w:color w:val="000000" w:themeColor="text1"/>
          <w:sz w:val="22"/>
          <w:szCs w:val="22"/>
        </w:rPr>
        <w:t xml:space="preserve"> inflammation are </w:t>
      </w:r>
      <w:r w:rsidR="00016A95" w:rsidRPr="00726423">
        <w:rPr>
          <w:rFonts w:ascii="Arial" w:hAnsi="Arial" w:cs="Arial"/>
          <w:color w:val="000000" w:themeColor="text1"/>
          <w:sz w:val="22"/>
          <w:szCs w:val="22"/>
        </w:rPr>
        <w:t>chief</w:t>
      </w:r>
      <w:r w:rsidR="00745CDE" w:rsidRPr="00726423">
        <w:rPr>
          <w:rFonts w:ascii="Arial" w:hAnsi="Arial" w:cs="Arial"/>
          <w:color w:val="000000" w:themeColor="text1"/>
          <w:sz w:val="22"/>
          <w:szCs w:val="22"/>
        </w:rPr>
        <w:t xml:space="preserve">ly </w:t>
      </w:r>
      <w:r w:rsidR="006C6A7E" w:rsidRPr="00726423">
        <w:rPr>
          <w:rFonts w:ascii="Arial" w:hAnsi="Arial" w:cs="Arial"/>
          <w:color w:val="000000" w:themeColor="text1"/>
          <w:sz w:val="22"/>
          <w:szCs w:val="22"/>
        </w:rPr>
        <w:t>mediated by EP4</w:t>
      </w:r>
      <w:r w:rsidR="00745CDE" w:rsidRPr="00726423">
        <w:rPr>
          <w:rFonts w:ascii="Arial" w:hAnsi="Arial" w:cs="Arial"/>
          <w:color w:val="000000" w:themeColor="text1"/>
          <w:sz w:val="22"/>
          <w:szCs w:val="22"/>
        </w:rPr>
        <w:t>,</w:t>
      </w:r>
      <w:r w:rsidR="006C6A7E" w:rsidRPr="00726423">
        <w:rPr>
          <w:rFonts w:ascii="Arial" w:hAnsi="Arial" w:cs="Arial"/>
          <w:color w:val="000000" w:themeColor="text1"/>
          <w:sz w:val="22"/>
          <w:szCs w:val="22"/>
        </w:rPr>
        <w:t xml:space="preserve"> and EP2 </w:t>
      </w:r>
      <w:r w:rsidR="00016A95" w:rsidRPr="00726423">
        <w:rPr>
          <w:rFonts w:ascii="Arial" w:hAnsi="Arial" w:cs="Arial"/>
          <w:color w:val="000000" w:themeColor="text1"/>
          <w:sz w:val="22"/>
          <w:szCs w:val="22"/>
        </w:rPr>
        <w:t>exert</w:t>
      </w:r>
      <w:r w:rsidR="006C6A7E" w:rsidRPr="00726423">
        <w:rPr>
          <w:rFonts w:ascii="Arial" w:hAnsi="Arial" w:cs="Arial"/>
          <w:color w:val="000000" w:themeColor="text1"/>
          <w:sz w:val="22"/>
          <w:szCs w:val="22"/>
        </w:rPr>
        <w:t>s few effects</w:t>
      </w:r>
      <w:r w:rsidR="00724B3D"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{"citationID":"a1ua24fcje9","properties":{"formattedCitation":"\\super 45\\nosupersub{}","plainCitation":"45","noteIndex":0},"citationItems":[{"id":1825,"uris":["http://zotero.org/users/local/OCWppIAO/items/KIPUN87J"],"itemData":{"id":1825,"type":"article-journal","abstract":"Two distinct helper T (TH) subsets, TH1 and TH17, mediate tissue damage and inflammation in animal models of various immune diseases such as multiple sclerosis, rheumatoid arthritis, inflammatory bowel diseases and allergic skin disorders. These experimental findings, and the implication of these TH subsets in human diseases, suggest the need for pharmacological measures to manipulate these TH subsets. Here we show that prostaglandin E2 (PGE2) acting on its receptor EP4 on T cells and dendritic cells not only facilitates TH1 cell differentiation but also amplifies interleukin-23-mediated TH17 cell expansion in vitro. Administration of an EP4-selective antagonist in vivo decreases accumulation of both TH1 and TH17 cells in regional lymph nodes and suppresses the disease progression in mice subjected to experimental autoimmune encephalomyelitis or contact hypersensitivity. Thus, PGE2-EP4 signaling promotes immune inflammation through TH1 differentiation and TH17 expansion, and EP4 antagonism may be therapeutically useful for various immune diseases.","container-title":"Nature Medicine","DOI":"10.1038/nm.1968","ISSN":"1546-170X","issue":"6","journalAbbreviation":"Nat Med","language":"eng","note":"PMID: 19465928","page":"633-640","source":"PubMed","title":"Prostaglandin E2-EP4 signaling promotes immune inflammation through Th1 cell differentiation and Th17 cell expansion","volume":"15","author":[{"family":"Yao","given":"Chengcan"},{"family":"Sakata","given":"Daiji"},{"family":"Esaki","given":"Yoshiyasu"},{"family":"Li","given":"Youxian"},{"family":"Matsuoka","given":"Toshiyuki"},{"family":"Kuroiwa","given":"Kenji"},{"family":"Sugimoto","given":"Yukihiko"},{"family":"Narumiya","given":"Shuh"}],"issued":{"date-parts":[["2009",6]]}}}],"schema":"https://github.com/citation-style-language/schema/raw/master/csl-citation.json"} </w:instrText>
      </w:r>
      <w:r w:rsidR="00724B3D"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45</w:t>
      </w:r>
      <w:r w:rsidR="00724B3D" w:rsidRPr="00726423">
        <w:rPr>
          <w:rFonts w:ascii="Arial" w:hAnsi="Arial" w:cs="Arial"/>
          <w:color w:val="000000" w:themeColor="text1"/>
          <w:sz w:val="22"/>
          <w:szCs w:val="22"/>
        </w:rPr>
        <w:fldChar w:fldCharType="end"/>
      </w:r>
      <w:r w:rsidR="008D0A10" w:rsidRPr="008D0A10">
        <w:rPr>
          <w:rFonts w:ascii="Arial" w:hAnsi="Arial" w:cs="Arial"/>
          <w:color w:val="000000" w:themeColor="text1"/>
          <w:sz w:val="22"/>
          <w:szCs w:val="22"/>
          <w:vertAlign w:val="superscript"/>
        </w:rPr>
        <w:t>,</w:t>
      </w:r>
      <w:r w:rsidR="00724B3D"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{"citationID":"a286sr696fk","properties":{"formattedCitation":"\\super 46\\nosupersub{}","plainCitation":"46","noteIndex":0},"citationItems":[{"id":1795,"uris":["http://zotero.org/users/local/OCWppIAO/items/2TZPTJZK"],"itemData":{"id":1795,"type":"article-journal","abstract":"Systemic inflammation, which results from the massive release of proinflammatory molecules into the circulatory system, is a major risk factor for severe illness, but the precise mechanisms underlying its control are not fully understood. We observed that prostaglandin E2 (PGE2), through its receptor EP4, is down-regulated in human systemic inflammatory disease. Mice with reduced PGE2 synthesis develop systemic inflammation, associated with translocation of gut bacteria, which can be prevented by treatment with EP4 agonists. Mechanistically, we demonstrate that PGE2-EP4 signaling acts directly on type 3 innate lymphoid cells (ILCs), promoting their homeostasis and driving them to produce interleukin-22 (IL-22). Disruption of the ILC-IL-22 axis impairs PGE2-mediated inhibition of systemic inflammation. Hence, the ILC-IL-22 axis is essential in protecting against gut barrier dysfunction, enabling PGE2-EP4 signaling to impede systemic inflammation.","container-title":"Science (New York, N.Y.)","DOI":"10.1126/science.aad9903","ISSN":"1095-9203","issue":"6279","journalAbbreviation":"Science","language":"eng","note":"PMID: 26989254\nPMCID: PMC4841390","page":"1333-1338","source":"PubMed","title":"Prostaglandin E</w:instrText>
      </w:r>
      <w:r w:rsidR="00361359">
        <w:rPr>
          <w:rFonts w:ascii="Cambria Math" w:hAnsi="Cambria Math" w:cs="Cambria Math"/>
          <w:color w:val="000000" w:themeColor="text1"/>
          <w:sz w:val="22"/>
          <w:szCs w:val="22"/>
        </w:rPr>
        <w:instrText>₂</w:instrText>
      </w:r>
      <w:r w:rsidR="00361359">
        <w:rPr>
          <w:rFonts w:ascii="Arial" w:hAnsi="Arial" w:cs="Arial"/>
          <w:color w:val="000000" w:themeColor="text1"/>
          <w:sz w:val="22"/>
          <w:szCs w:val="22"/>
        </w:rPr>
        <w:instrText xml:space="preserve"> constrains systemic inflammation through an innate lymphoid cell-IL-22 axis","volume":"351","author":[{"family":"Duffin","given":"Rodger"},{"family":"O'Connor","given":"Richard A."},{"family":"Crittenden","given":"Siobhan"},{"family":"Forster","given":"Thorsten"},{"family":"Yu","given":"Cunjing"},{"family":"Zheng","given":"Xiaozhong"},{"family":"Smyth","given":"Danielle"},{"family":"Robb","given":"Calum T."},{"family":"Rossi","given":"Fiona"},{"family":"Skouras","given":"Christos"},{"family":"Tang","given":"Shaohui"},{"family":"Richards","given":"James"},{"family":"Pellicoro","given":"Antonella"},{"family":"Weller","given":"Richard B."},{"family":"Breyer","given":"Richard M."},{"family":"Mole","given":"Damian J."},{"family":"Iredale","given":"John P."},{"family":"Anderton","given":"Stephen M."},{"family":"Narumiya","given":"Shuh"},{"family":"Maizels","given":"Rick M."},{"family":"Ghazal","given":"Peter"},{"family":"Howie","given":"Sarah E."},{"family":"Rossi","given":"Adriano G."},{"family":"Yao","given":"Chengcan"}],"issued":{"date-parts":[["2016",3,18]]}}}],"schema":"https://github.com/citation-style-language/schema/raw/master/csl-citation.json"} </w:instrText>
      </w:r>
      <w:r w:rsidR="00724B3D"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46</w:t>
      </w:r>
      <w:r w:rsidR="00724B3D" w:rsidRPr="00726423">
        <w:rPr>
          <w:rFonts w:ascii="Arial" w:hAnsi="Arial" w:cs="Arial"/>
          <w:color w:val="000000" w:themeColor="text1"/>
          <w:sz w:val="22"/>
          <w:szCs w:val="22"/>
        </w:rPr>
        <w:fldChar w:fldCharType="end"/>
      </w:r>
      <w:r w:rsidR="008D0A10" w:rsidRPr="008D0A10">
        <w:rPr>
          <w:rFonts w:ascii="Arial" w:hAnsi="Arial" w:cs="Arial"/>
          <w:color w:val="000000" w:themeColor="text1"/>
          <w:sz w:val="22"/>
          <w:szCs w:val="22"/>
          <w:vertAlign w:val="superscript"/>
        </w:rPr>
        <w:t>,</w:t>
      </w:r>
      <w:r w:rsidR="00724B3D"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{"citationID":"allpr05ffu","properties":{"formattedCitation":"\\super 47\\nosupersub{}","plainCitation":"47","noteIndex":0},"citationItems":[{"id":1828,"uris":["http://zotero.org/users/local/OCWppIAO/items/38DGKNJY"],"itemData":{"id":1828,"type":"article-journal","abstract":"The gut microbiota fundamentally regulates intestinal homeostasis and disease partially through mechanisms that involve modulation of regulatory T cells (Tregs), yet how the microbiota-Treg cross-talk is physiologically controlled is incompletely defined. Here, we report that prostaglandin E2 (PGE2), a well-known mediator of inflammation, inhibits mucosal Tregs in a manner depending on the gut microbiota. PGE2 through its receptor EP4 diminishes Treg-favorable commensal microbiota. Transfer of the gut microbiota that was modified by PGE2-EP4 signaling modulates mucosal Treg responses and exacerbates intestinal inflammation. Mechanistically, PGE2-modified microbiota regulates intestinal mononuclear phagocytes and type I interferon signaling. Depletion of mononuclear phagocytes or deficiency of type I interferon receptor diminishes PGE2-dependent Treg inhibition. Together, our findings provide emergent evidence that PGE2-mediated disruption of microbiota-Treg communication fosters intestinal inflammation.","container-title":"Science Advances","DOI":"10.1126/sciadv.abd7954","ISSN":"2375-2548","issue":"7","journalAbbreviation":"Sci Adv","language":"eng","note":"PMID: 33579710\nPMCID: PMC7880593","page":"eabd7954","source":"PubMed","title":"Prostaglandin E2 promotes intestinal inflammation via inhibiting microbiota-dependent regulatory T cells","volume":"7","author":[{"family":"Crittenden","given":"Siobhan"},{"family":"Goepp","given":"Marie"},{"family":"Pollock","given":"Jolinda"},{"family":"Robb","given":"Calum T."},{"family":"Smyth","given":"Danielle J."},{"family":"Zhou","given":"You"},{"family":"Andrews","given":"Robert"},{"family":"Tyrrell","given":"Victoria"},{"family":"Gkikas","given":"Konstantinos"},{"family":"Adima","given":"Alexander"},{"family":"O'Connor","given":"Richard A."},{"family":"Davies","given":"Luke"},{"family":"Li","given":"Xue-Feng"},{"family":"Yao","given":"Hatti X."},{"family":"Ho","given":"Gwo-Tzer"},{"family":"Zheng","given":"Xiaozhong"},{"family":"Mair","given":"Amil"},{"family":"Vermeren","given":"Sonja"},{"family":"Qian","given":"Bin-Zhi"},{"family":"Mole","given":"Damian J."},{"family":"Gerasimidis","given":"Konstantinos"},{"family":"Schwarze","given":"Jürgen K. J."},{"family":"Breyer","given":"Richard M."},{"family":"Arends","given":"Mark J."},{"family":"O'Donnell","given":"Valerie B."},{"family":"Iredale","given":"John P."},{"family":"Anderton","given":"Stephen M."},{"family":"Narumiya","given":"Shuh"},{"family":"Maizels","given":"Rick M."},{"family":"Rossi","given":"Adriano G."},{"family":"Howie","given":"Sarah E."},{"family":"Yao","given":"Chengcan"}],"issued":{"date-parts":[["2021",2]]}}}],"schema":"https://github.com/citation-style-language/schema/raw/master/csl-citation.json"} </w:instrText>
      </w:r>
      <w:r w:rsidR="00724B3D"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47</w:t>
      </w:r>
      <w:r w:rsidR="00724B3D" w:rsidRPr="00726423">
        <w:rPr>
          <w:rFonts w:ascii="Arial" w:hAnsi="Arial" w:cs="Arial"/>
          <w:color w:val="000000" w:themeColor="text1"/>
          <w:sz w:val="22"/>
          <w:szCs w:val="22"/>
        </w:rPr>
        <w:fldChar w:fldCharType="end"/>
      </w:r>
      <w:r w:rsidR="006C6A7E" w:rsidRPr="00726423">
        <w:rPr>
          <w:rFonts w:ascii="Arial" w:hAnsi="Arial" w:cs="Arial"/>
          <w:color w:val="000000" w:themeColor="text1"/>
          <w:sz w:val="22"/>
          <w:szCs w:val="22"/>
        </w:rPr>
        <w:t xml:space="preserve">. </w:t>
      </w:r>
      <w:r w:rsidRPr="00726423">
        <w:rPr>
          <w:rFonts w:ascii="Arial" w:hAnsi="Arial" w:cs="Arial"/>
          <w:color w:val="000000" w:themeColor="text1"/>
          <w:sz w:val="22"/>
          <w:szCs w:val="22"/>
        </w:rPr>
        <w:t>In this study, w</w:t>
      </w:r>
      <w:r w:rsidR="00067569" w:rsidRPr="00726423">
        <w:rPr>
          <w:rFonts w:ascii="Arial" w:hAnsi="Arial" w:cs="Arial"/>
          <w:color w:val="000000" w:themeColor="text1"/>
          <w:sz w:val="22"/>
          <w:szCs w:val="22"/>
        </w:rPr>
        <w:t xml:space="preserve">e have found </w:t>
      </w:r>
      <w:r w:rsidR="00B735EA" w:rsidRPr="00726423">
        <w:rPr>
          <w:rFonts w:ascii="Arial" w:hAnsi="Arial" w:cs="Arial"/>
          <w:color w:val="000000" w:themeColor="text1"/>
          <w:sz w:val="22"/>
          <w:szCs w:val="22"/>
        </w:rPr>
        <w:t>distinct effects of EP2 and EP4 that dependent on whether they are stimulated by endogenous PGE</w:t>
      </w:r>
      <w:r w:rsidR="00B735EA" w:rsidRPr="00726423">
        <w:rPr>
          <w:rFonts w:ascii="Arial" w:hAnsi="Arial" w:cs="Arial"/>
          <w:color w:val="000000" w:themeColor="text1"/>
          <w:sz w:val="22"/>
          <w:szCs w:val="22"/>
          <w:vertAlign w:val="subscript"/>
        </w:rPr>
        <w:t>2</w:t>
      </w:r>
      <w:r w:rsidR="00B735EA" w:rsidRPr="00726423">
        <w:rPr>
          <w:rFonts w:ascii="Arial" w:hAnsi="Arial" w:cs="Arial"/>
          <w:color w:val="000000" w:themeColor="text1"/>
          <w:sz w:val="22"/>
          <w:szCs w:val="22"/>
        </w:rPr>
        <w:t xml:space="preserve"> or by exogenous agonists. </w:t>
      </w:r>
      <w:r w:rsidR="00352DC9" w:rsidRPr="00726423">
        <w:rPr>
          <w:rFonts w:ascii="Arial" w:hAnsi="Arial" w:cs="Arial"/>
          <w:color w:val="000000" w:themeColor="text1"/>
          <w:sz w:val="22"/>
          <w:szCs w:val="22"/>
        </w:rPr>
        <w:t xml:space="preserve">While </w:t>
      </w:r>
      <w:r w:rsidR="00235C18" w:rsidRPr="00726423">
        <w:rPr>
          <w:rFonts w:ascii="Arial" w:hAnsi="Arial" w:cs="Arial"/>
          <w:color w:val="000000" w:themeColor="text1"/>
          <w:sz w:val="22"/>
          <w:szCs w:val="22"/>
        </w:rPr>
        <w:t xml:space="preserve">the </w:t>
      </w:r>
      <w:r w:rsidR="00352DC9" w:rsidRPr="00726423">
        <w:rPr>
          <w:rFonts w:ascii="Arial" w:hAnsi="Arial" w:cs="Arial"/>
          <w:color w:val="000000" w:themeColor="text1"/>
          <w:sz w:val="22"/>
          <w:szCs w:val="22"/>
        </w:rPr>
        <w:t>lung ILC2 response</w:t>
      </w:r>
      <w:r w:rsidR="00BD3477" w:rsidRPr="00726423">
        <w:rPr>
          <w:rFonts w:ascii="Arial" w:hAnsi="Arial" w:cs="Arial"/>
          <w:color w:val="000000" w:themeColor="text1"/>
          <w:sz w:val="22"/>
          <w:szCs w:val="22"/>
        </w:rPr>
        <w:t>s</w:t>
      </w:r>
      <w:r w:rsidR="00235C18" w:rsidRPr="00726423">
        <w:rPr>
          <w:rFonts w:ascii="Arial" w:hAnsi="Arial" w:cs="Arial"/>
          <w:color w:val="000000" w:themeColor="text1"/>
          <w:sz w:val="22"/>
          <w:szCs w:val="22"/>
        </w:rPr>
        <w:t xml:space="preserve"> w</w:t>
      </w:r>
      <w:r w:rsidR="00BD3477" w:rsidRPr="00726423">
        <w:rPr>
          <w:rFonts w:ascii="Arial" w:hAnsi="Arial" w:cs="Arial"/>
          <w:color w:val="000000" w:themeColor="text1"/>
          <w:sz w:val="22"/>
          <w:szCs w:val="22"/>
        </w:rPr>
        <w:t>ere</w:t>
      </w:r>
      <w:r w:rsidR="00352DC9" w:rsidRPr="00726423">
        <w:rPr>
          <w:rFonts w:ascii="Arial" w:hAnsi="Arial" w:cs="Arial"/>
          <w:color w:val="000000" w:themeColor="text1"/>
          <w:sz w:val="22"/>
          <w:szCs w:val="22"/>
        </w:rPr>
        <w:t xml:space="preserve"> </w:t>
      </w:r>
      <w:r w:rsidR="00BD3477" w:rsidRPr="00726423">
        <w:rPr>
          <w:rFonts w:ascii="Arial" w:hAnsi="Arial" w:cs="Arial"/>
          <w:color w:val="000000" w:themeColor="text1"/>
          <w:sz w:val="22"/>
          <w:szCs w:val="22"/>
        </w:rPr>
        <w:t xml:space="preserve">enhanced by EP2 deficiency, it was </w:t>
      </w:r>
      <w:r w:rsidR="00352DC9" w:rsidRPr="00726423">
        <w:rPr>
          <w:rFonts w:ascii="Arial" w:hAnsi="Arial" w:cs="Arial"/>
          <w:color w:val="000000" w:themeColor="text1"/>
          <w:sz w:val="22"/>
          <w:szCs w:val="22"/>
        </w:rPr>
        <w:t xml:space="preserve">not </w:t>
      </w:r>
      <w:r w:rsidR="00BD3477" w:rsidRPr="00726423">
        <w:rPr>
          <w:rFonts w:ascii="Arial" w:hAnsi="Arial" w:cs="Arial"/>
          <w:color w:val="000000" w:themeColor="text1"/>
          <w:sz w:val="22"/>
          <w:szCs w:val="22"/>
        </w:rPr>
        <w:t>influenced</w:t>
      </w:r>
      <w:r w:rsidR="00352DC9" w:rsidRPr="00726423">
        <w:rPr>
          <w:rFonts w:ascii="Arial" w:hAnsi="Arial" w:cs="Arial"/>
          <w:color w:val="000000" w:themeColor="text1"/>
          <w:sz w:val="22"/>
          <w:szCs w:val="22"/>
        </w:rPr>
        <w:t xml:space="preserve"> by exogenous EP2 agonism</w:t>
      </w:r>
      <w:r w:rsidR="00235C18" w:rsidRPr="00726423">
        <w:rPr>
          <w:rFonts w:ascii="Arial" w:hAnsi="Arial" w:cs="Arial"/>
          <w:color w:val="000000" w:themeColor="text1"/>
          <w:sz w:val="22"/>
          <w:szCs w:val="22"/>
        </w:rPr>
        <w:t xml:space="preserve">. </w:t>
      </w:r>
      <w:r w:rsidR="00BD3477" w:rsidRPr="00726423">
        <w:rPr>
          <w:rFonts w:ascii="Arial" w:hAnsi="Arial" w:cs="Arial"/>
          <w:color w:val="000000" w:themeColor="text1"/>
          <w:sz w:val="22"/>
          <w:szCs w:val="22"/>
        </w:rPr>
        <w:t>In contrast</w:t>
      </w:r>
      <w:r w:rsidR="00235C18" w:rsidRPr="00726423">
        <w:rPr>
          <w:rFonts w:ascii="Arial" w:hAnsi="Arial" w:cs="Arial"/>
          <w:color w:val="000000" w:themeColor="text1"/>
          <w:sz w:val="22"/>
          <w:szCs w:val="22"/>
        </w:rPr>
        <w:t>, w</w:t>
      </w:r>
      <w:r w:rsidR="00067569" w:rsidRPr="00726423">
        <w:rPr>
          <w:rFonts w:ascii="Arial" w:hAnsi="Arial" w:cs="Arial"/>
          <w:color w:val="000000" w:themeColor="text1"/>
          <w:sz w:val="22"/>
          <w:szCs w:val="22"/>
        </w:rPr>
        <w:t xml:space="preserve">hile </w:t>
      </w:r>
      <w:r w:rsidR="008A1209" w:rsidRPr="00726423">
        <w:rPr>
          <w:rFonts w:ascii="Arial" w:hAnsi="Arial" w:cs="Arial"/>
          <w:color w:val="000000" w:themeColor="text1"/>
          <w:sz w:val="22"/>
          <w:szCs w:val="22"/>
        </w:rPr>
        <w:t xml:space="preserve">ablation of EP4 had </w:t>
      </w:r>
      <w:r w:rsidR="00BD3477" w:rsidRPr="00726423">
        <w:rPr>
          <w:rFonts w:ascii="Arial" w:hAnsi="Arial" w:cs="Arial"/>
          <w:color w:val="000000" w:themeColor="text1"/>
          <w:sz w:val="22"/>
          <w:szCs w:val="22"/>
        </w:rPr>
        <w:t>little</w:t>
      </w:r>
      <w:r w:rsidR="008A1209" w:rsidRPr="00726423">
        <w:rPr>
          <w:rFonts w:ascii="Arial" w:hAnsi="Arial" w:cs="Arial"/>
          <w:color w:val="000000" w:themeColor="text1"/>
          <w:sz w:val="22"/>
          <w:szCs w:val="22"/>
        </w:rPr>
        <w:t xml:space="preserve"> impact on lung ILC2 responses and eosinophilic inflammation, the</w:t>
      </w:r>
      <w:r w:rsidR="00BD3477" w:rsidRPr="00726423">
        <w:rPr>
          <w:rFonts w:ascii="Arial" w:hAnsi="Arial" w:cs="Arial"/>
          <w:color w:val="000000" w:themeColor="text1"/>
          <w:sz w:val="22"/>
          <w:szCs w:val="22"/>
        </w:rPr>
        <w:t>se</w:t>
      </w:r>
      <w:r w:rsidR="008A1209" w:rsidRPr="00726423">
        <w:rPr>
          <w:rFonts w:ascii="Arial" w:hAnsi="Arial" w:cs="Arial"/>
          <w:color w:val="000000" w:themeColor="text1"/>
          <w:sz w:val="22"/>
          <w:szCs w:val="22"/>
        </w:rPr>
        <w:t xml:space="preserve"> were </w:t>
      </w:r>
      <w:r w:rsidR="00BD3477" w:rsidRPr="00726423">
        <w:rPr>
          <w:rFonts w:ascii="Arial" w:hAnsi="Arial" w:cs="Arial"/>
          <w:color w:val="000000" w:themeColor="text1"/>
          <w:sz w:val="22"/>
          <w:szCs w:val="22"/>
        </w:rPr>
        <w:t>strong</w:t>
      </w:r>
      <w:r w:rsidR="008A1209" w:rsidRPr="00726423">
        <w:rPr>
          <w:rFonts w:ascii="Arial" w:hAnsi="Arial" w:cs="Arial"/>
          <w:color w:val="000000" w:themeColor="text1"/>
          <w:sz w:val="22"/>
          <w:szCs w:val="22"/>
        </w:rPr>
        <w:t xml:space="preserve">ly suppressed by </w:t>
      </w:r>
      <w:r w:rsidR="00067569" w:rsidRPr="00726423">
        <w:rPr>
          <w:rFonts w:ascii="Arial" w:hAnsi="Arial" w:cs="Arial"/>
          <w:color w:val="000000" w:themeColor="text1"/>
          <w:sz w:val="22"/>
          <w:szCs w:val="22"/>
        </w:rPr>
        <w:t xml:space="preserve">exogenous </w:t>
      </w:r>
      <w:r w:rsidR="00235C18" w:rsidRPr="00726423">
        <w:rPr>
          <w:rFonts w:ascii="Arial" w:hAnsi="Arial" w:cs="Arial"/>
          <w:color w:val="000000" w:themeColor="text1"/>
          <w:sz w:val="22"/>
          <w:szCs w:val="22"/>
        </w:rPr>
        <w:t xml:space="preserve">activation of </w:t>
      </w:r>
      <w:r w:rsidR="00067569" w:rsidRPr="00726423">
        <w:rPr>
          <w:rFonts w:ascii="Arial" w:hAnsi="Arial" w:cs="Arial"/>
          <w:color w:val="000000" w:themeColor="text1"/>
          <w:sz w:val="22"/>
          <w:szCs w:val="22"/>
        </w:rPr>
        <w:t>EP4</w:t>
      </w:r>
      <w:r w:rsidR="00C1010D" w:rsidRPr="00726423">
        <w:rPr>
          <w:rFonts w:ascii="Arial" w:hAnsi="Arial" w:cs="Arial"/>
          <w:color w:val="000000" w:themeColor="text1"/>
          <w:sz w:val="22"/>
          <w:szCs w:val="22"/>
        </w:rPr>
        <w:t xml:space="preserve">. </w:t>
      </w:r>
      <w:r w:rsidR="00FF6864" w:rsidRPr="00726423">
        <w:rPr>
          <w:rFonts w:ascii="Arial" w:hAnsi="Arial" w:cs="Arial"/>
          <w:color w:val="000000" w:themeColor="text1"/>
          <w:sz w:val="22"/>
          <w:szCs w:val="22"/>
        </w:rPr>
        <w:t>These findings suggest that in the lung EP2 may have already been endogenously activated at the optimal level for repressing ILC2 responses, leading to unresponsive</w:t>
      </w:r>
      <w:r w:rsidR="008A1209" w:rsidRPr="00726423">
        <w:rPr>
          <w:rFonts w:ascii="Arial" w:hAnsi="Arial" w:cs="Arial"/>
          <w:color w:val="000000" w:themeColor="text1"/>
          <w:sz w:val="22"/>
          <w:szCs w:val="22"/>
        </w:rPr>
        <w:t>ness</w:t>
      </w:r>
      <w:r w:rsidR="00FF6864" w:rsidRPr="00726423">
        <w:rPr>
          <w:rFonts w:ascii="Arial" w:hAnsi="Arial" w:cs="Arial"/>
          <w:color w:val="000000" w:themeColor="text1"/>
          <w:sz w:val="22"/>
          <w:szCs w:val="22"/>
        </w:rPr>
        <w:t xml:space="preserve"> to </w:t>
      </w:r>
      <w:r w:rsidR="008A1209" w:rsidRPr="00726423">
        <w:rPr>
          <w:rFonts w:ascii="Arial" w:hAnsi="Arial" w:cs="Arial"/>
          <w:color w:val="000000" w:themeColor="text1"/>
          <w:sz w:val="22"/>
          <w:szCs w:val="22"/>
        </w:rPr>
        <w:t>further</w:t>
      </w:r>
      <w:r w:rsidR="00FF6864" w:rsidRPr="00726423">
        <w:rPr>
          <w:rFonts w:ascii="Arial" w:hAnsi="Arial" w:cs="Arial"/>
          <w:color w:val="000000" w:themeColor="text1"/>
          <w:sz w:val="22"/>
          <w:szCs w:val="22"/>
        </w:rPr>
        <w:t xml:space="preserve"> EP2 agonism. </w:t>
      </w:r>
      <w:r w:rsidR="00BD3477" w:rsidRPr="00726423">
        <w:rPr>
          <w:rFonts w:ascii="Arial" w:hAnsi="Arial" w:cs="Arial"/>
          <w:color w:val="000000" w:themeColor="text1"/>
          <w:sz w:val="22"/>
          <w:szCs w:val="22"/>
        </w:rPr>
        <w:t>On the other hand</w:t>
      </w:r>
      <w:r w:rsidR="00FF6864" w:rsidRPr="00726423">
        <w:rPr>
          <w:rFonts w:ascii="Arial" w:hAnsi="Arial" w:cs="Arial"/>
          <w:color w:val="000000" w:themeColor="text1"/>
          <w:sz w:val="22"/>
          <w:szCs w:val="22"/>
        </w:rPr>
        <w:t xml:space="preserve">, </w:t>
      </w:r>
      <w:r w:rsidR="00BD3477" w:rsidRPr="00726423">
        <w:rPr>
          <w:rFonts w:ascii="Arial" w:hAnsi="Arial" w:cs="Arial"/>
          <w:color w:val="000000" w:themeColor="text1"/>
          <w:sz w:val="22"/>
          <w:szCs w:val="22"/>
        </w:rPr>
        <w:t>endogenous PGE</w:t>
      </w:r>
      <w:r w:rsidR="00BD3477" w:rsidRPr="00726423">
        <w:rPr>
          <w:rFonts w:ascii="Arial" w:hAnsi="Arial" w:cs="Arial"/>
          <w:color w:val="000000" w:themeColor="text1"/>
          <w:sz w:val="22"/>
          <w:szCs w:val="22"/>
          <w:vertAlign w:val="subscript"/>
        </w:rPr>
        <w:t>2</w:t>
      </w:r>
      <w:r w:rsidR="00BD3477" w:rsidRPr="00726423">
        <w:rPr>
          <w:rFonts w:ascii="Arial" w:hAnsi="Arial" w:cs="Arial"/>
          <w:color w:val="000000" w:themeColor="text1"/>
          <w:sz w:val="22"/>
          <w:szCs w:val="22"/>
        </w:rPr>
        <w:t xml:space="preserve"> does not seem to significantly activate EP4 </w:t>
      </w:r>
      <w:proofErr w:type="spellStart"/>
      <w:r w:rsidR="00134A78" w:rsidRPr="00726423">
        <w:rPr>
          <w:rFonts w:ascii="Arial" w:hAnsi="Arial" w:cs="Arial"/>
          <w:color w:val="000000" w:themeColor="text1"/>
          <w:sz w:val="22"/>
          <w:szCs w:val="22"/>
        </w:rPr>
        <w:t>signaling</w:t>
      </w:r>
      <w:proofErr w:type="spellEnd"/>
      <w:r w:rsidR="00BD3477" w:rsidRPr="00726423">
        <w:rPr>
          <w:rFonts w:ascii="Arial" w:hAnsi="Arial" w:cs="Arial"/>
          <w:color w:val="000000" w:themeColor="text1"/>
          <w:sz w:val="22"/>
          <w:szCs w:val="22"/>
        </w:rPr>
        <w:t xml:space="preserve">, thus allowing for significantly additional activation of EP4 by an exogenous agonist, resulting in </w:t>
      </w:r>
      <w:r w:rsidR="00016A95" w:rsidRPr="00726423">
        <w:rPr>
          <w:rFonts w:ascii="Arial" w:hAnsi="Arial" w:cs="Arial"/>
          <w:color w:val="000000" w:themeColor="text1"/>
          <w:sz w:val="22"/>
          <w:szCs w:val="22"/>
        </w:rPr>
        <w:t>considerable</w:t>
      </w:r>
      <w:r w:rsidR="00FF6864" w:rsidRPr="00726423">
        <w:rPr>
          <w:rFonts w:ascii="Arial" w:hAnsi="Arial" w:cs="Arial"/>
          <w:color w:val="000000" w:themeColor="text1"/>
          <w:sz w:val="22"/>
          <w:szCs w:val="22"/>
        </w:rPr>
        <w:t xml:space="preserve"> effects.</w:t>
      </w:r>
      <w:r w:rsidR="008A1209" w:rsidRPr="00726423">
        <w:rPr>
          <w:rFonts w:ascii="Arial" w:hAnsi="Arial" w:cs="Arial"/>
          <w:color w:val="000000" w:themeColor="text1"/>
          <w:sz w:val="22"/>
          <w:szCs w:val="22"/>
        </w:rPr>
        <w:t xml:space="preserve"> </w:t>
      </w:r>
      <w:r w:rsidR="00341E19" w:rsidRPr="00726423">
        <w:rPr>
          <w:rFonts w:ascii="Arial" w:hAnsi="Arial" w:cs="Arial"/>
          <w:color w:val="000000" w:themeColor="text1"/>
          <w:sz w:val="22"/>
          <w:szCs w:val="22"/>
        </w:rPr>
        <w:t xml:space="preserve">The discrepancy </w:t>
      </w:r>
      <w:r w:rsidR="00BD3477" w:rsidRPr="00726423">
        <w:rPr>
          <w:rFonts w:ascii="Arial" w:hAnsi="Arial" w:cs="Arial"/>
          <w:color w:val="000000" w:themeColor="text1"/>
          <w:sz w:val="22"/>
          <w:szCs w:val="22"/>
        </w:rPr>
        <w:t>in</w:t>
      </w:r>
      <w:r w:rsidR="00341E19" w:rsidRPr="00726423">
        <w:rPr>
          <w:rFonts w:ascii="Arial" w:hAnsi="Arial" w:cs="Arial"/>
          <w:color w:val="000000" w:themeColor="text1"/>
          <w:sz w:val="22"/>
          <w:szCs w:val="22"/>
        </w:rPr>
        <w:t xml:space="preserve"> effects </w:t>
      </w:r>
      <w:r w:rsidR="008A1209" w:rsidRPr="00726423">
        <w:rPr>
          <w:rFonts w:ascii="Arial" w:hAnsi="Arial" w:cs="Arial"/>
          <w:color w:val="000000" w:themeColor="text1"/>
          <w:sz w:val="22"/>
          <w:szCs w:val="22"/>
        </w:rPr>
        <w:t>between</w:t>
      </w:r>
      <w:r w:rsidR="00341E19" w:rsidRPr="00726423">
        <w:rPr>
          <w:rFonts w:ascii="Arial" w:hAnsi="Arial" w:cs="Arial"/>
          <w:color w:val="000000" w:themeColor="text1"/>
          <w:sz w:val="22"/>
          <w:szCs w:val="22"/>
        </w:rPr>
        <w:t xml:space="preserve"> EP4 agonism and EP4 deficiency on regulation of lung ILC2 responses may</w:t>
      </w:r>
      <w:r w:rsidR="006A2F47" w:rsidRPr="00726423">
        <w:rPr>
          <w:rFonts w:ascii="Arial" w:hAnsi="Arial" w:cs="Arial"/>
          <w:color w:val="000000" w:themeColor="text1"/>
          <w:sz w:val="22"/>
          <w:szCs w:val="22"/>
        </w:rPr>
        <w:t xml:space="preserve"> </w:t>
      </w:r>
      <w:r w:rsidR="000B275D" w:rsidRPr="00726423">
        <w:rPr>
          <w:rFonts w:ascii="Arial" w:hAnsi="Arial" w:cs="Arial"/>
          <w:color w:val="000000" w:themeColor="text1"/>
          <w:sz w:val="22"/>
          <w:szCs w:val="22"/>
        </w:rPr>
        <w:t xml:space="preserve">also </w:t>
      </w:r>
      <w:r w:rsidR="006A2F47" w:rsidRPr="00726423">
        <w:rPr>
          <w:rFonts w:ascii="Arial" w:hAnsi="Arial" w:cs="Arial"/>
          <w:color w:val="000000" w:themeColor="text1"/>
          <w:sz w:val="22"/>
          <w:szCs w:val="22"/>
        </w:rPr>
        <w:t>indicate</w:t>
      </w:r>
      <w:r w:rsidR="008A1209" w:rsidRPr="00726423">
        <w:rPr>
          <w:rFonts w:ascii="Arial" w:hAnsi="Arial" w:cs="Arial"/>
          <w:color w:val="000000" w:themeColor="text1"/>
          <w:sz w:val="22"/>
          <w:szCs w:val="22"/>
        </w:rPr>
        <w:t xml:space="preserve"> </w:t>
      </w:r>
      <w:r w:rsidR="00341E19" w:rsidRPr="00726423">
        <w:rPr>
          <w:rFonts w:ascii="Arial" w:hAnsi="Arial" w:cs="Arial"/>
          <w:color w:val="000000" w:themeColor="text1"/>
          <w:sz w:val="22"/>
          <w:szCs w:val="22"/>
        </w:rPr>
        <w:t>that EP4 expression on different lung cell types has distinct effects during type 2 inflammation</w:t>
      </w:r>
      <w:r w:rsidR="000B275D" w:rsidRPr="00726423">
        <w:rPr>
          <w:rFonts w:ascii="Arial" w:hAnsi="Arial" w:cs="Arial"/>
          <w:color w:val="000000" w:themeColor="text1"/>
          <w:sz w:val="22"/>
          <w:szCs w:val="22"/>
        </w:rPr>
        <w:t xml:space="preserve"> and/or that there are distinct </w:t>
      </w:r>
      <w:r w:rsidR="00341E19" w:rsidRPr="00726423">
        <w:rPr>
          <w:rFonts w:ascii="Arial" w:hAnsi="Arial" w:cs="Arial"/>
          <w:color w:val="000000" w:themeColor="text1"/>
          <w:sz w:val="22"/>
          <w:szCs w:val="22"/>
        </w:rPr>
        <w:t xml:space="preserve">roles </w:t>
      </w:r>
      <w:r w:rsidR="000B275D" w:rsidRPr="00726423">
        <w:rPr>
          <w:rFonts w:ascii="Arial" w:hAnsi="Arial" w:cs="Arial"/>
          <w:color w:val="000000" w:themeColor="text1"/>
          <w:sz w:val="22"/>
          <w:szCs w:val="22"/>
        </w:rPr>
        <w:t>for</w:t>
      </w:r>
      <w:r w:rsidR="00341E19" w:rsidRPr="00726423">
        <w:rPr>
          <w:rFonts w:ascii="Arial" w:hAnsi="Arial" w:cs="Arial"/>
          <w:color w:val="000000" w:themeColor="text1"/>
          <w:sz w:val="22"/>
          <w:szCs w:val="22"/>
        </w:rPr>
        <w:t xml:space="preserve"> the strength (e.g.,</w:t>
      </w:r>
      <w:r w:rsidR="000B275D" w:rsidRPr="00726423">
        <w:rPr>
          <w:rFonts w:ascii="Arial" w:hAnsi="Arial" w:cs="Arial"/>
          <w:color w:val="000000" w:themeColor="text1"/>
          <w:sz w:val="22"/>
          <w:szCs w:val="22"/>
        </w:rPr>
        <w:t xml:space="preserve"> the</w:t>
      </w:r>
      <w:r w:rsidR="00341E19" w:rsidRPr="00726423">
        <w:rPr>
          <w:rFonts w:ascii="Arial" w:hAnsi="Arial" w:cs="Arial"/>
          <w:color w:val="000000" w:themeColor="text1"/>
          <w:sz w:val="22"/>
          <w:szCs w:val="22"/>
        </w:rPr>
        <w:t xml:space="preserve"> amounts of </w:t>
      </w:r>
      <w:r w:rsidR="00016A95" w:rsidRPr="00726423">
        <w:rPr>
          <w:rFonts w:ascii="Arial" w:hAnsi="Arial" w:cs="Arial"/>
          <w:color w:val="000000" w:themeColor="text1"/>
          <w:sz w:val="22"/>
          <w:szCs w:val="22"/>
        </w:rPr>
        <w:t xml:space="preserve">local </w:t>
      </w:r>
      <w:r w:rsidR="00341E19" w:rsidRPr="00726423">
        <w:rPr>
          <w:rFonts w:ascii="Arial" w:hAnsi="Arial" w:cs="Arial"/>
          <w:color w:val="000000" w:themeColor="text1"/>
          <w:sz w:val="22"/>
          <w:szCs w:val="22"/>
        </w:rPr>
        <w:t>lung</w:t>
      </w:r>
      <w:r w:rsidR="00016A95" w:rsidRPr="00726423">
        <w:rPr>
          <w:rFonts w:ascii="Arial" w:hAnsi="Arial" w:cs="Arial"/>
          <w:color w:val="000000" w:themeColor="text1"/>
          <w:sz w:val="22"/>
          <w:szCs w:val="22"/>
        </w:rPr>
        <w:t xml:space="preserve"> resident</w:t>
      </w:r>
      <w:r w:rsidR="00341E19" w:rsidRPr="00726423">
        <w:rPr>
          <w:rFonts w:ascii="Arial" w:hAnsi="Arial" w:cs="Arial"/>
          <w:color w:val="000000" w:themeColor="text1"/>
          <w:sz w:val="22"/>
          <w:szCs w:val="22"/>
        </w:rPr>
        <w:t xml:space="preserve"> PGE</w:t>
      </w:r>
      <w:r w:rsidR="00341E19" w:rsidRPr="00726423">
        <w:rPr>
          <w:rFonts w:ascii="Arial" w:hAnsi="Arial" w:cs="Arial"/>
          <w:color w:val="000000" w:themeColor="text1"/>
          <w:sz w:val="22"/>
          <w:szCs w:val="22"/>
          <w:vertAlign w:val="subscript"/>
        </w:rPr>
        <w:t>2</w:t>
      </w:r>
      <w:r w:rsidR="00341E19" w:rsidRPr="00726423">
        <w:rPr>
          <w:rFonts w:ascii="Arial" w:hAnsi="Arial" w:cs="Arial"/>
          <w:color w:val="000000" w:themeColor="text1"/>
          <w:sz w:val="22"/>
          <w:szCs w:val="22"/>
        </w:rPr>
        <w:t xml:space="preserve">) and the timing </w:t>
      </w:r>
      <w:r w:rsidR="000B275D" w:rsidRPr="00726423">
        <w:rPr>
          <w:rFonts w:ascii="Arial" w:hAnsi="Arial" w:cs="Arial"/>
          <w:color w:val="000000" w:themeColor="text1"/>
          <w:sz w:val="22"/>
          <w:szCs w:val="22"/>
        </w:rPr>
        <w:t>for</w:t>
      </w:r>
      <w:r w:rsidR="00341E19" w:rsidRPr="00726423">
        <w:rPr>
          <w:rFonts w:ascii="Arial" w:hAnsi="Arial" w:cs="Arial"/>
          <w:color w:val="000000" w:themeColor="text1"/>
          <w:sz w:val="22"/>
          <w:szCs w:val="22"/>
        </w:rPr>
        <w:t xml:space="preserve"> </w:t>
      </w:r>
      <w:r w:rsidR="006A2F47" w:rsidRPr="00726423">
        <w:rPr>
          <w:rFonts w:ascii="Arial" w:hAnsi="Arial" w:cs="Arial"/>
          <w:color w:val="000000" w:themeColor="text1"/>
          <w:sz w:val="22"/>
          <w:szCs w:val="22"/>
        </w:rPr>
        <w:t xml:space="preserve">endogenous versus exogenous </w:t>
      </w:r>
      <w:r w:rsidR="00341E19" w:rsidRPr="00726423">
        <w:rPr>
          <w:rFonts w:ascii="Arial" w:hAnsi="Arial" w:cs="Arial"/>
          <w:color w:val="000000" w:themeColor="text1"/>
          <w:sz w:val="22"/>
          <w:szCs w:val="22"/>
        </w:rPr>
        <w:t xml:space="preserve">EP4 activation. </w:t>
      </w:r>
      <w:r w:rsidR="00A54979" w:rsidRPr="00726423">
        <w:rPr>
          <w:rFonts w:ascii="Arial" w:hAnsi="Arial" w:cs="Arial"/>
          <w:color w:val="000000" w:themeColor="text1"/>
          <w:sz w:val="22"/>
          <w:szCs w:val="22"/>
        </w:rPr>
        <w:t xml:space="preserve">Future studies </w:t>
      </w:r>
      <w:r w:rsidR="00BD3477" w:rsidRPr="00726423">
        <w:rPr>
          <w:rFonts w:ascii="Arial" w:hAnsi="Arial" w:cs="Arial"/>
          <w:color w:val="000000" w:themeColor="text1"/>
          <w:sz w:val="22"/>
          <w:szCs w:val="22"/>
        </w:rPr>
        <w:t>will need to</w:t>
      </w:r>
      <w:r w:rsidR="000B275D" w:rsidRPr="00726423">
        <w:rPr>
          <w:rFonts w:ascii="Arial" w:hAnsi="Arial" w:cs="Arial"/>
          <w:color w:val="000000" w:themeColor="text1"/>
          <w:sz w:val="22"/>
          <w:szCs w:val="22"/>
        </w:rPr>
        <w:t xml:space="preserve"> </w:t>
      </w:r>
      <w:r w:rsidR="00A54979" w:rsidRPr="00726423">
        <w:rPr>
          <w:rFonts w:ascii="Arial" w:hAnsi="Arial" w:cs="Arial"/>
          <w:color w:val="000000" w:themeColor="text1"/>
          <w:sz w:val="22"/>
          <w:szCs w:val="22"/>
        </w:rPr>
        <w:t xml:space="preserve">examine </w:t>
      </w:r>
      <w:r w:rsidR="000B275D" w:rsidRPr="00726423">
        <w:rPr>
          <w:rFonts w:ascii="Arial" w:hAnsi="Arial" w:cs="Arial"/>
          <w:color w:val="000000" w:themeColor="text1"/>
          <w:sz w:val="22"/>
          <w:szCs w:val="22"/>
        </w:rPr>
        <w:t>these possibilities</w:t>
      </w:r>
      <w:r w:rsidR="00AA44D6" w:rsidRPr="00726423">
        <w:rPr>
          <w:rFonts w:ascii="Arial" w:hAnsi="Arial" w:cs="Arial"/>
          <w:color w:val="000000" w:themeColor="text1"/>
          <w:sz w:val="22"/>
          <w:szCs w:val="22"/>
        </w:rPr>
        <w:t xml:space="preserve">. </w:t>
      </w:r>
    </w:p>
    <w:p w14:paraId="443287A6" w14:textId="77777777" w:rsidR="00AA44D6" w:rsidRPr="00726423" w:rsidRDefault="00AA44D6" w:rsidP="00AF01E8">
      <w:pPr>
        <w:spacing w:line="480" w:lineRule="auto"/>
        <w:jc w:val="both"/>
        <w:rPr>
          <w:rFonts w:ascii="Arial" w:hAnsi="Arial" w:cs="Arial"/>
          <w:color w:val="000000" w:themeColor="text1"/>
          <w:sz w:val="22"/>
          <w:szCs w:val="22"/>
        </w:rPr>
      </w:pPr>
    </w:p>
    <w:p w14:paraId="7E19D318" w14:textId="59FA15B7" w:rsidR="00C1010D" w:rsidRPr="00726423" w:rsidRDefault="003716F4" w:rsidP="00AF01E8">
      <w:pPr>
        <w:spacing w:line="480" w:lineRule="auto"/>
        <w:jc w:val="both"/>
        <w:rPr>
          <w:rFonts w:ascii="Arial" w:hAnsi="Arial" w:cs="Arial"/>
          <w:color w:val="000000" w:themeColor="text1"/>
          <w:sz w:val="22"/>
          <w:szCs w:val="22"/>
        </w:rPr>
      </w:pPr>
      <w:r w:rsidRPr="00726423">
        <w:rPr>
          <w:rFonts w:ascii="Arial" w:hAnsi="Arial" w:cs="Arial"/>
          <w:color w:val="000000" w:themeColor="text1"/>
          <w:sz w:val="22"/>
          <w:szCs w:val="22"/>
        </w:rPr>
        <w:t>PGE</w:t>
      </w:r>
      <w:r w:rsidRPr="00726423">
        <w:rPr>
          <w:rFonts w:ascii="Arial" w:hAnsi="Arial" w:cs="Arial"/>
          <w:color w:val="000000" w:themeColor="text1"/>
          <w:sz w:val="22"/>
          <w:szCs w:val="22"/>
          <w:vertAlign w:val="subscript"/>
        </w:rPr>
        <w:t>2</w:t>
      </w:r>
      <w:r w:rsidRPr="00726423">
        <w:rPr>
          <w:rFonts w:ascii="Arial" w:hAnsi="Arial" w:cs="Arial"/>
          <w:color w:val="000000" w:themeColor="text1"/>
          <w:sz w:val="22"/>
          <w:szCs w:val="22"/>
        </w:rPr>
        <w:t xml:space="preserve"> has been indicated to be associated with various lung conditions </w:t>
      </w:r>
      <w:r w:rsidR="00454C78" w:rsidRPr="00726423">
        <w:rPr>
          <w:rFonts w:ascii="Arial" w:hAnsi="Arial" w:cs="Arial"/>
          <w:color w:val="000000" w:themeColor="text1"/>
          <w:sz w:val="22"/>
          <w:szCs w:val="22"/>
        </w:rPr>
        <w:t>including</w:t>
      </w:r>
      <w:r w:rsidRPr="00726423">
        <w:rPr>
          <w:rFonts w:ascii="Arial" w:hAnsi="Arial" w:cs="Arial"/>
          <w:color w:val="000000" w:themeColor="text1"/>
          <w:sz w:val="22"/>
          <w:szCs w:val="22"/>
        </w:rPr>
        <w:t xml:space="preserve"> neutrophilic inflammation</w:t>
      </w:r>
      <w:r w:rsidR="00401F72"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{"citationID":"aojs5nh4ff","properties":{"formattedCitation":"\\super 19\\nosupersub{}","plainCitation":"19","noteIndex":0},"citationItems":[{"id":1785,"uris":["http://zotero.org/users/local/OCWppIAO/items/CQHUNIAQ"],"itemData":{"id":1785,"type":"article-journal","abstract":"Acute lung injury is a neutrophil-dominant, life-threatening disease without effective therapies and better understanding of the pathophysiological mechanisms involved is an urgent need. Here we show that interleukin (IL)-22 is produced from innate lymphoid cells (ILC) and is responsible for suppression of experimental lung neutrophilic inflammation. Blocking prostaglandin E2 (PGE2) synthesis reduces lung ILCs and IL-22 production, resulting in exacerbation of lung neutrophilic inflammation. In contrast, activation of the PGE2 receptor EP4 prevents acute lung inflammation. We thus demonstrate a mechanism for production of innate IL-22 in the lung during acute injury, highlighting potential therapeutic strategies for control of lung neutrophilic inflammation by targeting the PGE2/ILC/IL-22 axis.","container-title":"Thorax","DOI":"10.1136/thoraxjnl-2017-211097","ISSN":"1468-3296","issue":"11","journalAbbreviation":"Thorax","language":"eng","note":"PMID: 29574419\nPMCID: PMC6200127","page":"1081-1084","source":"PubMed","title":"Facilitation of IL-22 production from innate lymphoid cells by prostaglandin E2 prevents experimental lung neutrophilic inflammation","volume":"73","author":[{"family":"Felton","given":"Jennifer M."},{"family":"Duffin","given":"Rodger"},{"family":"Robb","given":"Calum T."},{"family":"Crittenden","given":"Siobhan"},{"family":"Anderton","given":"Stephen M."},{"family":"Howie","given":"Sarah E. M."},{"family":"Whyte","given":"Moira K. B."},{"family":"Rossi","given":"Adriano G."},{"family":"Yao","given":"Chengcan"}],"issued":{"date-parts":[["2018",11]]}}}],"schema":"https://github.com/citation-style-language/schema/raw/master/csl-citation.json"} </w:instrText>
      </w:r>
      <w:r w:rsidR="00401F72"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19</w:t>
      </w:r>
      <w:r w:rsidR="00401F72" w:rsidRPr="00726423">
        <w:rPr>
          <w:rFonts w:ascii="Arial" w:hAnsi="Arial" w:cs="Arial"/>
          <w:color w:val="000000" w:themeColor="text1"/>
          <w:sz w:val="22"/>
          <w:szCs w:val="22"/>
        </w:rPr>
        <w:fldChar w:fldCharType="end"/>
      </w:r>
      <w:r w:rsidRPr="00726423">
        <w:rPr>
          <w:rFonts w:ascii="Arial" w:hAnsi="Arial" w:cs="Arial"/>
          <w:color w:val="000000" w:themeColor="text1"/>
          <w:sz w:val="22"/>
          <w:szCs w:val="22"/>
        </w:rPr>
        <w:t>, infections (</w:t>
      </w:r>
      <w:r w:rsidR="00401F72" w:rsidRPr="00726423">
        <w:rPr>
          <w:rFonts w:ascii="Arial" w:hAnsi="Arial" w:cs="Arial"/>
          <w:color w:val="000000" w:themeColor="text1"/>
          <w:sz w:val="22"/>
          <w:szCs w:val="22"/>
        </w:rPr>
        <w:t xml:space="preserve">e.g., </w:t>
      </w:r>
      <w:r w:rsidR="008F4ACF" w:rsidRPr="00726423">
        <w:rPr>
          <w:rFonts w:ascii="Arial" w:hAnsi="Arial" w:cs="Arial"/>
          <w:color w:val="000000" w:themeColor="text1"/>
          <w:sz w:val="22"/>
          <w:szCs w:val="22"/>
        </w:rPr>
        <w:t>mycobacterium tuberculosis</w:t>
      </w:r>
      <w:r w:rsidR="008F4ACF"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{"citationID":"a3ee3cheov","properties":{"formattedCitation":"\\super 17\\nosupersub{}","plainCitation":"17","noteIndex":0},"citationItems":[{"id":1765,"uris":["http://zotero.org/users/local/OCWppIAO/items/BGYPIFRH"],"itemData":{"id":1765,"type":"article-journal","abstract":"BACKGROUND: We hypothesized that the 2 reported alterations in aspirin-exacerbated respiratory disease (AERD), reduced expression/production of COX-2/prostaglandin (PG) E2 and diminished expression of E-prostanoid (EP) 2 receptor, are closely linked.\nOBJECTIVE: We sought to determine the mechanisms involved in the altered regulation of the COX pathway in patients with AERD.\nMETHODS: Fibroblasts were obtained from nasal mucosa; samples of control subjects (NM-C, n = 8) and from nasal polyps from patients with aspirin-exacerbated respiratory disease (NP-AERD, n = 8). Expression of the autocrine loop components regulating PGE2 production and signaling, namely IL-1 type I receptor (IL-1RI), COX-2, microsomal prostaglandin E synthase 1 (mPGES-1), and EP receptors, was assessed at baseline and after stimulation with IL-1β, PGE2, and specific EP receptor agonists.\nRESULTS: Compared with NM-C fibroblasts, basal expression levels of IL-1RI and EP2 receptor were lower in NP-AERD fibroblasts. IL-1β-induced IL-1RI, COX-2, and mPGES-1 expression levels were also lower in these cells. Levels of IL-1RI positively correlated with COX-2 and mPGES-1 expression in both NM-C and NP-AERD fibroblasts. Incubation with either exogenous PGE2 or selective EP2 agonist significantly increased expression of IL-1RI in NM-C fibroblasts and had hardly any effect on NP-AERD fibroblasts. Alterations in IL-1RI, COX-2, and mPGES-1 expression that were found in NP-AERD fibroblasts were corrected when EP2 receptor expression was normalized by transfection of NP-AERD fibroblasts.\nCONCLUSION: Altered expression of EP2 in patients with AERD contributes to deficient induction of IL-1RI, reducing the capacity of IL-1β to increase COX-2 and mPGES-1 expression, which results in low PGE2 production. This impairment in the generation of PGE2 subsequently reduces its ability to induce IL-1RI.","container-title":"The Journal of Allergy and Clinical Immunology","DOI":"10.1016/j.jaci.2015.09.028","ISSN":"1097-6825","issue":"1","journalAbbreviation":"J Allergy Clin Immunol","language":"eng","note":"PMID: 26560040","page":"99-107.e7","source":"PubMed","title":"Low E-prostanoid 2 receptor levels and deficient induction of the IL-1β/IL-1 type I receptor/COX-2 pathway: Vicious circle in patients with aspirin-exacerbated respiratory disease","title-short":"Low E-prostanoid 2 receptor levels and deficient induction of the IL-1β/IL-1 type I receptor/COX-2 pathway","volume":"137","author":[{"family":"Machado-Carvalho","given":"Liliana"},{"family":"Martín","given":"Margarita"},{"family":"Torres","given":"Rosa"},{"family":"Gabasa","given":"Marta"},{"family":"Alobid","given":"Isam"},{"family":"Mullol","given":"Joaquim"},{"family":"Pujols","given":"Laura"},{"family":"Roca-Ferrer","given":"Jordi"},{"family":"Picado","given":"Cesar"}],"issued":{"date-parts":[["2016",1]]}}}],"schema":"https://github.com/citation-style-language/schema/raw/master/csl-citation.json"} </w:instrText>
      </w:r>
      <w:r w:rsidR="008F4ACF"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17</w:t>
      </w:r>
      <w:r w:rsidR="008F4ACF" w:rsidRPr="00726423">
        <w:rPr>
          <w:rFonts w:ascii="Arial" w:hAnsi="Arial" w:cs="Arial"/>
          <w:color w:val="000000" w:themeColor="text1"/>
          <w:sz w:val="22"/>
          <w:szCs w:val="22"/>
        </w:rPr>
        <w:fldChar w:fldCharType="end"/>
      </w:r>
      <w:r w:rsidRPr="00726423">
        <w:rPr>
          <w:rFonts w:ascii="Arial" w:hAnsi="Arial" w:cs="Arial"/>
          <w:color w:val="000000" w:themeColor="text1"/>
          <w:sz w:val="22"/>
          <w:szCs w:val="22"/>
        </w:rPr>
        <w:t xml:space="preserve">) </w:t>
      </w:r>
      <w:r w:rsidR="0089482B" w:rsidRPr="00726423">
        <w:rPr>
          <w:rFonts w:ascii="Arial" w:hAnsi="Arial" w:cs="Arial"/>
          <w:color w:val="000000" w:themeColor="text1"/>
          <w:sz w:val="22"/>
          <w:szCs w:val="22"/>
        </w:rPr>
        <w:t xml:space="preserve">and </w:t>
      </w:r>
      <w:r w:rsidRPr="00726423">
        <w:rPr>
          <w:rFonts w:ascii="Arial" w:hAnsi="Arial" w:cs="Arial"/>
          <w:color w:val="000000" w:themeColor="text1"/>
          <w:sz w:val="22"/>
          <w:szCs w:val="22"/>
        </w:rPr>
        <w:t>COPD</w:t>
      </w:r>
      <w:r w:rsidR="004B7055"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{"citationID":"ae6bt5glcv","properties":{"formattedCitation":"\\super 21\\nosupersub{}","plainCitation":"21","noteIndex":0},"citationItems":[{"id":1788,"uris":["http://zotero.org/users/local/OCWppIAO/items/N9SHKD2M"],"itemData":{"id":1788,"type":"article-journal","abstract":"Background Asthma and chronic obstructive pulmonary disease are airway inflammatory diseases characterised by airflow obstruction. Currently approved bronchodilators such as long-acting β2 adrenoceptor agonists are the mainstay treatments but often fail to relieve symptoms of chronic obstructive pulmonary disease and severe asthma and safety concerns have been raised over long-term use. The aim of the study was to identify the receptor involved in prostaglandin E2 (PGE2)-induced relaxation in guinea pig, murine, monkey, rat and human airways in vitro.\nMethods Using an extensive range of pharmacological tools, the relaxant potential of PGE2 and selective agonists for the EP1–4 receptors in the presence and absence of selective antagonists in guinea pig, murine, monkey, rat and human isolated airways was investigated.\nResults In agreement with previous studies, it was found that the EP2 receptor mediates PGE2-induced relaxation of guinea pig, murine and monkey trachea and that the EP4 receptor mediates PGE2-induced relaxation of the rat trachea. These data have been confirmed in murine airways from EP2 receptor-deficient mice (Ptger2). In contrast to previous publications, a role for the EP4 receptor in relaxant responses in human airways in vitro was found. Relaxant activity of AH13205 (EP2 agonist) was also demonstrated in guinea pig but not human airway tissue, which may explain its failure in clinical studies.\nConclusion Identification of the receptor mediating PGE2-induced relaxation represents a key step in developing a novel bronchodilator therapy. These data explain the lack of bronchodilator activity observed with selective EP2 receptor agonists in clinical studies.","container-title":"Thorax","DOI":"10.1136/thx.2010.158568","ISSN":"0040-6376, 1468-3296","issue":"12","language":"en","note":"publisher: BMJ Publishing Group Ltd\nsection: Airway biology\nPMID: 21606476","page":"1029-1035","source":"thorax.bmj.com","title":"EP4 receptor as a new target for bronchodilator therapy","volume":"66","author":[{"family":"Buckley","given":"James"},{"family":"Birrell","given":"Mark A."},{"family":"Maher","given":"Sarah A."},{"family":"Nials","given":"Anthony T."},{"family":"Clarke","given":"Deborah L."},{"family":"Belvisi","given":"Maria G."}],"issued":{"date-parts":[["2011",12,1]]}}}],"schema":"https://github.com/citation-style-language/schema/raw/master/csl-citation.json"} </w:instrText>
      </w:r>
      <w:r w:rsidR="004B7055"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21</w:t>
      </w:r>
      <w:r w:rsidR="004B7055" w:rsidRPr="00726423">
        <w:rPr>
          <w:rFonts w:ascii="Arial" w:hAnsi="Arial" w:cs="Arial"/>
          <w:color w:val="000000" w:themeColor="text1"/>
          <w:sz w:val="22"/>
          <w:szCs w:val="22"/>
        </w:rPr>
        <w:fldChar w:fldCharType="end"/>
      </w:r>
      <w:r w:rsidRPr="00726423">
        <w:rPr>
          <w:rFonts w:ascii="Arial" w:hAnsi="Arial" w:cs="Arial"/>
          <w:color w:val="000000" w:themeColor="text1"/>
          <w:sz w:val="22"/>
          <w:szCs w:val="22"/>
        </w:rPr>
        <w:t xml:space="preserve">. </w:t>
      </w:r>
      <w:r w:rsidR="00C96986" w:rsidRPr="00726423">
        <w:rPr>
          <w:rFonts w:ascii="Arial" w:hAnsi="Arial" w:cs="Arial"/>
          <w:color w:val="000000" w:themeColor="text1"/>
          <w:sz w:val="22"/>
          <w:szCs w:val="22"/>
        </w:rPr>
        <w:t xml:space="preserve">Our </w:t>
      </w:r>
      <w:r w:rsidRPr="00726423">
        <w:rPr>
          <w:rFonts w:ascii="Arial" w:hAnsi="Arial" w:cs="Arial"/>
          <w:color w:val="000000" w:themeColor="text1"/>
          <w:sz w:val="22"/>
          <w:szCs w:val="22"/>
        </w:rPr>
        <w:t>finding</w:t>
      </w:r>
      <w:r w:rsidR="00C96986" w:rsidRPr="00726423">
        <w:rPr>
          <w:rFonts w:ascii="Arial" w:hAnsi="Arial" w:cs="Arial"/>
          <w:color w:val="000000" w:themeColor="text1"/>
          <w:sz w:val="22"/>
          <w:szCs w:val="22"/>
        </w:rPr>
        <w:t xml:space="preserve">s </w:t>
      </w:r>
      <w:r w:rsidR="000C77E4" w:rsidRPr="00726423">
        <w:rPr>
          <w:rFonts w:ascii="Arial" w:hAnsi="Arial" w:cs="Arial"/>
          <w:color w:val="000000" w:themeColor="text1"/>
          <w:sz w:val="22"/>
          <w:szCs w:val="22"/>
        </w:rPr>
        <w:t>that</w:t>
      </w:r>
      <w:r w:rsidR="00C96986" w:rsidRPr="00726423">
        <w:rPr>
          <w:rFonts w:ascii="Arial" w:hAnsi="Arial" w:cs="Arial"/>
          <w:color w:val="000000" w:themeColor="text1"/>
          <w:sz w:val="22"/>
          <w:szCs w:val="22"/>
        </w:rPr>
        <w:t xml:space="preserve"> </w:t>
      </w:r>
      <w:r w:rsidR="00AA44D6" w:rsidRPr="00726423">
        <w:rPr>
          <w:rFonts w:ascii="Arial" w:hAnsi="Arial" w:cs="Arial"/>
          <w:color w:val="000000" w:themeColor="text1"/>
          <w:sz w:val="22"/>
          <w:szCs w:val="22"/>
        </w:rPr>
        <w:t xml:space="preserve">EP2 </w:t>
      </w:r>
      <w:r w:rsidR="00C96986" w:rsidRPr="00726423">
        <w:rPr>
          <w:rFonts w:ascii="Arial" w:hAnsi="Arial" w:cs="Arial"/>
          <w:color w:val="000000" w:themeColor="text1"/>
          <w:sz w:val="22"/>
          <w:szCs w:val="22"/>
        </w:rPr>
        <w:t>rather than</w:t>
      </w:r>
      <w:r w:rsidR="00AA44D6" w:rsidRPr="00726423">
        <w:rPr>
          <w:rFonts w:ascii="Arial" w:hAnsi="Arial" w:cs="Arial"/>
          <w:color w:val="000000" w:themeColor="text1"/>
          <w:sz w:val="22"/>
          <w:szCs w:val="22"/>
        </w:rPr>
        <w:t xml:space="preserve"> EP4 </w:t>
      </w:r>
      <w:r w:rsidR="0089482B" w:rsidRPr="00726423">
        <w:rPr>
          <w:rFonts w:ascii="Arial" w:hAnsi="Arial" w:cs="Arial"/>
          <w:color w:val="000000" w:themeColor="text1"/>
          <w:sz w:val="22"/>
          <w:szCs w:val="22"/>
        </w:rPr>
        <w:t xml:space="preserve">is the </w:t>
      </w:r>
      <w:r w:rsidR="000C77E4" w:rsidRPr="00726423">
        <w:rPr>
          <w:rFonts w:ascii="Arial" w:hAnsi="Arial" w:cs="Arial"/>
          <w:color w:val="000000" w:themeColor="text1"/>
          <w:sz w:val="22"/>
          <w:szCs w:val="22"/>
        </w:rPr>
        <w:t>dominant</w:t>
      </w:r>
      <w:r w:rsidR="00C96986" w:rsidRPr="00726423">
        <w:rPr>
          <w:rFonts w:ascii="Arial" w:hAnsi="Arial" w:cs="Arial"/>
          <w:color w:val="000000" w:themeColor="text1"/>
          <w:sz w:val="22"/>
          <w:szCs w:val="22"/>
        </w:rPr>
        <w:t xml:space="preserve"> mediat</w:t>
      </w:r>
      <w:r w:rsidR="0089482B" w:rsidRPr="00726423">
        <w:rPr>
          <w:rFonts w:ascii="Arial" w:hAnsi="Arial" w:cs="Arial"/>
          <w:color w:val="000000" w:themeColor="text1"/>
          <w:sz w:val="22"/>
          <w:szCs w:val="22"/>
        </w:rPr>
        <w:t>or of</w:t>
      </w:r>
      <w:r w:rsidR="00C96986" w:rsidRPr="00726423">
        <w:rPr>
          <w:rFonts w:ascii="Arial" w:hAnsi="Arial" w:cs="Arial"/>
          <w:color w:val="000000" w:themeColor="text1"/>
          <w:sz w:val="22"/>
          <w:szCs w:val="22"/>
        </w:rPr>
        <w:t xml:space="preserve"> endogenous PGE</w:t>
      </w:r>
      <w:r w:rsidR="00C96986" w:rsidRPr="00726423">
        <w:rPr>
          <w:rFonts w:ascii="Arial" w:hAnsi="Arial" w:cs="Arial"/>
          <w:color w:val="000000" w:themeColor="text1"/>
          <w:sz w:val="22"/>
          <w:szCs w:val="22"/>
          <w:vertAlign w:val="subscript"/>
        </w:rPr>
        <w:t>2</w:t>
      </w:r>
      <w:r w:rsidR="00C96986" w:rsidRPr="00726423">
        <w:rPr>
          <w:rFonts w:ascii="Arial" w:hAnsi="Arial" w:cs="Arial"/>
          <w:color w:val="000000" w:themeColor="text1"/>
          <w:sz w:val="22"/>
          <w:szCs w:val="22"/>
        </w:rPr>
        <w:t xml:space="preserve"> </w:t>
      </w:r>
      <w:r w:rsidR="00852811" w:rsidRPr="00726423">
        <w:rPr>
          <w:rFonts w:ascii="Arial" w:hAnsi="Arial" w:cs="Arial"/>
          <w:color w:val="000000" w:themeColor="text1"/>
          <w:sz w:val="22"/>
          <w:szCs w:val="22"/>
        </w:rPr>
        <w:t>effects on</w:t>
      </w:r>
      <w:r w:rsidR="00AA44D6" w:rsidRPr="00726423">
        <w:rPr>
          <w:rFonts w:ascii="Arial" w:hAnsi="Arial" w:cs="Arial"/>
          <w:color w:val="000000" w:themeColor="text1"/>
          <w:sz w:val="22"/>
          <w:szCs w:val="22"/>
        </w:rPr>
        <w:t xml:space="preserve"> </w:t>
      </w:r>
      <w:r w:rsidR="00852811" w:rsidRPr="00726423">
        <w:rPr>
          <w:rFonts w:ascii="Arial" w:hAnsi="Arial" w:cs="Arial"/>
          <w:color w:val="000000" w:themeColor="text1"/>
          <w:sz w:val="22"/>
          <w:szCs w:val="22"/>
        </w:rPr>
        <w:t>the</w:t>
      </w:r>
      <w:r w:rsidR="00AA44D6" w:rsidRPr="00726423">
        <w:rPr>
          <w:rFonts w:ascii="Arial" w:hAnsi="Arial" w:cs="Arial"/>
          <w:color w:val="000000" w:themeColor="text1"/>
          <w:sz w:val="22"/>
          <w:szCs w:val="22"/>
        </w:rPr>
        <w:t xml:space="preserve"> regulation of lung ILC2 responses </w:t>
      </w:r>
      <w:r w:rsidRPr="00726423">
        <w:rPr>
          <w:rFonts w:ascii="Arial" w:hAnsi="Arial" w:cs="Arial"/>
          <w:color w:val="000000" w:themeColor="text1"/>
          <w:sz w:val="22"/>
          <w:szCs w:val="22"/>
        </w:rPr>
        <w:t xml:space="preserve">specifically </w:t>
      </w:r>
      <w:r w:rsidR="00AA44D6" w:rsidRPr="00726423">
        <w:rPr>
          <w:rFonts w:ascii="Arial" w:hAnsi="Arial" w:cs="Arial"/>
          <w:color w:val="000000" w:themeColor="text1"/>
          <w:sz w:val="22"/>
          <w:szCs w:val="22"/>
        </w:rPr>
        <w:t xml:space="preserve">reflect findings from </w:t>
      </w:r>
      <w:r w:rsidR="00A62968" w:rsidRPr="00726423">
        <w:rPr>
          <w:rFonts w:ascii="Arial" w:hAnsi="Arial" w:cs="Arial"/>
          <w:color w:val="000000" w:themeColor="text1"/>
          <w:sz w:val="22"/>
          <w:szCs w:val="22"/>
        </w:rPr>
        <w:t xml:space="preserve">clinical </w:t>
      </w:r>
      <w:r w:rsidR="00AA44D6" w:rsidRPr="00726423">
        <w:rPr>
          <w:rFonts w:ascii="Arial" w:hAnsi="Arial" w:cs="Arial"/>
          <w:color w:val="000000" w:themeColor="text1"/>
          <w:sz w:val="22"/>
          <w:szCs w:val="22"/>
        </w:rPr>
        <w:t>studies</w:t>
      </w:r>
      <w:r w:rsidR="00A62968" w:rsidRPr="00726423">
        <w:rPr>
          <w:rFonts w:ascii="Arial" w:hAnsi="Arial" w:cs="Arial"/>
          <w:color w:val="000000" w:themeColor="text1"/>
          <w:sz w:val="22"/>
          <w:szCs w:val="22"/>
        </w:rPr>
        <w:t xml:space="preserve">. </w:t>
      </w:r>
      <w:r w:rsidR="00C96986" w:rsidRPr="00726423">
        <w:rPr>
          <w:rFonts w:ascii="Arial" w:hAnsi="Arial" w:cs="Arial"/>
          <w:color w:val="000000" w:themeColor="text1"/>
          <w:sz w:val="22"/>
          <w:szCs w:val="22"/>
        </w:rPr>
        <w:t xml:space="preserve">Indeed, </w:t>
      </w:r>
      <w:r w:rsidR="00C96986" w:rsidRPr="00726423">
        <w:rPr>
          <w:rFonts w:ascii="Arial" w:hAnsi="Arial" w:cs="Arial"/>
          <w:i/>
          <w:iCs/>
          <w:color w:val="000000" w:themeColor="text1"/>
          <w:sz w:val="22"/>
          <w:szCs w:val="22"/>
        </w:rPr>
        <w:t>PTGER2</w:t>
      </w:r>
      <w:r w:rsidR="00C96986" w:rsidRPr="00726423">
        <w:rPr>
          <w:rFonts w:ascii="Arial" w:hAnsi="Arial" w:cs="Arial"/>
          <w:color w:val="000000" w:themeColor="text1"/>
          <w:sz w:val="22"/>
          <w:szCs w:val="22"/>
        </w:rPr>
        <w:t xml:space="preserve"> </w:t>
      </w:r>
      <w:r w:rsidR="003E5DE7" w:rsidRPr="00726423">
        <w:rPr>
          <w:rFonts w:ascii="Arial" w:hAnsi="Arial" w:cs="Arial"/>
          <w:color w:val="000000" w:themeColor="text1"/>
          <w:sz w:val="22"/>
          <w:szCs w:val="22"/>
        </w:rPr>
        <w:t xml:space="preserve">gene </w:t>
      </w:r>
      <w:r w:rsidR="00C96986" w:rsidRPr="00726423">
        <w:rPr>
          <w:rFonts w:ascii="Arial" w:hAnsi="Arial" w:cs="Arial"/>
          <w:color w:val="000000" w:themeColor="text1"/>
          <w:sz w:val="22"/>
          <w:szCs w:val="22"/>
        </w:rPr>
        <w:t xml:space="preserve">polymorphisms </w:t>
      </w:r>
      <w:r w:rsidR="003E5DE7" w:rsidRPr="00726423">
        <w:rPr>
          <w:rFonts w:ascii="Arial" w:hAnsi="Arial" w:cs="Arial"/>
          <w:color w:val="000000" w:themeColor="text1"/>
          <w:sz w:val="22"/>
          <w:szCs w:val="22"/>
        </w:rPr>
        <w:t>are</w:t>
      </w:r>
      <w:r w:rsidR="00C96986" w:rsidRPr="00726423">
        <w:rPr>
          <w:rFonts w:ascii="Arial" w:hAnsi="Arial" w:cs="Arial"/>
          <w:color w:val="000000" w:themeColor="text1"/>
          <w:sz w:val="22"/>
          <w:szCs w:val="22"/>
        </w:rPr>
        <w:t xml:space="preserve"> associated with asthma</w:t>
      </w:r>
      <w:r w:rsidR="003E5DE7" w:rsidRPr="00726423">
        <w:rPr>
          <w:rFonts w:ascii="Arial" w:hAnsi="Arial" w:cs="Arial"/>
          <w:color w:val="000000" w:themeColor="text1"/>
          <w:sz w:val="22"/>
          <w:szCs w:val="22"/>
        </w:rPr>
        <w:t xml:space="preserve"> especially NERD</w:t>
      </w:r>
      <w:r w:rsidR="00C96986" w:rsidRPr="00726423">
        <w:rPr>
          <w:rFonts w:ascii="Arial" w:hAnsi="Arial" w:cs="Arial"/>
          <w:color w:val="000000" w:themeColor="text1"/>
          <w:sz w:val="22"/>
          <w:szCs w:val="22"/>
        </w:rPr>
        <w:t xml:space="preserve"> and patients </w:t>
      </w:r>
      <w:r w:rsidR="000C77E4" w:rsidRPr="00726423">
        <w:rPr>
          <w:rFonts w:ascii="Arial" w:hAnsi="Arial" w:cs="Arial"/>
          <w:color w:val="000000" w:themeColor="text1"/>
          <w:sz w:val="22"/>
          <w:szCs w:val="22"/>
        </w:rPr>
        <w:t xml:space="preserve">with NERD </w:t>
      </w:r>
      <w:r w:rsidR="00C96986" w:rsidRPr="00726423">
        <w:rPr>
          <w:rFonts w:ascii="Arial" w:hAnsi="Arial" w:cs="Arial"/>
          <w:color w:val="000000" w:themeColor="text1"/>
          <w:sz w:val="22"/>
          <w:szCs w:val="22"/>
        </w:rPr>
        <w:t xml:space="preserve">have </w:t>
      </w:r>
      <w:r w:rsidR="000C77E4" w:rsidRPr="00726423">
        <w:rPr>
          <w:rFonts w:ascii="Arial" w:hAnsi="Arial" w:cs="Arial"/>
          <w:color w:val="000000" w:themeColor="text1"/>
          <w:sz w:val="22"/>
          <w:szCs w:val="22"/>
        </w:rPr>
        <w:t>decreased</w:t>
      </w:r>
      <w:r w:rsidR="00C96986" w:rsidRPr="00726423">
        <w:rPr>
          <w:rFonts w:ascii="Arial" w:hAnsi="Arial" w:cs="Arial"/>
          <w:color w:val="000000" w:themeColor="text1"/>
          <w:sz w:val="22"/>
          <w:szCs w:val="22"/>
        </w:rPr>
        <w:t xml:space="preserve"> EP2 expression</w:t>
      </w:r>
      <w:r w:rsidR="00865CDC"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{"citationID":"7VFe5grJ","properties":{"formattedCitation":"\\super 11\\nosupersub{}","plainCitation":"11","noteIndex":0},"citationItems":[{"id":1650,"uris":["http://zotero.org/users/local/OCWppIAO/items/MS9ZEY6E"],"itemData":{"id":1650,"type":"article-journal","abstract":"Aspirin-exacerbated respiratory disease (AERD) is characterized by asthma, tissue eosinophilia, overproduction of cysteinyl leukotrienes (cysLTs), and respiratory reactions to nonselective cyclooxygenase (COX) inhibitors. Ex vivo studies suggest that functional abnormalities of the COX-2/microsomal prostaglandin (PG)E2 synthase-1 system may underlie AERD. We demonstrate that microsomal PGE2 synthase-1 null mice develop a remarkably AERD-like phenotype in a model of eosinophilic pulmonary inflammation. Lysine aspirin (Lys-ASA)-challenged PGE2 synthase-1 null mice exhibit sustained increases in airway resistance, along with lung mast cell (MC) activation and cysLT overproduction. A stable PGE2 analog and a selective E prostanoid (EP)2 receptor agonist blocked the responses to Lys-ASA by </w:instrText>
      </w:r>
      <w:r w:rsidR="00361359">
        <w:rPr>
          <w:rFonts w:ascii="Cambria Math" w:hAnsi="Cambria Math" w:cs="Cambria Math"/>
          <w:color w:val="000000" w:themeColor="text1"/>
          <w:sz w:val="22"/>
          <w:szCs w:val="22"/>
        </w:rPr>
        <w:instrText>∼</w:instrText>
      </w:r>
      <w:r w:rsidR="00361359">
        <w:rPr>
          <w:rFonts w:ascii="Arial" w:hAnsi="Arial" w:cs="Arial"/>
          <w:color w:val="000000" w:themeColor="text1"/>
          <w:sz w:val="22"/>
          <w:szCs w:val="22"/>
        </w:rPr>
        <w:instrText xml:space="preserve">90%; EP3 and EP4 agonists were also active. The increases in airway resistance and MC products were blocked by antagonists of the type 1 cysLT receptor or 5-lipoxygenase, implying that bronchoconstriction and MC activation were both cysLT dependent. Lys-ASA-induced cysLT generation and MC activation depended on platelet-adherent granulocytes and T-prostanoid (TP) receptors. Thus, lesions that impair the inducible generation of PGE2 remove control of platelet/granulocyte interactions and TP-receptor-dependent cysLT production, permitting MC activation in response to COX-1 inhibition. The findings suggest applications of antiplatelet drugs or TP receptor antagonists for the treatment of AERD.","container-title":"Proceedings of the National Academy of Sciences of the United States of America","DOI":"10.1073/pnas.1313185110","ISSN":"1091-6490","issue":"42","journalAbbreviation":"Proc Natl Acad Sci U S A","language":"eng","note":"PMID: 24085850\nPMCID: PMC3801005","page":"16987-16992","source":"PubMed","title":"Prostaglandin E2 deficiency causes a phenotype of aspirin sensitivity that depends on platelets and cysteinyl leukotrienes","volume":"110","author":[{"family":"Liu","given":"Tao"},{"family":"Laidlaw","given":"Tanya M."},{"family":"Katz","given":"Howard R."},{"family":"Boyce","given":"Joshua A."}],"issued":{"date-parts":[["2013",10,15]]}}}],"schema":"https://github.com/citation-style-language/schema/raw/master/csl-citation.json"} </w:instrText>
      </w:r>
      <w:r w:rsidR="00865CDC"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11</w:t>
      </w:r>
      <w:r w:rsidR="00865CDC" w:rsidRPr="00726423">
        <w:rPr>
          <w:rFonts w:ascii="Arial" w:hAnsi="Arial" w:cs="Arial"/>
          <w:color w:val="000000" w:themeColor="text1"/>
          <w:sz w:val="22"/>
          <w:szCs w:val="22"/>
        </w:rPr>
        <w:fldChar w:fldCharType="end"/>
      </w:r>
      <w:r w:rsidR="008D0A10" w:rsidRPr="008D0A10">
        <w:rPr>
          <w:rFonts w:ascii="Arial" w:hAnsi="Arial" w:cs="Arial"/>
          <w:color w:val="000000" w:themeColor="text1"/>
          <w:sz w:val="22"/>
          <w:szCs w:val="22"/>
          <w:vertAlign w:val="superscript"/>
        </w:rPr>
        <w:t>,</w:t>
      </w:r>
      <w:r w:rsidR="008D0A10" w:rsidRPr="00726423">
        <w:rPr>
          <w:rFonts w:ascii="Arial" w:hAnsi="Arial" w:cs="Arial"/>
          <w:color w:val="000000" w:themeColor="text1"/>
          <w:sz w:val="22"/>
          <w:szCs w:val="22"/>
        </w:rPr>
        <w:fldChar w:fldCharType="begin"/>
      </w:r>
      <w:r w:rsidR="008D0A10">
        <w:rPr>
          <w:rFonts w:ascii="Arial" w:hAnsi="Arial" w:cs="Arial"/>
          <w:color w:val="000000" w:themeColor="text1"/>
          <w:sz w:val="22"/>
          <w:szCs w:val="22"/>
        </w:rPr>
        <w:instrText xml:space="preserve"> ADDIN ZOTERO_ITEM CSL_CITATION {"citationID":"W3Xxb0ey","properties":{"formattedCitation":"\\super 16\\nosupersub{}","plainCitation":"16","noteIndex":0},"citationItems":[{"id":1759,"uris":["http://zotero.org/users/local/OCWppIAO/items/CD334LZH"],"itemData":{"id":1759,"type":"article-journal","abstract":"Aspirin-intolerant asthma (AIA) is a subtype of bronchial asthma characterized by development of bronchoconstriction evoked by non-steroidal anti-inflammatory drugs (NSAIDs). NSAIDs inhibit the cyclooxygenase pathway, leading to enhancement of the lipoxygenase pathway. We evaluated allelic association of 370 single nucleotide polymorphisms (SNPs) of 63 candidate genes, mostly from the arachidonic acid metabolic cascade, with AIA. After two rounds of screening with 198 AIA patients, multiple SNPs in the prostaglandin E(2) receptor subtype 2 (EP2) gene were associated with AIA (P&lt;0.05). Among the 77 SNPs identified in the EP2 gene, we selected 17 SNPs on the basis of linkage disequilibrium and allelic frequencies (minor allele frequency &gt;0.1) for further association study. SNPs in the promoter region of the EP2 gene, uS5, uS5b, and uS7, were significantly associated with AIA (permutation P=0.039-0.001). Analysis of haplotypes constructed according to the LD pattern showed a significant association with AIA (permutation P=0.001). The most significantly associated SNP, uS5, located in the regulatory region of the EP2 gene, was in a STATs-binding consensus sequence [AIA 31.1% versus control 22.1% (permutation P=0.0016) or versus aspirin-tolerant asthma 22.2% (permutation P=0.0017)]. Although STAT1 binding was not observed in gel mobility shift assay with HeLa nuclear extract, an unidentified protein was specifically bound to the allelic sequence. In in vitro reporter assay in HCT116 cells, the site containing the uS5 allele showed reduced transcription activity. Taken together, these results suggest that uS5 allele serves as a target of a transcription repressor protein. A functional SNP of the EP2 gene associated with risk of AIA should decrease the transcription level, resulting in reduction of the PGE(2) braking mechanism of inflammation and involvement in the molecular mechanism underlying AIA.","container-title":"Human Molecular Genetics","DOI":"10.1093/hmg/ddh332","ISSN":"0964-6906","issue":"24","journalAbbreviation":"Hum Mol Genet","language":"eng","note":"PMID: 15496426","page":"3203-3217","source":"PubMed","title":"Polymorphisms in the prostaglandin E2 receptor subtype 2 gene confer susceptibility to aspirin-intolerant asthma: a candidate gene approach","title-short":"Polymorphisms in the prostaglandin E2 receptor subtype 2 gene confer susceptibility to aspirin-intolerant asthma","volume":"13","author":[{"family":"Jinnai","given":"Nobuyoshi"},{"family":"Sakagami","given":"Takuro"},{"family":"Sekigawa","given":"Takashi"},{"family":"Kakihara","given":"Miho"},{"family":"Nakajima","given":"Toshiaki"},{"family":"Yoshida","given":"Kenichi"},{"family":"Goto","given":"Shin"},{"family":"Hasegawa","given":"Takashi"},{"family":"Koshino","given":"Takeshi"},{"family":"Hasegawa","given":"Yoshinori"},{"family":"Inoue","given":"Hiromasa"},{"family":"Suzuki","given":"Naohito"},{"family":"Sano","given":"Yasuyuki"},{"family":"Inoue","given":"Ituro"}],"issued":{"date-parts":[["2004",12,15]]}}}],"schema":"https://github.com/citation-style-language/schema/raw/master/csl-citation.json"} </w:instrText>
      </w:r>
      <w:r w:rsidR="008D0A10" w:rsidRPr="00726423">
        <w:rPr>
          <w:rFonts w:ascii="Arial" w:hAnsi="Arial" w:cs="Arial"/>
          <w:color w:val="000000" w:themeColor="text1"/>
          <w:sz w:val="22"/>
          <w:szCs w:val="22"/>
        </w:rPr>
        <w:fldChar w:fldCharType="separate"/>
      </w:r>
      <w:r w:rsidR="008D0A10" w:rsidRPr="00361359">
        <w:rPr>
          <w:rFonts w:ascii="Arial" w:hAnsi="Arial" w:cs="Arial"/>
          <w:color w:val="000000"/>
          <w:sz w:val="22"/>
          <w:vertAlign w:val="superscript"/>
        </w:rPr>
        <w:t>16</w:t>
      </w:r>
      <w:r w:rsidR="008D0A10" w:rsidRPr="00726423">
        <w:rPr>
          <w:rFonts w:ascii="Arial" w:hAnsi="Arial" w:cs="Arial"/>
          <w:color w:val="000000" w:themeColor="text1"/>
          <w:sz w:val="22"/>
          <w:szCs w:val="22"/>
        </w:rPr>
        <w:fldChar w:fldCharType="end"/>
      </w:r>
      <w:r w:rsidR="008D0A10" w:rsidRPr="008D0A10">
        <w:rPr>
          <w:rFonts w:ascii="Arial" w:hAnsi="Arial" w:cs="Arial"/>
          <w:color w:val="000000" w:themeColor="text1"/>
          <w:sz w:val="22"/>
          <w:szCs w:val="22"/>
          <w:vertAlign w:val="superscript"/>
        </w:rPr>
        <w:t>,</w:t>
      </w:r>
      <w:r w:rsidR="00865CDC"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{"citationID":"SLbiawCM","properties":{"formattedCitation":"\\super 17\\nosupersub{}","plainCitation":"17","noteIndex":0},"citationItems":[{"id":1765,"uris":["http://zotero.org/users/local/OCWppIAO/items/BGYPIFRH"],"itemData":{"id":1765,"type":"article-journal","abstract":"BACKGROUND: We hypothesized that the 2 reported alterations in aspirin-exacerbated respiratory disease (AERD), reduced expression/production of COX-2/prostaglandin (PG) E2 and diminished expression of E-prostanoid (EP) 2 receptor, are closely linked.\nOBJECTIVE: We sought to determine the mechanisms involved in the altered regulation of the COX pathway in patients with AERD.\nMETHODS: Fibroblasts were obtained from nasal mucosa; samples of control subjects (NM-C, n = 8) and from nasal polyps from patients with aspirin-exacerbated respiratory disease (NP-AERD, n = 8). Expression of the autocrine loop components regulating PGE2 production and signaling, namely IL-1 type I receptor (IL-1RI), COX-2, microsomal prostaglandin E synthase 1 (mPGES-1), and EP receptors, was assessed at baseline and after stimulation with IL-1β, PGE2, and specific EP receptor agonists.\nRESULTS: Compared with NM-C fibroblasts, basal expression levels of IL-1RI and EP2 receptor were lower in NP-AERD fibroblasts. IL-1β-induced IL-1RI, COX-2, and mPGES-1 expression levels were also lower in these cells. Levels of IL-1RI positively correlated with COX-2 and mPGES-1 expression in both NM-C and NP-AERD fibroblasts. Incubation with either exogenous PGE2 or selective EP2 agonist significantly increased expression of IL-1RI in NM-C fibroblasts and had hardly any effect on NP-AERD fibroblasts. Alterations in IL-1RI, COX-2, and mPGES-1 expression that were found in NP-AERD fibroblasts were corrected when EP2 receptor expression was normalized by transfection of NP-AERD fibroblasts.\nCONCLUSION: Altered expression of EP2 in patients with AERD contributes to deficient induction of IL-1RI, reducing the capacity of IL-1β to increase COX-2 and mPGES-1 expression, which results in low PGE2 production. This impairment in the generation of PGE2 subsequently reduces its ability to induce IL-1RI.","container-title":"The Journal of Allergy and Clinical Immunology","DOI":"10.1016/j.jaci.2015.09.028","ISSN":"1097-6825","issue":"1","journalAbbreviation":"J Allergy Clin Immunol","language":"eng","note":"PMID: 26560040","page":"99-107.e7","source":"PubMed","title":"Low E-prostanoid 2 receptor levels and deficient induction of the IL-1β/IL-1 type I receptor/COX-2 pathway: Vicious circle in patients with aspirin-exacerbated respiratory disease","title-short":"Low E-prostanoid 2 receptor levels and deficient induction of the IL-1β/IL-1 type I receptor/COX-2 pathway","volume":"137","author":[{"family":"Machado-Carvalho","given":"Liliana"},{"family":"Martín","given":"Margarita"},{"family":"Torres","given":"Rosa"},{"family":"Gabasa","given":"Marta"},{"family":"Alobid","given":"Isam"},{"family":"Mullol","given":"Joaquim"},{"family":"Pujols","given":"Laura"},{"family":"Roca-Ferrer","given":"Jordi"},{"family":"Picado","given":"Cesar"}],"issued":{"date-parts":[["2016",1]]}}}],"schema":"https://github.com/citation-style-language/schema/raw/master/csl-citation.json"} </w:instrText>
      </w:r>
      <w:r w:rsidR="00865CDC"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17</w:t>
      </w:r>
      <w:r w:rsidR="00865CDC" w:rsidRPr="00726423">
        <w:rPr>
          <w:rFonts w:ascii="Arial" w:hAnsi="Arial" w:cs="Arial"/>
          <w:color w:val="000000" w:themeColor="text1"/>
          <w:sz w:val="22"/>
          <w:szCs w:val="22"/>
        </w:rPr>
        <w:fldChar w:fldCharType="end"/>
      </w:r>
      <w:r w:rsidR="00C96986" w:rsidRPr="00726423">
        <w:rPr>
          <w:rFonts w:ascii="Arial" w:hAnsi="Arial" w:cs="Arial"/>
          <w:color w:val="000000" w:themeColor="text1"/>
          <w:sz w:val="22"/>
          <w:szCs w:val="22"/>
        </w:rPr>
        <w:t xml:space="preserve">. Our results suggest that the down-regulation or alteration of EP2 </w:t>
      </w:r>
      <w:proofErr w:type="spellStart"/>
      <w:r w:rsidR="00134A78" w:rsidRPr="00726423">
        <w:rPr>
          <w:rFonts w:ascii="Arial" w:hAnsi="Arial" w:cs="Arial"/>
          <w:color w:val="000000" w:themeColor="text1"/>
          <w:sz w:val="22"/>
          <w:szCs w:val="22"/>
        </w:rPr>
        <w:t>signaling</w:t>
      </w:r>
      <w:proofErr w:type="spellEnd"/>
      <w:r w:rsidR="00C96986" w:rsidRPr="00726423">
        <w:rPr>
          <w:rFonts w:ascii="Arial" w:hAnsi="Arial" w:cs="Arial"/>
          <w:color w:val="000000" w:themeColor="text1"/>
          <w:sz w:val="22"/>
          <w:szCs w:val="22"/>
        </w:rPr>
        <w:t xml:space="preserve"> in </w:t>
      </w:r>
      <w:r w:rsidR="003E5DE7" w:rsidRPr="00726423">
        <w:rPr>
          <w:rFonts w:ascii="Arial" w:hAnsi="Arial" w:cs="Arial"/>
          <w:color w:val="000000" w:themeColor="text1"/>
          <w:sz w:val="22"/>
          <w:szCs w:val="22"/>
        </w:rPr>
        <w:t>NERD</w:t>
      </w:r>
      <w:r w:rsidR="00C96986" w:rsidRPr="00726423">
        <w:rPr>
          <w:rFonts w:ascii="Arial" w:hAnsi="Arial" w:cs="Arial"/>
          <w:color w:val="000000" w:themeColor="text1"/>
          <w:sz w:val="22"/>
          <w:szCs w:val="22"/>
        </w:rPr>
        <w:t xml:space="preserve"> patients may contribute to augmented ILC2 responses</w:t>
      </w:r>
      <w:r w:rsidR="000C77E4" w:rsidRPr="00726423">
        <w:rPr>
          <w:rFonts w:ascii="Arial" w:hAnsi="Arial" w:cs="Arial"/>
          <w:color w:val="000000" w:themeColor="text1"/>
          <w:sz w:val="22"/>
          <w:szCs w:val="22"/>
        </w:rPr>
        <w:t xml:space="preserve"> and inflammation</w:t>
      </w:r>
      <w:r w:rsidR="00C96986" w:rsidRPr="00726423">
        <w:rPr>
          <w:rFonts w:ascii="Arial" w:hAnsi="Arial" w:cs="Arial"/>
          <w:color w:val="000000" w:themeColor="text1"/>
          <w:sz w:val="22"/>
          <w:szCs w:val="22"/>
        </w:rPr>
        <w:t xml:space="preserve">. </w:t>
      </w:r>
      <w:r w:rsidR="00852811" w:rsidRPr="00726423">
        <w:rPr>
          <w:rFonts w:ascii="Arial" w:hAnsi="Arial" w:cs="Arial"/>
          <w:color w:val="000000" w:themeColor="text1"/>
          <w:sz w:val="22"/>
          <w:szCs w:val="22"/>
        </w:rPr>
        <w:t>Thus</w:t>
      </w:r>
      <w:r w:rsidR="00C96986" w:rsidRPr="00726423">
        <w:rPr>
          <w:rFonts w:ascii="Arial" w:hAnsi="Arial" w:cs="Arial"/>
          <w:color w:val="000000" w:themeColor="text1"/>
          <w:sz w:val="22"/>
          <w:szCs w:val="22"/>
        </w:rPr>
        <w:t xml:space="preserve">, pharmacological activation of EP4 </w:t>
      </w:r>
      <w:r w:rsidR="0046143B" w:rsidRPr="00726423">
        <w:rPr>
          <w:rFonts w:ascii="Arial" w:hAnsi="Arial" w:cs="Arial"/>
          <w:color w:val="000000" w:themeColor="text1"/>
          <w:sz w:val="22"/>
          <w:szCs w:val="22"/>
        </w:rPr>
        <w:t xml:space="preserve">may be </w:t>
      </w:r>
      <w:r w:rsidR="00852811" w:rsidRPr="00726423">
        <w:rPr>
          <w:rFonts w:ascii="Arial" w:hAnsi="Arial" w:cs="Arial"/>
          <w:color w:val="000000" w:themeColor="text1"/>
          <w:sz w:val="22"/>
          <w:szCs w:val="22"/>
        </w:rPr>
        <w:t xml:space="preserve">a promising therapeutic approach to limit </w:t>
      </w:r>
      <w:r w:rsidR="0046143B" w:rsidRPr="00726423">
        <w:rPr>
          <w:rFonts w:ascii="Arial" w:hAnsi="Arial" w:cs="Arial"/>
          <w:color w:val="000000" w:themeColor="text1"/>
          <w:sz w:val="22"/>
          <w:szCs w:val="22"/>
        </w:rPr>
        <w:t>augmented ILC2 responses in asthma patients with low EP2</w:t>
      </w:r>
      <w:r w:rsidR="00852811" w:rsidRPr="00726423">
        <w:rPr>
          <w:rFonts w:ascii="Arial" w:hAnsi="Arial" w:cs="Arial"/>
          <w:color w:val="000000" w:themeColor="text1"/>
          <w:sz w:val="22"/>
          <w:szCs w:val="22"/>
        </w:rPr>
        <w:t xml:space="preserve"> expression or function</w:t>
      </w:r>
      <w:r w:rsidR="0046143B" w:rsidRPr="00726423">
        <w:rPr>
          <w:rFonts w:ascii="Arial" w:hAnsi="Arial" w:cs="Arial"/>
          <w:color w:val="000000" w:themeColor="text1"/>
          <w:sz w:val="22"/>
          <w:szCs w:val="22"/>
        </w:rPr>
        <w:t xml:space="preserve">. </w:t>
      </w:r>
    </w:p>
    <w:p w14:paraId="1C29949E" w14:textId="2344E613" w:rsidR="00BE2B9E" w:rsidRPr="00726423" w:rsidRDefault="00BE2B9E" w:rsidP="00AF01E8">
      <w:pPr>
        <w:spacing w:line="480" w:lineRule="auto"/>
        <w:jc w:val="both"/>
        <w:rPr>
          <w:rFonts w:ascii="Arial" w:hAnsi="Arial" w:cs="Arial"/>
          <w:color w:val="000000" w:themeColor="text1"/>
          <w:sz w:val="22"/>
          <w:szCs w:val="22"/>
          <w:highlight w:val="yellow"/>
        </w:rPr>
      </w:pPr>
    </w:p>
    <w:p w14:paraId="253B2E3D" w14:textId="6BF287BF" w:rsidR="00DC6D96" w:rsidRPr="00726423" w:rsidRDefault="00DC6D96" w:rsidP="00AF01E8">
      <w:pPr>
        <w:spacing w:line="480" w:lineRule="auto"/>
        <w:jc w:val="both"/>
        <w:rPr>
          <w:rFonts w:ascii="Arial" w:hAnsi="Arial" w:cs="Arial"/>
          <w:color w:val="000000" w:themeColor="text1"/>
          <w:sz w:val="22"/>
          <w:szCs w:val="22"/>
        </w:rPr>
      </w:pPr>
      <w:r w:rsidRPr="00726423">
        <w:rPr>
          <w:rFonts w:ascii="Arial" w:hAnsi="Arial" w:cs="Arial"/>
          <w:color w:val="000000" w:themeColor="text1"/>
          <w:sz w:val="22"/>
          <w:szCs w:val="22"/>
        </w:rPr>
        <w:t xml:space="preserve">We </w:t>
      </w:r>
      <w:r w:rsidR="006D14E7" w:rsidRPr="00726423">
        <w:rPr>
          <w:rFonts w:ascii="Arial" w:hAnsi="Arial" w:cs="Arial"/>
          <w:color w:val="000000" w:themeColor="text1"/>
          <w:sz w:val="22"/>
          <w:szCs w:val="22"/>
        </w:rPr>
        <w:t xml:space="preserve">also </w:t>
      </w:r>
      <w:r w:rsidR="00922D75" w:rsidRPr="00726423">
        <w:rPr>
          <w:rFonts w:ascii="Arial" w:hAnsi="Arial" w:cs="Arial"/>
          <w:color w:val="000000" w:themeColor="text1"/>
          <w:sz w:val="22"/>
          <w:szCs w:val="22"/>
        </w:rPr>
        <w:t>report</w:t>
      </w:r>
      <w:r w:rsidRPr="00726423">
        <w:rPr>
          <w:rFonts w:ascii="Arial" w:hAnsi="Arial" w:cs="Arial"/>
          <w:color w:val="000000" w:themeColor="text1"/>
          <w:sz w:val="22"/>
          <w:szCs w:val="22"/>
        </w:rPr>
        <w:t xml:space="preserve"> that PGE</w:t>
      </w:r>
      <w:r w:rsidRPr="00726423">
        <w:rPr>
          <w:rFonts w:ascii="Arial" w:hAnsi="Arial" w:cs="Arial"/>
          <w:color w:val="000000" w:themeColor="text1"/>
          <w:sz w:val="22"/>
          <w:szCs w:val="22"/>
          <w:vertAlign w:val="subscript"/>
        </w:rPr>
        <w:t>2</w:t>
      </w:r>
      <w:r w:rsidRPr="00726423">
        <w:rPr>
          <w:rFonts w:ascii="Arial" w:hAnsi="Arial" w:cs="Arial"/>
          <w:color w:val="000000" w:themeColor="text1"/>
          <w:sz w:val="22"/>
          <w:szCs w:val="22"/>
        </w:rPr>
        <w:t xml:space="preserve"> through activati</w:t>
      </w:r>
      <w:r w:rsidR="006D14E7" w:rsidRPr="00726423">
        <w:rPr>
          <w:rFonts w:ascii="Arial" w:hAnsi="Arial" w:cs="Arial"/>
          <w:color w:val="000000" w:themeColor="text1"/>
          <w:sz w:val="22"/>
          <w:szCs w:val="22"/>
        </w:rPr>
        <w:t>on of</w:t>
      </w:r>
      <w:r w:rsidRPr="00726423">
        <w:rPr>
          <w:rFonts w:ascii="Arial" w:hAnsi="Arial" w:cs="Arial"/>
          <w:color w:val="000000" w:themeColor="text1"/>
          <w:sz w:val="22"/>
          <w:szCs w:val="22"/>
        </w:rPr>
        <w:t xml:space="preserve"> cAMP suppresses ILC2 energy metabolism, which controls </w:t>
      </w:r>
      <w:r w:rsidR="00DF6AB6" w:rsidRPr="00726423">
        <w:rPr>
          <w:rFonts w:ascii="Arial" w:hAnsi="Arial" w:cs="Arial"/>
          <w:color w:val="000000" w:themeColor="text1"/>
          <w:sz w:val="22"/>
          <w:szCs w:val="22"/>
        </w:rPr>
        <w:t>cell</w:t>
      </w:r>
      <w:r w:rsidRPr="00726423">
        <w:rPr>
          <w:rFonts w:ascii="Arial" w:hAnsi="Arial" w:cs="Arial"/>
          <w:color w:val="000000" w:themeColor="text1"/>
          <w:sz w:val="22"/>
          <w:szCs w:val="22"/>
        </w:rPr>
        <w:t xml:space="preserve"> survival, proliferation, activation and effector function. </w:t>
      </w:r>
      <w:r w:rsidR="00DF6AB6" w:rsidRPr="00726423">
        <w:rPr>
          <w:rFonts w:ascii="Arial" w:hAnsi="Arial" w:cs="Arial"/>
          <w:color w:val="000000" w:themeColor="text1"/>
          <w:sz w:val="22"/>
          <w:szCs w:val="22"/>
        </w:rPr>
        <w:t>Besides PGE</w:t>
      </w:r>
      <w:r w:rsidR="00DF6AB6" w:rsidRPr="00726423">
        <w:rPr>
          <w:rFonts w:ascii="Arial" w:hAnsi="Arial" w:cs="Arial"/>
          <w:color w:val="000000" w:themeColor="text1"/>
          <w:sz w:val="22"/>
          <w:szCs w:val="22"/>
          <w:vertAlign w:val="subscript"/>
        </w:rPr>
        <w:t>2</w:t>
      </w:r>
      <w:r w:rsidR="00DF6AB6" w:rsidRPr="00726423">
        <w:rPr>
          <w:rFonts w:ascii="Arial" w:hAnsi="Arial" w:cs="Arial"/>
          <w:color w:val="000000" w:themeColor="text1"/>
          <w:sz w:val="22"/>
          <w:szCs w:val="22"/>
        </w:rPr>
        <w:t xml:space="preserve">, many molecules </w:t>
      </w:r>
      <w:r w:rsidR="00F2700F" w:rsidRPr="00726423">
        <w:rPr>
          <w:rFonts w:ascii="Arial" w:hAnsi="Arial" w:cs="Arial"/>
          <w:color w:val="000000" w:themeColor="text1"/>
          <w:sz w:val="22"/>
          <w:szCs w:val="22"/>
        </w:rPr>
        <w:lastRenderedPageBreak/>
        <w:t xml:space="preserve">that can </w:t>
      </w:r>
      <w:r w:rsidR="00DF6AB6" w:rsidRPr="00726423">
        <w:rPr>
          <w:rFonts w:ascii="Arial" w:hAnsi="Arial" w:cs="Arial"/>
          <w:color w:val="000000" w:themeColor="text1"/>
          <w:sz w:val="22"/>
          <w:szCs w:val="22"/>
        </w:rPr>
        <w:t xml:space="preserve">activate the cAMP pathway such as </w:t>
      </w:r>
      <w:r w:rsidR="004915B7" w:rsidRPr="00726423">
        <w:rPr>
          <w:rFonts w:ascii="Arial" w:hAnsi="Arial" w:cs="Arial"/>
          <w:color w:val="000000" w:themeColor="text1"/>
          <w:sz w:val="22"/>
          <w:szCs w:val="22"/>
        </w:rPr>
        <w:t>PGI</w:t>
      </w:r>
      <w:r w:rsidR="004915B7" w:rsidRPr="00726423">
        <w:rPr>
          <w:rFonts w:ascii="Arial" w:hAnsi="Arial" w:cs="Arial"/>
          <w:color w:val="000000" w:themeColor="text1"/>
          <w:sz w:val="22"/>
          <w:szCs w:val="22"/>
          <w:vertAlign w:val="subscript"/>
        </w:rPr>
        <w:t>2</w:t>
      </w:r>
      <w:r w:rsidR="00F2700F" w:rsidRPr="00726423">
        <w:rPr>
          <w:rFonts w:ascii="Arial" w:hAnsi="Arial" w:cs="Arial"/>
          <w:color w:val="000000" w:themeColor="text1"/>
          <w:sz w:val="22"/>
          <w:szCs w:val="22"/>
          <w:vertAlign w:val="subscript"/>
        </w:rPr>
        <w:fldChar w:fldCharType="begin"/>
      </w:r>
      <w:r w:rsidR="00361359">
        <w:rPr>
          <w:rFonts w:ascii="Arial" w:hAnsi="Arial" w:cs="Arial"/>
          <w:color w:val="000000" w:themeColor="text1"/>
          <w:sz w:val="22"/>
          <w:szCs w:val="22"/>
          <w:vertAlign w:val="subscript"/>
        </w:rPr>
        <w:instrText xml:space="preserve"> ADDIN ZOTERO_ITEM CSL_CITATION {"citationID":"aop8koh19q","properties":{"formattedCitation":"\\super 14\\nosupersub{}","plainCitation":"14","noteIndex":0},"citationItems":[{"id":1659,"uris":["http://zotero.org/users/local/OCWppIAO/items/2HCC29WK"],"itemData":{"id":1659,"type":"article-journal","abstract":"RATIONALE: Group 2 innate lymphoid cells (ILC2s) robustly produce IL-5 and IL-13, cytokines central to the asthma phenotype; however, the effect of prostaglandin (PG) I2 on ILC2 function is unknown.\nOBJECTIVES: To determine the effect of PGI2 on mouse and human ILC2 cytokine expression in vitro and the effect of endogenous PGI2 and the PGI2 analog cicaprost on lung ILC2s in vivo.\nMETHODS: Flow-sorted bone marrow ILC2s of wild-type (WT) and PGI2 receptor-deficient (IP(-/-)) mice were cultured with IL-33 and treated with the PGI2 analog cicaprost. WT and IP(-/-) mice were challenged intranasally with Alternaria alternata extract for 4 consecutive days to induce ILC2 responses, and these were quantified. Prior to A. alternata extract, challenged WT mice were treated with cicaprost. Human flow-sorted peripheral blood ILC2s were cultured with IL-33 and IL-2 and treated with the PGI2 analog cicaprost.\nMEASUREMENT AND MAIN RESULTS: We demonstrate that PGI2 inhibits IL-5 and IL-13 protein expression by IL-33-stimulated ILC2s purified from mouse bone marrow in a manner that was dependent on signaling through the PGI2 receptor IP. In a mouse model of 4 consecutive days of airway challenge with an extract of A. alternata, a fungal aeroallergen associated with severe asthma exacerbations, endogenous PGI2 signaling significantly inhibited lung IL-5 and IL-13 protein expression, and reduced the number of lung IL-5- and IL-13-expressing ILC2s, as well as the mean fluorescence intensity of IL-5 and IL-13 staining. In addition, exogenous administration of a PGI2 analog inhibited Alternaria extract-induced lung IL-5 and IL-13 protein expression, and reduced the number of lung IL-5- and IL-13-expressing ILC2s and the mean fluorescence intensity of IL-5 and IL-13 staining. Finally, a PGI2 analog inhibited IL-5 and IL-13 expression by human ILC2s that were stimulated with IL-2 and IL-33.\nCONCLUSIONS: These results suggest that PGI2 may be a potential therapy to reduce the ILC2 response to protease-containing aeroallergens, such as Alternaria.","container-title":"American Journal of Respiratory and Critical Care Medicine","DOI":"10.1164/rccm.201410-1793OC","ISSN":"1535-4970","issue":"1","journalAbbreviation":"Am J Respir Crit Care Med","language":"eng","note":"PMID: 26378386\nPMCID: PMC4731613","page":"31-42","source":"PubMed","title":"Prostaglandin I2 Signaling and Inhibition of Group 2 Innate Lymphoid Cell Responses","volume":"193","author":[{"family":"Zhou","given":"Weisong"},{"family":"Toki","given":"Shinji"},{"family":"Zhang","given":"Jian"},{"family":"Goleniewksa","given":"Kasia"},{"family":"Newcomb","given":"Dawn C."},{"family":"Cephus","given":"Jacqueline Y."},{"family":"Dulek","given":"Daniel E."},{"family":"Bloodworth","given":"Melissa H."},{"family":"Stier","given":"Matthew T."},{"family":"Polosuhkin","given":"Vasiliy"},{"family":"Gangula","given":"Rama D."},{"family":"Mallal","given":"Simon A."},{"family":"Broide","given":"David H."},{"family":"Peebles","given":"R. Stokes"}],"issued":{"date-parts":[["2016",1,1]]}}}],"schema":"https://github.com/citation-style-language/schema/raw/master/csl-citation.json"} </w:instrText>
      </w:r>
      <w:r w:rsidR="00F2700F" w:rsidRPr="00726423">
        <w:rPr>
          <w:rFonts w:ascii="Arial" w:hAnsi="Arial" w:cs="Arial"/>
          <w:color w:val="000000" w:themeColor="text1"/>
          <w:sz w:val="22"/>
          <w:szCs w:val="22"/>
          <w:vertAlign w:val="subscript"/>
        </w:rPr>
        <w:fldChar w:fldCharType="separate"/>
      </w:r>
      <w:r w:rsidR="00361359" w:rsidRPr="00361359">
        <w:rPr>
          <w:rFonts w:ascii="Arial" w:hAnsi="Arial" w:cs="Arial"/>
          <w:color w:val="000000"/>
          <w:sz w:val="22"/>
          <w:vertAlign w:val="superscript"/>
        </w:rPr>
        <w:t>14</w:t>
      </w:r>
      <w:r w:rsidR="00F2700F" w:rsidRPr="00726423">
        <w:rPr>
          <w:rFonts w:ascii="Arial" w:hAnsi="Arial" w:cs="Arial"/>
          <w:color w:val="000000" w:themeColor="text1"/>
          <w:sz w:val="22"/>
          <w:szCs w:val="22"/>
          <w:vertAlign w:val="subscript"/>
        </w:rPr>
        <w:fldChar w:fldCharType="end"/>
      </w:r>
      <w:r w:rsidR="004915B7" w:rsidRPr="00726423">
        <w:rPr>
          <w:rFonts w:ascii="Arial" w:hAnsi="Arial" w:cs="Arial"/>
          <w:color w:val="000000" w:themeColor="text1"/>
          <w:sz w:val="22"/>
          <w:szCs w:val="22"/>
        </w:rPr>
        <w:t xml:space="preserve">, </w:t>
      </w:r>
      <w:r w:rsidR="001B2CC1" w:rsidRPr="00726423">
        <w:rPr>
          <w:rFonts w:ascii="Arial" w:hAnsi="Arial" w:cs="Arial"/>
          <w:color w:val="000000" w:themeColor="text1"/>
          <w:sz w:val="22"/>
          <w:szCs w:val="22"/>
        </w:rPr>
        <w:t>β2-adrenergic receptor</w:t>
      </w:r>
      <w:r w:rsidR="004915B7" w:rsidRPr="00726423">
        <w:rPr>
          <w:rFonts w:ascii="Arial" w:hAnsi="Arial" w:cs="Arial"/>
          <w:color w:val="000000" w:themeColor="text1"/>
          <w:sz w:val="22"/>
          <w:szCs w:val="22"/>
        </w:rPr>
        <w:t xml:space="preserve"> agonist</w:t>
      </w:r>
      <w:r w:rsidR="00F2700F" w:rsidRPr="00726423">
        <w:rPr>
          <w:rFonts w:ascii="Arial" w:hAnsi="Arial" w:cs="Arial"/>
          <w:color w:val="000000" w:themeColor="text1"/>
          <w:sz w:val="22"/>
          <w:szCs w:val="22"/>
        </w:rPr>
        <w:t xml:space="preserve"> (e.g., norepinephrine)</w:t>
      </w:r>
      <w:r w:rsidR="00F2700F"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{"citationID":"am3mpdab72","properties":{"formattedCitation":"\\super 48\\nosupersub{}","plainCitation":"48","noteIndex":0},"citationItems":[{"id":1739,"uris":["http://zotero.org/users/local/OCWppIAO/items/DG74JZNR"],"itemData":{"id":1739,"type":"article-journal","abstract":"The type 2 inflammatory response is induced by various environmental and infectious stimuli. Although recent studies identified group 2 innate lymphoid cells (ILC2s) as potent sources of type 2 cytokines, the molecular pathways controlling ILC2 responses are incompletely defined. Here we demonstrate that murine ILC2s express the β2-adrenergic receptor (β2AR) and colocalize with adrenergic neurons in the intestine. β2AR deficiency resulted in exaggerated ILC2 responses and type 2 inflammation in intestinal and lung tissues. Conversely, β2AR agonist treatment was associated with impaired ILC2 responses and reduced inflammation in vivo. Mechanistically, we demonstrate that the β2AR pathway is a cell-intrinsic negative regulator of ILC2 responses through inhibition of cell proliferation and effector function. Collectively, these data provide the first evidence of a neuronal-derived regulatory circuit that limits ILC2-dependent type 2 inflammation.","container-title":"Science (New York, N.Y.)","DOI":"10.1126/science.aan4829","ISSN":"1095-9203","issue":"6379","journalAbbreviation":"Science","language":"eng","note":"PMID: 29496881","page":"1056-1061","source":"PubMed","title":"β2-adrenergic receptor-mediated negative regulation of group 2 innate lymphoid cell responses","volume":"359","author":[{"family":"Moriyama","given":"Saya"},{"family":"Brestoff","given":"Jonathan R."},{"family":"Flamar","given":"Anne-Laure"},{"family":"Moeller","given":"Jesper B."},{"family":"Klose","given":"Christoph S. N."},{"family":"Rankin","given":"Lucille C."},{"family":"Yudanin","given":"Naomi A."},{"family":"Monticelli","given":"Laurel A."},{"family":"Putzel","given":"Gregory Garbès"},{"family":"Rodewald","given":"Hans-Reimer"},{"family":"Artis","given":"David"}],"issued":{"date-parts":[["2018",3,2]]}}}],"schema":"https://github.com/citation-style-language/schema/raw/master/csl-citation.json"} </w:instrText>
      </w:r>
      <w:r w:rsidR="00F2700F"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48</w:t>
      </w:r>
      <w:r w:rsidR="00F2700F" w:rsidRPr="00726423">
        <w:rPr>
          <w:rFonts w:ascii="Arial" w:hAnsi="Arial" w:cs="Arial"/>
          <w:color w:val="000000" w:themeColor="text1"/>
          <w:sz w:val="22"/>
          <w:szCs w:val="22"/>
        </w:rPr>
        <w:fldChar w:fldCharType="end"/>
      </w:r>
      <w:r w:rsidR="004915B7" w:rsidRPr="00726423">
        <w:rPr>
          <w:rFonts w:ascii="Arial" w:hAnsi="Arial" w:cs="Arial"/>
          <w:color w:val="000000" w:themeColor="text1"/>
          <w:sz w:val="22"/>
          <w:szCs w:val="22"/>
        </w:rPr>
        <w:t xml:space="preserve">, </w:t>
      </w:r>
      <w:r w:rsidR="00F2700F" w:rsidRPr="00726423">
        <w:rPr>
          <w:rFonts w:ascii="Arial" w:hAnsi="Arial" w:cs="Arial"/>
          <w:color w:val="000000" w:themeColor="text1"/>
          <w:sz w:val="22"/>
          <w:szCs w:val="22"/>
        </w:rPr>
        <w:t xml:space="preserve">and </w:t>
      </w:r>
      <w:proofErr w:type="spellStart"/>
      <w:r w:rsidR="00F2700F" w:rsidRPr="00726423">
        <w:rPr>
          <w:rFonts w:ascii="Arial" w:hAnsi="Arial" w:cs="Arial"/>
          <w:color w:val="000000" w:themeColor="text1"/>
          <w:sz w:val="22"/>
          <w:szCs w:val="22"/>
        </w:rPr>
        <w:t>calca</w:t>
      </w:r>
      <w:proofErr w:type="spellEnd"/>
      <w:r w:rsidR="00F2700F" w:rsidRPr="00726423">
        <w:rPr>
          <w:rFonts w:ascii="Arial" w:hAnsi="Arial" w:cs="Arial"/>
          <w:color w:val="000000" w:themeColor="text1"/>
          <w:sz w:val="22"/>
          <w:szCs w:val="22"/>
        </w:rPr>
        <w:t>-encoding calcitonin gene-related peptide</w:t>
      </w:r>
      <w:r w:rsidR="00F2700F"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{"citationID":"a2joaei1sr","properties":{"formattedCitation":"\\super 35\\nosupersub{}","plainCitation":"35","noteIndex":0},"citationItems":[{"id":1674,"uris":["http://zotero.org/users/local/OCWppIAO/items/BGHMASSZ"],"itemData":{"id":1674,"type":"article-journal","abstract":"Innate lymphocytes maintain tissue homeostasis at mucosal barriers, with group 2 innate lymphoid cells (ILC2s) producing type 2 cytokines and controlling helminth infection. While the molecular understanding of ILC2 responses has advanced, the complexity of microenvironmental factors impacting ILC2s is becoming increasingly apparent. Herein, we used single-cell analysis to explore the diversity of gene expression among lung lymphocytes during helminth infection. Following infection, we identified a subset of ILC2s that preferentially expressed Il5-encoding interleukin (IL)-5, together with Calca-encoding calcitonin gene-related peptide (CGRP) and its cognate receptor components. CGRP in concert with IL-33 and neuromedin U (NMU) supported IL-5 but constrained IL-13 expression and ILC2 proliferation. Without CGRP signaling, ILC2 responses and worm expulsion were enhanced. Collectively, these data point to CGRP as a context-dependent negative regulatory factor that shapes innate lymphocyte responses to alarmins and neuropeptides during type 2 innate immune responses.","container-title":"Immunity","DOI":"10.1016/j.immuni.2019.06.009","ISSN":"1097-4180","issue":"4","journalAbbreviation":"Immunity","language":"eng","note":"PMID: 31353223\nPMCID: PMC6801073","page":"682-695.e6","source":"PubMed","title":"Neuropeptide CGRP Limits Group 2 Innate Lymphoid Cell Responses and Constrains Type 2 Inflammation","volume":"51","author":[{"family":"Nagashima","given":"Hiroyuki"},{"family":"Mahlakõiv","given":"Tanel"},{"family":"Shih","given":"Han-Yu"},{"family":"Davis","given":"Fred P."},{"family":"Meylan","given":"Francoise"},{"family":"Huang","given":"Yuefeng"},{"family":"Harrison","given":"Oliver J."},{"family":"Yao","given":"Chen"},{"family":"Mikami","given":"Yohei"},{"family":"Urban","given":"Joseph F."},{"family":"Caron","given":"Kathleen M."},{"family":"Belkaid","given":"Yasmine"},{"family":"Kanno","given":"Yuka"},{"family":"Artis","given":"David"},{"family":"O'Shea","given":"John J."}],"issued":{"date-parts":[["2019",10,15]]}}}],"schema":"https://github.com/citation-style-language/schema/raw/master/csl-citation.json"} </w:instrText>
      </w:r>
      <w:r w:rsidR="00F2700F"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35</w:t>
      </w:r>
      <w:r w:rsidR="00F2700F" w:rsidRPr="00726423">
        <w:rPr>
          <w:rFonts w:ascii="Arial" w:hAnsi="Arial" w:cs="Arial"/>
          <w:color w:val="000000" w:themeColor="text1"/>
          <w:sz w:val="22"/>
          <w:szCs w:val="22"/>
        </w:rPr>
        <w:fldChar w:fldCharType="end"/>
      </w:r>
      <w:r w:rsidR="008D0A10" w:rsidRPr="008D0A10">
        <w:rPr>
          <w:rFonts w:ascii="Arial" w:hAnsi="Arial" w:cs="Arial"/>
          <w:color w:val="000000" w:themeColor="text1"/>
          <w:sz w:val="22"/>
          <w:szCs w:val="22"/>
          <w:vertAlign w:val="superscript"/>
        </w:rPr>
        <w:t>,</w:t>
      </w:r>
      <w:r w:rsidR="00F2700F"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{"citationID":"a1h01s21jag","properties":{"formattedCitation":"\\super 49\\nosupersub{}","plainCitation":"49","noteIndex":0},"citationItems":[{"id":1741,"uris":["http://zotero.org/users/local/OCWppIAO/items/4DKICIYL"],"itemData":{"id":1741,"type":"article-journal","abstract":"Signaling abnormalities in immune responses in the small intestine can trigger chronic type 2 inflammation involving interaction of multiple immune cell types. To systematically characterize this response, we analyzed 58,067 immune cells from the mouse small intestine by single-cell RNA sequencing (scRNA-seq) at steady state and after induction of a type 2 inflammatory reaction to ovalbumin (OVA). Computational analysis revealed broad shifts in both cell-type composition and cell programs in response to the inflammation, especially in group 2 innate lymphoid cells (ILC2s). Inflammation induced the expression of exon 5 of Calca, which encodes the alpha-calcitonin gene-related peptide (α-CGRP), in intestinal KLRG1+ ILC2s. α-CGRP antagonized KLRG1+ ILC2s proliferation but promoted IL-5 expression. Genetic perturbation of α-CGRP increased the proportion of intestinal KLRG1+ ILC2s. Our work highlights a model where α-CGRP-mediated neuronal signaling is critical for suppressing ILC2 expansion and maintaining homeostasis of the type 2 immune machinery.","container-title":"Immunity","DOI":"10.1016/j.immuni.2019.09.004","ISSN":"1097-4180","issue":"4","journalAbbreviation":"Immunity","language":"eng","note":"PMID: 31618654\nPMCID: PMC6991097","page":"696-708.e9","source":"PubMed","title":"Transcriptional Atlas of Intestinal Immune Cells Reveals that Neuropeptide α-CGRP Modulates Group 2 Innate Lymphoid Cell Responses","volume":"51","author":[{"family":"Xu","given":"Heping"},{"family":"Ding","given":"Jiarui"},{"family":"Porter","given":"Caroline B. M."},{"family":"Wallrapp","given":"Antonia"},{"family":"Tabaka","given":"Marcin"},{"family":"Ma","given":"Sai"},{"family":"Fu","given":"Shujie"},{"family":"Guo","given":"Xuanxuan"},{"family":"Riesenfeld","given":"Samantha J."},{"family":"Su","given":"Chienwen"},{"family":"Dionne","given":"Danielle"},{"family":"Nguyen","given":"Lan T."},{"family":"Lefkovith","given":"Ariel"},{"family":"Ashenberg","given":"Orr"},{"family":"Burkett","given":"Patrick R."},{"family":"Shi","given":"Hai Ning"},{"family":"Rozenblatt-Rosen","given":"Orit"},{"family":"Graham","given":"Daniel B."},{"family":"Kuchroo","given":"Vijay K."},{"family":"Regev","given":"Aviv"},{"family":"Xavier","given":"Ramnik J."}],"issued":{"date-parts":[["2019",10,15]]}}}],"schema":"https://github.com/citation-style-language/schema/raw/master/csl-citation.json"} </w:instrText>
      </w:r>
      <w:r w:rsidR="00F2700F"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49</w:t>
      </w:r>
      <w:r w:rsidR="00F2700F" w:rsidRPr="00726423">
        <w:rPr>
          <w:rFonts w:ascii="Arial" w:hAnsi="Arial" w:cs="Arial"/>
          <w:color w:val="000000" w:themeColor="text1"/>
          <w:sz w:val="22"/>
          <w:szCs w:val="22"/>
        </w:rPr>
        <w:fldChar w:fldCharType="end"/>
      </w:r>
      <w:r w:rsidR="008D0A10" w:rsidRPr="008D0A10">
        <w:rPr>
          <w:rFonts w:ascii="Arial" w:hAnsi="Arial" w:cs="Arial"/>
          <w:color w:val="000000" w:themeColor="text1"/>
          <w:sz w:val="22"/>
          <w:szCs w:val="22"/>
          <w:vertAlign w:val="superscript"/>
        </w:rPr>
        <w:t>,</w:t>
      </w:r>
      <w:r w:rsidR="009075C8"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{"citationID":"a1db2o35h6e","properties":{"formattedCitation":"\\super 50\\nosupersub{}","plainCitation":"50","noteIndex":0},"citationItems":[{"id":1744,"uris":["http://zotero.org/users/local/OCWppIAO/items/NRXN7X4K"],"itemData":{"id":1744,"type":"article-journal","abstract":"Neuroimmune interactions have emerged as critical modulators of allergic inflammation, and type 2 innate lymphoid cells (ILC2s) are an important cell type for mediating these interactions. Here, we show that ILC2s expressed both the neuropeptide calcitonin gene-related peptide (CGRP) and its receptor. CGRP potently inhibited alarmin-driven type 2 cytokine production and proliferation by lung ILC2s both in vitro and in vivo. CGRP induced marked changes in ILC2 expression programs in vivo and in vitro, attenuating alarmin-driven proliferative and effector responses. A distinct subset of ILCs scored highly for a CGRP-specific gene signature after in vivo alarmin stimulation, suggesting CGRP regulated this response. Finally, we observed increased ILC2 proliferation and type 2 cytokine production as well as exaggerated responses to alarmins in mice lacking the CGRP receptor. Together, these data indicate that endogenous CGRP is a critical negative regulator of ILC2 responses in vivo.","container-title":"Immunity","DOI":"10.1016/j.immuni.2019.09.005","ISSN":"1097-4180","issue":"4","journalAbbreviation":"Immunity","language":"eng","note":"PMID: 31604686\nPMCID: PMC7076585","page":"709-723.e6","source":"PubMed","title":"Calcitonin Gene-Related Peptide Negatively Regulates Alarmin-Driven Type 2 Innate Lymphoid Cell Responses","volume":"51","author":[{"family":"Wallrapp","given":"Antonia"},{"family":"Burkett","given":"Patrick R."},{"family":"Riesenfeld","given":"Samantha J."},{"family":"Kim","given":"Se-Jin"},{"family":"Christian","given":"Elena"},{"family":"Abdulnour","given":"Raja-Elie E."},{"family":"Thakore","given":"Pratiksha I."},{"family":"Schnell","given":"Alexandra"},{"family":"Lambden","given":"Conner"},{"family":"Herbst","given":"Rebecca H."},{"family":"Khan","given":"Pavana"},{"family":"Tsujikawa","given":"Kazutake"},{"family":"Xavier","given":"Ramnik J."},{"family":"Chiu","given":"Isaac M."},{"family":"Levy","given":"Bruce D."},{"family":"Regev","given":"Aviv"},{"family":"Kuchroo","given":"Vijay K."}],"issued":{"date-parts":[["2019",10,15]]}}}],"schema":"https://github.com/citation-style-language/schema/raw/master/csl-citation.json"} </w:instrText>
      </w:r>
      <w:r w:rsidR="009075C8"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50</w:t>
      </w:r>
      <w:r w:rsidR="009075C8" w:rsidRPr="00726423">
        <w:rPr>
          <w:rFonts w:ascii="Arial" w:hAnsi="Arial" w:cs="Arial"/>
          <w:color w:val="000000" w:themeColor="text1"/>
          <w:sz w:val="22"/>
          <w:szCs w:val="22"/>
        </w:rPr>
        <w:fldChar w:fldCharType="end"/>
      </w:r>
      <w:r w:rsidR="00F2700F" w:rsidRPr="00726423">
        <w:rPr>
          <w:rFonts w:ascii="Arial" w:hAnsi="Arial" w:cs="Arial"/>
          <w:color w:val="000000" w:themeColor="text1"/>
          <w:sz w:val="22"/>
          <w:szCs w:val="22"/>
        </w:rPr>
        <w:t xml:space="preserve"> have </w:t>
      </w:r>
      <w:r w:rsidR="006D14E7" w:rsidRPr="00726423">
        <w:rPr>
          <w:rFonts w:ascii="Arial" w:hAnsi="Arial" w:cs="Arial"/>
          <w:color w:val="000000" w:themeColor="text1"/>
          <w:sz w:val="22"/>
          <w:szCs w:val="22"/>
        </w:rPr>
        <w:t xml:space="preserve">all </w:t>
      </w:r>
      <w:r w:rsidR="00F2700F" w:rsidRPr="00726423">
        <w:rPr>
          <w:rFonts w:ascii="Arial" w:hAnsi="Arial" w:cs="Arial"/>
          <w:color w:val="000000" w:themeColor="text1"/>
          <w:sz w:val="22"/>
          <w:szCs w:val="22"/>
        </w:rPr>
        <w:t xml:space="preserve">been found to suppress ILC2 responses and </w:t>
      </w:r>
      <w:r w:rsidR="006D14E7" w:rsidRPr="00726423">
        <w:rPr>
          <w:rFonts w:ascii="Arial" w:hAnsi="Arial" w:cs="Arial"/>
          <w:color w:val="000000" w:themeColor="text1"/>
          <w:sz w:val="22"/>
          <w:szCs w:val="22"/>
        </w:rPr>
        <w:t xml:space="preserve">indeed </w:t>
      </w:r>
      <w:r w:rsidR="00F2700F" w:rsidRPr="00726423">
        <w:rPr>
          <w:rFonts w:ascii="Arial" w:hAnsi="Arial" w:cs="Arial"/>
          <w:color w:val="000000" w:themeColor="text1"/>
          <w:sz w:val="22"/>
          <w:szCs w:val="22"/>
        </w:rPr>
        <w:t>allergic lung inflammation.</w:t>
      </w:r>
      <w:r w:rsidR="009075C8" w:rsidRPr="00726423">
        <w:rPr>
          <w:rFonts w:ascii="Arial" w:hAnsi="Arial" w:cs="Arial"/>
          <w:color w:val="000000" w:themeColor="text1"/>
          <w:sz w:val="22"/>
          <w:szCs w:val="22"/>
        </w:rPr>
        <w:t xml:space="preserve"> </w:t>
      </w:r>
      <w:r w:rsidRPr="00726423">
        <w:rPr>
          <w:rFonts w:ascii="Arial" w:hAnsi="Arial" w:cs="Arial"/>
          <w:color w:val="000000" w:themeColor="text1"/>
          <w:sz w:val="22"/>
          <w:szCs w:val="22"/>
        </w:rPr>
        <w:t>Our findings of regulation of ILC2 gene expression by the PGE</w:t>
      </w:r>
      <w:r w:rsidRPr="00726423">
        <w:rPr>
          <w:rFonts w:ascii="Arial" w:hAnsi="Arial" w:cs="Arial"/>
          <w:color w:val="000000" w:themeColor="text1"/>
          <w:sz w:val="22"/>
          <w:szCs w:val="22"/>
          <w:vertAlign w:val="subscript"/>
        </w:rPr>
        <w:t>2</w:t>
      </w:r>
      <w:r w:rsidRPr="00726423">
        <w:rPr>
          <w:rFonts w:ascii="Arial" w:hAnsi="Arial" w:cs="Arial"/>
          <w:color w:val="000000" w:themeColor="text1"/>
          <w:sz w:val="22"/>
          <w:szCs w:val="22"/>
        </w:rPr>
        <w:t>-cAMP pathway via IL-33-dependent and IL-33-independent mechanisms suggest that PGE</w:t>
      </w:r>
      <w:r w:rsidRPr="00726423">
        <w:rPr>
          <w:rFonts w:ascii="Arial" w:hAnsi="Arial" w:cs="Arial"/>
          <w:color w:val="000000" w:themeColor="text1"/>
          <w:sz w:val="22"/>
          <w:szCs w:val="22"/>
          <w:vertAlign w:val="subscript"/>
        </w:rPr>
        <w:t>2</w:t>
      </w:r>
      <w:r w:rsidRPr="00726423">
        <w:rPr>
          <w:rFonts w:ascii="Arial" w:hAnsi="Arial" w:cs="Arial"/>
          <w:color w:val="000000" w:themeColor="text1"/>
          <w:sz w:val="22"/>
          <w:szCs w:val="22"/>
        </w:rPr>
        <w:t xml:space="preserve"> may have broad impacts on ILC2-mediated type 2 immune responses. </w:t>
      </w:r>
      <w:r w:rsidR="009075C8" w:rsidRPr="00726423">
        <w:rPr>
          <w:rFonts w:ascii="Arial" w:hAnsi="Arial" w:cs="Arial"/>
          <w:color w:val="000000" w:themeColor="text1"/>
          <w:sz w:val="22"/>
          <w:szCs w:val="22"/>
        </w:rPr>
        <w:t>It is worth not</w:t>
      </w:r>
      <w:r w:rsidR="00922D75" w:rsidRPr="00726423">
        <w:rPr>
          <w:rFonts w:ascii="Arial" w:hAnsi="Arial" w:cs="Arial"/>
          <w:color w:val="000000" w:themeColor="text1"/>
          <w:sz w:val="22"/>
          <w:szCs w:val="22"/>
        </w:rPr>
        <w:t>ing</w:t>
      </w:r>
      <w:r w:rsidR="009075C8" w:rsidRPr="00726423">
        <w:rPr>
          <w:rFonts w:ascii="Arial" w:hAnsi="Arial" w:cs="Arial"/>
          <w:color w:val="000000" w:themeColor="text1"/>
          <w:sz w:val="22"/>
          <w:szCs w:val="22"/>
        </w:rPr>
        <w:t xml:space="preserve"> that </w:t>
      </w:r>
      <w:r w:rsidR="0061015D" w:rsidRPr="00726423">
        <w:rPr>
          <w:rFonts w:ascii="Arial" w:hAnsi="Arial" w:cs="Arial"/>
          <w:color w:val="000000" w:themeColor="text1"/>
          <w:sz w:val="22"/>
          <w:szCs w:val="22"/>
        </w:rPr>
        <w:t xml:space="preserve">although cAMP represses ILC2 activation, it does not inhibit IL-5 expression by ILC2s, which was found in this current </w:t>
      </w:r>
      <w:r w:rsidR="006D14E7" w:rsidRPr="00726423">
        <w:rPr>
          <w:rFonts w:ascii="Arial" w:hAnsi="Arial" w:cs="Arial"/>
          <w:color w:val="000000" w:themeColor="text1"/>
          <w:sz w:val="22"/>
          <w:szCs w:val="22"/>
        </w:rPr>
        <w:t xml:space="preserve">study </w:t>
      </w:r>
      <w:r w:rsidR="0061015D" w:rsidRPr="00726423">
        <w:rPr>
          <w:rFonts w:ascii="Arial" w:hAnsi="Arial" w:cs="Arial"/>
          <w:color w:val="000000" w:themeColor="text1"/>
          <w:sz w:val="22"/>
          <w:szCs w:val="22"/>
        </w:rPr>
        <w:t xml:space="preserve">and </w:t>
      </w:r>
      <w:r w:rsidR="006D14E7" w:rsidRPr="00726423">
        <w:rPr>
          <w:rFonts w:ascii="Arial" w:hAnsi="Arial" w:cs="Arial"/>
          <w:color w:val="000000" w:themeColor="text1"/>
          <w:sz w:val="22"/>
          <w:szCs w:val="22"/>
        </w:rPr>
        <w:t xml:space="preserve">in line with the findings of </w:t>
      </w:r>
      <w:r w:rsidR="0061015D" w:rsidRPr="00726423">
        <w:rPr>
          <w:rFonts w:ascii="Arial" w:hAnsi="Arial" w:cs="Arial"/>
          <w:color w:val="000000" w:themeColor="text1"/>
          <w:sz w:val="22"/>
          <w:szCs w:val="22"/>
        </w:rPr>
        <w:t>other studies</w:t>
      </w:r>
      <w:r w:rsidR="00C92425" w:rsidRPr="00726423">
        <w:rPr>
          <w:rFonts w:ascii="Arial" w:hAnsi="Arial" w:cs="Arial"/>
          <w:color w:val="000000" w:themeColor="text1"/>
          <w:sz w:val="22"/>
          <w:szCs w:val="22"/>
          <w:vertAlign w:val="superscript"/>
        </w:rPr>
        <w:fldChar w:fldCharType="begin"/>
      </w:r>
      <w:r w:rsidR="00361359">
        <w:rPr>
          <w:rFonts w:ascii="Arial" w:hAnsi="Arial" w:cs="Arial"/>
          <w:color w:val="000000" w:themeColor="text1"/>
          <w:sz w:val="22"/>
          <w:szCs w:val="22"/>
          <w:vertAlign w:val="superscript"/>
        </w:rPr>
        <w:instrText xml:space="preserve"> ADDIN ZOTERO_ITEM CSL_CITATION {"citationID":"V13srWCl","properties":{"formattedCitation":"\\super 35\\nosupersub{}","plainCitation":"35","noteIndex":0},"citationItems":[{"id":1674,"uris":["http://zotero.org/users/local/OCWppIAO/items/BGHMASSZ"],"itemData":{"id":1674,"type":"article-journal","abstract":"Innate lymphocytes maintain tissue homeostasis at mucosal barriers, with group 2 innate lymphoid cells (ILC2s) producing type 2 cytokines and controlling helminth infection. While the molecular understanding of ILC2 responses has advanced, the complexity of microenvironmental factors impacting ILC2s is becoming increasingly apparent. Herein, we used single-cell analysis to explore the diversity of gene expression among lung lymphocytes during helminth infection. Following infection, we identified a subset of ILC2s that preferentially expressed Il5-encoding interleukin (IL)-5, together with Calca-encoding calcitonin gene-related peptide (CGRP) and its cognate receptor components. CGRP in concert with IL-33 and neuromedin U (NMU) supported IL-5 but constrained IL-13 expression and ILC2 proliferation. Without CGRP signaling, ILC2 responses and worm expulsion were enhanced. Collectively, these data point to CGRP as a context-dependent negative regulatory factor that shapes innate lymphocyte responses to alarmins and neuropeptides during type 2 innate immune responses.","container-title":"Immunity","DOI":"10.1016/j.immuni.2019.06.009","ISSN":"1097-4180","issue":"4","journalAbbreviation":"Immunity","language":"eng","note":"PMID: 31353223\nPMCID: PMC6801073","page":"682-695.e6","source":"PubMed","title":"Neuropeptide CGRP Limits Group 2 Innate Lymphoid Cell Responses and Constrains Type 2 Inflammation","volume":"51","author":[{"family":"Nagashima","given":"Hiroyuki"},{"family":"Mahlakõiv","given":"Tanel"},{"family":"Shih","given":"Han-Yu"},{"family":"Davis","given":"Fred P."},{"family":"Meylan","given":"Francoise"},{"family":"Huang","given":"Yuefeng"},{"family":"Harrison","given":"Oliver J."},{"family":"Yao","given":"Chen"},{"family":"Mikami","given":"Yohei"},{"family":"Urban","given":"Joseph F."},{"family":"Caron","given":"Kathleen M."},{"family":"Belkaid","given":"Yasmine"},{"family":"Kanno","given":"Yuka"},{"family":"Artis","given":"David"},{"family":"O'Shea","given":"John J."}],"issued":{"date-parts":[["2019",10,15]]}}}],"schema":"https://github.com/citation-style-language/schema/raw/master/csl-citation.json"} </w:instrText>
      </w:r>
      <w:r w:rsidR="00C92425" w:rsidRPr="00726423">
        <w:rPr>
          <w:rFonts w:ascii="Arial" w:hAnsi="Arial" w:cs="Arial"/>
          <w:color w:val="000000" w:themeColor="text1"/>
          <w:sz w:val="22"/>
          <w:szCs w:val="22"/>
          <w:vertAlign w:val="superscript"/>
        </w:rPr>
        <w:fldChar w:fldCharType="separate"/>
      </w:r>
      <w:r w:rsidR="00361359" w:rsidRPr="00361359">
        <w:rPr>
          <w:rFonts w:ascii="Arial" w:hAnsi="Arial" w:cs="Arial"/>
          <w:color w:val="000000"/>
          <w:sz w:val="22"/>
          <w:vertAlign w:val="superscript"/>
        </w:rPr>
        <w:t>35</w:t>
      </w:r>
      <w:r w:rsidR="00C92425" w:rsidRPr="00726423">
        <w:rPr>
          <w:rFonts w:ascii="Arial" w:hAnsi="Arial" w:cs="Arial"/>
          <w:color w:val="000000" w:themeColor="text1"/>
          <w:sz w:val="22"/>
          <w:szCs w:val="22"/>
          <w:vertAlign w:val="superscript"/>
        </w:rPr>
        <w:fldChar w:fldCharType="end"/>
      </w:r>
      <w:r w:rsidR="0061015D" w:rsidRPr="00726423">
        <w:rPr>
          <w:rFonts w:ascii="Arial" w:hAnsi="Arial" w:cs="Arial"/>
          <w:color w:val="000000" w:themeColor="text1"/>
          <w:sz w:val="22"/>
          <w:szCs w:val="22"/>
        </w:rPr>
        <w:t>. Indeed, cAMP was reported to mediate elevation of IL-5 production from homeostatic ILC2s</w:t>
      </w:r>
      <w:r w:rsidR="00751F13"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{"citationID":"aslpcfkphe","properties":{"formattedCitation":"\\super 51\\nosupersub{}","plainCitation":"51","noteIndex":0},"citationItems":[{"id":1750,"uris":["http://zotero.org/users/local/OCWppIAO/items/FI3KCHH4"],"itemData":{"id":1750,"type":"article-journal","abstract":"Eosinophils are specialized myeloid cells associated with allergy and helminth infections. Blood eosinophils demonstrate circadian cycling, as described over 80 years ago, and are abundant in the healthy gastrointestinal tract. Although a cytokine, interleukin (IL)-5, and chemokines such as eotaxins, mediate eosinophil development and survival, and tissue recruitment, respectively, the processes underlying the basal regulation of these signals remain unknown. Here, we show that serum IL-5 is maintained by long-lived type 2 innate lymphoid cells (ILC2) resident in peripheral tissues. ILC2 secrete IL-5 constitutively and are induced to co-express IL-13 during type 2 inflammation, resulting in localized eotaxin production and eosinophil accumulation. In the small intestine where eosinophils and eotaxin are constitutive, ILC2 co-express IL-5 and IL-13, which is enhanced after caloric intake. The circadian synchronizer vasoactive intestinal peptide (VIP) also stimulates ILC2 through the VPAC2 receptor to release IL-5, linking eosinophil levels with metabolic cycling. Tissue ILC2 regulate basal eosinophilopoiesis and tissue eosinophil accumulation through constitutive and stimulated cytokine expression, and this dissociated regulation can be tuned by nutrient intake and central circadian rhythms.","container-title":"Nature","DOI":"10.1038/nature12526","ISSN":"0028-0836","issue":"7470","journalAbbreviation":"Nature","note":"PMID: 24037376\nPMCID: PMC3795960","page":"245-248","source":"PubMed Central","title":"Type 2 innate lymphoid cells control eosinophil homeostasis","volume":"502","author":[{"family":"Nussbaum","given":"Jesse C."},{"family":"Van Dyken","given":"Steven J."},{"family":"Moltke","given":"Jakob","non-dropping-particle":"von"},{"family":"Cheng","given":"Laurence E."},{"family":"Mohapatra","given":"Alexander"},{"family":"Molofsky","given":"Ari B."},{"family":"Thornton","given":"Emily E."},{"family":"Krummel","given":"Matthew F."},{"family":"Chawla","given":"Ajay"},{"family":"Liang","given":"Hong-Erh"},{"family":"Locksley","given":"Richard M."}],"issued":{"date-parts":[["2013",10,10]]}}}],"schema":"https://github.com/citation-style-language/schema/raw/master/csl-citation.json"} </w:instrText>
      </w:r>
      <w:r w:rsidR="00751F13"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51</w:t>
      </w:r>
      <w:r w:rsidR="00751F13" w:rsidRPr="00726423">
        <w:rPr>
          <w:rFonts w:ascii="Arial" w:hAnsi="Arial" w:cs="Arial"/>
          <w:color w:val="000000" w:themeColor="text1"/>
          <w:sz w:val="22"/>
          <w:szCs w:val="22"/>
        </w:rPr>
        <w:fldChar w:fldCharType="end"/>
      </w:r>
      <w:r w:rsidR="0061015D" w:rsidRPr="00726423">
        <w:rPr>
          <w:rFonts w:ascii="Arial" w:hAnsi="Arial" w:cs="Arial"/>
          <w:color w:val="000000" w:themeColor="text1"/>
          <w:sz w:val="22"/>
          <w:szCs w:val="22"/>
        </w:rPr>
        <w:t>.</w:t>
      </w:r>
    </w:p>
    <w:p w14:paraId="7020643A" w14:textId="77777777" w:rsidR="00DC6D96" w:rsidRPr="00726423" w:rsidRDefault="00DC6D96" w:rsidP="00AF01E8">
      <w:pPr>
        <w:spacing w:line="480" w:lineRule="auto"/>
        <w:jc w:val="both"/>
        <w:rPr>
          <w:rFonts w:ascii="Arial" w:hAnsi="Arial" w:cs="Arial"/>
          <w:color w:val="000000" w:themeColor="text1"/>
          <w:sz w:val="22"/>
          <w:szCs w:val="22"/>
          <w:highlight w:val="yellow"/>
        </w:rPr>
      </w:pPr>
    </w:p>
    <w:p w14:paraId="2089DDDE" w14:textId="2CBFCDF4" w:rsidR="00A70C69" w:rsidRPr="00726423" w:rsidRDefault="00654805" w:rsidP="00AF01E8">
      <w:pPr>
        <w:spacing w:line="480" w:lineRule="auto"/>
        <w:jc w:val="both"/>
        <w:rPr>
          <w:rFonts w:ascii="Arial" w:hAnsi="Arial" w:cs="Arial"/>
          <w:color w:val="000000" w:themeColor="text1"/>
          <w:sz w:val="22"/>
          <w:szCs w:val="22"/>
        </w:rPr>
      </w:pPr>
      <w:r w:rsidRPr="00726423">
        <w:rPr>
          <w:rFonts w:ascii="Arial" w:hAnsi="Arial" w:cs="Arial"/>
          <w:color w:val="000000" w:themeColor="text1"/>
          <w:sz w:val="22"/>
          <w:szCs w:val="22"/>
        </w:rPr>
        <w:t>Current</w:t>
      </w:r>
      <w:r w:rsidR="00E55530" w:rsidRPr="00726423">
        <w:rPr>
          <w:rFonts w:ascii="Arial" w:hAnsi="Arial" w:cs="Arial"/>
          <w:color w:val="000000" w:themeColor="text1"/>
          <w:sz w:val="22"/>
          <w:szCs w:val="22"/>
        </w:rPr>
        <w:t xml:space="preserve"> treatment</w:t>
      </w:r>
      <w:r w:rsidRPr="00726423">
        <w:rPr>
          <w:rFonts w:ascii="Arial" w:hAnsi="Arial" w:cs="Arial"/>
          <w:color w:val="000000" w:themeColor="text1"/>
          <w:sz w:val="22"/>
          <w:szCs w:val="22"/>
        </w:rPr>
        <w:t>s</w:t>
      </w:r>
      <w:r w:rsidR="00E55530" w:rsidRPr="00726423">
        <w:rPr>
          <w:rFonts w:ascii="Arial" w:hAnsi="Arial" w:cs="Arial"/>
          <w:color w:val="000000" w:themeColor="text1"/>
          <w:sz w:val="22"/>
          <w:szCs w:val="22"/>
        </w:rPr>
        <w:t xml:space="preserve"> </w:t>
      </w:r>
      <w:r w:rsidRPr="00726423">
        <w:rPr>
          <w:rFonts w:ascii="Arial" w:hAnsi="Arial" w:cs="Arial"/>
          <w:color w:val="000000" w:themeColor="text1"/>
          <w:sz w:val="22"/>
          <w:szCs w:val="22"/>
        </w:rPr>
        <w:t xml:space="preserve">do not </w:t>
      </w:r>
      <w:r w:rsidR="00E55530" w:rsidRPr="00726423">
        <w:rPr>
          <w:rFonts w:ascii="Arial" w:hAnsi="Arial" w:cs="Arial"/>
          <w:color w:val="000000" w:themeColor="text1"/>
          <w:sz w:val="22"/>
          <w:szCs w:val="22"/>
        </w:rPr>
        <w:t>provid</w:t>
      </w:r>
      <w:r w:rsidR="00660E2B" w:rsidRPr="00726423">
        <w:rPr>
          <w:rFonts w:ascii="Arial" w:hAnsi="Arial" w:cs="Arial"/>
          <w:color w:val="000000" w:themeColor="text1"/>
          <w:sz w:val="22"/>
          <w:szCs w:val="22"/>
        </w:rPr>
        <w:t>e</w:t>
      </w:r>
      <w:r w:rsidR="00E55530" w:rsidRPr="00726423">
        <w:rPr>
          <w:rFonts w:ascii="Arial" w:hAnsi="Arial" w:cs="Arial"/>
          <w:color w:val="000000" w:themeColor="text1"/>
          <w:sz w:val="22"/>
          <w:szCs w:val="22"/>
        </w:rPr>
        <w:t xml:space="preserve"> a cure for asthma</w:t>
      </w:r>
      <w:r w:rsidRPr="00726423">
        <w:rPr>
          <w:rFonts w:ascii="Arial" w:hAnsi="Arial" w:cs="Arial"/>
          <w:color w:val="000000" w:themeColor="text1"/>
          <w:sz w:val="22"/>
          <w:szCs w:val="22"/>
        </w:rPr>
        <w:t xml:space="preserve"> and</w:t>
      </w:r>
      <w:r w:rsidR="00E55530" w:rsidRPr="00726423">
        <w:rPr>
          <w:rFonts w:ascii="Arial" w:hAnsi="Arial" w:cs="Arial"/>
          <w:color w:val="000000" w:themeColor="text1"/>
          <w:sz w:val="22"/>
          <w:szCs w:val="22"/>
        </w:rPr>
        <w:t xml:space="preserve"> </w:t>
      </w:r>
      <w:r w:rsidR="00C92425" w:rsidRPr="00726423">
        <w:rPr>
          <w:rFonts w:ascii="Arial" w:hAnsi="Arial" w:cs="Arial"/>
          <w:color w:val="000000" w:themeColor="text1"/>
          <w:sz w:val="22"/>
          <w:szCs w:val="22"/>
        </w:rPr>
        <w:t>in the case of</w:t>
      </w:r>
      <w:r w:rsidRPr="00726423">
        <w:rPr>
          <w:rFonts w:ascii="Arial" w:hAnsi="Arial" w:cs="Arial"/>
          <w:color w:val="000000" w:themeColor="text1"/>
          <w:sz w:val="22"/>
          <w:szCs w:val="22"/>
        </w:rPr>
        <w:t xml:space="preserve"> </w:t>
      </w:r>
      <w:r w:rsidR="00E55530" w:rsidRPr="00726423">
        <w:rPr>
          <w:rFonts w:ascii="Arial" w:hAnsi="Arial" w:cs="Arial"/>
          <w:color w:val="000000" w:themeColor="text1"/>
          <w:sz w:val="22"/>
          <w:szCs w:val="22"/>
        </w:rPr>
        <w:t>NERD</w:t>
      </w:r>
      <w:r w:rsidRPr="00726423">
        <w:rPr>
          <w:rFonts w:ascii="Arial" w:hAnsi="Arial" w:cs="Arial"/>
          <w:color w:val="000000" w:themeColor="text1"/>
          <w:sz w:val="22"/>
          <w:szCs w:val="22"/>
        </w:rPr>
        <w:t xml:space="preserve"> patients</w:t>
      </w:r>
      <w:r w:rsidR="00C92425" w:rsidRPr="00726423">
        <w:rPr>
          <w:rFonts w:ascii="Arial" w:hAnsi="Arial" w:cs="Arial"/>
          <w:color w:val="000000" w:themeColor="text1"/>
          <w:sz w:val="22"/>
          <w:szCs w:val="22"/>
        </w:rPr>
        <w:t>, such treatments</w:t>
      </w:r>
      <w:r w:rsidRPr="00726423">
        <w:rPr>
          <w:rFonts w:ascii="Arial" w:hAnsi="Arial" w:cs="Arial"/>
          <w:color w:val="000000" w:themeColor="text1"/>
          <w:sz w:val="22"/>
          <w:szCs w:val="22"/>
        </w:rPr>
        <w:t xml:space="preserve"> may not be effective.</w:t>
      </w:r>
      <w:r w:rsidR="00E55530" w:rsidRPr="00726423">
        <w:rPr>
          <w:rFonts w:ascii="Arial" w:hAnsi="Arial" w:cs="Arial"/>
          <w:color w:val="000000" w:themeColor="text1"/>
          <w:sz w:val="22"/>
          <w:szCs w:val="22"/>
        </w:rPr>
        <w:t xml:space="preserve"> </w:t>
      </w:r>
      <w:r w:rsidR="00660E2B" w:rsidRPr="00726423">
        <w:rPr>
          <w:rFonts w:ascii="Arial" w:hAnsi="Arial" w:cs="Arial"/>
          <w:color w:val="000000" w:themeColor="text1"/>
          <w:sz w:val="22"/>
          <w:szCs w:val="22"/>
        </w:rPr>
        <w:t xml:space="preserve">Our work </w:t>
      </w:r>
      <w:r w:rsidRPr="00726423">
        <w:rPr>
          <w:rFonts w:ascii="Arial" w:hAnsi="Arial" w:cs="Arial"/>
          <w:color w:val="000000" w:themeColor="text1"/>
          <w:sz w:val="22"/>
          <w:szCs w:val="22"/>
        </w:rPr>
        <w:t>highlight</w:t>
      </w:r>
      <w:r w:rsidR="00660E2B" w:rsidRPr="00726423">
        <w:rPr>
          <w:rFonts w:ascii="Arial" w:hAnsi="Arial" w:cs="Arial"/>
          <w:color w:val="000000" w:themeColor="text1"/>
          <w:sz w:val="22"/>
          <w:szCs w:val="22"/>
        </w:rPr>
        <w:t xml:space="preserve">s </w:t>
      </w:r>
      <w:r w:rsidR="00B47FBA" w:rsidRPr="00726423">
        <w:rPr>
          <w:rFonts w:ascii="Arial" w:hAnsi="Arial" w:cs="Arial"/>
          <w:color w:val="000000" w:themeColor="text1"/>
          <w:sz w:val="22"/>
          <w:szCs w:val="22"/>
        </w:rPr>
        <w:t>the EP4-cAMP pathway</w:t>
      </w:r>
      <w:r w:rsidRPr="00726423">
        <w:rPr>
          <w:rFonts w:ascii="Arial" w:hAnsi="Arial" w:cs="Arial"/>
          <w:color w:val="000000" w:themeColor="text1"/>
          <w:sz w:val="22"/>
          <w:szCs w:val="22"/>
        </w:rPr>
        <w:t xml:space="preserve"> as a potential therapeutic target for asthma and </w:t>
      </w:r>
      <w:r w:rsidR="00C92425" w:rsidRPr="00726423">
        <w:rPr>
          <w:rFonts w:ascii="Arial" w:hAnsi="Arial" w:cs="Arial"/>
          <w:color w:val="000000" w:themeColor="text1"/>
          <w:sz w:val="22"/>
          <w:szCs w:val="22"/>
        </w:rPr>
        <w:t xml:space="preserve">in particular for </w:t>
      </w:r>
      <w:r w:rsidRPr="00726423">
        <w:rPr>
          <w:rFonts w:ascii="Arial" w:hAnsi="Arial" w:cs="Arial"/>
          <w:color w:val="000000" w:themeColor="text1"/>
          <w:sz w:val="22"/>
          <w:szCs w:val="22"/>
        </w:rPr>
        <w:t>NERD</w:t>
      </w:r>
      <w:r w:rsidR="00C92425" w:rsidRPr="00726423">
        <w:rPr>
          <w:rFonts w:ascii="Arial" w:hAnsi="Arial" w:cs="Arial"/>
          <w:color w:val="000000" w:themeColor="text1"/>
          <w:sz w:val="22"/>
          <w:szCs w:val="22"/>
        </w:rPr>
        <w:t>,</w:t>
      </w:r>
      <w:r w:rsidRPr="00726423">
        <w:rPr>
          <w:rFonts w:ascii="Arial" w:hAnsi="Arial" w:cs="Arial"/>
          <w:color w:val="000000" w:themeColor="text1"/>
          <w:sz w:val="22"/>
          <w:szCs w:val="22"/>
        </w:rPr>
        <w:t xml:space="preserve"> </w:t>
      </w:r>
      <w:r w:rsidR="00C92425" w:rsidRPr="00726423">
        <w:rPr>
          <w:rFonts w:ascii="Arial" w:hAnsi="Arial" w:cs="Arial"/>
          <w:color w:val="000000" w:themeColor="text1"/>
          <w:sz w:val="22"/>
          <w:szCs w:val="22"/>
        </w:rPr>
        <w:t>where</w:t>
      </w:r>
      <w:r w:rsidRPr="00726423">
        <w:rPr>
          <w:rFonts w:ascii="Arial" w:hAnsi="Arial" w:cs="Arial"/>
          <w:color w:val="000000" w:themeColor="text1"/>
          <w:sz w:val="22"/>
          <w:szCs w:val="22"/>
        </w:rPr>
        <w:t xml:space="preserve"> small molecules </w:t>
      </w:r>
      <w:r w:rsidR="00C92425" w:rsidRPr="00726423">
        <w:rPr>
          <w:rFonts w:ascii="Arial" w:hAnsi="Arial" w:cs="Arial"/>
          <w:color w:val="000000" w:themeColor="text1"/>
          <w:sz w:val="22"/>
          <w:szCs w:val="22"/>
        </w:rPr>
        <w:t xml:space="preserve">that harness </w:t>
      </w:r>
      <w:r w:rsidR="00B47FBA" w:rsidRPr="00726423">
        <w:rPr>
          <w:rFonts w:ascii="Arial" w:hAnsi="Arial" w:cs="Arial"/>
          <w:color w:val="000000" w:themeColor="text1"/>
          <w:sz w:val="22"/>
          <w:szCs w:val="22"/>
        </w:rPr>
        <w:t>activati</w:t>
      </w:r>
      <w:r w:rsidR="00C92425" w:rsidRPr="00726423">
        <w:rPr>
          <w:rFonts w:ascii="Arial" w:hAnsi="Arial" w:cs="Arial"/>
          <w:color w:val="000000" w:themeColor="text1"/>
          <w:sz w:val="22"/>
          <w:szCs w:val="22"/>
        </w:rPr>
        <w:t>on of</w:t>
      </w:r>
      <w:r w:rsidR="00B47FBA" w:rsidRPr="00726423">
        <w:rPr>
          <w:rFonts w:ascii="Arial" w:hAnsi="Arial" w:cs="Arial"/>
          <w:color w:val="000000" w:themeColor="text1"/>
          <w:sz w:val="22"/>
          <w:szCs w:val="22"/>
        </w:rPr>
        <w:t xml:space="preserve"> </w:t>
      </w:r>
      <w:r w:rsidR="00660E2B" w:rsidRPr="00726423">
        <w:rPr>
          <w:rFonts w:ascii="Arial" w:hAnsi="Arial" w:cs="Arial"/>
          <w:color w:val="000000" w:themeColor="text1"/>
          <w:sz w:val="22"/>
          <w:szCs w:val="22"/>
        </w:rPr>
        <w:t xml:space="preserve">EP4 </w:t>
      </w:r>
      <w:r w:rsidR="00C92425" w:rsidRPr="00726423">
        <w:rPr>
          <w:rFonts w:ascii="Arial" w:hAnsi="Arial" w:cs="Arial"/>
          <w:color w:val="000000" w:themeColor="text1"/>
          <w:sz w:val="22"/>
          <w:szCs w:val="22"/>
        </w:rPr>
        <w:t>and/</w:t>
      </w:r>
      <w:r w:rsidR="00B47FBA" w:rsidRPr="00726423">
        <w:rPr>
          <w:rFonts w:ascii="Arial" w:hAnsi="Arial" w:cs="Arial"/>
          <w:color w:val="000000" w:themeColor="text1"/>
          <w:sz w:val="22"/>
          <w:szCs w:val="22"/>
        </w:rPr>
        <w:t>or elevati</w:t>
      </w:r>
      <w:r w:rsidR="00C92425" w:rsidRPr="00726423">
        <w:rPr>
          <w:rFonts w:ascii="Arial" w:hAnsi="Arial" w:cs="Arial"/>
          <w:color w:val="000000" w:themeColor="text1"/>
          <w:sz w:val="22"/>
          <w:szCs w:val="22"/>
        </w:rPr>
        <w:t>on of</w:t>
      </w:r>
      <w:r w:rsidR="00B47FBA" w:rsidRPr="00726423">
        <w:rPr>
          <w:rFonts w:ascii="Arial" w:hAnsi="Arial" w:cs="Arial"/>
          <w:color w:val="000000" w:themeColor="text1"/>
          <w:sz w:val="22"/>
          <w:szCs w:val="22"/>
        </w:rPr>
        <w:t xml:space="preserve"> </w:t>
      </w:r>
      <w:r w:rsidRPr="00726423">
        <w:rPr>
          <w:rFonts w:ascii="Arial" w:hAnsi="Arial" w:cs="Arial"/>
          <w:color w:val="000000" w:themeColor="text1"/>
          <w:sz w:val="22"/>
          <w:szCs w:val="22"/>
        </w:rPr>
        <w:t xml:space="preserve">intracellular </w:t>
      </w:r>
      <w:r w:rsidR="00B47FBA" w:rsidRPr="00726423">
        <w:rPr>
          <w:rFonts w:ascii="Arial" w:hAnsi="Arial" w:cs="Arial"/>
          <w:color w:val="000000" w:themeColor="text1"/>
          <w:sz w:val="22"/>
          <w:szCs w:val="22"/>
        </w:rPr>
        <w:t>cAMP</w:t>
      </w:r>
      <w:r w:rsidRPr="00726423">
        <w:rPr>
          <w:rFonts w:ascii="Arial" w:hAnsi="Arial" w:cs="Arial"/>
          <w:color w:val="000000" w:themeColor="text1"/>
          <w:sz w:val="22"/>
          <w:szCs w:val="22"/>
        </w:rPr>
        <w:t xml:space="preserve"> levels could be </w:t>
      </w:r>
      <w:r w:rsidR="00C92425" w:rsidRPr="00726423">
        <w:rPr>
          <w:rFonts w:ascii="Arial" w:hAnsi="Arial" w:cs="Arial"/>
          <w:color w:val="000000" w:themeColor="text1"/>
          <w:sz w:val="22"/>
          <w:szCs w:val="22"/>
        </w:rPr>
        <w:t>of clinical benefit</w:t>
      </w:r>
      <w:r w:rsidR="00B47FBA" w:rsidRPr="00726423">
        <w:rPr>
          <w:rFonts w:ascii="Arial" w:hAnsi="Arial" w:cs="Arial"/>
          <w:color w:val="000000" w:themeColor="text1"/>
          <w:sz w:val="22"/>
          <w:szCs w:val="22"/>
        </w:rPr>
        <w:t xml:space="preserve">. </w:t>
      </w:r>
      <w:r w:rsidR="0061605F" w:rsidRPr="00726423">
        <w:rPr>
          <w:rFonts w:ascii="Arial" w:hAnsi="Arial" w:cs="Arial"/>
          <w:color w:val="000000" w:themeColor="text1"/>
          <w:sz w:val="22"/>
          <w:szCs w:val="22"/>
        </w:rPr>
        <w:t>P</w:t>
      </w:r>
      <w:r w:rsidR="00B47FBA" w:rsidRPr="00726423">
        <w:rPr>
          <w:rFonts w:ascii="Arial" w:hAnsi="Arial" w:cs="Arial"/>
          <w:color w:val="000000" w:themeColor="text1"/>
          <w:sz w:val="22"/>
          <w:szCs w:val="22"/>
        </w:rPr>
        <w:t xml:space="preserve">hosphodiesterase 4 inhibitors, which increase the intracellular cAMP level </w:t>
      </w:r>
      <w:r w:rsidR="00F120A4" w:rsidRPr="00726423">
        <w:rPr>
          <w:rFonts w:ascii="Arial" w:hAnsi="Arial" w:cs="Arial"/>
          <w:color w:val="000000" w:themeColor="text1"/>
          <w:sz w:val="22"/>
          <w:szCs w:val="22"/>
        </w:rPr>
        <w:t>(via</w:t>
      </w:r>
      <w:r w:rsidR="00B47FBA" w:rsidRPr="00726423">
        <w:rPr>
          <w:rFonts w:ascii="Arial" w:hAnsi="Arial" w:cs="Arial"/>
          <w:color w:val="000000" w:themeColor="text1"/>
          <w:sz w:val="22"/>
          <w:szCs w:val="22"/>
        </w:rPr>
        <w:t xml:space="preserve"> preventing cAMP degradation</w:t>
      </w:r>
      <w:r w:rsidR="00F120A4" w:rsidRPr="00726423">
        <w:rPr>
          <w:rFonts w:ascii="Arial" w:hAnsi="Arial" w:cs="Arial"/>
          <w:color w:val="000000" w:themeColor="text1"/>
          <w:sz w:val="22"/>
          <w:szCs w:val="22"/>
        </w:rPr>
        <w:t>)</w:t>
      </w:r>
      <w:r w:rsidR="00B47FBA" w:rsidRPr="00726423">
        <w:rPr>
          <w:rFonts w:ascii="Arial" w:hAnsi="Arial" w:cs="Arial"/>
          <w:color w:val="000000" w:themeColor="text1"/>
          <w:sz w:val="22"/>
          <w:szCs w:val="22"/>
        </w:rPr>
        <w:t>, have been considered for treatment of asthma and other lung disease</w:t>
      </w:r>
      <w:r w:rsidR="00E51422" w:rsidRPr="00726423">
        <w:rPr>
          <w:rFonts w:ascii="Arial" w:hAnsi="Arial" w:cs="Arial"/>
          <w:color w:val="000000" w:themeColor="text1"/>
          <w:sz w:val="22"/>
          <w:szCs w:val="22"/>
        </w:rPr>
        <w:t>s</w:t>
      </w:r>
      <w:r w:rsidR="00AB5110" w:rsidRPr="00726423">
        <w:rPr>
          <w:rFonts w:ascii="Arial" w:hAnsi="Arial" w:cs="Arial"/>
          <w:color w:val="000000" w:themeColor="text1"/>
          <w:sz w:val="22"/>
          <w:szCs w:val="22"/>
          <w:vertAlign w:val="superscript"/>
        </w:rPr>
        <w:fldChar w:fldCharType="begin"/>
      </w:r>
      <w:r w:rsidR="00361359">
        <w:rPr>
          <w:rFonts w:ascii="Arial" w:hAnsi="Arial" w:cs="Arial"/>
          <w:color w:val="000000" w:themeColor="text1"/>
          <w:sz w:val="22"/>
          <w:szCs w:val="22"/>
          <w:vertAlign w:val="superscript"/>
        </w:rPr>
        <w:instrText xml:space="preserve"> ADDIN ZOTERO_ITEM CSL_CITATION {"citationID":"ars97m3esj","properties":{"formattedCitation":"\\super 52\\nosupersub{}","plainCitation":"52","noteIndex":0},"citationItems":[{"id":1699,"uris":["http://zotero.org/users/local/OCWppIAO/items/WILVSFAK"],"itemData":{"id":1699,"type":"article-journal","abstract":"Chronic respiratory diseases, such as chronic obstructive pulmonary disease (COPD) and asthma, affect millions of people all over the world. Cyclic adenosine monophosphate (cAMP) which is one of the most important second messengers, plays a vital role in relaxing airway smooth muscles and suppressing inflammation. Given its vast role in regulating intracellular responses, cAMP provides an attractive pharmaceutical target in the treatment of chronic respiratory diseases. Phosphodiesterases (PDEs) are enzymes that hydrolyze cyclic nucleotides and help control cyclic nucleotide signals in a compartmentalized manner. Currently, the selective PDE4 inhibitor, roflumilast, is used as an add-on treatment for patients with severe COPD associated with bronchitis and a history of frequent exacerbations. In addition, other novel PDE inhibitors are in different phases of clinical trials. The current review provides an overview of the regulation of various PDEs and the potential application of selective PDE inhibitors in the treatment of COPD and asthma. The possibility to combine various PDE inhibitors as a way to increase their therapeutic effectiveness is also emphasized.","container-title":"Pharmacology &amp; Therapeutics","DOI":"10.1016/j.pharmthera.2019.02.002","ISSN":"1879-016X","journalAbbreviation":"Pharmacol Ther","language":"eng","note":"PMID: 30759374","page":"225-242","source":"PubMed","title":"Phosphodiesterases as therapeutic targets for respiratory diseases","volume":"197","author":[{"family":"Zuo","given":"Haoxiao"},{"family":"Cattani-Cavalieri","given":"Isabella"},{"family":"Musheshe","given":"Nshunge"},{"family":"Nikolaev","given":"Viacheslav O."},{"family":"Schmidt","given":"Martina"}],"issued":{"date-parts":[["2019",5]]}}}],"schema":"https://github.com/citation-style-language/schema/raw/master/csl-citation.json"} </w:instrText>
      </w:r>
      <w:r w:rsidR="00AB5110" w:rsidRPr="00726423">
        <w:rPr>
          <w:rFonts w:ascii="Arial" w:hAnsi="Arial" w:cs="Arial"/>
          <w:color w:val="000000" w:themeColor="text1"/>
          <w:sz w:val="22"/>
          <w:szCs w:val="22"/>
          <w:vertAlign w:val="superscript"/>
        </w:rPr>
        <w:fldChar w:fldCharType="separate"/>
      </w:r>
      <w:r w:rsidR="00361359" w:rsidRPr="00361359">
        <w:rPr>
          <w:rFonts w:ascii="Arial" w:hAnsi="Arial" w:cs="Arial"/>
          <w:color w:val="000000"/>
          <w:sz w:val="22"/>
          <w:vertAlign w:val="superscript"/>
        </w:rPr>
        <w:t>52</w:t>
      </w:r>
      <w:r w:rsidR="00AB5110" w:rsidRPr="00726423">
        <w:rPr>
          <w:rFonts w:ascii="Arial" w:hAnsi="Arial" w:cs="Arial"/>
          <w:color w:val="000000" w:themeColor="text1"/>
          <w:sz w:val="22"/>
          <w:szCs w:val="22"/>
          <w:vertAlign w:val="superscript"/>
        </w:rPr>
        <w:fldChar w:fldCharType="end"/>
      </w:r>
      <w:r w:rsidR="008D0A10">
        <w:rPr>
          <w:rFonts w:ascii="Arial" w:hAnsi="Arial" w:cs="Arial"/>
          <w:color w:val="000000" w:themeColor="text1"/>
          <w:sz w:val="22"/>
          <w:szCs w:val="22"/>
          <w:vertAlign w:val="superscript"/>
        </w:rPr>
        <w:t>,</w:t>
      </w:r>
      <w:r w:rsidR="00AB5110" w:rsidRPr="00726423">
        <w:rPr>
          <w:rFonts w:ascii="Arial" w:hAnsi="Arial" w:cs="Arial"/>
          <w:color w:val="000000" w:themeColor="text1"/>
          <w:sz w:val="22"/>
          <w:szCs w:val="22"/>
          <w:vertAlign w:val="superscript"/>
        </w:rPr>
        <w:fldChar w:fldCharType="begin"/>
      </w:r>
      <w:r w:rsidR="00361359">
        <w:rPr>
          <w:rFonts w:ascii="Arial" w:hAnsi="Arial" w:cs="Arial"/>
          <w:color w:val="000000" w:themeColor="text1"/>
          <w:sz w:val="22"/>
          <w:szCs w:val="22"/>
          <w:vertAlign w:val="superscript"/>
        </w:rPr>
        <w:instrText xml:space="preserve"> ADDIN ZOTERO_ITEM CSL_CITATION {"citationID":"a2dr0pji5h3","properties":{"formattedCitation":"\\super 53\\nosupersub{}","plainCitation":"53","noteIndex":0},"citationItems":[{"id":1697,"uris":["http://zotero.org/users/local/OCWppIAO/items/W8EJGC8R"],"itemData":{"id":1697,"type":"article-journal","abstract":"Inhibitors of phosphodiesterase type 4 (PDE4) act by increasing intracellular concentrations of cyclic AMP, which has a broad range of anti-inflammatory effects on various key effector cells involved in asthma and chronic obstructive pulmonary disease (COPD). The therapeutic ratio for PDE4 inhibitors is thought to be determined by selectivity on receptor subtypes for relative effects on PDE4B (anti-inflammatory) and PDE4D (emesis). The two main orally active PDE4 inhibitors in the late phase III of clinical development are cilomilast and roflumilast; the latter (and its active metabolite N-oxide) is more selective and potent with a superior therapeutic ratio. Studies on cilomilast in COPD based on bronchial biopsy material have shown a broad range of anti-inflammatory activity, and the available evidence on clinical outcomes for up to 6 months with cilomilast 15 mg twice daily and roflumilast 500 mug once daily have shown variable but significant effects on exacerbations and quality of life, with small improvements in measures of pulmonary function. Roflumilast has a better safety and tolerability profile than cilomilast, with the main adverse effects being nausea, diarrhoea, and abdominal pain. Roflumilast also has activity in asthma as assessed by its attenuation of allergen and exercise challenges, and it shows clinical efficacy equivalent to that of beclomethasone dipropionate 400 mug daily. The emerging results of clinical trials on PDE4 inhibitors in asthma and COPD should be interpreted with cautious optimism since much of the evidence has been published only in abstract form to date. The next few years should resolve important issues about the potential role of these drugs as oral non-steroidal anti-inflammatory therapy for asthma and COPD and their place in management guidelines. Ultimately, clinicians will want to know whether PDE4 inhibitors are anything more than expensive \"designer\" theophylline, the archetypal non-selective phosphodiesterase inhibitor.","container-title":"Lancet (London, England)","DOI":"10.1016/S0140-6736(05)17708-3","ISSN":"1474-547X","issue":"9454","journalAbbreviation":"Lancet","language":"eng","note":"PMID: 15639300","page":"167-175","source":"PubMed","title":"Phosphodiesterase-4 inhibitors for asthma and chronic obstructive pulmonary disease","volume":"365","author":[{"family":"Lipworth","given":"Brian J."}],"issued":{"date-parts":[["2005",1,8]]}}}],"schema":"https://github.com/citation-style-language/schema/raw/master/csl-citation.json"} </w:instrText>
      </w:r>
      <w:r w:rsidR="00AB5110" w:rsidRPr="00726423">
        <w:rPr>
          <w:rFonts w:ascii="Arial" w:hAnsi="Arial" w:cs="Arial"/>
          <w:color w:val="000000" w:themeColor="text1"/>
          <w:sz w:val="22"/>
          <w:szCs w:val="22"/>
          <w:vertAlign w:val="superscript"/>
        </w:rPr>
        <w:fldChar w:fldCharType="separate"/>
      </w:r>
      <w:r w:rsidR="00361359" w:rsidRPr="00361359">
        <w:rPr>
          <w:rFonts w:ascii="Arial" w:hAnsi="Arial" w:cs="Arial"/>
          <w:color w:val="000000"/>
          <w:sz w:val="22"/>
          <w:vertAlign w:val="superscript"/>
        </w:rPr>
        <w:t>53</w:t>
      </w:r>
      <w:r w:rsidR="00AB5110" w:rsidRPr="00726423">
        <w:rPr>
          <w:rFonts w:ascii="Arial" w:hAnsi="Arial" w:cs="Arial"/>
          <w:color w:val="000000" w:themeColor="text1"/>
          <w:sz w:val="22"/>
          <w:szCs w:val="22"/>
          <w:vertAlign w:val="superscript"/>
        </w:rPr>
        <w:fldChar w:fldCharType="end"/>
      </w:r>
      <w:r w:rsidR="00A70C69" w:rsidRPr="00726423">
        <w:rPr>
          <w:rFonts w:ascii="Arial" w:hAnsi="Arial" w:cs="Arial"/>
          <w:color w:val="000000" w:themeColor="text1"/>
          <w:sz w:val="22"/>
          <w:szCs w:val="22"/>
        </w:rPr>
        <w:t>.</w:t>
      </w:r>
      <w:r w:rsidR="008832FB" w:rsidRPr="00726423">
        <w:rPr>
          <w:rFonts w:ascii="Arial" w:hAnsi="Arial" w:cs="Arial"/>
          <w:color w:val="000000" w:themeColor="text1"/>
          <w:sz w:val="22"/>
          <w:szCs w:val="22"/>
        </w:rPr>
        <w:t xml:space="preserve"> Furthermore, we propose that targeting ILC2 </w:t>
      </w:r>
      <w:r w:rsidR="00AE2DCD" w:rsidRPr="00726423">
        <w:rPr>
          <w:rFonts w:ascii="Arial" w:hAnsi="Arial" w:cs="Arial"/>
          <w:color w:val="000000" w:themeColor="text1"/>
          <w:sz w:val="22"/>
          <w:szCs w:val="22"/>
        </w:rPr>
        <w:t xml:space="preserve">energy metabolic </w:t>
      </w:r>
      <w:r w:rsidR="008832FB" w:rsidRPr="00726423">
        <w:rPr>
          <w:rFonts w:ascii="Arial" w:hAnsi="Arial" w:cs="Arial"/>
          <w:color w:val="000000" w:themeColor="text1"/>
          <w:sz w:val="22"/>
          <w:szCs w:val="22"/>
        </w:rPr>
        <w:t>pathway</w:t>
      </w:r>
      <w:r w:rsidR="00922D75" w:rsidRPr="00726423">
        <w:rPr>
          <w:rFonts w:ascii="Arial" w:hAnsi="Arial" w:cs="Arial"/>
          <w:color w:val="000000" w:themeColor="text1"/>
          <w:sz w:val="22"/>
          <w:szCs w:val="22"/>
        </w:rPr>
        <w:t>s</w:t>
      </w:r>
      <w:r w:rsidR="00AE2DCD" w:rsidRPr="00726423">
        <w:rPr>
          <w:rFonts w:ascii="Arial" w:hAnsi="Arial" w:cs="Arial"/>
          <w:color w:val="000000" w:themeColor="text1"/>
          <w:sz w:val="22"/>
          <w:szCs w:val="22"/>
        </w:rPr>
        <w:t xml:space="preserve"> (e.g., glycolysis)</w:t>
      </w:r>
      <w:r w:rsidR="008832FB" w:rsidRPr="00726423">
        <w:rPr>
          <w:rFonts w:ascii="Arial" w:hAnsi="Arial" w:cs="Arial"/>
          <w:color w:val="000000" w:themeColor="text1"/>
          <w:sz w:val="22"/>
          <w:szCs w:val="22"/>
        </w:rPr>
        <w:t xml:space="preserve"> may be </w:t>
      </w:r>
      <w:r w:rsidR="00F120A4" w:rsidRPr="00726423">
        <w:rPr>
          <w:rFonts w:ascii="Arial" w:hAnsi="Arial" w:cs="Arial"/>
          <w:color w:val="000000" w:themeColor="text1"/>
          <w:sz w:val="22"/>
          <w:szCs w:val="22"/>
        </w:rPr>
        <w:t>beneficial</w:t>
      </w:r>
      <w:r w:rsidR="008832FB" w:rsidRPr="00726423">
        <w:rPr>
          <w:rFonts w:ascii="Arial" w:hAnsi="Arial" w:cs="Arial"/>
          <w:color w:val="000000" w:themeColor="text1"/>
          <w:sz w:val="22"/>
          <w:szCs w:val="22"/>
        </w:rPr>
        <w:t xml:space="preserve"> </w:t>
      </w:r>
      <w:r w:rsidRPr="00726423">
        <w:rPr>
          <w:rFonts w:ascii="Arial" w:hAnsi="Arial" w:cs="Arial"/>
          <w:color w:val="000000" w:themeColor="text1"/>
          <w:sz w:val="22"/>
          <w:szCs w:val="22"/>
        </w:rPr>
        <w:t>in the</w:t>
      </w:r>
      <w:r w:rsidR="008832FB" w:rsidRPr="00726423">
        <w:rPr>
          <w:rFonts w:ascii="Arial" w:hAnsi="Arial" w:cs="Arial"/>
          <w:color w:val="000000" w:themeColor="text1"/>
          <w:sz w:val="22"/>
          <w:szCs w:val="22"/>
        </w:rPr>
        <w:t xml:space="preserve"> control of NSAID-dependent augmentation </w:t>
      </w:r>
      <w:r w:rsidR="00F120A4" w:rsidRPr="00726423">
        <w:rPr>
          <w:rFonts w:ascii="Arial" w:hAnsi="Arial" w:cs="Arial"/>
          <w:color w:val="000000" w:themeColor="text1"/>
          <w:sz w:val="22"/>
          <w:szCs w:val="22"/>
        </w:rPr>
        <w:t xml:space="preserve">of </w:t>
      </w:r>
      <w:r w:rsidR="008832FB" w:rsidRPr="00726423">
        <w:rPr>
          <w:rFonts w:ascii="Arial" w:hAnsi="Arial" w:cs="Arial"/>
          <w:color w:val="000000" w:themeColor="text1"/>
          <w:sz w:val="22"/>
          <w:szCs w:val="22"/>
        </w:rPr>
        <w:t>type 2</w:t>
      </w:r>
      <w:r w:rsidR="00883D06" w:rsidRPr="00726423">
        <w:rPr>
          <w:rFonts w:ascii="Arial" w:hAnsi="Arial" w:cs="Arial"/>
          <w:color w:val="000000" w:themeColor="text1"/>
          <w:sz w:val="22"/>
          <w:szCs w:val="22"/>
        </w:rPr>
        <w:t xml:space="preserve"> lung</w:t>
      </w:r>
      <w:r w:rsidR="008832FB" w:rsidRPr="00726423">
        <w:rPr>
          <w:rFonts w:ascii="Arial" w:hAnsi="Arial" w:cs="Arial"/>
          <w:color w:val="000000" w:themeColor="text1"/>
          <w:sz w:val="22"/>
          <w:szCs w:val="22"/>
        </w:rPr>
        <w:t xml:space="preserve"> inflammation </w:t>
      </w:r>
      <w:r w:rsidR="00883D06" w:rsidRPr="00726423">
        <w:rPr>
          <w:rFonts w:ascii="Arial" w:hAnsi="Arial" w:cs="Arial"/>
          <w:color w:val="000000" w:themeColor="text1"/>
          <w:sz w:val="22"/>
          <w:szCs w:val="22"/>
        </w:rPr>
        <w:t>in patients with NERD</w:t>
      </w:r>
      <w:r w:rsidR="008832FB" w:rsidRPr="00726423">
        <w:rPr>
          <w:rFonts w:ascii="Arial" w:hAnsi="Arial" w:cs="Arial"/>
          <w:color w:val="000000" w:themeColor="text1"/>
          <w:sz w:val="22"/>
          <w:szCs w:val="22"/>
        </w:rPr>
        <w:t>.</w:t>
      </w:r>
    </w:p>
    <w:p w14:paraId="40A4BB4E" w14:textId="0AB271FC" w:rsidR="008E3115" w:rsidRPr="00726423" w:rsidRDefault="008E3115" w:rsidP="00AF01E8">
      <w:pPr>
        <w:spacing w:line="480" w:lineRule="auto"/>
        <w:jc w:val="both"/>
        <w:rPr>
          <w:rFonts w:ascii="Arial" w:hAnsi="Arial" w:cs="Arial"/>
          <w:color w:val="000000" w:themeColor="text1"/>
          <w:sz w:val="22"/>
          <w:szCs w:val="22"/>
        </w:rPr>
      </w:pPr>
    </w:p>
    <w:p w14:paraId="51C1D234" w14:textId="77777777" w:rsidR="00646623" w:rsidRDefault="00646623">
      <w:pPr>
        <w:rPr>
          <w:rFonts w:ascii="Arial" w:hAnsi="Arial" w:cs="Arial"/>
          <w:b/>
          <w:bCs/>
          <w:color w:val="000000" w:themeColor="text1"/>
          <w:sz w:val="22"/>
          <w:szCs w:val="22"/>
        </w:rPr>
      </w:pPr>
      <w:r>
        <w:rPr>
          <w:rFonts w:ascii="Arial" w:hAnsi="Arial" w:cs="Arial"/>
          <w:b/>
          <w:bCs/>
          <w:color w:val="000000" w:themeColor="text1"/>
          <w:sz w:val="22"/>
          <w:szCs w:val="22"/>
        </w:rPr>
        <w:br w:type="page"/>
      </w:r>
    </w:p>
    <w:p w14:paraId="229C73F6" w14:textId="112EF6E1" w:rsidR="008E3115" w:rsidRPr="00726423" w:rsidRDefault="008E3115" w:rsidP="00AF01E8">
      <w:pPr>
        <w:spacing w:line="480" w:lineRule="auto"/>
        <w:jc w:val="both"/>
        <w:rPr>
          <w:rFonts w:ascii="Arial" w:hAnsi="Arial" w:cs="Arial"/>
          <w:b/>
          <w:bCs/>
          <w:color w:val="000000" w:themeColor="text1"/>
          <w:sz w:val="22"/>
          <w:szCs w:val="22"/>
        </w:rPr>
      </w:pPr>
      <w:r w:rsidRPr="00726423">
        <w:rPr>
          <w:rFonts w:ascii="Arial" w:hAnsi="Arial" w:cs="Arial"/>
          <w:b/>
          <w:bCs/>
          <w:color w:val="000000" w:themeColor="text1"/>
          <w:sz w:val="22"/>
          <w:szCs w:val="22"/>
        </w:rPr>
        <w:lastRenderedPageBreak/>
        <w:t>Methods</w:t>
      </w:r>
    </w:p>
    <w:p w14:paraId="67A4FC1B" w14:textId="1A767375" w:rsidR="00397507" w:rsidRPr="00726423" w:rsidRDefault="008E3115" w:rsidP="00397507">
      <w:pPr>
        <w:spacing w:line="480" w:lineRule="auto"/>
        <w:jc w:val="both"/>
        <w:rPr>
          <w:rFonts w:ascii="Arial" w:hAnsi="Arial" w:cs="Arial"/>
          <w:color w:val="000000" w:themeColor="text1"/>
          <w:sz w:val="22"/>
          <w:szCs w:val="22"/>
        </w:rPr>
      </w:pPr>
      <w:r w:rsidRPr="00726423">
        <w:rPr>
          <w:rFonts w:ascii="Arial" w:hAnsi="Arial" w:cs="Arial"/>
          <w:b/>
          <w:bCs/>
          <w:color w:val="000000" w:themeColor="text1"/>
          <w:sz w:val="22"/>
          <w:szCs w:val="22"/>
        </w:rPr>
        <w:t>Mice</w:t>
      </w:r>
      <w:r w:rsidR="00502347" w:rsidRPr="00726423">
        <w:rPr>
          <w:rFonts w:ascii="Arial" w:hAnsi="Arial" w:cs="Arial"/>
          <w:b/>
          <w:bCs/>
          <w:color w:val="000000" w:themeColor="text1"/>
          <w:sz w:val="22"/>
          <w:szCs w:val="22"/>
        </w:rPr>
        <w:t xml:space="preserve">. </w:t>
      </w:r>
      <w:r w:rsidRPr="00726423">
        <w:rPr>
          <w:rFonts w:ascii="Arial" w:hAnsi="Arial" w:cs="Arial"/>
          <w:i/>
          <w:iCs/>
          <w:color w:val="000000" w:themeColor="text1"/>
          <w:sz w:val="22"/>
          <w:szCs w:val="22"/>
        </w:rPr>
        <w:t>Rag2</w:t>
      </w:r>
      <w:r w:rsidRPr="00726423">
        <w:rPr>
          <w:rFonts w:ascii="Arial" w:hAnsi="Arial" w:cs="Arial"/>
          <w:color w:val="000000" w:themeColor="text1"/>
          <w:sz w:val="22"/>
          <w:szCs w:val="22"/>
          <w:vertAlign w:val="superscript"/>
        </w:rPr>
        <w:t>-/-</w:t>
      </w:r>
      <w:r w:rsidR="00B51909" w:rsidRPr="00726423">
        <w:rPr>
          <w:rFonts w:ascii="Arial" w:hAnsi="Arial" w:cs="Arial"/>
          <w:color w:val="000000" w:themeColor="text1"/>
          <w:sz w:val="22"/>
          <w:szCs w:val="22"/>
        </w:rPr>
        <w:t>, EP2(</w:t>
      </w:r>
      <w:r w:rsidR="00B51909" w:rsidRPr="008D0A10">
        <w:rPr>
          <w:rFonts w:ascii="Arial" w:hAnsi="Arial" w:cs="Arial"/>
          <w:i/>
          <w:iCs/>
          <w:color w:val="000000" w:themeColor="text1"/>
          <w:sz w:val="22"/>
          <w:szCs w:val="22"/>
        </w:rPr>
        <w:t>Ptger2</w:t>
      </w:r>
      <w:r w:rsidR="00B51909" w:rsidRPr="00726423">
        <w:rPr>
          <w:rFonts w:ascii="Arial" w:hAnsi="Arial" w:cs="Arial"/>
          <w:color w:val="000000" w:themeColor="text1"/>
          <w:sz w:val="22"/>
          <w:szCs w:val="22"/>
        </w:rPr>
        <w:t>)</w:t>
      </w:r>
      <w:r w:rsidR="00B51909" w:rsidRPr="00726423">
        <w:rPr>
          <w:rFonts w:ascii="Arial" w:hAnsi="Arial" w:cs="Arial"/>
          <w:color w:val="000000" w:themeColor="text1"/>
          <w:sz w:val="22"/>
          <w:szCs w:val="22"/>
          <w:vertAlign w:val="superscript"/>
        </w:rPr>
        <w:t>–/–</w:t>
      </w:r>
      <w:r w:rsidR="00B51909"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{"citationID":"wrH0GUzR","properties":{"formattedCitation":"\\super 29\\nosupersub{}","plainCitation":"29","noteIndex":0},"citationItems":[{"id":1819,"uris":["http://zotero.org/users/local/OCWppIAO/items/4MI4ML9N"],"itemData":{"id":1819,"type":"article-journal","abstract":"Female mice lacking the gene encoding the prostaglandin (PG) E(2) receptor subtype EP(2) (EP(2)(-/-)) become pregnant and deliver their pups at term, but with a much reduced litter size. A decrease in ovulation number and a much reduced fertilization rate were observed in EP(2)(-/-) females without difference of the uterus to support implantation of wild-type embryos. Treatment with gonadotropins induced EP(2) mRNA expression in the cumulus cells of ovarian follicles of wild-type mice. The immature cumuli oophori from wild-type mice expanded in vitro in response to both follicle-stimulating hormone and PGE(2), but the response to PGE(2) was absent in those from EP(2)(-/-) mice. Cumulus expansion proceeded normally in preovulatory follicles but became abortive in a number of ovulated complexes in EP(2)(-/-) mice, indicating that EP(2) is involved in cumulus expansion in the oviduct in vivo. No difference in the fertilization rate between wild-type and EP(2)(-/-) mice was found in in vitro studies using cumulus-free oocytes. These results indicate that PGE(2) cooperates with gonadotropin to complete cumulus expansion for successful fertilization.","container-title":"Proceedings of the National Academy of Sciences of the United States of America","DOI":"10.1073/pnas.96.18.10501","ISSN":"0027-8424","issue":"18","journalAbbreviation":"Proc Natl Acad Sci U S A","language":"eng","note":"PMID: 10468638\nPMCID: PMC17918","page":"10501-10506","source":"PubMed","title":"Abortive expansion of the cumulus and impaired fertility in mice lacking the prostaglandin E receptor subtype EP(2)","volume":"96","author":[{"family":"Hizaki","given":"H."},{"family":"Segi","given":"E."},{"family":"Sugimoto","given":"Y."},{"family":"Hirose","given":"M."},{"family":"Saji","given":"T."},{"family":"Ushikubi","given":"F."},{"family":"Matsuoka","given":"T."},{"family":"Noda","given":"Y."},{"family":"Tanaka","given":"T."},{"family":"Yoshida","given":"N."},{"family":"Narumiya","given":"S."},{"family":"Ichikawa","given":"A."}],"issued":{"date-parts":[["1999",8,31]]}}}],"schema":"https://github.com/citation-style-language/schema/raw/master/csl-citation.json"} </w:instrText>
      </w:r>
      <w:r w:rsidR="00B51909"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29</w:t>
      </w:r>
      <w:r w:rsidR="00B51909" w:rsidRPr="00726423">
        <w:rPr>
          <w:rFonts w:ascii="Arial" w:hAnsi="Arial" w:cs="Arial"/>
          <w:color w:val="000000" w:themeColor="text1"/>
          <w:sz w:val="22"/>
          <w:szCs w:val="22"/>
        </w:rPr>
        <w:fldChar w:fldCharType="end"/>
      </w:r>
      <w:r w:rsidR="00B51909" w:rsidRPr="00726423">
        <w:rPr>
          <w:rFonts w:ascii="Arial" w:hAnsi="Arial" w:cs="Arial"/>
          <w:color w:val="000000" w:themeColor="text1"/>
          <w:sz w:val="22"/>
          <w:szCs w:val="22"/>
        </w:rPr>
        <w:t>,</w:t>
      </w:r>
      <w:r w:rsidRPr="00726423">
        <w:rPr>
          <w:rFonts w:ascii="Arial" w:hAnsi="Arial" w:cs="Arial"/>
          <w:color w:val="000000" w:themeColor="text1"/>
          <w:sz w:val="22"/>
          <w:szCs w:val="22"/>
        </w:rPr>
        <w:t xml:space="preserve"> EP4(</w:t>
      </w:r>
      <w:r w:rsidRPr="00726423">
        <w:rPr>
          <w:rFonts w:ascii="Arial" w:hAnsi="Arial" w:cs="Arial"/>
          <w:i/>
          <w:iCs/>
          <w:color w:val="000000" w:themeColor="text1"/>
          <w:sz w:val="22"/>
          <w:szCs w:val="22"/>
        </w:rPr>
        <w:t>Ptger4</w:t>
      </w:r>
      <w:r w:rsidRPr="00726423">
        <w:rPr>
          <w:rFonts w:ascii="Arial" w:hAnsi="Arial" w:cs="Arial"/>
          <w:color w:val="000000" w:themeColor="text1"/>
          <w:sz w:val="22"/>
          <w:szCs w:val="22"/>
        </w:rPr>
        <w:t>)</w:t>
      </w:r>
      <w:r w:rsidRPr="00726423">
        <w:rPr>
          <w:rFonts w:ascii="Arial" w:hAnsi="Arial" w:cs="Arial"/>
          <w:color w:val="000000" w:themeColor="text1"/>
          <w:sz w:val="22"/>
          <w:szCs w:val="22"/>
          <w:vertAlign w:val="superscript"/>
        </w:rPr>
        <w:t>-/-</w:t>
      </w:r>
      <w:r w:rsidR="00B51909"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{"citationID":"QtJ2mTTI","properties":{"formattedCitation":"\\super 30\\nosupersub{}","plainCitation":"30","noteIndex":0},"citationItems":[{"id":1702,"uris":["http://zotero.org/users/local/OCWppIAO/items/D7ZTNXAL"],"itemData":{"id":1702,"type":"article-journal","abstract":"The physiological role of the prostaglandin E2 receptor EP4 subtype was investigated by generation of EP4-deficient-mice by gene targeting. Loss of the EP4 receptor was not lethal in utero, but most EP4 (-/-) neonates became pale and lethargic approximately 24 h after birth and died within 72 h. Less than 5% of the EP4 (-/-) mice survived and grew normally more than a year. Histological examination revealed that the ductus arteriosus in dead neonates remained open, while it was partially closed in the survivors. In situ hybridization study showed that EP4 mRNA was strongly expressed in the ductus. These results suggest that neonatal death is at least partly due to patent ductus arteriosus and that the EP4 receptor plays a role in regulation of the patency of this vessel. They also indicate that normal function of the EP4 receptor is essential in neonatal adaptation of the circulatory system.","container-title":"Biochemical and Biophysical Research Communications","DOI":"10.1006/bbrc.1998.8461","ISSN":"0006-291X","issue":"1","journalAbbreviation":"Biochem Biophys Res Commun","language":"eng","note":"PMID: 9600059","page":"7-12","source":"PubMed","title":"Patent ductus arteriosus and neonatal death in prostaglandin receptor EP4-deficient mice","volume":"246","author":[{"family":"Segi","given":"E."},{"family":"Sugimoto","given":"Y."},{"family":"Yamasaki","given":"A."},{"family":"Aze","given":"Y."},{"family":"Oida","given":"H."},{"family":"Nishimura","given":"T."},{"family":"Murata","given":"T."},{"family":"Matsuoka","given":"T."},{"family":"Ushikubi","given":"F."},{"family":"Hirose","given":"M."},{"family":"Tanaka","given":"T."},{"family":"Yoshida","given":"N."},{"family":"Narumiya","given":"S."},{"family":"Ichikawa","given":"A."}],"issued":{"date-parts":[["1998",5,8]]}}}],"schema":"https://github.com/citation-style-language/schema/raw/master/csl-citation.json"} </w:instrText>
      </w:r>
      <w:r w:rsidR="00B51909"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30</w:t>
      </w:r>
      <w:r w:rsidR="00B51909" w:rsidRPr="00726423">
        <w:rPr>
          <w:rFonts w:ascii="Arial" w:hAnsi="Arial" w:cs="Arial"/>
          <w:color w:val="000000" w:themeColor="text1"/>
          <w:sz w:val="22"/>
          <w:szCs w:val="22"/>
        </w:rPr>
        <w:fldChar w:fldCharType="end"/>
      </w:r>
      <w:r w:rsidR="00B51909" w:rsidRPr="00726423">
        <w:rPr>
          <w:rFonts w:ascii="Arial" w:hAnsi="Arial" w:cs="Arial"/>
          <w:color w:val="000000" w:themeColor="text1"/>
          <w:sz w:val="22"/>
          <w:szCs w:val="22"/>
        </w:rPr>
        <w:t xml:space="preserve"> </w:t>
      </w:r>
      <w:r w:rsidRPr="00726423">
        <w:rPr>
          <w:rFonts w:ascii="Arial" w:hAnsi="Arial" w:cs="Arial"/>
          <w:color w:val="000000" w:themeColor="text1"/>
          <w:sz w:val="22"/>
          <w:szCs w:val="22"/>
        </w:rPr>
        <w:t>mice were maintained under specific pathogen-free conditions in accredited animal facilities in the University of Edinburgh. Vav</w:t>
      </w:r>
      <w:r w:rsidRPr="00726423">
        <w:rPr>
          <w:rFonts w:ascii="Arial" w:hAnsi="Arial" w:cs="Arial"/>
          <w:color w:val="000000" w:themeColor="text1"/>
          <w:sz w:val="22"/>
          <w:szCs w:val="22"/>
          <w:vertAlign w:val="superscript"/>
        </w:rPr>
        <w:t>Cre</w:t>
      </w:r>
      <w:r w:rsidRPr="00726423">
        <w:rPr>
          <w:rFonts w:ascii="Arial" w:hAnsi="Arial" w:cs="Arial"/>
          <w:color w:val="000000" w:themeColor="text1"/>
          <w:sz w:val="22"/>
          <w:szCs w:val="22"/>
        </w:rPr>
        <w:t>EP4</w:t>
      </w:r>
      <w:r w:rsidRPr="00726423">
        <w:rPr>
          <w:rFonts w:ascii="Arial" w:hAnsi="Arial" w:cs="Arial"/>
          <w:color w:val="000000" w:themeColor="text1"/>
          <w:sz w:val="22"/>
          <w:szCs w:val="22"/>
          <w:vertAlign w:val="superscript"/>
        </w:rPr>
        <w:t>fl/</w:t>
      </w:r>
      <w:proofErr w:type="spellStart"/>
      <w:r w:rsidRPr="00726423">
        <w:rPr>
          <w:rFonts w:ascii="Arial" w:hAnsi="Arial" w:cs="Arial"/>
          <w:color w:val="000000" w:themeColor="text1"/>
          <w:sz w:val="22"/>
          <w:szCs w:val="22"/>
          <w:vertAlign w:val="superscript"/>
        </w:rPr>
        <w:t>fl</w:t>
      </w:r>
      <w:proofErr w:type="spellEnd"/>
      <w:r w:rsidRPr="00726423">
        <w:rPr>
          <w:rFonts w:ascii="Arial" w:hAnsi="Arial" w:cs="Arial"/>
          <w:color w:val="000000" w:themeColor="text1"/>
          <w:sz w:val="22"/>
          <w:szCs w:val="22"/>
        </w:rPr>
        <w:t xml:space="preserve"> </w:t>
      </w:r>
      <w:r w:rsidR="00B51909" w:rsidRPr="00726423">
        <w:rPr>
          <w:rFonts w:ascii="Arial" w:hAnsi="Arial" w:cs="Arial"/>
          <w:color w:val="000000" w:themeColor="text1"/>
          <w:sz w:val="22"/>
          <w:szCs w:val="22"/>
        </w:rPr>
        <w:t>and Thy1.2</w:t>
      </w:r>
      <w:r w:rsidR="00B51909" w:rsidRPr="00726423">
        <w:rPr>
          <w:rFonts w:ascii="Arial" w:hAnsi="Arial" w:cs="Arial"/>
          <w:color w:val="000000" w:themeColor="text1"/>
          <w:sz w:val="22"/>
          <w:szCs w:val="22"/>
          <w:vertAlign w:val="superscript"/>
        </w:rPr>
        <w:t>iCre</w:t>
      </w:r>
      <w:r w:rsidR="00B51909" w:rsidRPr="00726423">
        <w:rPr>
          <w:rFonts w:ascii="Arial" w:hAnsi="Arial" w:cs="Arial"/>
          <w:color w:val="000000" w:themeColor="text1"/>
          <w:sz w:val="22"/>
          <w:szCs w:val="22"/>
        </w:rPr>
        <w:t>EP4</w:t>
      </w:r>
      <w:r w:rsidR="00B51909" w:rsidRPr="00726423">
        <w:rPr>
          <w:rFonts w:ascii="Arial" w:hAnsi="Arial" w:cs="Arial"/>
          <w:color w:val="000000" w:themeColor="text1"/>
          <w:sz w:val="22"/>
          <w:szCs w:val="22"/>
          <w:vertAlign w:val="superscript"/>
        </w:rPr>
        <w:t>fl/</w:t>
      </w:r>
      <w:proofErr w:type="spellStart"/>
      <w:r w:rsidR="00B51909" w:rsidRPr="00726423">
        <w:rPr>
          <w:rFonts w:ascii="Arial" w:hAnsi="Arial" w:cs="Arial"/>
          <w:color w:val="000000" w:themeColor="text1"/>
          <w:sz w:val="22"/>
          <w:szCs w:val="22"/>
          <w:vertAlign w:val="superscript"/>
        </w:rPr>
        <w:t>fl</w:t>
      </w:r>
      <w:proofErr w:type="spellEnd"/>
      <w:r w:rsidR="00B51909" w:rsidRPr="00726423">
        <w:rPr>
          <w:rFonts w:ascii="Arial" w:hAnsi="Arial" w:cs="Arial"/>
          <w:color w:val="000000" w:themeColor="text1"/>
          <w:sz w:val="22"/>
          <w:szCs w:val="22"/>
        </w:rPr>
        <w:t xml:space="preserve"> </w:t>
      </w:r>
      <w:r w:rsidRPr="00726423">
        <w:rPr>
          <w:rFonts w:ascii="Arial" w:hAnsi="Arial" w:cs="Arial"/>
          <w:color w:val="000000" w:themeColor="text1"/>
          <w:sz w:val="22"/>
          <w:szCs w:val="22"/>
        </w:rPr>
        <w:t>mice were generated by crossing Vav-</w:t>
      </w:r>
      <w:proofErr w:type="spellStart"/>
      <w:r w:rsidRPr="00726423">
        <w:rPr>
          <w:rFonts w:ascii="Arial" w:hAnsi="Arial" w:cs="Arial"/>
          <w:color w:val="000000" w:themeColor="text1"/>
          <w:sz w:val="22"/>
          <w:szCs w:val="22"/>
        </w:rPr>
        <w:t>Cre</w:t>
      </w:r>
      <w:proofErr w:type="spellEnd"/>
      <w:r w:rsidRPr="00726423">
        <w:rPr>
          <w:rFonts w:ascii="Arial" w:hAnsi="Arial" w:cs="Arial"/>
          <w:color w:val="000000" w:themeColor="text1"/>
          <w:sz w:val="22"/>
          <w:szCs w:val="22"/>
        </w:rPr>
        <w:t xml:space="preserve"> mice</w:t>
      </w:r>
      <w:r w:rsidR="00B51909"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{"citationID":"hSxnezQs","properties":{"formattedCitation":"\\super 32\\nosupersub{}","plainCitation":"32","noteIndex":0},"citationItems":[{"id":1704,"uris":["http://zotero.org/users/local/OCWppIAO/items/E5TJJTE7"],"itemData":{"id":1704,"type":"article-journal","abstract":"Hematopoietic cells have been reported to convert into a number of non-hematopoietic cells types after transplantation/injury. Here, we have used a lineage tracing approach to determine whether hematopoietic plasticity is relevant for the normal development of hepatocytes and endothelial cells, both of which develop in close association with blood cells. Two mouse models were analyzed: vav ancestry mice, in which essentially all hematopoietic cells, including stem cells, irreversibly express yellow fluorescent protein (YFP); and lysozyme ancestry mice, in which all macrophages, as well as a small subset of all other non-myeloid hematopoietic cells, are labeled. Both lines were found to contain YFP+ hepatocytes at similar frequencies, indicating that macrophage to hepatocyte contributions occur in unperturbed mice. However, the YFP+ hepatocytes never formed clusters larger than three cells, suggesting a postnatal origin. In addition, the frequency of these cells was very low (approximately 1 in 75,000) and only increased two- to threefold after acute liver injury. Analysis of the two mouse models revealed no evidence for a hematopoietic origin of endothelial cells, showing that definitive HSCs do not function as hemangioblasts during normal development. Using endothelial cells and hepatocytes as paradigms, our study indicates that hematopoietic cells are tightly restricted in their differentiation potential during mouse embryo development and that hematopoietic plasticity plays at best a minor role in adult organ maintenance and regeneration.","container-title":"Development (Cambridge, England)","DOI":"10.1242/dev.01558","ISSN":"0950-1991","issue":"1","journalAbbreviation":"Development","language":"eng","note":"PMID: 15576407","page":"203-213","source":"PubMed","title":"Assessing the role of hematopoietic plasticity for endothelial and hepatocyte development by non-invasive lineage tracing","volume":"132","author":[{"family":"Stadtfeld","given":"Matthias"},{"family":"Graf","given":"Thomas"}],"issued":{"date-parts":[["2005",1]]}}}],"schema":"https://github.com/citation-style-language/schema/raw/master/csl-citation.json"} </w:instrText>
      </w:r>
      <w:r w:rsidR="00B51909"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32</w:t>
      </w:r>
      <w:r w:rsidR="00B51909" w:rsidRPr="00726423">
        <w:rPr>
          <w:rFonts w:ascii="Arial" w:hAnsi="Arial" w:cs="Arial"/>
          <w:color w:val="000000" w:themeColor="text1"/>
          <w:sz w:val="22"/>
          <w:szCs w:val="22"/>
        </w:rPr>
        <w:fldChar w:fldCharType="end"/>
      </w:r>
      <w:r w:rsidR="00B51909" w:rsidRPr="00726423">
        <w:rPr>
          <w:rFonts w:ascii="Arial" w:hAnsi="Arial" w:cs="Arial"/>
          <w:color w:val="000000" w:themeColor="text1"/>
          <w:sz w:val="22"/>
          <w:szCs w:val="22"/>
        </w:rPr>
        <w:t xml:space="preserve"> and Thy1.2</w:t>
      </w:r>
      <w:r w:rsidR="00B51909" w:rsidRPr="00726423">
        <w:rPr>
          <w:rFonts w:ascii="Arial" w:hAnsi="Arial" w:cs="Arial"/>
          <w:color w:val="000000" w:themeColor="text1"/>
          <w:sz w:val="22"/>
          <w:szCs w:val="22"/>
          <w:vertAlign w:val="superscript"/>
        </w:rPr>
        <w:t>iCre</w:t>
      </w:r>
      <w:r w:rsidR="00B51909" w:rsidRPr="00726423">
        <w:rPr>
          <w:rFonts w:ascii="Arial" w:hAnsi="Arial" w:cs="Arial"/>
          <w:color w:val="000000" w:themeColor="text1"/>
          <w:sz w:val="22"/>
          <w:szCs w:val="22"/>
        </w:rPr>
        <w:t xml:space="preserve"> mice</w:t>
      </w:r>
      <w:r w:rsidR="00B51909"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{"citationID":"VumnGGqj","properties":{"formattedCitation":"\\super 33\\nosupersub{}","plainCitation":"33","noteIndex":0},"citationItems":[{"id":1816,"uris":["http://zotero.org/users/local/OCWppIAO/items/RMUND2X6"],"itemData":{"id":1816,"type":"article-journal","abstract":"The axon initial segment (AIS) is critical for the initiation and propagation of action potentials. Assembly of the AIS requires interactions between scaffolding molecules and voltage-gated sodium channels, but the molecular mechanisms that stabilize the AIS are poorly understood. The neuronal isoform of Neurofascin, Nfasc186, clusters voltage-gated sodium channels at nodes of Ranvier in myelinated nerves: here, we investigate its role in AIS assembly and stabilization. Inactivation of the Nfasc gene in cerebellar Purkinje cells of adult mice causes rapid loss of Nfasc186 from the AIS but not from nodes of Ranvier. This causes AIS disintegration, impairment of motor learning and the abolition of the spontaneous tonic discharge typical of Purkinje cells. Nevertheless, action potentials with a modified waveform can still be evoked and basic motor abilities remain intact. We propose that Nfasc186 optimizes communication between mature neurons by anchoring the key elements of the adult AIS complex.","container-title":"Neuron","DOI":"10.1016/j.neuron.2011.02.021","ISSN":"1097-4199","issue":"5","journalAbbreviation":"Neuron","language":"eng","note":"PMID: 21382554\nPMCID: PMC3057015","page":"945-956","source":"PubMed","title":"A critical role for Neurofascin in regulating action potential initiation through maintenance of the axon initial segment","volume":"69","author":[{"family":"Zonta","given":"Barbara"},{"family":"Desmazieres","given":"Anne"},{"family":"Rinaldi","given":"Arianna"},{"family":"Tait","given":"Steven"},{"family":"Sherman","given":"Diane L."},{"family":"Nolan","given":"Matthew F."},{"family":"Brophy","given":"Peter J."}],"issued":{"date-parts":[["2011",3,10]]}}}],"schema":"https://github.com/citation-style-language/schema/raw/master/csl-citation.json"} </w:instrText>
      </w:r>
      <w:r w:rsidR="00B51909"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33</w:t>
      </w:r>
      <w:r w:rsidR="00B51909" w:rsidRPr="00726423">
        <w:rPr>
          <w:rFonts w:ascii="Arial" w:hAnsi="Arial" w:cs="Arial"/>
          <w:color w:val="000000" w:themeColor="text1"/>
          <w:sz w:val="22"/>
          <w:szCs w:val="22"/>
        </w:rPr>
        <w:fldChar w:fldCharType="end"/>
      </w:r>
      <w:r w:rsidR="00B51909" w:rsidRPr="00726423">
        <w:rPr>
          <w:rFonts w:ascii="Arial" w:hAnsi="Arial" w:cs="Arial"/>
          <w:color w:val="000000" w:themeColor="text1"/>
          <w:sz w:val="22"/>
          <w:szCs w:val="22"/>
        </w:rPr>
        <w:t xml:space="preserve">, respectively, </w:t>
      </w:r>
      <w:r w:rsidRPr="00726423">
        <w:rPr>
          <w:rFonts w:ascii="Arial" w:hAnsi="Arial" w:cs="Arial"/>
          <w:color w:val="000000" w:themeColor="text1"/>
          <w:sz w:val="22"/>
          <w:szCs w:val="22"/>
        </w:rPr>
        <w:t xml:space="preserve">to EP4-floxed mice and maintained under specific pathogen-free conditions in accredited animal facilities in the University of Edinburgh. Wild-type C57BL/6 mice were purchased from Harlan UK or bred in animal facilities </w:t>
      </w:r>
      <w:r w:rsidR="0014139A" w:rsidRPr="00726423">
        <w:rPr>
          <w:rFonts w:ascii="Arial" w:hAnsi="Arial" w:cs="Arial"/>
          <w:color w:val="000000" w:themeColor="text1"/>
          <w:sz w:val="22"/>
          <w:szCs w:val="22"/>
        </w:rPr>
        <w:t>with</w:t>
      </w:r>
      <w:r w:rsidRPr="00726423">
        <w:rPr>
          <w:rFonts w:ascii="Arial" w:hAnsi="Arial" w:cs="Arial"/>
          <w:color w:val="000000" w:themeColor="text1"/>
          <w:sz w:val="22"/>
          <w:szCs w:val="22"/>
        </w:rPr>
        <w:t xml:space="preserve">in the University of Edinburgh. Sex-matched mice aged &gt;6 weeks were used in experiments. Mice were randomly allocated into different treatment groups and analysed individually. </w:t>
      </w:r>
      <w:r w:rsidR="00710241" w:rsidRPr="00726423">
        <w:rPr>
          <w:rFonts w:ascii="Arial" w:hAnsi="Arial" w:cs="Arial"/>
          <w:color w:val="000000" w:themeColor="text1"/>
          <w:sz w:val="22"/>
          <w:szCs w:val="22"/>
        </w:rPr>
        <w:t>No animal was excluded for analysis except one in Fig</w:t>
      </w:r>
      <w:r w:rsidR="00C2575A" w:rsidRPr="00726423">
        <w:rPr>
          <w:rFonts w:ascii="Arial" w:hAnsi="Arial" w:cs="Arial"/>
          <w:color w:val="000000" w:themeColor="text1"/>
          <w:sz w:val="22"/>
          <w:szCs w:val="22"/>
        </w:rPr>
        <w:t>2</w:t>
      </w:r>
      <w:r w:rsidR="00710241" w:rsidRPr="00726423">
        <w:rPr>
          <w:rFonts w:ascii="Arial" w:hAnsi="Arial" w:cs="Arial"/>
          <w:color w:val="000000" w:themeColor="text1"/>
          <w:sz w:val="22"/>
          <w:szCs w:val="22"/>
        </w:rPr>
        <w:t xml:space="preserve">A which was </w:t>
      </w:r>
      <w:r w:rsidR="0014139A" w:rsidRPr="00726423">
        <w:rPr>
          <w:rFonts w:ascii="Arial" w:hAnsi="Arial" w:cs="Arial"/>
          <w:color w:val="000000" w:themeColor="text1"/>
          <w:sz w:val="22"/>
          <w:szCs w:val="22"/>
        </w:rPr>
        <w:t>overlooked</w:t>
      </w:r>
      <w:r w:rsidR="00710241" w:rsidRPr="00726423">
        <w:rPr>
          <w:rFonts w:ascii="Arial" w:hAnsi="Arial" w:cs="Arial"/>
          <w:color w:val="000000" w:themeColor="text1"/>
          <w:sz w:val="22"/>
          <w:szCs w:val="22"/>
        </w:rPr>
        <w:t xml:space="preserve"> </w:t>
      </w:r>
      <w:r w:rsidR="00B551B5" w:rsidRPr="00726423">
        <w:rPr>
          <w:rFonts w:ascii="Arial" w:hAnsi="Arial" w:cs="Arial"/>
          <w:color w:val="000000" w:themeColor="text1"/>
          <w:sz w:val="22"/>
          <w:szCs w:val="22"/>
        </w:rPr>
        <w:t xml:space="preserve">at the step of </w:t>
      </w:r>
      <w:r w:rsidR="00B551B5" w:rsidRPr="00726423">
        <w:rPr>
          <w:rFonts w:ascii="Arial" w:hAnsi="Arial" w:cs="Arial"/>
          <w:i/>
          <w:iCs/>
          <w:color w:val="000000" w:themeColor="text1"/>
          <w:sz w:val="22"/>
          <w:szCs w:val="22"/>
        </w:rPr>
        <w:t>ex vivo</w:t>
      </w:r>
      <w:r w:rsidR="00B551B5" w:rsidRPr="00726423">
        <w:rPr>
          <w:rFonts w:ascii="Arial" w:hAnsi="Arial" w:cs="Arial"/>
          <w:color w:val="000000" w:themeColor="text1"/>
          <w:sz w:val="22"/>
          <w:szCs w:val="22"/>
        </w:rPr>
        <w:t xml:space="preserve"> restimulation of lung single cells with PMA, ionomycin and </w:t>
      </w:r>
      <w:proofErr w:type="spellStart"/>
      <w:r w:rsidR="0014139A" w:rsidRPr="00726423">
        <w:rPr>
          <w:rFonts w:ascii="Arial" w:hAnsi="Arial" w:cs="Arial"/>
          <w:color w:val="000000" w:themeColor="text1"/>
          <w:sz w:val="22"/>
          <w:szCs w:val="22"/>
        </w:rPr>
        <w:t>Brefeld</w:t>
      </w:r>
      <w:proofErr w:type="spellEnd"/>
      <w:r w:rsidR="0014139A" w:rsidRPr="00726423">
        <w:rPr>
          <w:rFonts w:ascii="Arial" w:hAnsi="Arial" w:cs="Arial"/>
          <w:color w:val="000000" w:themeColor="text1"/>
          <w:sz w:val="22"/>
          <w:szCs w:val="22"/>
        </w:rPr>
        <w:t xml:space="preserve"> A</w:t>
      </w:r>
      <w:r w:rsidR="00B551B5" w:rsidRPr="00726423">
        <w:rPr>
          <w:rFonts w:ascii="Arial" w:hAnsi="Arial" w:cs="Arial"/>
          <w:color w:val="000000" w:themeColor="text1"/>
          <w:sz w:val="22"/>
          <w:szCs w:val="22"/>
        </w:rPr>
        <w:t xml:space="preserve"> </w:t>
      </w:r>
      <w:r w:rsidR="0014139A" w:rsidRPr="00726423">
        <w:rPr>
          <w:rFonts w:ascii="Arial" w:hAnsi="Arial" w:cs="Arial"/>
          <w:color w:val="000000" w:themeColor="text1"/>
          <w:sz w:val="22"/>
          <w:szCs w:val="22"/>
        </w:rPr>
        <w:t>(</w:t>
      </w:r>
      <w:r w:rsidR="00B551B5" w:rsidRPr="00726423">
        <w:rPr>
          <w:rFonts w:ascii="Arial" w:hAnsi="Arial" w:cs="Arial"/>
          <w:color w:val="000000" w:themeColor="text1"/>
          <w:sz w:val="22"/>
          <w:szCs w:val="22"/>
        </w:rPr>
        <w:t xml:space="preserve">for detecting cytokine </w:t>
      </w:r>
      <w:r w:rsidR="0014139A" w:rsidRPr="00726423">
        <w:rPr>
          <w:rFonts w:ascii="Arial" w:hAnsi="Arial" w:cs="Arial"/>
          <w:color w:val="000000" w:themeColor="text1"/>
          <w:sz w:val="22"/>
          <w:szCs w:val="22"/>
        </w:rPr>
        <w:t>expression)</w:t>
      </w:r>
      <w:r w:rsidR="00B551B5" w:rsidRPr="00726423">
        <w:rPr>
          <w:rFonts w:ascii="Arial" w:hAnsi="Arial" w:cs="Arial"/>
          <w:color w:val="000000" w:themeColor="text1"/>
          <w:sz w:val="22"/>
          <w:szCs w:val="22"/>
        </w:rPr>
        <w:t>.</w:t>
      </w:r>
      <w:r w:rsidR="00397507">
        <w:rPr>
          <w:rFonts w:ascii="Arial" w:hAnsi="Arial" w:cs="Arial"/>
          <w:color w:val="000000" w:themeColor="text1"/>
          <w:sz w:val="22"/>
          <w:szCs w:val="22"/>
        </w:rPr>
        <w:t xml:space="preserve"> </w:t>
      </w:r>
      <w:r w:rsidR="00397507" w:rsidRPr="00726423">
        <w:rPr>
          <w:rFonts w:ascii="Arial" w:hAnsi="Arial" w:cs="Arial"/>
          <w:color w:val="000000" w:themeColor="text1"/>
          <w:sz w:val="22"/>
          <w:szCs w:val="22"/>
        </w:rPr>
        <w:t>All animal experiments were conducted in accordance with the U.K. Animals (Scientific Procedures) Act of 1986 with local institutional ethical approval by the University of Edinburgh Animal Welfare and Ethical Review Body.</w:t>
      </w:r>
    </w:p>
    <w:p w14:paraId="7D85500C" w14:textId="77777777" w:rsidR="008E3115" w:rsidRPr="00726423" w:rsidRDefault="008E3115" w:rsidP="00AF01E8">
      <w:pPr>
        <w:spacing w:line="480" w:lineRule="auto"/>
        <w:jc w:val="both"/>
        <w:rPr>
          <w:rFonts w:ascii="Arial" w:hAnsi="Arial" w:cs="Arial"/>
          <w:color w:val="000000" w:themeColor="text1"/>
          <w:sz w:val="22"/>
          <w:szCs w:val="22"/>
        </w:rPr>
      </w:pPr>
    </w:p>
    <w:p w14:paraId="4BF38D25" w14:textId="7628B483" w:rsidR="008E3115" w:rsidRPr="00726423" w:rsidRDefault="008E3115" w:rsidP="00AF01E8">
      <w:pPr>
        <w:spacing w:line="480" w:lineRule="auto"/>
        <w:jc w:val="both"/>
        <w:rPr>
          <w:rFonts w:ascii="Arial" w:hAnsi="Arial" w:cs="Arial"/>
          <w:color w:val="000000" w:themeColor="text1"/>
          <w:sz w:val="22"/>
          <w:szCs w:val="22"/>
        </w:rPr>
      </w:pPr>
      <w:r w:rsidRPr="00726423">
        <w:rPr>
          <w:rFonts w:ascii="Arial" w:hAnsi="Arial" w:cs="Arial"/>
          <w:b/>
          <w:bCs/>
          <w:color w:val="000000" w:themeColor="text1"/>
          <w:sz w:val="22"/>
          <w:szCs w:val="22"/>
        </w:rPr>
        <w:t>Reagents</w:t>
      </w:r>
      <w:r w:rsidR="00502347" w:rsidRPr="00726423">
        <w:rPr>
          <w:rFonts w:ascii="Arial" w:hAnsi="Arial" w:cs="Arial"/>
          <w:b/>
          <w:bCs/>
          <w:color w:val="000000" w:themeColor="text1"/>
          <w:sz w:val="22"/>
          <w:szCs w:val="22"/>
        </w:rPr>
        <w:t xml:space="preserve">. </w:t>
      </w:r>
      <w:r w:rsidRPr="00726423">
        <w:rPr>
          <w:rFonts w:ascii="Arial" w:hAnsi="Arial" w:cs="Arial"/>
          <w:color w:val="000000" w:themeColor="text1"/>
          <w:sz w:val="22"/>
          <w:szCs w:val="22"/>
        </w:rPr>
        <w:t xml:space="preserve">Antibodies to mouse CD45 (clone 30-F11), CD19 (clone 6D5), NK-1.1 (clone PK136), CD4 (clone RM4-5), CD90.2 (clone 30-H12), CD3e (clone 145-2C11), CD11b (clone M1/70), CD11c (clone N418), ICOS (clone7E.17G9), IL-5 (clone TRFK5), IL-13 (clone eBio13A), Ki-67 (clone 16A8) and Ly6G (clone 1A8) were purchased from </w:t>
      </w:r>
      <w:proofErr w:type="spellStart"/>
      <w:r w:rsidRPr="00726423">
        <w:rPr>
          <w:rFonts w:ascii="Arial" w:hAnsi="Arial" w:cs="Arial"/>
          <w:color w:val="000000" w:themeColor="text1"/>
          <w:sz w:val="22"/>
          <w:szCs w:val="22"/>
        </w:rPr>
        <w:t>eBioscience</w:t>
      </w:r>
      <w:proofErr w:type="spellEnd"/>
      <w:r w:rsidRPr="00726423">
        <w:rPr>
          <w:rFonts w:ascii="Arial" w:hAnsi="Arial" w:cs="Arial"/>
          <w:color w:val="000000" w:themeColor="text1"/>
          <w:sz w:val="22"/>
          <w:szCs w:val="22"/>
        </w:rPr>
        <w:t xml:space="preserve"> or </w:t>
      </w:r>
      <w:proofErr w:type="spellStart"/>
      <w:r w:rsidRPr="00726423">
        <w:rPr>
          <w:rFonts w:ascii="Arial" w:hAnsi="Arial" w:cs="Arial"/>
          <w:color w:val="000000" w:themeColor="text1"/>
          <w:sz w:val="22"/>
          <w:szCs w:val="22"/>
        </w:rPr>
        <w:t>Biolegend</w:t>
      </w:r>
      <w:proofErr w:type="spellEnd"/>
      <w:r w:rsidRPr="00726423">
        <w:rPr>
          <w:rFonts w:ascii="Arial" w:hAnsi="Arial" w:cs="Arial"/>
          <w:color w:val="000000" w:themeColor="text1"/>
          <w:sz w:val="22"/>
          <w:szCs w:val="22"/>
        </w:rPr>
        <w:t xml:space="preserve">. Antibodies to mouse ST2(IL33-R) (clone DJ8) and </w:t>
      </w:r>
      <w:proofErr w:type="spellStart"/>
      <w:r w:rsidRPr="00726423">
        <w:rPr>
          <w:rFonts w:ascii="Arial" w:hAnsi="Arial" w:cs="Arial"/>
          <w:color w:val="000000" w:themeColor="text1"/>
          <w:sz w:val="22"/>
          <w:szCs w:val="22"/>
        </w:rPr>
        <w:t>SiglecF</w:t>
      </w:r>
      <w:proofErr w:type="spellEnd"/>
      <w:r w:rsidRPr="00726423">
        <w:rPr>
          <w:rFonts w:ascii="Arial" w:hAnsi="Arial" w:cs="Arial"/>
          <w:color w:val="000000" w:themeColor="text1"/>
          <w:sz w:val="22"/>
          <w:szCs w:val="22"/>
        </w:rPr>
        <w:t xml:space="preserve"> (clone E50-2440) were purchased from </w:t>
      </w:r>
      <w:proofErr w:type="spellStart"/>
      <w:r w:rsidRPr="00726423">
        <w:rPr>
          <w:rFonts w:ascii="Arial" w:hAnsi="Arial" w:cs="Arial"/>
          <w:color w:val="000000" w:themeColor="text1"/>
          <w:sz w:val="22"/>
          <w:szCs w:val="22"/>
        </w:rPr>
        <w:t>mdbioproducts</w:t>
      </w:r>
      <w:proofErr w:type="spellEnd"/>
      <w:r w:rsidRPr="00726423">
        <w:rPr>
          <w:rFonts w:ascii="Arial" w:hAnsi="Arial" w:cs="Arial"/>
          <w:color w:val="000000" w:themeColor="text1"/>
          <w:sz w:val="22"/>
          <w:szCs w:val="22"/>
        </w:rPr>
        <w:t xml:space="preserve"> and BD respectively. LIVE/DEAD™️ Fixable Blue Dead Cell Stain Kit for UV excitation, </w:t>
      </w:r>
      <w:proofErr w:type="spellStart"/>
      <w:r w:rsidRPr="00726423">
        <w:rPr>
          <w:rFonts w:ascii="Arial" w:hAnsi="Arial" w:cs="Arial"/>
          <w:color w:val="000000" w:themeColor="text1"/>
          <w:sz w:val="22"/>
          <w:szCs w:val="22"/>
        </w:rPr>
        <w:t>UltraComp</w:t>
      </w:r>
      <w:proofErr w:type="spellEnd"/>
      <w:r w:rsidRPr="00726423">
        <w:rPr>
          <w:rFonts w:ascii="Arial" w:hAnsi="Arial" w:cs="Arial"/>
          <w:color w:val="000000" w:themeColor="text1"/>
          <w:sz w:val="22"/>
          <w:szCs w:val="22"/>
        </w:rPr>
        <w:t xml:space="preserve"> </w:t>
      </w:r>
      <w:proofErr w:type="spellStart"/>
      <w:r w:rsidRPr="00726423">
        <w:rPr>
          <w:rFonts w:ascii="Arial" w:hAnsi="Arial" w:cs="Arial"/>
          <w:color w:val="000000" w:themeColor="text1"/>
          <w:sz w:val="22"/>
          <w:szCs w:val="22"/>
        </w:rPr>
        <w:t>eBeads</w:t>
      </w:r>
      <w:proofErr w:type="spellEnd"/>
      <w:r w:rsidRPr="00726423">
        <w:rPr>
          <w:rFonts w:ascii="Arial" w:hAnsi="Arial" w:cs="Arial"/>
          <w:color w:val="000000" w:themeColor="text1"/>
          <w:sz w:val="22"/>
          <w:szCs w:val="22"/>
        </w:rPr>
        <w:t xml:space="preserve">™️ and mouse IL-5/IL-13 ELISA kits were purchased from Thermo Fisher Scientific. Recombinant mouse IL-33 and </w:t>
      </w:r>
      <w:r w:rsidRPr="00726423">
        <w:rPr>
          <w:rFonts w:ascii="Arial" w:hAnsi="Arial" w:cs="Arial"/>
          <w:i/>
          <w:iCs/>
          <w:color w:val="000000" w:themeColor="text1"/>
          <w:sz w:val="22"/>
          <w:szCs w:val="22"/>
        </w:rPr>
        <w:t xml:space="preserve">Alternaria </w:t>
      </w:r>
      <w:proofErr w:type="spellStart"/>
      <w:r w:rsidRPr="00726423">
        <w:rPr>
          <w:rFonts w:ascii="Arial" w:hAnsi="Arial" w:cs="Arial"/>
          <w:i/>
          <w:iCs/>
          <w:color w:val="000000" w:themeColor="text1"/>
          <w:sz w:val="22"/>
          <w:szCs w:val="22"/>
        </w:rPr>
        <w:t>alternata</w:t>
      </w:r>
      <w:proofErr w:type="spellEnd"/>
      <w:r w:rsidRPr="00726423">
        <w:rPr>
          <w:rFonts w:ascii="Arial" w:hAnsi="Arial" w:cs="Arial"/>
          <w:i/>
          <w:iCs/>
          <w:color w:val="000000" w:themeColor="text1"/>
          <w:sz w:val="22"/>
          <w:szCs w:val="22"/>
        </w:rPr>
        <w:t xml:space="preserve"> </w:t>
      </w:r>
      <w:r w:rsidRPr="00726423">
        <w:rPr>
          <w:rFonts w:ascii="Arial" w:hAnsi="Arial" w:cs="Arial"/>
          <w:color w:val="000000" w:themeColor="text1"/>
          <w:sz w:val="22"/>
          <w:szCs w:val="22"/>
        </w:rPr>
        <w:t xml:space="preserve">(A.A) extract were purchased from </w:t>
      </w:r>
      <w:proofErr w:type="spellStart"/>
      <w:r w:rsidRPr="00726423">
        <w:rPr>
          <w:rFonts w:ascii="Arial" w:hAnsi="Arial" w:cs="Arial"/>
          <w:color w:val="000000" w:themeColor="text1"/>
          <w:sz w:val="22"/>
          <w:szCs w:val="22"/>
        </w:rPr>
        <w:t>Biolegend</w:t>
      </w:r>
      <w:proofErr w:type="spellEnd"/>
      <w:r w:rsidRPr="00726423">
        <w:rPr>
          <w:rFonts w:ascii="Arial" w:hAnsi="Arial" w:cs="Arial"/>
          <w:color w:val="000000" w:themeColor="text1"/>
          <w:sz w:val="22"/>
          <w:szCs w:val="22"/>
        </w:rPr>
        <w:t xml:space="preserve"> and </w:t>
      </w:r>
      <w:proofErr w:type="spellStart"/>
      <w:r w:rsidRPr="00726423">
        <w:rPr>
          <w:rFonts w:ascii="Arial" w:hAnsi="Arial" w:cs="Arial"/>
          <w:color w:val="000000" w:themeColor="text1"/>
          <w:sz w:val="22"/>
          <w:szCs w:val="22"/>
        </w:rPr>
        <w:t>Stallergenes</w:t>
      </w:r>
      <w:proofErr w:type="spellEnd"/>
      <w:r w:rsidRPr="00726423">
        <w:rPr>
          <w:rFonts w:ascii="Arial" w:hAnsi="Arial" w:cs="Arial"/>
          <w:color w:val="000000" w:themeColor="text1"/>
          <w:sz w:val="22"/>
          <w:szCs w:val="22"/>
        </w:rPr>
        <w:t xml:space="preserve"> Greer, respectively. PGE</w:t>
      </w:r>
      <w:r w:rsidRPr="00726423">
        <w:rPr>
          <w:rFonts w:ascii="Arial" w:hAnsi="Arial" w:cs="Arial"/>
          <w:color w:val="000000" w:themeColor="text1"/>
          <w:sz w:val="22"/>
          <w:szCs w:val="22"/>
          <w:vertAlign w:val="subscript"/>
        </w:rPr>
        <w:t>2</w:t>
      </w:r>
      <w:r w:rsidRPr="00726423">
        <w:rPr>
          <w:rFonts w:ascii="Arial" w:hAnsi="Arial" w:cs="Arial"/>
          <w:color w:val="000000" w:themeColor="text1"/>
          <w:sz w:val="22"/>
          <w:szCs w:val="22"/>
        </w:rPr>
        <w:t xml:space="preserve"> and L-902,688 (EP4 agonist) were obtained from Cayman. Indomethacin, phorbol myristate acetate (PMA), ionomycin, brefeldin A, (R)-</w:t>
      </w:r>
      <w:proofErr w:type="spellStart"/>
      <w:r w:rsidRPr="00726423">
        <w:rPr>
          <w:rFonts w:ascii="Arial" w:hAnsi="Arial" w:cs="Arial"/>
          <w:color w:val="000000" w:themeColor="text1"/>
          <w:sz w:val="22"/>
          <w:szCs w:val="22"/>
        </w:rPr>
        <w:t>Butaprost</w:t>
      </w:r>
      <w:proofErr w:type="spellEnd"/>
      <w:r w:rsidRPr="00726423">
        <w:rPr>
          <w:rFonts w:ascii="Arial" w:hAnsi="Arial" w:cs="Arial"/>
          <w:color w:val="000000" w:themeColor="text1"/>
          <w:sz w:val="22"/>
          <w:szCs w:val="22"/>
        </w:rPr>
        <w:t xml:space="preserve"> (EP2 agonist), </w:t>
      </w:r>
      <w:proofErr w:type="spellStart"/>
      <w:r w:rsidRPr="00726423">
        <w:rPr>
          <w:rFonts w:ascii="Arial" w:hAnsi="Arial" w:cs="Arial"/>
          <w:color w:val="000000" w:themeColor="text1"/>
          <w:sz w:val="22"/>
          <w:szCs w:val="22"/>
        </w:rPr>
        <w:t>dibutyryl</w:t>
      </w:r>
      <w:proofErr w:type="spellEnd"/>
      <w:r w:rsidRPr="00726423">
        <w:rPr>
          <w:rFonts w:ascii="Arial" w:hAnsi="Arial" w:cs="Arial"/>
          <w:color w:val="000000" w:themeColor="text1"/>
          <w:sz w:val="22"/>
          <w:szCs w:val="22"/>
        </w:rPr>
        <w:t xml:space="preserve"> cyclic adenosine monophosphate (</w:t>
      </w:r>
      <w:proofErr w:type="spellStart"/>
      <w:r w:rsidRPr="00726423">
        <w:rPr>
          <w:rFonts w:ascii="Arial" w:hAnsi="Arial" w:cs="Arial"/>
          <w:color w:val="000000" w:themeColor="text1"/>
          <w:sz w:val="22"/>
          <w:szCs w:val="22"/>
        </w:rPr>
        <w:t>db</w:t>
      </w:r>
      <w:proofErr w:type="spellEnd"/>
      <w:r w:rsidRPr="00726423">
        <w:rPr>
          <w:rFonts w:ascii="Arial" w:hAnsi="Arial" w:cs="Arial"/>
          <w:color w:val="000000" w:themeColor="text1"/>
          <w:sz w:val="22"/>
          <w:szCs w:val="22"/>
        </w:rPr>
        <w:t>-cAMP) and 3-isobutyl-1-methyxanthine (IBMX) were purchased from Sigma. Complete RMPI consisted of RPMI 1640 (Gibco) supplemented with 10% FBS, 1% Penicillin/Streptomycin, 1% L. glutamine and 50 µM β-</w:t>
      </w:r>
      <w:proofErr w:type="spellStart"/>
      <w:r w:rsidRPr="00726423">
        <w:rPr>
          <w:rFonts w:ascii="Arial" w:hAnsi="Arial" w:cs="Arial"/>
          <w:color w:val="000000" w:themeColor="text1"/>
          <w:sz w:val="22"/>
          <w:szCs w:val="22"/>
        </w:rPr>
        <w:t>mercaptoethanol</w:t>
      </w:r>
      <w:proofErr w:type="spellEnd"/>
      <w:r w:rsidRPr="00726423">
        <w:rPr>
          <w:rFonts w:ascii="Arial" w:hAnsi="Arial" w:cs="Arial"/>
          <w:color w:val="000000" w:themeColor="text1"/>
          <w:sz w:val="22"/>
          <w:szCs w:val="22"/>
        </w:rPr>
        <w:t>.</w:t>
      </w:r>
    </w:p>
    <w:p w14:paraId="597AA1BA" w14:textId="77777777" w:rsidR="008E3115" w:rsidRPr="00726423" w:rsidRDefault="008E3115" w:rsidP="00AF01E8">
      <w:pPr>
        <w:spacing w:line="480" w:lineRule="auto"/>
        <w:jc w:val="both"/>
        <w:rPr>
          <w:rFonts w:ascii="Arial" w:hAnsi="Arial" w:cs="Arial"/>
          <w:color w:val="000000" w:themeColor="text1"/>
          <w:sz w:val="22"/>
          <w:szCs w:val="22"/>
        </w:rPr>
      </w:pPr>
    </w:p>
    <w:p w14:paraId="6E550260" w14:textId="16E4CE62" w:rsidR="008E3115" w:rsidRPr="00726423" w:rsidRDefault="008E3115" w:rsidP="00AF01E8">
      <w:pPr>
        <w:spacing w:line="480" w:lineRule="auto"/>
        <w:jc w:val="both"/>
        <w:rPr>
          <w:rFonts w:ascii="Arial" w:hAnsi="Arial" w:cs="Arial"/>
          <w:color w:val="000000" w:themeColor="text1"/>
          <w:sz w:val="22"/>
          <w:szCs w:val="22"/>
        </w:rPr>
      </w:pPr>
      <w:r w:rsidRPr="00726423">
        <w:rPr>
          <w:rFonts w:ascii="Arial" w:hAnsi="Arial" w:cs="Arial"/>
          <w:b/>
          <w:bCs/>
          <w:color w:val="000000" w:themeColor="text1"/>
          <w:sz w:val="22"/>
          <w:szCs w:val="22"/>
        </w:rPr>
        <w:lastRenderedPageBreak/>
        <w:t xml:space="preserve">Airway administration of pro-allergic cytokines and </w:t>
      </w:r>
      <w:r w:rsidRPr="00726423">
        <w:rPr>
          <w:rFonts w:ascii="Arial" w:hAnsi="Arial" w:cs="Arial"/>
          <w:b/>
          <w:bCs/>
          <w:i/>
          <w:iCs/>
          <w:color w:val="000000" w:themeColor="text1"/>
          <w:sz w:val="22"/>
          <w:szCs w:val="22"/>
        </w:rPr>
        <w:t>Alternaria</w:t>
      </w:r>
      <w:r w:rsidRPr="00726423">
        <w:rPr>
          <w:rFonts w:ascii="Arial" w:hAnsi="Arial" w:cs="Arial"/>
          <w:b/>
          <w:bCs/>
          <w:color w:val="000000" w:themeColor="text1"/>
          <w:sz w:val="22"/>
          <w:szCs w:val="22"/>
        </w:rPr>
        <w:t xml:space="preserve"> allergen</w:t>
      </w:r>
      <w:r w:rsidR="00502347" w:rsidRPr="00726423">
        <w:rPr>
          <w:rFonts w:ascii="Arial" w:hAnsi="Arial" w:cs="Arial"/>
          <w:b/>
          <w:bCs/>
          <w:color w:val="000000" w:themeColor="text1"/>
          <w:sz w:val="22"/>
          <w:szCs w:val="22"/>
        </w:rPr>
        <w:t xml:space="preserve">. </w:t>
      </w:r>
      <w:r w:rsidRPr="00726423">
        <w:rPr>
          <w:rFonts w:ascii="Arial" w:hAnsi="Arial" w:cs="Arial"/>
          <w:color w:val="000000" w:themeColor="text1"/>
          <w:sz w:val="22"/>
          <w:szCs w:val="22"/>
        </w:rPr>
        <w:t>A variety of different mouse lines including C57BL/6 wild-type, EP4</w:t>
      </w:r>
      <w:r w:rsidRPr="00726423">
        <w:rPr>
          <w:rFonts w:ascii="Arial" w:hAnsi="Arial" w:cs="Arial"/>
          <w:color w:val="000000" w:themeColor="text1"/>
          <w:sz w:val="22"/>
          <w:szCs w:val="22"/>
          <w:vertAlign w:val="superscript"/>
        </w:rPr>
        <w:t>-/-</w:t>
      </w:r>
      <w:r w:rsidRPr="00726423">
        <w:rPr>
          <w:rFonts w:ascii="Arial" w:hAnsi="Arial" w:cs="Arial"/>
          <w:color w:val="000000" w:themeColor="text1"/>
          <w:sz w:val="22"/>
          <w:szCs w:val="22"/>
        </w:rPr>
        <w:t>, Vav</w:t>
      </w:r>
      <w:r w:rsidRPr="00726423">
        <w:rPr>
          <w:rFonts w:ascii="Arial" w:hAnsi="Arial" w:cs="Arial"/>
          <w:color w:val="000000" w:themeColor="text1"/>
          <w:sz w:val="22"/>
          <w:szCs w:val="22"/>
          <w:vertAlign w:val="superscript"/>
        </w:rPr>
        <w:t>Cre</w:t>
      </w:r>
      <w:r w:rsidRPr="00726423">
        <w:rPr>
          <w:rFonts w:ascii="Arial" w:hAnsi="Arial" w:cs="Arial"/>
          <w:color w:val="000000" w:themeColor="text1"/>
          <w:sz w:val="22"/>
          <w:szCs w:val="22"/>
        </w:rPr>
        <w:t>EP4</w:t>
      </w:r>
      <w:r w:rsidRPr="00726423">
        <w:rPr>
          <w:rFonts w:ascii="Arial" w:hAnsi="Arial" w:cs="Arial"/>
          <w:color w:val="000000" w:themeColor="text1"/>
          <w:sz w:val="22"/>
          <w:szCs w:val="22"/>
          <w:vertAlign w:val="superscript"/>
        </w:rPr>
        <w:t>fl/</w:t>
      </w:r>
      <w:proofErr w:type="spellStart"/>
      <w:r w:rsidRPr="00726423">
        <w:rPr>
          <w:rFonts w:ascii="Arial" w:hAnsi="Arial" w:cs="Arial"/>
          <w:color w:val="000000" w:themeColor="text1"/>
          <w:sz w:val="22"/>
          <w:szCs w:val="22"/>
          <w:vertAlign w:val="superscript"/>
        </w:rPr>
        <w:t>fl</w:t>
      </w:r>
      <w:proofErr w:type="spellEnd"/>
      <w:r w:rsidRPr="00726423">
        <w:rPr>
          <w:rFonts w:ascii="Arial" w:hAnsi="Arial" w:cs="Arial"/>
          <w:color w:val="000000" w:themeColor="text1"/>
          <w:sz w:val="22"/>
          <w:szCs w:val="22"/>
        </w:rPr>
        <w:t xml:space="preserve">, and their appropriate control mice were anaesthetised by inhalation of isoflurane and the pro-allergic cytokine IL-33 (200 ng per treatment) was administered via intratracheal administration once daily for consecutive 3 d. When indicated, </w:t>
      </w:r>
      <w:r w:rsidR="0000217C" w:rsidRPr="00726423">
        <w:rPr>
          <w:rFonts w:ascii="Arial" w:hAnsi="Arial" w:cs="Arial"/>
          <w:color w:val="000000" w:themeColor="text1"/>
          <w:sz w:val="22"/>
          <w:szCs w:val="22"/>
        </w:rPr>
        <w:t xml:space="preserve">EP2 or </w:t>
      </w:r>
      <w:r w:rsidRPr="00726423">
        <w:rPr>
          <w:rFonts w:ascii="Arial" w:hAnsi="Arial" w:cs="Arial"/>
          <w:color w:val="000000" w:themeColor="text1"/>
          <w:sz w:val="22"/>
          <w:szCs w:val="22"/>
        </w:rPr>
        <w:t>EP4 agonist (</w:t>
      </w:r>
      <w:r w:rsidR="0000217C" w:rsidRPr="00726423">
        <w:rPr>
          <w:rFonts w:ascii="Arial" w:hAnsi="Arial" w:cs="Arial"/>
          <w:color w:val="000000" w:themeColor="text1"/>
          <w:sz w:val="22"/>
          <w:szCs w:val="22"/>
        </w:rPr>
        <w:t xml:space="preserve">each </w:t>
      </w:r>
      <w:r w:rsidRPr="00726423">
        <w:rPr>
          <w:rFonts w:ascii="Arial" w:hAnsi="Arial" w:cs="Arial"/>
          <w:color w:val="000000" w:themeColor="text1"/>
          <w:sz w:val="22"/>
          <w:szCs w:val="22"/>
        </w:rPr>
        <w:t>10 µg) or vehicle control</w:t>
      </w:r>
      <w:r w:rsidR="0014139A" w:rsidRPr="00726423">
        <w:rPr>
          <w:rFonts w:ascii="Arial" w:hAnsi="Arial" w:cs="Arial"/>
          <w:color w:val="000000" w:themeColor="text1"/>
          <w:sz w:val="22"/>
          <w:szCs w:val="22"/>
        </w:rPr>
        <w:t xml:space="preserve"> (PBS)</w:t>
      </w:r>
      <w:r w:rsidRPr="00726423">
        <w:rPr>
          <w:rFonts w:ascii="Arial" w:hAnsi="Arial" w:cs="Arial"/>
          <w:color w:val="000000" w:themeColor="text1"/>
          <w:sz w:val="22"/>
          <w:szCs w:val="22"/>
        </w:rPr>
        <w:t xml:space="preserve"> were co-administered with IL-33. Indomethacin (5 mg/kg/day) or vehicle (0.5% EtOH) was administered in drinking water. 2-Deoxy-d-glucose (2-DG, 1 g/kg/d</w:t>
      </w:r>
      <w:r w:rsidR="0014139A" w:rsidRPr="00726423">
        <w:rPr>
          <w:rFonts w:ascii="Arial" w:hAnsi="Arial" w:cs="Arial"/>
          <w:color w:val="000000" w:themeColor="text1"/>
          <w:sz w:val="22"/>
          <w:szCs w:val="22"/>
        </w:rPr>
        <w:t>) (Abcam</w:t>
      </w:r>
      <w:r w:rsidRPr="00726423">
        <w:rPr>
          <w:rFonts w:ascii="Arial" w:hAnsi="Arial" w:cs="Arial"/>
          <w:color w:val="000000" w:themeColor="text1"/>
          <w:sz w:val="22"/>
          <w:szCs w:val="22"/>
        </w:rPr>
        <w:t xml:space="preserve">) was administered via intraperitoneal injection (one injection per day throughout the whole experiment). A.A extract (10 µg) was delivered by intranasal administration together with the </w:t>
      </w:r>
      <w:r w:rsidR="00B22AE4" w:rsidRPr="00726423">
        <w:rPr>
          <w:rFonts w:ascii="Arial" w:hAnsi="Arial" w:cs="Arial"/>
          <w:color w:val="000000" w:themeColor="text1"/>
          <w:sz w:val="22"/>
          <w:szCs w:val="22"/>
        </w:rPr>
        <w:t xml:space="preserve">EP2 or </w:t>
      </w:r>
      <w:r w:rsidRPr="00726423">
        <w:rPr>
          <w:rFonts w:ascii="Arial" w:hAnsi="Arial" w:cs="Arial"/>
          <w:color w:val="000000" w:themeColor="text1"/>
          <w:sz w:val="22"/>
          <w:szCs w:val="22"/>
        </w:rPr>
        <w:t>EP4 agonist (</w:t>
      </w:r>
      <w:r w:rsidR="00B22AE4" w:rsidRPr="00726423">
        <w:rPr>
          <w:rFonts w:ascii="Arial" w:hAnsi="Arial" w:cs="Arial"/>
          <w:color w:val="000000" w:themeColor="text1"/>
          <w:sz w:val="22"/>
          <w:szCs w:val="22"/>
        </w:rPr>
        <w:t xml:space="preserve">each </w:t>
      </w:r>
      <w:r w:rsidRPr="00726423">
        <w:rPr>
          <w:rFonts w:ascii="Arial" w:hAnsi="Arial" w:cs="Arial"/>
          <w:color w:val="000000" w:themeColor="text1"/>
          <w:sz w:val="22"/>
          <w:szCs w:val="22"/>
        </w:rPr>
        <w:t xml:space="preserve">10 µg) to wild-type C57BL/6 mice which were then culled 24 h after administration. All animals were culled via anaesthetic overdose by </w:t>
      </w:r>
      <w:proofErr w:type="spellStart"/>
      <w:r w:rsidRPr="00726423">
        <w:rPr>
          <w:rFonts w:ascii="Arial" w:hAnsi="Arial" w:cs="Arial"/>
          <w:color w:val="000000" w:themeColor="text1"/>
          <w:sz w:val="22"/>
          <w:szCs w:val="22"/>
        </w:rPr>
        <w:t>i.p</w:t>
      </w:r>
      <w:proofErr w:type="spellEnd"/>
      <w:r w:rsidRPr="00726423">
        <w:rPr>
          <w:rFonts w:ascii="Arial" w:hAnsi="Arial" w:cs="Arial"/>
          <w:color w:val="000000" w:themeColor="text1"/>
          <w:sz w:val="22"/>
          <w:szCs w:val="22"/>
        </w:rPr>
        <w:t xml:space="preserve"> injection of 200 µL </w:t>
      </w:r>
      <w:proofErr w:type="spellStart"/>
      <w:r w:rsidRPr="00726423">
        <w:rPr>
          <w:rFonts w:ascii="Arial" w:hAnsi="Arial" w:cs="Arial"/>
          <w:color w:val="000000" w:themeColor="text1"/>
          <w:sz w:val="22"/>
          <w:szCs w:val="22"/>
        </w:rPr>
        <w:t>Pentoject</w:t>
      </w:r>
      <w:proofErr w:type="spellEnd"/>
      <w:r w:rsidRPr="00726423">
        <w:rPr>
          <w:rFonts w:ascii="Arial" w:hAnsi="Arial" w:cs="Arial"/>
          <w:color w:val="000000" w:themeColor="text1"/>
          <w:sz w:val="22"/>
          <w:szCs w:val="22"/>
        </w:rPr>
        <w:t xml:space="preserve"> Pentobarbital Sodium 200 mg/mL solution and subsequent exsanguination. Bronchoalveolar lavage (BAL) was collected (x3 lavages with 800 µL ice cold PBS) followed by aseptic lung dissection for subsequent tissue digestion. </w:t>
      </w:r>
    </w:p>
    <w:p w14:paraId="4E48FC55" w14:textId="77777777" w:rsidR="008E3115" w:rsidRPr="00726423" w:rsidRDefault="008E3115" w:rsidP="00AF01E8">
      <w:pPr>
        <w:spacing w:line="480" w:lineRule="auto"/>
        <w:jc w:val="both"/>
        <w:rPr>
          <w:rFonts w:ascii="Arial" w:hAnsi="Arial" w:cs="Arial"/>
          <w:color w:val="000000" w:themeColor="text1"/>
          <w:sz w:val="22"/>
          <w:szCs w:val="22"/>
        </w:rPr>
      </w:pPr>
    </w:p>
    <w:p w14:paraId="1F73231A" w14:textId="540B7ABD" w:rsidR="008E3115" w:rsidRPr="00726423" w:rsidRDefault="008E3115" w:rsidP="00AF01E8">
      <w:pPr>
        <w:spacing w:line="480" w:lineRule="auto"/>
        <w:jc w:val="both"/>
        <w:rPr>
          <w:rFonts w:ascii="Arial" w:eastAsia="Cambria Math" w:hAnsi="Arial" w:cs="Arial"/>
          <w:color w:val="000000" w:themeColor="text1"/>
          <w:sz w:val="22"/>
          <w:szCs w:val="22"/>
        </w:rPr>
      </w:pPr>
      <w:r w:rsidRPr="00726423">
        <w:rPr>
          <w:rFonts w:ascii="Arial" w:hAnsi="Arial" w:cs="Arial"/>
          <w:b/>
          <w:bCs/>
          <w:color w:val="000000" w:themeColor="text1"/>
          <w:sz w:val="22"/>
          <w:szCs w:val="22"/>
        </w:rPr>
        <w:t>Murine lung and BAL single cell suspensions</w:t>
      </w:r>
      <w:r w:rsidR="00502347" w:rsidRPr="00726423">
        <w:rPr>
          <w:rFonts w:ascii="Arial" w:hAnsi="Arial" w:cs="Arial"/>
          <w:b/>
          <w:bCs/>
          <w:color w:val="000000" w:themeColor="text1"/>
          <w:sz w:val="22"/>
          <w:szCs w:val="22"/>
        </w:rPr>
        <w:t xml:space="preserve">. </w:t>
      </w:r>
      <w:r w:rsidRPr="00726423">
        <w:rPr>
          <w:rFonts w:ascii="Arial" w:hAnsi="Arial" w:cs="Arial"/>
          <w:color w:val="000000" w:themeColor="text1"/>
          <w:sz w:val="22"/>
          <w:szCs w:val="22"/>
        </w:rPr>
        <w:t xml:space="preserve">Murine lungs were digested in </w:t>
      </w:r>
      <w:proofErr w:type="spellStart"/>
      <w:r w:rsidRPr="00726423">
        <w:rPr>
          <w:rFonts w:ascii="Arial" w:hAnsi="Arial" w:cs="Arial"/>
          <w:color w:val="000000" w:themeColor="text1"/>
          <w:sz w:val="22"/>
          <w:szCs w:val="22"/>
        </w:rPr>
        <w:t>Liberase</w:t>
      </w:r>
      <w:proofErr w:type="spellEnd"/>
      <w:r w:rsidRPr="00726423">
        <w:rPr>
          <w:rFonts w:ascii="Arial" w:hAnsi="Arial" w:cs="Arial"/>
          <w:color w:val="000000" w:themeColor="text1"/>
          <w:sz w:val="22"/>
          <w:szCs w:val="22"/>
        </w:rPr>
        <w:t xml:space="preserve"> TL (Roche) and DNase I (</w:t>
      </w:r>
      <w:r w:rsidRPr="00726423">
        <w:rPr>
          <w:rFonts w:ascii="Arial" w:eastAsia="Cambria Math" w:hAnsi="Arial" w:cs="Arial"/>
          <w:color w:val="000000" w:themeColor="text1"/>
          <w:sz w:val="22"/>
          <w:szCs w:val="22"/>
        </w:rPr>
        <w:t>Sigma) at 37</w:t>
      </w:r>
      <w:r w:rsidR="00BF1392" w:rsidRPr="00726423">
        <w:rPr>
          <w:rFonts w:ascii="Arial" w:eastAsia="Cambria Math" w:hAnsi="Arial" w:cs="Arial"/>
          <w:color w:val="000000" w:themeColor="text1"/>
          <w:sz w:val="22"/>
          <w:szCs w:val="22"/>
          <w:vertAlign w:val="superscript"/>
        </w:rPr>
        <w:t>o</w:t>
      </w:r>
      <w:r w:rsidR="00BF1392" w:rsidRPr="00726423">
        <w:rPr>
          <w:rFonts w:ascii="Arial" w:eastAsia="Cambria Math" w:hAnsi="Arial" w:cs="Arial"/>
          <w:color w:val="000000" w:themeColor="text1"/>
          <w:sz w:val="22"/>
          <w:szCs w:val="22"/>
        </w:rPr>
        <w:t>C</w:t>
      </w:r>
      <w:r w:rsidRPr="00726423">
        <w:rPr>
          <w:rFonts w:ascii="Arial" w:eastAsia="Cambria Math" w:hAnsi="Arial" w:cs="Arial"/>
          <w:color w:val="000000" w:themeColor="text1"/>
          <w:sz w:val="22"/>
          <w:szCs w:val="22"/>
        </w:rPr>
        <w:t xml:space="preserve"> for 35 min. Digested tissue was passed through a 100 µm cell strainer and red blood cells lysed using ACK lysing buffer. </w:t>
      </w:r>
      <w:r w:rsidR="009E497E" w:rsidRPr="00726423">
        <w:rPr>
          <w:rFonts w:ascii="Arial" w:eastAsia="Cambria Math" w:hAnsi="Arial" w:cs="Arial"/>
          <w:color w:val="000000" w:themeColor="text1"/>
          <w:sz w:val="22"/>
          <w:szCs w:val="22"/>
        </w:rPr>
        <w:t>Viable and dead lung cell counts were determined using 0.4% Trypan Blue solution and a TC10</w:t>
      </w:r>
      <w:r w:rsidR="009E497E" w:rsidRPr="00726423">
        <w:rPr>
          <w:rFonts w:ascii="Arial" w:eastAsia="Cambria Math" w:hAnsi="Arial" w:cs="Arial"/>
          <w:color w:val="000000" w:themeColor="text1"/>
          <w:sz w:val="22"/>
          <w:szCs w:val="22"/>
          <w:vertAlign w:val="superscript"/>
        </w:rPr>
        <w:t>TM</w:t>
      </w:r>
      <w:r w:rsidR="009E497E" w:rsidRPr="00726423">
        <w:rPr>
          <w:rFonts w:ascii="Arial" w:eastAsia="Cambria Math" w:hAnsi="Arial" w:cs="Arial"/>
          <w:color w:val="000000" w:themeColor="text1"/>
          <w:sz w:val="22"/>
          <w:szCs w:val="22"/>
        </w:rPr>
        <w:t xml:space="preserve"> Automated Cell Counter (</w:t>
      </w:r>
      <w:proofErr w:type="spellStart"/>
      <w:r w:rsidR="009E497E" w:rsidRPr="00726423">
        <w:rPr>
          <w:rFonts w:ascii="Arial" w:eastAsia="Cambria Math" w:hAnsi="Arial" w:cs="Arial"/>
          <w:color w:val="000000" w:themeColor="text1"/>
          <w:sz w:val="22"/>
          <w:szCs w:val="22"/>
        </w:rPr>
        <w:t>BioRad</w:t>
      </w:r>
      <w:proofErr w:type="spellEnd"/>
      <w:r w:rsidR="009E497E" w:rsidRPr="00726423">
        <w:rPr>
          <w:rFonts w:ascii="Arial" w:eastAsia="Cambria Math" w:hAnsi="Arial" w:cs="Arial"/>
          <w:color w:val="000000" w:themeColor="text1"/>
          <w:sz w:val="22"/>
          <w:szCs w:val="22"/>
        </w:rPr>
        <w:t xml:space="preserve">). </w:t>
      </w:r>
      <w:r w:rsidRPr="00726423">
        <w:rPr>
          <w:rFonts w:ascii="Arial" w:eastAsia="Cambria Math" w:hAnsi="Arial" w:cs="Arial"/>
          <w:color w:val="000000" w:themeColor="text1"/>
          <w:sz w:val="22"/>
          <w:szCs w:val="22"/>
        </w:rPr>
        <w:t xml:space="preserve">BAL samples were centrifuged and supernatants from the first BAL </w:t>
      </w:r>
      <w:r w:rsidR="009E497E" w:rsidRPr="00726423">
        <w:rPr>
          <w:rFonts w:ascii="Arial" w:eastAsia="Cambria Math" w:hAnsi="Arial" w:cs="Arial"/>
          <w:color w:val="000000" w:themeColor="text1"/>
          <w:sz w:val="22"/>
          <w:szCs w:val="22"/>
        </w:rPr>
        <w:t>retrieval</w:t>
      </w:r>
      <w:r w:rsidRPr="00726423">
        <w:rPr>
          <w:rFonts w:ascii="Arial" w:eastAsia="Cambria Math" w:hAnsi="Arial" w:cs="Arial"/>
          <w:color w:val="000000" w:themeColor="text1"/>
          <w:sz w:val="22"/>
          <w:szCs w:val="22"/>
        </w:rPr>
        <w:t xml:space="preserve"> harvested, snap frozen on dry ice and stored at -80</w:t>
      </w:r>
      <w:r w:rsidRPr="00726423">
        <w:rPr>
          <w:rFonts w:ascii="Arial" w:eastAsia="Cambria Math" w:hAnsi="Arial" w:cs="Arial"/>
          <w:color w:val="000000" w:themeColor="text1"/>
          <w:sz w:val="22"/>
          <w:szCs w:val="22"/>
          <w:vertAlign w:val="superscript"/>
        </w:rPr>
        <w:t>o</w:t>
      </w:r>
      <w:r w:rsidRPr="00726423">
        <w:rPr>
          <w:rFonts w:ascii="Arial" w:eastAsia="Cambria Math" w:hAnsi="Arial" w:cs="Arial"/>
          <w:color w:val="000000" w:themeColor="text1"/>
          <w:sz w:val="22"/>
          <w:szCs w:val="22"/>
        </w:rPr>
        <w:t>C</w:t>
      </w:r>
      <w:r w:rsidRPr="00726423">
        <w:rPr>
          <w:rFonts w:ascii="Cambria Math" w:eastAsia="Cambria Math" w:hAnsi="Cambria Math" w:cs="Cambria Math"/>
          <w:color w:val="000000" w:themeColor="text1"/>
          <w:sz w:val="22"/>
          <w:szCs w:val="22"/>
          <w:lang w:eastAsia="ja-JP"/>
        </w:rPr>
        <w:t xml:space="preserve"> </w:t>
      </w:r>
      <w:r w:rsidRPr="00726423">
        <w:rPr>
          <w:rFonts w:ascii="Arial" w:eastAsia="Cambria Math" w:hAnsi="Arial" w:cs="Arial"/>
          <w:color w:val="000000" w:themeColor="text1"/>
          <w:sz w:val="22"/>
          <w:szCs w:val="22"/>
        </w:rPr>
        <w:t xml:space="preserve">for subsequent cytokine detection using </w:t>
      </w:r>
      <w:r w:rsidRPr="00726423">
        <w:rPr>
          <w:rFonts w:ascii="Arial" w:hAnsi="Arial" w:cs="Arial"/>
          <w:color w:val="000000" w:themeColor="text1"/>
          <w:sz w:val="22"/>
          <w:szCs w:val="22"/>
        </w:rPr>
        <w:t xml:space="preserve">mouse IL-5/IL-13 ELISA kits according to manufacturer’s instructions. Red blood cells were lysed from BAL cell pellets using ACK lysing buffer and cell counts performed as before. </w:t>
      </w:r>
    </w:p>
    <w:p w14:paraId="1F16582A" w14:textId="77777777" w:rsidR="008E3115" w:rsidRPr="00726423" w:rsidRDefault="008E3115" w:rsidP="00AF01E8">
      <w:pPr>
        <w:spacing w:line="480" w:lineRule="auto"/>
        <w:jc w:val="both"/>
        <w:rPr>
          <w:rFonts w:ascii="Arial" w:hAnsi="Arial" w:cs="Arial"/>
          <w:b/>
          <w:bCs/>
          <w:color w:val="000000" w:themeColor="text1"/>
          <w:sz w:val="22"/>
          <w:szCs w:val="22"/>
        </w:rPr>
      </w:pPr>
    </w:p>
    <w:p w14:paraId="56B00925" w14:textId="3B094DC8" w:rsidR="008E3115" w:rsidRPr="00726423" w:rsidRDefault="008E3115" w:rsidP="00AF01E8">
      <w:pPr>
        <w:spacing w:line="480" w:lineRule="auto"/>
        <w:jc w:val="both"/>
        <w:rPr>
          <w:rFonts w:ascii="Arial" w:hAnsi="Arial" w:cs="Arial"/>
          <w:color w:val="000000" w:themeColor="text1"/>
          <w:sz w:val="22"/>
          <w:szCs w:val="22"/>
          <w:lang w:eastAsia="ja-JP"/>
        </w:rPr>
      </w:pPr>
      <w:r w:rsidRPr="00726423">
        <w:rPr>
          <w:rFonts w:ascii="Arial" w:hAnsi="Arial" w:cs="Arial"/>
          <w:b/>
          <w:bCs/>
          <w:color w:val="000000" w:themeColor="text1"/>
          <w:sz w:val="22"/>
          <w:szCs w:val="22"/>
        </w:rPr>
        <w:t>Flow cytometry</w:t>
      </w:r>
      <w:r w:rsidR="00502347" w:rsidRPr="00726423">
        <w:rPr>
          <w:rFonts w:ascii="Arial" w:hAnsi="Arial" w:cs="Arial"/>
          <w:b/>
          <w:bCs/>
          <w:color w:val="000000" w:themeColor="text1"/>
          <w:sz w:val="22"/>
          <w:szCs w:val="22"/>
        </w:rPr>
        <w:t xml:space="preserve">. </w:t>
      </w:r>
      <w:r w:rsidRPr="00726423">
        <w:rPr>
          <w:rFonts w:ascii="Arial" w:hAnsi="Arial" w:cs="Arial"/>
          <w:color w:val="000000" w:themeColor="text1"/>
          <w:sz w:val="22"/>
          <w:szCs w:val="22"/>
        </w:rPr>
        <w:t xml:space="preserve">For surface staining only, lung and BAL single cell suspensions were washed in PBS and stained with LIVE/DEAD™️ Fixable Blue Dead Cell Stain Kit. Cells were then blocked with IgG from rat serum and surfaced stained. For lung and BAL neutrophil/eosinophil detection, cell suspensions were labelled with CD45, CD11b, CD11c, Ly6G and </w:t>
      </w:r>
      <w:proofErr w:type="spellStart"/>
      <w:r w:rsidRPr="00726423">
        <w:rPr>
          <w:rFonts w:ascii="Arial" w:hAnsi="Arial" w:cs="Arial"/>
          <w:color w:val="000000" w:themeColor="text1"/>
          <w:sz w:val="22"/>
          <w:szCs w:val="22"/>
        </w:rPr>
        <w:t>SiglecF</w:t>
      </w:r>
      <w:proofErr w:type="spellEnd"/>
      <w:r w:rsidRPr="00726423">
        <w:rPr>
          <w:rFonts w:ascii="Arial" w:hAnsi="Arial" w:cs="Arial"/>
          <w:color w:val="000000" w:themeColor="text1"/>
          <w:sz w:val="22"/>
          <w:szCs w:val="22"/>
        </w:rPr>
        <w:t xml:space="preserve">. For BAL ILC2 detection, cell suspensions were labelled with a cocktail of </w:t>
      </w:r>
      <w:r w:rsidR="004F73B8" w:rsidRPr="00726423">
        <w:rPr>
          <w:rFonts w:ascii="Arial" w:hAnsi="Arial" w:cs="Arial"/>
          <w:color w:val="000000" w:themeColor="text1"/>
          <w:sz w:val="22"/>
          <w:szCs w:val="22"/>
        </w:rPr>
        <w:t>l</w:t>
      </w:r>
      <w:r w:rsidRPr="00726423">
        <w:rPr>
          <w:rFonts w:ascii="Arial" w:hAnsi="Arial" w:cs="Arial"/>
          <w:color w:val="000000" w:themeColor="text1"/>
          <w:sz w:val="22"/>
          <w:szCs w:val="22"/>
        </w:rPr>
        <w:t xml:space="preserve">ineage </w:t>
      </w:r>
      <w:r w:rsidR="004F73B8" w:rsidRPr="00726423">
        <w:rPr>
          <w:rFonts w:ascii="Arial" w:hAnsi="Arial" w:cs="Arial"/>
          <w:color w:val="000000" w:themeColor="text1"/>
          <w:sz w:val="22"/>
          <w:szCs w:val="22"/>
        </w:rPr>
        <w:t>n</w:t>
      </w:r>
      <w:r w:rsidRPr="00726423">
        <w:rPr>
          <w:rFonts w:ascii="Arial" w:hAnsi="Arial" w:cs="Arial"/>
          <w:color w:val="000000" w:themeColor="text1"/>
          <w:sz w:val="22"/>
          <w:szCs w:val="22"/>
        </w:rPr>
        <w:t xml:space="preserve">egative (Lin-) markers </w:t>
      </w:r>
      <w:r w:rsidR="001E5FB0" w:rsidRPr="00726423">
        <w:rPr>
          <w:rFonts w:ascii="Arial" w:hAnsi="Arial" w:cs="Arial"/>
          <w:color w:val="000000" w:themeColor="text1"/>
          <w:sz w:val="22"/>
          <w:szCs w:val="22"/>
        </w:rPr>
        <w:t>consisting</w:t>
      </w:r>
      <w:r w:rsidRPr="00726423">
        <w:rPr>
          <w:rFonts w:ascii="Arial" w:hAnsi="Arial" w:cs="Arial"/>
          <w:color w:val="000000" w:themeColor="text1"/>
          <w:sz w:val="22"/>
          <w:szCs w:val="22"/>
        </w:rPr>
        <w:t xml:space="preserve"> of CD3e, CD19, CD11b, CD11c and NK1.1, as well as CD45, CD4, CD90.2, ICOS and ST2. For intracellular </w:t>
      </w:r>
      <w:r w:rsidRPr="00726423">
        <w:rPr>
          <w:rFonts w:ascii="Arial" w:hAnsi="Arial" w:cs="Arial"/>
          <w:color w:val="000000" w:themeColor="text1"/>
          <w:sz w:val="22"/>
          <w:szCs w:val="22"/>
        </w:rPr>
        <w:lastRenderedPageBreak/>
        <w:t>staining, single cell lung suspensions were stimulated with a cocktail of PMA, Ionomycin and Brefeldin A (</w:t>
      </w:r>
      <w:r w:rsidR="004F73B8" w:rsidRPr="00726423">
        <w:rPr>
          <w:rFonts w:ascii="Arial" w:hAnsi="Arial" w:cs="Arial"/>
          <w:color w:val="000000" w:themeColor="text1"/>
          <w:sz w:val="22"/>
          <w:szCs w:val="22"/>
        </w:rPr>
        <w:t xml:space="preserve">or </w:t>
      </w:r>
      <w:proofErr w:type="spellStart"/>
      <w:r w:rsidR="004F73B8" w:rsidRPr="00726423">
        <w:rPr>
          <w:rFonts w:ascii="Arial" w:hAnsi="Arial" w:cs="Arial"/>
          <w:color w:val="000000" w:themeColor="text1"/>
          <w:sz w:val="22"/>
          <w:szCs w:val="22"/>
        </w:rPr>
        <w:t>Golgiplug</w:t>
      </w:r>
      <w:proofErr w:type="spellEnd"/>
      <w:r w:rsidRPr="00726423">
        <w:rPr>
          <w:rFonts w:ascii="Arial" w:hAnsi="Arial" w:cs="Arial"/>
          <w:color w:val="000000" w:themeColor="text1"/>
          <w:sz w:val="22"/>
          <w:szCs w:val="22"/>
        </w:rPr>
        <w:t xml:space="preserve">) and cultured in complete RPMI for 4 h </w:t>
      </w:r>
      <w:r w:rsidR="004F73B8" w:rsidRPr="00726423">
        <w:rPr>
          <w:rFonts w:ascii="Arial" w:hAnsi="Arial" w:cs="Arial"/>
          <w:color w:val="000000" w:themeColor="text1"/>
          <w:sz w:val="22"/>
          <w:szCs w:val="22"/>
        </w:rPr>
        <w:t xml:space="preserve">at </w:t>
      </w:r>
      <w:r w:rsidRPr="00726423">
        <w:rPr>
          <w:rFonts w:ascii="Arial" w:hAnsi="Arial" w:cs="Arial"/>
          <w:color w:val="000000" w:themeColor="text1"/>
          <w:sz w:val="22"/>
          <w:szCs w:val="22"/>
        </w:rPr>
        <w:t>37</w:t>
      </w:r>
      <w:r w:rsidR="00BF1392" w:rsidRPr="00726423">
        <w:rPr>
          <w:rFonts w:ascii="Arial" w:eastAsia="Cambria Math" w:hAnsi="Arial" w:cs="Arial"/>
          <w:color w:val="000000" w:themeColor="text1"/>
          <w:sz w:val="22"/>
          <w:szCs w:val="22"/>
          <w:vertAlign w:val="superscript"/>
        </w:rPr>
        <w:t xml:space="preserve"> </w:t>
      </w:r>
      <w:proofErr w:type="spellStart"/>
      <w:r w:rsidR="00BF1392" w:rsidRPr="00726423">
        <w:rPr>
          <w:rFonts w:ascii="Arial" w:eastAsia="Cambria Math" w:hAnsi="Arial" w:cs="Arial"/>
          <w:color w:val="000000" w:themeColor="text1"/>
          <w:sz w:val="22"/>
          <w:szCs w:val="22"/>
          <w:vertAlign w:val="superscript"/>
        </w:rPr>
        <w:t>o</w:t>
      </w:r>
      <w:r w:rsidR="00BF1392" w:rsidRPr="00726423">
        <w:rPr>
          <w:rFonts w:ascii="Arial" w:eastAsia="Cambria Math" w:hAnsi="Arial" w:cs="Arial"/>
          <w:color w:val="000000" w:themeColor="text1"/>
          <w:sz w:val="22"/>
          <w:szCs w:val="22"/>
        </w:rPr>
        <w:t>C</w:t>
      </w:r>
      <w:proofErr w:type="spellEnd"/>
      <w:r w:rsidRPr="00726423">
        <w:rPr>
          <w:rFonts w:ascii="Arial" w:hAnsi="Arial" w:cs="Arial"/>
          <w:color w:val="000000" w:themeColor="text1"/>
          <w:sz w:val="22"/>
          <w:szCs w:val="22"/>
          <w:lang w:eastAsia="ja-JP"/>
        </w:rPr>
        <w:t xml:space="preserve"> </w:t>
      </w:r>
      <w:r w:rsidR="004F73B8" w:rsidRPr="00726423">
        <w:rPr>
          <w:rFonts w:ascii="Arial" w:hAnsi="Arial" w:cs="Arial"/>
          <w:color w:val="000000" w:themeColor="text1"/>
          <w:sz w:val="22"/>
          <w:szCs w:val="22"/>
          <w:lang w:eastAsia="ja-JP"/>
        </w:rPr>
        <w:t xml:space="preserve">with </w:t>
      </w:r>
      <w:r w:rsidRPr="00726423">
        <w:rPr>
          <w:rFonts w:ascii="Arial" w:hAnsi="Arial" w:cs="Arial"/>
          <w:color w:val="000000" w:themeColor="text1"/>
          <w:sz w:val="22"/>
          <w:szCs w:val="22"/>
          <w:lang w:eastAsia="ja-JP"/>
        </w:rPr>
        <w:t>5% CO</w:t>
      </w:r>
      <w:r w:rsidRPr="00726423">
        <w:rPr>
          <w:rFonts w:ascii="Arial" w:hAnsi="Arial" w:cs="Arial"/>
          <w:color w:val="000000" w:themeColor="text1"/>
          <w:sz w:val="22"/>
          <w:szCs w:val="22"/>
          <w:vertAlign w:val="subscript"/>
          <w:lang w:eastAsia="ja-JP"/>
        </w:rPr>
        <w:t>2</w:t>
      </w:r>
      <w:r w:rsidRPr="00726423">
        <w:rPr>
          <w:rFonts w:ascii="Arial" w:hAnsi="Arial" w:cs="Arial"/>
          <w:color w:val="000000" w:themeColor="text1"/>
          <w:sz w:val="22"/>
          <w:szCs w:val="22"/>
          <w:lang w:eastAsia="ja-JP"/>
        </w:rPr>
        <w:t>. After stimulation, lung cells were Live/Dead stained, blocked and surface stained for ILC2s as before. Next, lung cells were fixed with intracellular fixation buffer (</w:t>
      </w:r>
      <w:proofErr w:type="spellStart"/>
      <w:r w:rsidRPr="00726423">
        <w:rPr>
          <w:rFonts w:ascii="Arial" w:hAnsi="Arial" w:cs="Arial"/>
          <w:color w:val="000000" w:themeColor="text1"/>
          <w:sz w:val="22"/>
          <w:szCs w:val="22"/>
          <w:lang w:eastAsia="ja-JP"/>
        </w:rPr>
        <w:t>eBioscience</w:t>
      </w:r>
      <w:proofErr w:type="spellEnd"/>
      <w:r w:rsidRPr="00726423">
        <w:rPr>
          <w:rFonts w:ascii="Arial" w:hAnsi="Arial" w:cs="Arial"/>
          <w:color w:val="000000" w:themeColor="text1"/>
          <w:sz w:val="22"/>
          <w:szCs w:val="22"/>
          <w:lang w:eastAsia="ja-JP"/>
        </w:rPr>
        <w:t xml:space="preserve">), and then stained for intracellular IL-5, IL-13 and Ki-67 for </w:t>
      </w:r>
      <w:r w:rsidRPr="00726423">
        <w:rPr>
          <w:rFonts w:ascii="Arial" w:hAnsi="Arial" w:cs="Arial"/>
          <w:color w:val="000000" w:themeColor="text1"/>
          <w:sz w:val="22"/>
          <w:szCs w:val="22"/>
        </w:rPr>
        <w:t>20 min at 4</w:t>
      </w:r>
      <w:r w:rsidR="00BF1392" w:rsidRPr="00726423">
        <w:rPr>
          <w:rFonts w:ascii="Arial" w:eastAsia="Cambria Math" w:hAnsi="Arial" w:cs="Arial"/>
          <w:color w:val="000000" w:themeColor="text1"/>
          <w:sz w:val="22"/>
          <w:szCs w:val="22"/>
          <w:vertAlign w:val="superscript"/>
        </w:rPr>
        <w:t xml:space="preserve"> </w:t>
      </w:r>
      <w:proofErr w:type="spellStart"/>
      <w:r w:rsidR="00BF1392" w:rsidRPr="00726423">
        <w:rPr>
          <w:rFonts w:ascii="Arial" w:eastAsia="Cambria Math" w:hAnsi="Arial" w:cs="Arial"/>
          <w:color w:val="000000" w:themeColor="text1"/>
          <w:sz w:val="22"/>
          <w:szCs w:val="22"/>
          <w:vertAlign w:val="superscript"/>
        </w:rPr>
        <w:t>o</w:t>
      </w:r>
      <w:r w:rsidR="00BF1392" w:rsidRPr="00726423">
        <w:rPr>
          <w:rFonts w:ascii="Arial" w:eastAsia="Cambria Math" w:hAnsi="Arial" w:cs="Arial"/>
          <w:color w:val="000000" w:themeColor="text1"/>
          <w:sz w:val="22"/>
          <w:szCs w:val="22"/>
        </w:rPr>
        <w:t>C</w:t>
      </w:r>
      <w:r w:rsidRPr="00726423">
        <w:rPr>
          <w:rFonts w:ascii="Arial" w:hAnsi="Arial" w:cs="Arial"/>
          <w:color w:val="000000" w:themeColor="text1"/>
          <w:sz w:val="22"/>
          <w:szCs w:val="22"/>
          <w:lang w:eastAsia="ja-JP"/>
        </w:rPr>
        <w:t>.</w:t>
      </w:r>
      <w:proofErr w:type="spellEnd"/>
      <w:r w:rsidRPr="00726423">
        <w:rPr>
          <w:rFonts w:ascii="Arial" w:hAnsi="Arial" w:cs="Arial"/>
          <w:color w:val="000000" w:themeColor="text1"/>
          <w:sz w:val="22"/>
          <w:szCs w:val="22"/>
          <w:lang w:eastAsia="ja-JP"/>
        </w:rPr>
        <w:t xml:space="preserve"> Cell samples were </w:t>
      </w:r>
      <w:proofErr w:type="spellStart"/>
      <w:r w:rsidR="001E5FB0" w:rsidRPr="00726423">
        <w:rPr>
          <w:rFonts w:ascii="Arial" w:hAnsi="Arial" w:cs="Arial"/>
          <w:color w:val="000000" w:themeColor="text1"/>
          <w:sz w:val="22"/>
          <w:szCs w:val="22"/>
          <w:lang w:eastAsia="ja-JP"/>
        </w:rPr>
        <w:t>aquir</w:t>
      </w:r>
      <w:r w:rsidRPr="00726423">
        <w:rPr>
          <w:rFonts w:ascii="Arial" w:hAnsi="Arial" w:cs="Arial"/>
          <w:color w:val="000000" w:themeColor="text1"/>
          <w:sz w:val="22"/>
          <w:szCs w:val="22"/>
          <w:lang w:eastAsia="ja-JP"/>
        </w:rPr>
        <w:t>ed</w:t>
      </w:r>
      <w:proofErr w:type="spellEnd"/>
      <w:r w:rsidRPr="00726423">
        <w:rPr>
          <w:rFonts w:ascii="Arial" w:hAnsi="Arial" w:cs="Arial"/>
          <w:color w:val="000000" w:themeColor="text1"/>
          <w:sz w:val="22"/>
          <w:szCs w:val="22"/>
          <w:lang w:eastAsia="ja-JP"/>
        </w:rPr>
        <w:t xml:space="preserve"> on a </w:t>
      </w:r>
      <w:r w:rsidRPr="00726423">
        <w:rPr>
          <w:rFonts w:ascii="Arial" w:hAnsi="Arial" w:cs="Arial"/>
          <w:color w:val="000000" w:themeColor="text1"/>
          <w:sz w:val="22"/>
          <w:szCs w:val="22"/>
        </w:rPr>
        <w:t xml:space="preserve">BD LSR </w:t>
      </w:r>
      <w:proofErr w:type="spellStart"/>
      <w:r w:rsidRPr="00726423">
        <w:rPr>
          <w:rFonts w:ascii="Arial" w:hAnsi="Arial" w:cs="Arial"/>
          <w:color w:val="000000" w:themeColor="text1"/>
          <w:sz w:val="22"/>
          <w:szCs w:val="22"/>
        </w:rPr>
        <w:t>Fortessa</w:t>
      </w:r>
      <w:proofErr w:type="spellEnd"/>
      <w:r w:rsidRPr="00726423">
        <w:rPr>
          <w:rFonts w:ascii="Arial" w:hAnsi="Arial" w:cs="Arial"/>
          <w:color w:val="000000" w:themeColor="text1"/>
          <w:sz w:val="22"/>
          <w:szCs w:val="22"/>
        </w:rPr>
        <w:t xml:space="preserve"> analyser, and results were analysed by </w:t>
      </w:r>
      <w:proofErr w:type="spellStart"/>
      <w:r w:rsidRPr="00726423">
        <w:rPr>
          <w:rFonts w:ascii="Arial" w:hAnsi="Arial" w:cs="Arial"/>
          <w:color w:val="000000" w:themeColor="text1"/>
          <w:sz w:val="22"/>
          <w:szCs w:val="22"/>
        </w:rPr>
        <w:t>FlowJo</w:t>
      </w:r>
      <w:r w:rsidRPr="00726423">
        <w:rPr>
          <w:rFonts w:ascii="Arial" w:hAnsi="Arial" w:cs="Arial"/>
          <w:color w:val="000000" w:themeColor="text1"/>
          <w:sz w:val="22"/>
          <w:szCs w:val="22"/>
          <w:vertAlign w:val="superscript"/>
        </w:rPr>
        <w:t>TM</w:t>
      </w:r>
      <w:proofErr w:type="spellEnd"/>
      <w:r w:rsidRPr="00726423">
        <w:rPr>
          <w:rFonts w:ascii="Arial" w:hAnsi="Arial" w:cs="Arial"/>
          <w:color w:val="000000" w:themeColor="text1"/>
          <w:sz w:val="22"/>
          <w:szCs w:val="22"/>
        </w:rPr>
        <w:t>.</w:t>
      </w:r>
    </w:p>
    <w:p w14:paraId="3A5BA184" w14:textId="77777777" w:rsidR="008E3115" w:rsidRPr="00726423" w:rsidRDefault="008E3115" w:rsidP="00AF01E8">
      <w:pPr>
        <w:spacing w:line="480" w:lineRule="auto"/>
        <w:jc w:val="both"/>
        <w:rPr>
          <w:rFonts w:ascii="Arial" w:hAnsi="Arial" w:cs="Arial"/>
          <w:i/>
          <w:iCs/>
          <w:color w:val="000000" w:themeColor="text1"/>
          <w:sz w:val="22"/>
          <w:szCs w:val="22"/>
        </w:rPr>
      </w:pPr>
    </w:p>
    <w:p w14:paraId="4E772748" w14:textId="08A0F017" w:rsidR="008E3115" w:rsidRPr="00726423" w:rsidRDefault="008E3115" w:rsidP="00AF01E8">
      <w:pPr>
        <w:spacing w:line="480" w:lineRule="auto"/>
        <w:jc w:val="both"/>
        <w:rPr>
          <w:rFonts w:ascii="Arial" w:hAnsi="Arial" w:cs="Arial"/>
          <w:color w:val="000000" w:themeColor="text1"/>
          <w:sz w:val="22"/>
          <w:szCs w:val="22"/>
        </w:rPr>
      </w:pPr>
      <w:r w:rsidRPr="00726423">
        <w:rPr>
          <w:rFonts w:ascii="Arial" w:hAnsi="Arial" w:cs="Arial"/>
          <w:b/>
          <w:bCs/>
          <w:color w:val="000000" w:themeColor="text1"/>
          <w:sz w:val="22"/>
          <w:szCs w:val="22"/>
        </w:rPr>
        <w:t xml:space="preserve">ILC2 </w:t>
      </w:r>
      <w:r w:rsidRPr="00726423">
        <w:rPr>
          <w:rFonts w:ascii="Arial" w:hAnsi="Arial" w:cs="Arial"/>
          <w:b/>
          <w:bCs/>
          <w:i/>
          <w:iCs/>
          <w:color w:val="000000" w:themeColor="text1"/>
          <w:sz w:val="22"/>
          <w:szCs w:val="22"/>
        </w:rPr>
        <w:t>in vitro</w:t>
      </w:r>
      <w:r w:rsidRPr="00726423">
        <w:rPr>
          <w:rFonts w:ascii="Arial" w:hAnsi="Arial" w:cs="Arial"/>
          <w:b/>
          <w:bCs/>
          <w:color w:val="000000" w:themeColor="text1"/>
          <w:sz w:val="22"/>
          <w:szCs w:val="22"/>
        </w:rPr>
        <w:t xml:space="preserve"> culture</w:t>
      </w:r>
      <w:r w:rsidR="00502347" w:rsidRPr="00726423">
        <w:rPr>
          <w:rFonts w:ascii="Arial" w:hAnsi="Arial" w:cs="Arial"/>
          <w:b/>
          <w:bCs/>
          <w:color w:val="000000" w:themeColor="text1"/>
          <w:sz w:val="22"/>
          <w:szCs w:val="22"/>
        </w:rPr>
        <w:t xml:space="preserve">. </w:t>
      </w:r>
      <w:r w:rsidRPr="00726423">
        <w:rPr>
          <w:rFonts w:ascii="Arial" w:hAnsi="Arial" w:cs="Arial"/>
          <w:color w:val="000000" w:themeColor="text1"/>
          <w:sz w:val="22"/>
          <w:szCs w:val="22"/>
        </w:rPr>
        <w:t xml:space="preserve">For </w:t>
      </w:r>
      <w:r w:rsidRPr="00726423">
        <w:rPr>
          <w:rFonts w:ascii="Arial" w:hAnsi="Arial" w:cs="Arial"/>
          <w:i/>
          <w:iCs/>
          <w:color w:val="000000" w:themeColor="text1"/>
          <w:sz w:val="22"/>
          <w:szCs w:val="22"/>
        </w:rPr>
        <w:t>in vitro</w:t>
      </w:r>
      <w:r w:rsidRPr="00726423">
        <w:rPr>
          <w:rFonts w:ascii="Arial" w:hAnsi="Arial" w:cs="Arial"/>
          <w:color w:val="000000" w:themeColor="text1"/>
          <w:sz w:val="22"/>
          <w:szCs w:val="22"/>
        </w:rPr>
        <w:t xml:space="preserve"> experiments all work was carried out aseptically and single cell suspensions were obtained from lungs and bone marrow of untreated </w:t>
      </w:r>
      <w:r w:rsidRPr="00726423">
        <w:rPr>
          <w:rFonts w:ascii="Arial" w:hAnsi="Arial" w:cs="Arial"/>
          <w:i/>
          <w:iCs/>
          <w:color w:val="000000" w:themeColor="text1"/>
          <w:sz w:val="22"/>
          <w:szCs w:val="22"/>
        </w:rPr>
        <w:t>Rag2</w:t>
      </w:r>
      <w:r w:rsidRPr="00726423">
        <w:rPr>
          <w:rFonts w:ascii="Arial" w:hAnsi="Arial" w:cs="Arial"/>
          <w:color w:val="000000" w:themeColor="text1"/>
          <w:sz w:val="22"/>
          <w:szCs w:val="22"/>
          <w:vertAlign w:val="superscript"/>
        </w:rPr>
        <w:t>-/-</w:t>
      </w:r>
      <w:r w:rsidRPr="00726423">
        <w:rPr>
          <w:rFonts w:ascii="Arial" w:hAnsi="Arial" w:cs="Arial"/>
          <w:color w:val="000000" w:themeColor="text1"/>
          <w:sz w:val="22"/>
          <w:szCs w:val="22"/>
        </w:rPr>
        <w:t xml:space="preserve"> mice. Whole lung and bone marrow cells were </w:t>
      </w:r>
      <w:r w:rsidR="007B6A8A" w:rsidRPr="00726423">
        <w:rPr>
          <w:rFonts w:ascii="Arial" w:hAnsi="Arial" w:cs="Arial"/>
          <w:color w:val="000000" w:themeColor="text1"/>
          <w:sz w:val="22"/>
          <w:szCs w:val="22"/>
        </w:rPr>
        <w:t>cultured</w:t>
      </w:r>
      <w:r w:rsidRPr="00726423">
        <w:rPr>
          <w:rFonts w:ascii="Arial" w:hAnsi="Arial" w:cs="Arial"/>
          <w:color w:val="000000" w:themeColor="text1"/>
          <w:sz w:val="22"/>
          <w:szCs w:val="22"/>
        </w:rPr>
        <w:t xml:space="preserve"> in complete RPMI with</w:t>
      </w:r>
      <w:r w:rsidR="007B6A8A" w:rsidRPr="00726423">
        <w:rPr>
          <w:rFonts w:ascii="Arial" w:hAnsi="Arial" w:cs="Arial"/>
          <w:color w:val="000000" w:themeColor="text1"/>
          <w:sz w:val="22"/>
          <w:szCs w:val="22"/>
        </w:rPr>
        <w:t xml:space="preserve"> a cytokine cocktail (</w:t>
      </w:r>
      <w:r w:rsidRPr="00726423">
        <w:rPr>
          <w:rFonts w:ascii="Arial" w:hAnsi="Arial" w:cs="Arial"/>
          <w:color w:val="000000" w:themeColor="text1"/>
          <w:sz w:val="22"/>
          <w:szCs w:val="22"/>
        </w:rPr>
        <w:t>IL-2, IL-7, IL-33</w:t>
      </w:r>
      <w:r w:rsidR="007B6A8A" w:rsidRPr="00726423">
        <w:rPr>
          <w:rFonts w:ascii="Arial" w:hAnsi="Arial" w:cs="Arial"/>
          <w:color w:val="000000" w:themeColor="text1"/>
          <w:sz w:val="22"/>
          <w:szCs w:val="22"/>
        </w:rPr>
        <w:t>) with various reagents indicated in the figure legends</w:t>
      </w:r>
      <w:r w:rsidRPr="00726423">
        <w:rPr>
          <w:rFonts w:ascii="Arial" w:hAnsi="Arial" w:cs="Arial"/>
          <w:color w:val="000000" w:themeColor="text1"/>
          <w:sz w:val="22"/>
          <w:szCs w:val="22"/>
        </w:rPr>
        <w:t xml:space="preserve"> at 37</w:t>
      </w:r>
      <w:r w:rsidR="00BF1392" w:rsidRPr="00726423">
        <w:rPr>
          <w:rFonts w:ascii="Arial" w:eastAsia="Cambria Math" w:hAnsi="Arial" w:cs="Arial"/>
          <w:color w:val="000000" w:themeColor="text1"/>
          <w:sz w:val="22"/>
          <w:szCs w:val="22"/>
          <w:vertAlign w:val="superscript"/>
        </w:rPr>
        <w:t xml:space="preserve"> </w:t>
      </w:r>
      <w:proofErr w:type="spellStart"/>
      <w:r w:rsidR="00BF1392" w:rsidRPr="00726423">
        <w:rPr>
          <w:rFonts w:ascii="Arial" w:eastAsia="Cambria Math" w:hAnsi="Arial" w:cs="Arial"/>
          <w:color w:val="000000" w:themeColor="text1"/>
          <w:sz w:val="22"/>
          <w:szCs w:val="22"/>
          <w:vertAlign w:val="superscript"/>
        </w:rPr>
        <w:t>o</w:t>
      </w:r>
      <w:r w:rsidR="00BF1392" w:rsidRPr="00726423">
        <w:rPr>
          <w:rFonts w:ascii="Arial" w:eastAsia="Cambria Math" w:hAnsi="Arial" w:cs="Arial"/>
          <w:color w:val="000000" w:themeColor="text1"/>
          <w:sz w:val="22"/>
          <w:szCs w:val="22"/>
        </w:rPr>
        <w:t>C</w:t>
      </w:r>
      <w:proofErr w:type="spellEnd"/>
      <w:r w:rsidRPr="00726423">
        <w:rPr>
          <w:rFonts w:ascii="Arial" w:hAnsi="Arial" w:cs="Arial"/>
          <w:color w:val="000000" w:themeColor="text1"/>
          <w:sz w:val="22"/>
          <w:szCs w:val="22"/>
          <w:lang w:eastAsia="ja-JP"/>
        </w:rPr>
        <w:t>, 5% CO</w:t>
      </w:r>
      <w:r w:rsidRPr="00726423">
        <w:rPr>
          <w:rFonts w:ascii="Arial" w:hAnsi="Arial" w:cs="Arial"/>
          <w:color w:val="000000" w:themeColor="text1"/>
          <w:sz w:val="22"/>
          <w:szCs w:val="22"/>
          <w:vertAlign w:val="subscript"/>
          <w:lang w:eastAsia="ja-JP"/>
        </w:rPr>
        <w:t>2</w:t>
      </w:r>
      <w:r w:rsidRPr="00726423">
        <w:rPr>
          <w:rFonts w:ascii="Arial" w:hAnsi="Arial" w:cs="Arial"/>
          <w:color w:val="000000" w:themeColor="text1"/>
          <w:sz w:val="22"/>
          <w:szCs w:val="22"/>
          <w:lang w:eastAsia="ja-JP"/>
        </w:rPr>
        <w:t xml:space="preserve"> </w:t>
      </w:r>
      <w:r w:rsidRPr="00726423">
        <w:rPr>
          <w:rFonts w:ascii="Arial" w:hAnsi="Arial" w:cs="Arial"/>
          <w:color w:val="000000" w:themeColor="text1"/>
          <w:sz w:val="22"/>
          <w:szCs w:val="22"/>
        </w:rPr>
        <w:t xml:space="preserve">for </w:t>
      </w:r>
      <w:r w:rsidR="007B6A8A" w:rsidRPr="00726423">
        <w:rPr>
          <w:rFonts w:ascii="Arial" w:hAnsi="Arial" w:cs="Arial"/>
          <w:color w:val="000000" w:themeColor="text1"/>
          <w:sz w:val="22"/>
          <w:szCs w:val="22"/>
        </w:rPr>
        <w:t>3-</w:t>
      </w:r>
      <w:r w:rsidRPr="00726423">
        <w:rPr>
          <w:rFonts w:ascii="Arial" w:hAnsi="Arial" w:cs="Arial"/>
          <w:color w:val="000000" w:themeColor="text1"/>
          <w:sz w:val="22"/>
          <w:szCs w:val="22"/>
        </w:rPr>
        <w:t xml:space="preserve">4 days. </w:t>
      </w:r>
      <w:r w:rsidR="007B6A8A" w:rsidRPr="00726423">
        <w:rPr>
          <w:rFonts w:ascii="Arial" w:hAnsi="Arial" w:cs="Arial"/>
          <w:color w:val="000000" w:themeColor="text1"/>
          <w:sz w:val="22"/>
          <w:szCs w:val="22"/>
        </w:rPr>
        <w:t xml:space="preserve">IL-5 and IL-13 in the </w:t>
      </w:r>
      <w:r w:rsidRPr="00726423">
        <w:rPr>
          <w:rFonts w:ascii="Arial" w:hAnsi="Arial" w:cs="Arial"/>
          <w:color w:val="000000" w:themeColor="text1"/>
          <w:sz w:val="22"/>
          <w:szCs w:val="22"/>
        </w:rPr>
        <w:t xml:space="preserve">supernatants were analysed by ELISA. </w:t>
      </w:r>
      <w:r w:rsidR="007B6A8A" w:rsidRPr="00726423">
        <w:rPr>
          <w:rFonts w:ascii="Arial" w:hAnsi="Arial" w:cs="Arial"/>
          <w:color w:val="000000" w:themeColor="text1"/>
          <w:sz w:val="22"/>
          <w:szCs w:val="22"/>
        </w:rPr>
        <w:t>In some experiments, CD90.2</w:t>
      </w:r>
      <w:r w:rsidR="007B6A8A" w:rsidRPr="00726423">
        <w:rPr>
          <w:rFonts w:ascii="Arial" w:hAnsi="Arial" w:cs="Arial"/>
          <w:color w:val="000000" w:themeColor="text1"/>
          <w:sz w:val="22"/>
          <w:szCs w:val="22"/>
          <w:vertAlign w:val="superscript"/>
        </w:rPr>
        <w:t>+</w:t>
      </w:r>
      <w:r w:rsidR="007B6A8A" w:rsidRPr="00726423">
        <w:rPr>
          <w:rFonts w:ascii="Arial" w:hAnsi="Arial" w:cs="Arial"/>
          <w:color w:val="000000" w:themeColor="text1"/>
          <w:sz w:val="22"/>
          <w:szCs w:val="22"/>
        </w:rPr>
        <w:t xml:space="preserve"> cells were pre-sorted </w:t>
      </w:r>
      <w:r w:rsidRPr="00726423">
        <w:rPr>
          <w:rFonts w:ascii="Arial" w:hAnsi="Arial" w:cs="Arial"/>
          <w:color w:val="000000" w:themeColor="text1"/>
          <w:sz w:val="22"/>
          <w:szCs w:val="22"/>
        </w:rPr>
        <w:t xml:space="preserve">from </w:t>
      </w:r>
      <w:r w:rsidR="007B6A8A" w:rsidRPr="00726423">
        <w:rPr>
          <w:rFonts w:ascii="Arial" w:hAnsi="Arial" w:cs="Arial"/>
          <w:i/>
          <w:iCs/>
          <w:color w:val="000000" w:themeColor="text1"/>
          <w:sz w:val="22"/>
          <w:szCs w:val="22"/>
        </w:rPr>
        <w:t>Rag2</w:t>
      </w:r>
      <w:r w:rsidR="007B6A8A" w:rsidRPr="00726423">
        <w:rPr>
          <w:rFonts w:ascii="Arial" w:hAnsi="Arial" w:cs="Arial"/>
          <w:color w:val="000000" w:themeColor="text1"/>
          <w:sz w:val="22"/>
          <w:szCs w:val="22"/>
          <w:vertAlign w:val="superscript"/>
        </w:rPr>
        <w:t>-/-</w:t>
      </w:r>
      <w:r w:rsidR="007B6A8A" w:rsidRPr="00726423">
        <w:rPr>
          <w:rFonts w:ascii="Arial" w:hAnsi="Arial" w:cs="Arial"/>
          <w:color w:val="000000" w:themeColor="text1"/>
          <w:sz w:val="22"/>
          <w:szCs w:val="22"/>
        </w:rPr>
        <w:t xml:space="preserve"> </w:t>
      </w:r>
      <w:r w:rsidRPr="00726423">
        <w:rPr>
          <w:rFonts w:ascii="Arial" w:hAnsi="Arial" w:cs="Arial"/>
          <w:color w:val="000000" w:themeColor="text1"/>
          <w:sz w:val="22"/>
          <w:szCs w:val="22"/>
        </w:rPr>
        <w:t xml:space="preserve">lung and bone marrow </w:t>
      </w:r>
      <w:r w:rsidR="007B6A8A" w:rsidRPr="00726423">
        <w:rPr>
          <w:rFonts w:ascii="Arial" w:hAnsi="Arial" w:cs="Arial"/>
          <w:color w:val="000000" w:themeColor="text1"/>
          <w:sz w:val="22"/>
          <w:szCs w:val="22"/>
        </w:rPr>
        <w:t xml:space="preserve">single cell suspensions </w:t>
      </w:r>
      <w:r w:rsidRPr="00726423">
        <w:rPr>
          <w:rFonts w:ascii="Arial" w:hAnsi="Arial" w:cs="Arial"/>
          <w:color w:val="000000" w:themeColor="text1"/>
          <w:sz w:val="22"/>
          <w:szCs w:val="22"/>
        </w:rPr>
        <w:t xml:space="preserve">using an </w:t>
      </w:r>
      <w:proofErr w:type="spellStart"/>
      <w:r w:rsidRPr="00726423">
        <w:rPr>
          <w:rFonts w:ascii="Arial" w:hAnsi="Arial" w:cs="Arial"/>
          <w:color w:val="000000" w:themeColor="text1"/>
          <w:sz w:val="22"/>
          <w:szCs w:val="22"/>
        </w:rPr>
        <w:t>EasySep</w:t>
      </w:r>
      <w:proofErr w:type="spellEnd"/>
      <w:r w:rsidRPr="00726423">
        <w:rPr>
          <w:rFonts w:ascii="Arial" w:hAnsi="Arial" w:cs="Arial"/>
          <w:color w:val="000000" w:themeColor="text1"/>
          <w:sz w:val="22"/>
          <w:szCs w:val="22"/>
        </w:rPr>
        <w:t>™ Mouse CD90.2 Positive Selection Kit II (</w:t>
      </w:r>
      <w:proofErr w:type="spellStart"/>
      <w:r w:rsidRPr="00726423">
        <w:rPr>
          <w:rFonts w:ascii="Arial" w:hAnsi="Arial" w:cs="Arial"/>
          <w:color w:val="000000" w:themeColor="text1"/>
          <w:sz w:val="22"/>
          <w:szCs w:val="22"/>
        </w:rPr>
        <w:t>Stemcell</w:t>
      </w:r>
      <w:proofErr w:type="spellEnd"/>
      <w:r w:rsidRPr="00726423">
        <w:rPr>
          <w:rFonts w:ascii="Arial" w:hAnsi="Arial" w:cs="Arial"/>
          <w:color w:val="000000" w:themeColor="text1"/>
          <w:sz w:val="22"/>
          <w:szCs w:val="22"/>
        </w:rPr>
        <w:t xml:space="preserve"> Technologies) according to manufacturer’s instructions. Live </w:t>
      </w:r>
      <w:proofErr w:type="gramStart"/>
      <w:r w:rsidRPr="00726423">
        <w:rPr>
          <w:rFonts w:ascii="Arial" w:hAnsi="Arial" w:cs="Arial"/>
          <w:color w:val="000000" w:themeColor="text1"/>
          <w:sz w:val="22"/>
          <w:szCs w:val="22"/>
        </w:rPr>
        <w:t>Lin</w:t>
      </w:r>
      <w:r w:rsidR="00412EE5" w:rsidRPr="00726423">
        <w:rPr>
          <w:rFonts w:ascii="Arial" w:hAnsi="Arial" w:cs="Arial"/>
          <w:color w:val="000000" w:themeColor="text1"/>
          <w:sz w:val="22"/>
          <w:szCs w:val="22"/>
        </w:rPr>
        <w:t>eage</w:t>
      </w:r>
      <w:r w:rsidRPr="00726423">
        <w:rPr>
          <w:rFonts w:ascii="Arial" w:hAnsi="Arial" w:cs="Arial"/>
          <w:color w:val="000000" w:themeColor="text1"/>
          <w:sz w:val="22"/>
          <w:szCs w:val="22"/>
        </w:rPr>
        <w:t>(</w:t>
      </w:r>
      <w:proofErr w:type="gramEnd"/>
      <w:r w:rsidRPr="00726423">
        <w:rPr>
          <w:rFonts w:ascii="Arial" w:hAnsi="Arial" w:cs="Arial"/>
          <w:color w:val="000000" w:themeColor="text1"/>
          <w:sz w:val="22"/>
          <w:szCs w:val="22"/>
        </w:rPr>
        <w:t>CD11c/CD11b/NK1.1)</w:t>
      </w:r>
      <w:r w:rsidRPr="00726423">
        <w:rPr>
          <w:rFonts w:ascii="Arial" w:hAnsi="Arial" w:cs="Arial"/>
          <w:color w:val="000000" w:themeColor="text1"/>
          <w:sz w:val="22"/>
          <w:szCs w:val="22"/>
          <w:vertAlign w:val="superscript"/>
        </w:rPr>
        <w:t>-</w:t>
      </w:r>
      <w:r w:rsidRPr="00726423">
        <w:rPr>
          <w:rFonts w:ascii="Arial" w:hAnsi="Arial" w:cs="Arial"/>
          <w:color w:val="000000" w:themeColor="text1"/>
          <w:sz w:val="22"/>
          <w:szCs w:val="22"/>
        </w:rPr>
        <w:t>CD45</w:t>
      </w:r>
      <w:r w:rsidRPr="00726423">
        <w:rPr>
          <w:rFonts w:ascii="Arial" w:hAnsi="Arial" w:cs="Arial"/>
          <w:color w:val="000000" w:themeColor="text1"/>
          <w:sz w:val="22"/>
          <w:szCs w:val="22"/>
          <w:vertAlign w:val="superscript"/>
        </w:rPr>
        <w:t>+</w:t>
      </w:r>
      <w:r w:rsidRPr="00726423">
        <w:rPr>
          <w:rFonts w:ascii="Arial" w:hAnsi="Arial" w:cs="Arial"/>
          <w:color w:val="000000" w:themeColor="text1"/>
          <w:sz w:val="22"/>
          <w:szCs w:val="22"/>
        </w:rPr>
        <w:t>CD90.2</w:t>
      </w:r>
      <w:r w:rsidRPr="00726423">
        <w:rPr>
          <w:rFonts w:ascii="Arial" w:hAnsi="Arial" w:cs="Arial"/>
          <w:color w:val="000000" w:themeColor="text1"/>
          <w:sz w:val="22"/>
          <w:szCs w:val="22"/>
          <w:vertAlign w:val="superscript"/>
        </w:rPr>
        <w:t>+</w:t>
      </w:r>
      <w:r w:rsidRPr="00726423">
        <w:rPr>
          <w:rFonts w:ascii="Arial" w:hAnsi="Arial" w:cs="Arial"/>
          <w:color w:val="000000" w:themeColor="text1"/>
          <w:sz w:val="22"/>
          <w:szCs w:val="22"/>
        </w:rPr>
        <w:t>ST2</w:t>
      </w:r>
      <w:r w:rsidRPr="00726423">
        <w:rPr>
          <w:rFonts w:ascii="Arial" w:hAnsi="Arial" w:cs="Arial"/>
          <w:color w:val="000000" w:themeColor="text1"/>
          <w:sz w:val="22"/>
          <w:szCs w:val="22"/>
          <w:vertAlign w:val="superscript"/>
        </w:rPr>
        <w:t>+</w:t>
      </w:r>
      <w:r w:rsidRPr="00726423">
        <w:rPr>
          <w:rFonts w:ascii="Arial" w:hAnsi="Arial" w:cs="Arial"/>
          <w:color w:val="000000" w:themeColor="text1"/>
          <w:sz w:val="22"/>
          <w:szCs w:val="22"/>
        </w:rPr>
        <w:t xml:space="preserve"> ILC2s were sorted using a BD FACS Aria II and then cultured in complete RPMI containing 50 µM β-</w:t>
      </w:r>
      <w:proofErr w:type="spellStart"/>
      <w:r w:rsidRPr="00726423">
        <w:rPr>
          <w:rFonts w:ascii="Arial" w:hAnsi="Arial" w:cs="Arial"/>
          <w:color w:val="000000" w:themeColor="text1"/>
          <w:sz w:val="22"/>
          <w:szCs w:val="22"/>
        </w:rPr>
        <w:t>mercaptoethanol</w:t>
      </w:r>
      <w:proofErr w:type="spellEnd"/>
      <w:r w:rsidRPr="00726423">
        <w:rPr>
          <w:rFonts w:ascii="Arial" w:hAnsi="Arial" w:cs="Arial"/>
          <w:color w:val="000000" w:themeColor="text1"/>
          <w:sz w:val="22"/>
          <w:szCs w:val="22"/>
        </w:rPr>
        <w:t xml:space="preserve"> with IL-2, IL-7, </w:t>
      </w:r>
      <w:r w:rsidR="007B6A8A" w:rsidRPr="00726423">
        <w:rPr>
          <w:rFonts w:ascii="Arial" w:hAnsi="Arial" w:cs="Arial"/>
          <w:color w:val="000000" w:themeColor="text1"/>
          <w:sz w:val="22"/>
          <w:szCs w:val="22"/>
        </w:rPr>
        <w:t xml:space="preserve">and </w:t>
      </w:r>
      <w:r w:rsidRPr="00726423">
        <w:rPr>
          <w:rFonts w:ascii="Arial" w:hAnsi="Arial" w:cs="Arial"/>
          <w:color w:val="000000" w:themeColor="text1"/>
          <w:sz w:val="22"/>
          <w:szCs w:val="22"/>
        </w:rPr>
        <w:t>IL-33 with or without PGE</w:t>
      </w:r>
      <w:r w:rsidRPr="00726423">
        <w:rPr>
          <w:rFonts w:ascii="Arial" w:hAnsi="Arial" w:cs="Arial"/>
          <w:color w:val="000000" w:themeColor="text1"/>
          <w:sz w:val="22"/>
          <w:szCs w:val="22"/>
          <w:vertAlign w:val="subscript"/>
        </w:rPr>
        <w:t>2</w:t>
      </w:r>
      <w:r w:rsidRPr="00726423">
        <w:rPr>
          <w:rFonts w:ascii="Arial" w:hAnsi="Arial" w:cs="Arial"/>
          <w:color w:val="000000" w:themeColor="text1"/>
          <w:sz w:val="22"/>
          <w:szCs w:val="22"/>
        </w:rPr>
        <w:t xml:space="preserve"> in a round bottom 96-well plate at 37</w:t>
      </w:r>
      <w:r w:rsidR="00BF1392" w:rsidRPr="00726423">
        <w:rPr>
          <w:rFonts w:ascii="Arial" w:eastAsia="Cambria Math" w:hAnsi="Arial" w:cs="Arial"/>
          <w:color w:val="000000" w:themeColor="text1"/>
          <w:sz w:val="22"/>
          <w:szCs w:val="22"/>
          <w:vertAlign w:val="superscript"/>
        </w:rPr>
        <w:t xml:space="preserve"> </w:t>
      </w:r>
      <w:proofErr w:type="spellStart"/>
      <w:r w:rsidR="00BF1392" w:rsidRPr="00726423">
        <w:rPr>
          <w:rFonts w:ascii="Arial" w:eastAsia="Cambria Math" w:hAnsi="Arial" w:cs="Arial"/>
          <w:color w:val="000000" w:themeColor="text1"/>
          <w:sz w:val="22"/>
          <w:szCs w:val="22"/>
          <w:vertAlign w:val="superscript"/>
        </w:rPr>
        <w:t>o</w:t>
      </w:r>
      <w:r w:rsidR="00BF1392" w:rsidRPr="00726423">
        <w:rPr>
          <w:rFonts w:ascii="Arial" w:eastAsia="Cambria Math" w:hAnsi="Arial" w:cs="Arial"/>
          <w:color w:val="000000" w:themeColor="text1"/>
          <w:sz w:val="22"/>
          <w:szCs w:val="22"/>
        </w:rPr>
        <w:t>C</w:t>
      </w:r>
      <w:proofErr w:type="spellEnd"/>
      <w:r w:rsidRPr="00726423">
        <w:rPr>
          <w:rFonts w:ascii="Arial" w:hAnsi="Arial" w:cs="Arial"/>
          <w:color w:val="000000" w:themeColor="text1"/>
          <w:sz w:val="22"/>
          <w:szCs w:val="22"/>
          <w:lang w:eastAsia="ja-JP"/>
        </w:rPr>
        <w:t xml:space="preserve"> in 5% CO</w:t>
      </w:r>
      <w:r w:rsidRPr="00726423">
        <w:rPr>
          <w:rFonts w:ascii="Arial" w:hAnsi="Arial" w:cs="Arial"/>
          <w:color w:val="000000" w:themeColor="text1"/>
          <w:sz w:val="22"/>
          <w:szCs w:val="22"/>
          <w:vertAlign w:val="subscript"/>
          <w:lang w:eastAsia="ja-JP"/>
        </w:rPr>
        <w:t>2</w:t>
      </w:r>
      <w:r w:rsidRPr="00726423">
        <w:rPr>
          <w:rFonts w:ascii="Arial" w:hAnsi="Arial" w:cs="Arial"/>
          <w:color w:val="000000" w:themeColor="text1"/>
          <w:sz w:val="22"/>
          <w:szCs w:val="22"/>
          <w:lang w:eastAsia="ja-JP"/>
        </w:rPr>
        <w:t xml:space="preserve"> </w:t>
      </w:r>
      <w:r w:rsidRPr="00726423">
        <w:rPr>
          <w:rFonts w:ascii="Arial" w:hAnsi="Arial" w:cs="Arial"/>
          <w:color w:val="000000" w:themeColor="text1"/>
          <w:sz w:val="22"/>
          <w:szCs w:val="22"/>
        </w:rPr>
        <w:t xml:space="preserve">for 3 days. </w:t>
      </w:r>
    </w:p>
    <w:p w14:paraId="4C2ADD4E" w14:textId="77777777" w:rsidR="008E3115" w:rsidRPr="00726423" w:rsidRDefault="008E3115" w:rsidP="00AF01E8">
      <w:pPr>
        <w:spacing w:line="480" w:lineRule="auto"/>
        <w:jc w:val="both"/>
        <w:rPr>
          <w:rFonts w:ascii="Arial" w:hAnsi="Arial" w:cs="Arial"/>
          <w:b/>
          <w:bCs/>
          <w:color w:val="000000" w:themeColor="text1"/>
          <w:sz w:val="22"/>
          <w:szCs w:val="22"/>
        </w:rPr>
      </w:pPr>
    </w:p>
    <w:p w14:paraId="700D5734" w14:textId="2BFBBD09" w:rsidR="008E3115" w:rsidRPr="00726423" w:rsidRDefault="00BF556E" w:rsidP="00AF01E8">
      <w:pPr>
        <w:spacing w:line="480" w:lineRule="auto"/>
        <w:jc w:val="both"/>
        <w:rPr>
          <w:rFonts w:ascii="Arial" w:hAnsi="Arial" w:cs="Arial"/>
          <w:color w:val="000000" w:themeColor="text1"/>
          <w:sz w:val="22"/>
          <w:szCs w:val="22"/>
        </w:rPr>
      </w:pPr>
      <w:r w:rsidRPr="00726423">
        <w:rPr>
          <w:rFonts w:ascii="Arial" w:hAnsi="Arial" w:cs="Arial"/>
          <w:b/>
          <w:bCs/>
          <w:color w:val="000000" w:themeColor="text1"/>
          <w:sz w:val="22"/>
          <w:szCs w:val="22"/>
        </w:rPr>
        <w:t>Seahorse assays</w:t>
      </w:r>
      <w:r w:rsidR="00502347" w:rsidRPr="00726423">
        <w:rPr>
          <w:rFonts w:ascii="Arial" w:hAnsi="Arial" w:cs="Arial"/>
          <w:b/>
          <w:bCs/>
          <w:color w:val="000000" w:themeColor="text1"/>
          <w:sz w:val="22"/>
          <w:szCs w:val="22"/>
        </w:rPr>
        <w:t xml:space="preserve">. </w:t>
      </w:r>
      <w:r w:rsidR="008E3115" w:rsidRPr="00726423">
        <w:rPr>
          <w:rFonts w:ascii="Arial" w:hAnsi="Arial" w:cs="Arial"/>
          <w:color w:val="000000" w:themeColor="text1"/>
          <w:sz w:val="22"/>
          <w:szCs w:val="22"/>
        </w:rPr>
        <w:t>The Seahorse XFe96-well metabolic analyser (Agilent) was used to investigate the effect PGE</w:t>
      </w:r>
      <w:r w:rsidR="008E3115" w:rsidRPr="00726423">
        <w:rPr>
          <w:rFonts w:ascii="Arial" w:hAnsi="Arial" w:cs="Arial"/>
          <w:color w:val="000000" w:themeColor="text1"/>
          <w:sz w:val="22"/>
          <w:szCs w:val="22"/>
          <w:vertAlign w:val="subscript"/>
        </w:rPr>
        <w:t>2</w:t>
      </w:r>
      <w:r w:rsidR="008E3115" w:rsidRPr="00726423">
        <w:rPr>
          <w:rFonts w:ascii="Arial" w:hAnsi="Arial" w:cs="Arial"/>
          <w:color w:val="000000" w:themeColor="text1"/>
          <w:sz w:val="22"/>
          <w:szCs w:val="22"/>
        </w:rPr>
        <w:t xml:space="preserve"> may have upon ILC2 glycolysis </w:t>
      </w:r>
      <w:r w:rsidR="008E3115" w:rsidRPr="00726423">
        <w:rPr>
          <w:rFonts w:ascii="Arial" w:hAnsi="Arial" w:cs="Arial"/>
          <w:i/>
          <w:iCs/>
          <w:color w:val="000000" w:themeColor="text1"/>
          <w:sz w:val="22"/>
          <w:szCs w:val="22"/>
        </w:rPr>
        <w:t>in vitro</w:t>
      </w:r>
      <w:r w:rsidR="008E3115" w:rsidRPr="00726423">
        <w:rPr>
          <w:rFonts w:ascii="Arial" w:hAnsi="Arial" w:cs="Arial"/>
          <w:color w:val="000000" w:themeColor="text1"/>
          <w:sz w:val="22"/>
          <w:szCs w:val="22"/>
        </w:rPr>
        <w:t xml:space="preserve">. </w:t>
      </w:r>
      <w:r w:rsidR="008E3115" w:rsidRPr="00726423">
        <w:rPr>
          <w:rFonts w:ascii="Arial" w:hAnsi="Arial" w:cs="Arial"/>
          <w:i/>
          <w:iCs/>
          <w:color w:val="000000" w:themeColor="text1"/>
          <w:sz w:val="22"/>
          <w:szCs w:val="22"/>
        </w:rPr>
        <w:t>RAG2</w:t>
      </w:r>
      <w:r w:rsidR="008E3115" w:rsidRPr="00726423">
        <w:rPr>
          <w:rFonts w:ascii="Arial" w:hAnsi="Arial" w:cs="Arial"/>
          <w:i/>
          <w:iCs/>
          <w:color w:val="000000" w:themeColor="text1"/>
          <w:sz w:val="22"/>
          <w:szCs w:val="22"/>
          <w:vertAlign w:val="superscript"/>
        </w:rPr>
        <w:t>-/-</w:t>
      </w:r>
      <w:r w:rsidR="008E3115" w:rsidRPr="00726423">
        <w:rPr>
          <w:rFonts w:ascii="Arial" w:hAnsi="Arial" w:cs="Arial"/>
          <w:i/>
          <w:iCs/>
          <w:color w:val="000000" w:themeColor="text1"/>
          <w:sz w:val="22"/>
          <w:szCs w:val="22"/>
        </w:rPr>
        <w:t xml:space="preserve"> </w:t>
      </w:r>
      <w:r w:rsidR="008E3115" w:rsidRPr="00726423">
        <w:rPr>
          <w:rFonts w:ascii="Arial" w:hAnsi="Arial" w:cs="Arial"/>
          <w:color w:val="000000" w:themeColor="text1"/>
          <w:sz w:val="22"/>
          <w:szCs w:val="22"/>
        </w:rPr>
        <w:t xml:space="preserve">mice were subjected to i.t administrations of IL-33 (one i.t. per mouse per day) on days 0, 2 and 4. Lung and BAL single cell suspensions were </w:t>
      </w:r>
      <w:r w:rsidR="00B2069D" w:rsidRPr="00726423">
        <w:rPr>
          <w:rFonts w:ascii="Arial" w:hAnsi="Arial" w:cs="Arial"/>
          <w:color w:val="000000" w:themeColor="text1"/>
          <w:sz w:val="22"/>
          <w:szCs w:val="22"/>
        </w:rPr>
        <w:t xml:space="preserve">prepared </w:t>
      </w:r>
      <w:r w:rsidR="00DA6CF2" w:rsidRPr="00726423">
        <w:rPr>
          <w:rFonts w:ascii="Arial" w:hAnsi="Arial" w:cs="Arial"/>
          <w:color w:val="000000" w:themeColor="text1"/>
          <w:sz w:val="22"/>
          <w:szCs w:val="22"/>
        </w:rPr>
        <w:t xml:space="preserve">on day 6 and </w:t>
      </w:r>
      <w:r w:rsidR="008E3115" w:rsidRPr="00726423">
        <w:rPr>
          <w:rFonts w:ascii="Arial" w:hAnsi="Arial" w:cs="Arial"/>
          <w:color w:val="000000" w:themeColor="text1"/>
          <w:sz w:val="22"/>
          <w:szCs w:val="22"/>
        </w:rPr>
        <w:t>pooled together for sorting ILC2s as described above. 4 x 10</w:t>
      </w:r>
      <w:r w:rsidR="008E3115" w:rsidRPr="00726423">
        <w:rPr>
          <w:rFonts w:ascii="Arial" w:hAnsi="Arial" w:cs="Arial"/>
          <w:color w:val="000000" w:themeColor="text1"/>
          <w:sz w:val="22"/>
          <w:szCs w:val="22"/>
          <w:vertAlign w:val="superscript"/>
        </w:rPr>
        <w:t>4</w:t>
      </w:r>
      <w:r w:rsidR="008E3115" w:rsidRPr="00726423">
        <w:rPr>
          <w:rFonts w:ascii="Arial" w:hAnsi="Arial" w:cs="Arial"/>
          <w:color w:val="000000" w:themeColor="text1"/>
          <w:sz w:val="22"/>
          <w:szCs w:val="22"/>
        </w:rPr>
        <w:t xml:space="preserve"> ILC2s were rested overnight in a 96-well round bottom plate in complete RPMI and IL-2 and IL-7 (both 10 ng/mL). On the next day, IL-33 (10ng/mL), PGE</w:t>
      </w:r>
      <w:r w:rsidR="008E3115" w:rsidRPr="00726423">
        <w:rPr>
          <w:rFonts w:ascii="Arial" w:hAnsi="Arial" w:cs="Arial"/>
          <w:color w:val="000000" w:themeColor="text1"/>
          <w:sz w:val="22"/>
          <w:szCs w:val="22"/>
          <w:vertAlign w:val="subscript"/>
        </w:rPr>
        <w:t>2</w:t>
      </w:r>
      <w:r w:rsidR="008E3115" w:rsidRPr="00726423">
        <w:rPr>
          <w:rFonts w:ascii="Arial" w:hAnsi="Arial" w:cs="Arial"/>
          <w:color w:val="000000" w:themeColor="text1"/>
          <w:sz w:val="22"/>
          <w:szCs w:val="22"/>
        </w:rPr>
        <w:t xml:space="preserve"> (1 µM) or DMSO (0.01% v/v as vehicle) was added to media and cultured for a further 24 h. The next day, ILC2 counts were performed on each treatment to confirm &gt;95% viability.  Approximately 4 x 10</w:t>
      </w:r>
      <w:r w:rsidR="008E3115" w:rsidRPr="00726423">
        <w:rPr>
          <w:rFonts w:ascii="Arial" w:hAnsi="Arial" w:cs="Arial"/>
          <w:color w:val="000000" w:themeColor="text1"/>
          <w:sz w:val="22"/>
          <w:szCs w:val="22"/>
          <w:vertAlign w:val="superscript"/>
        </w:rPr>
        <w:t>4</w:t>
      </w:r>
      <w:r w:rsidR="008E3115" w:rsidRPr="00726423">
        <w:rPr>
          <w:rFonts w:ascii="Arial" w:hAnsi="Arial" w:cs="Arial"/>
          <w:color w:val="000000" w:themeColor="text1"/>
          <w:sz w:val="22"/>
          <w:szCs w:val="22"/>
        </w:rPr>
        <w:t xml:space="preserve"> ILC2s re-suspended in 50 µL Seahorse XF RPMI pH 7.4 (Agilent) (+ 1M glucose, 100 mM pyruvate and 200 mM glutamine) were added in triplicate to wells of a Seahorse XF96 V3 PS cell culture microplate (Agilent) coated 24 h prior with Cell-</w:t>
      </w:r>
      <w:proofErr w:type="spellStart"/>
      <w:r w:rsidR="008E3115" w:rsidRPr="00726423">
        <w:rPr>
          <w:rFonts w:ascii="Arial" w:hAnsi="Arial" w:cs="Arial"/>
          <w:color w:val="000000" w:themeColor="text1"/>
          <w:sz w:val="22"/>
          <w:szCs w:val="22"/>
        </w:rPr>
        <w:t>Tak</w:t>
      </w:r>
      <w:proofErr w:type="spellEnd"/>
      <w:r w:rsidR="008E3115" w:rsidRPr="00726423">
        <w:rPr>
          <w:rFonts w:ascii="Arial" w:hAnsi="Arial" w:cs="Arial"/>
          <w:color w:val="000000" w:themeColor="text1"/>
          <w:sz w:val="22"/>
          <w:szCs w:val="22"/>
        </w:rPr>
        <w:t xml:space="preserve">™️ cell adhesive (Sigma). Precise measurements of glycolysis in ILC2s were </w:t>
      </w:r>
      <w:r w:rsidR="008E3115" w:rsidRPr="00726423">
        <w:rPr>
          <w:rFonts w:ascii="Arial" w:hAnsi="Arial" w:cs="Arial"/>
          <w:color w:val="000000" w:themeColor="text1"/>
          <w:sz w:val="22"/>
          <w:szCs w:val="22"/>
        </w:rPr>
        <w:lastRenderedPageBreak/>
        <w:t xml:space="preserve">carried out using the Seahorse XF Glycolytic Rate Assay Kit (Agilent; 103344-100) according to manufacturer’s instructions. The real time oxygen consumption rate (OCR), extracellular acidification rate (ECAR) and proton efflux rate (PER) of ILC2s during glycolysis was directly measured, including glycolytic rates for basal conditions and compensatory glycolysis after injections of 0.5 µM Rotenone/Antimycin A (inhibits mitochondrial respiration) and 50 mM 2-DG (inhibits glycolysis) respectively into all treatment wells. </w:t>
      </w:r>
    </w:p>
    <w:p w14:paraId="4AD7554F" w14:textId="77777777" w:rsidR="008E3115" w:rsidRPr="00726423" w:rsidRDefault="008E3115" w:rsidP="00AF01E8">
      <w:pPr>
        <w:spacing w:line="480" w:lineRule="auto"/>
        <w:jc w:val="both"/>
        <w:rPr>
          <w:rFonts w:ascii="Arial" w:hAnsi="Arial" w:cs="Arial"/>
          <w:color w:val="000000" w:themeColor="text1"/>
          <w:sz w:val="22"/>
          <w:szCs w:val="22"/>
        </w:rPr>
      </w:pPr>
    </w:p>
    <w:p w14:paraId="45A1A614" w14:textId="49802E90" w:rsidR="008E3115" w:rsidRPr="00726423" w:rsidRDefault="008E3115" w:rsidP="00AF01E8">
      <w:pPr>
        <w:spacing w:line="480" w:lineRule="auto"/>
        <w:jc w:val="both"/>
        <w:rPr>
          <w:rFonts w:ascii="Arial" w:hAnsi="Arial" w:cs="Arial"/>
          <w:color w:val="000000" w:themeColor="text1"/>
          <w:sz w:val="22"/>
          <w:szCs w:val="22"/>
          <w:shd w:val="clear" w:color="auto" w:fill="FFFFFF"/>
        </w:rPr>
      </w:pPr>
      <w:r w:rsidRPr="00726423">
        <w:rPr>
          <w:rFonts w:ascii="Arial" w:hAnsi="Arial" w:cs="Arial"/>
          <w:b/>
          <w:bCs/>
          <w:color w:val="000000" w:themeColor="text1"/>
          <w:sz w:val="22"/>
          <w:szCs w:val="22"/>
        </w:rPr>
        <w:t>RNA-sequencing data analysis</w:t>
      </w:r>
      <w:r w:rsidR="00502347" w:rsidRPr="00726423">
        <w:rPr>
          <w:rFonts w:ascii="Arial" w:hAnsi="Arial" w:cs="Arial"/>
          <w:b/>
          <w:bCs/>
          <w:color w:val="000000" w:themeColor="text1"/>
          <w:sz w:val="22"/>
          <w:szCs w:val="22"/>
        </w:rPr>
        <w:t xml:space="preserve">. </w:t>
      </w:r>
      <w:r w:rsidRPr="00726423">
        <w:rPr>
          <w:rFonts w:ascii="Arial" w:hAnsi="Arial" w:cs="Arial"/>
          <w:color w:val="000000" w:themeColor="text1"/>
          <w:sz w:val="22"/>
          <w:szCs w:val="22"/>
        </w:rPr>
        <w:t xml:space="preserve">To explore the effect of cAMP on ILC2 gene expression, we first downloaded raw sequence data in FASTQ format from the GEO database (accession number: GSE131996). </w:t>
      </w:r>
      <w:proofErr w:type="spellStart"/>
      <w:r w:rsidRPr="00726423">
        <w:rPr>
          <w:rFonts w:ascii="Arial" w:hAnsi="Arial" w:cs="Arial"/>
          <w:color w:val="000000" w:themeColor="text1"/>
          <w:sz w:val="22"/>
          <w:szCs w:val="22"/>
        </w:rPr>
        <w:t>FastQC</w:t>
      </w:r>
      <w:proofErr w:type="spellEnd"/>
      <w:r w:rsidRPr="00726423">
        <w:rPr>
          <w:rFonts w:ascii="Arial" w:hAnsi="Arial" w:cs="Arial"/>
          <w:color w:val="000000" w:themeColor="text1"/>
          <w:sz w:val="22"/>
          <w:szCs w:val="22"/>
        </w:rPr>
        <w:t xml:space="preserve"> was used </w:t>
      </w:r>
      <w:r w:rsidR="001F1233" w:rsidRPr="00726423">
        <w:rPr>
          <w:rFonts w:ascii="Arial" w:hAnsi="Arial" w:cs="Arial"/>
          <w:color w:val="000000" w:themeColor="text1"/>
          <w:sz w:val="22"/>
          <w:szCs w:val="22"/>
        </w:rPr>
        <w:t>to</w:t>
      </w:r>
      <w:r w:rsidRPr="00726423">
        <w:rPr>
          <w:rFonts w:ascii="Arial" w:hAnsi="Arial" w:cs="Arial"/>
          <w:color w:val="000000" w:themeColor="text1"/>
          <w:sz w:val="22"/>
          <w:szCs w:val="22"/>
        </w:rPr>
        <w:t xml:space="preserve"> assess the quality of FASTQ files (</w:t>
      </w:r>
      <w:hyperlink r:id="rId8" w:history="1">
        <w:r w:rsidRPr="00726423">
          <w:rPr>
            <w:rStyle w:val="Hyperlink"/>
            <w:rFonts w:ascii="Arial" w:hAnsi="Arial" w:cs="Arial"/>
            <w:color w:val="000000" w:themeColor="text1"/>
            <w:sz w:val="22"/>
            <w:szCs w:val="22"/>
          </w:rPr>
          <w:t>https://www.bioinformatics.babraham.ac.uk/projects/fastqc/</w:t>
        </w:r>
      </w:hyperlink>
      <w:r w:rsidRPr="00726423">
        <w:rPr>
          <w:rFonts w:ascii="Arial" w:hAnsi="Arial" w:cs="Arial"/>
          <w:color w:val="000000" w:themeColor="text1"/>
          <w:sz w:val="22"/>
          <w:szCs w:val="22"/>
        </w:rPr>
        <w:t>). Sequence reads were mapped to mouse genome using STAR 2.7</w:t>
      </w:r>
      <w:r w:rsidR="009D137A"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{"citationID":"a1qv52ouk8t","properties":{"formattedCitation":"\\super 54\\nosupersub{}","plainCitation":"54","noteIndex":0},"citationItems":[{"id":1725,"uris":["http://zotero.org/users/local/OCWppIAO/items/8K3S65TR"],"itemData":{"id":1725,"type":"article-journal","abstract":"MOTIVATION: Accurate alignment of high-throughput RNA-seq data is a challenging and yet unsolved problem because of the non-contiguous transcript structure, relatively short read lengths and constantly increasing throughput of the sequencing technologies. Currently available RNA-seq aligners suffer from high mapping error rates, low mapping speed, read length limitation and mapping biases.\nRESULTS: To align our large (&gt;80 billon reads) ENCODE Transcriptome RNA-seq dataset, we developed the Spliced Transcripts Alignment to a Reference (STAR) software based on a previously undescribed RNA-seq alignment algorithm that uses sequential maximum mappable seed search in uncompressed suffix arrays followed by seed clustering and stitching procedure. STAR outperforms other aligners by a factor of &gt;50 in mapping speed, aligning to the human genome 550 million 2 × 76 bp paired-end reads per hour on a modest 12-core server, while at the same time improving alignment sensitivity and precision. In addition to unbiased de novo detection of canonical junctions, STAR can discover non-canonical splices and chimeric (fusion) transcripts, and is also capable of mapping full-length RNA sequences. Using Roche 454 sequencing of reverse transcription polymerase chain reaction amplicons, we experimentally validated 1960 novel intergenic splice junctions with an 80-90% success rate, corroborating the high precision of the STAR mapping strategy.\nAVAILABILITY AND IMPLEMENTATION: STAR is implemented as a standalone C++ code. STAR is free open source software distributed under GPLv3 license and can be downloaded from http://code.google.com/p/rna-star/.","container-title":"Bioinformatics (Oxford, England)","DOI":"10.1093/bioinformatics/bts635","ISSN":"1367-4811","issue":"1","journalAbbreviation":"Bioinformatics","language":"eng","note":"PMID: 23104886\nPMCID: PMC3530905","page":"15-21","source":"PubMed","title":"STAR: ultrafast universal RNA-seq aligner","title-short":"STAR","volume":"29","author":[{"family":"Dobin","given":"Alexander"},{"family":"Davis","given":"Carrie A."},{"family":"Schlesinger","given":"Felix"},{"family":"Drenkow","given":"Jorg"},{"family":"Zaleski","given":"Chris"},{"family":"Jha","given":"Sonali"},{"family":"Batut","given":"Philippe"},{"family":"Chaisson","given":"Mark"},{"family":"Gingeras","given":"Thomas R."}],"issued":{"date-parts":[["2013",1,1]]}}}],"schema":"https://github.com/citation-style-language/schema/raw/master/csl-citation.json"} </w:instrText>
      </w:r>
      <w:r w:rsidR="009D137A"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54</w:t>
      </w:r>
      <w:r w:rsidR="009D137A" w:rsidRPr="00726423">
        <w:rPr>
          <w:rFonts w:ascii="Arial" w:hAnsi="Arial" w:cs="Arial"/>
          <w:color w:val="000000" w:themeColor="text1"/>
          <w:sz w:val="22"/>
          <w:szCs w:val="22"/>
        </w:rPr>
        <w:fldChar w:fldCharType="end"/>
      </w:r>
      <w:r w:rsidRPr="00726423">
        <w:rPr>
          <w:rFonts w:ascii="Arial" w:hAnsi="Arial" w:cs="Arial"/>
          <w:color w:val="000000" w:themeColor="text1"/>
          <w:sz w:val="22"/>
          <w:szCs w:val="22"/>
        </w:rPr>
        <w:t>. QualiMap</w:t>
      </w:r>
      <w:r w:rsidR="009D137A"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{"citationID":"a1b0m49cgjc","properties":{"formattedCitation":"\\super 55\\nosupersub{}","plainCitation":"55","noteIndex":0},"citationItems":[{"id":1728,"uris":["http://zotero.org/users/local/OCWppIAO/items/GAIALUD8"],"itemData":{"id":1728,"type":"article-journal","abstract":"MOTIVATION: Detection of random errors and systematic biases is a crucial step of a robust pipeline for processing high-throughput sequencing (HTS) data. Bioinformatics software tools capable of performing this task are available, either for general analysis of HTS data or targeted to a specific sequencing technology. However, most of the existing QC instruments only allow processing of one sample at a time.\nRESULTS: Qualimap 2 represents a next step in the QC analysis of HTS data. Along with comprehensive single-sample analysis of alignment data, it includes new modes that allow simultaneous processing and comparison of multiple samples. As with the first version, the new features are available via both graphical and command line interface. Additionally, it includes a large number of improvements proposed by the user community.\nAVAILABILITY AND IMPLEMENTATION: The implementation of the software along with documentation is freely available at http://www.qualimap.org.\nCONTACT: meyer@mpiib-berlin.mpg.de\nSUPPLEMENTARY INFORMATION: Supplementary data are available at Bioinformatics online.","container-title":"Bioinformatics (Oxford, England)","DOI":"10.1093/bioinformatics/btv566","ISSN":"1367-4811","issue":"2","journalAbbreviation":"Bioinformatics","language":"eng","note":"PMID: 26428292\nPMCID: PMC4708105","page":"292-294","source":"PubMed","title":"Qualimap 2: advanced multi-sample quality control for high-throughput sequencing data","title-short":"Qualimap 2","volume":"32","author":[{"family":"Okonechnikov","given":"Konstantin"},{"family":"Conesa","given":"Ana"},{"family":"García-Alcalde","given":"Fernando"}],"issued":{"date-parts":[["2016",1,15]]}}}],"schema":"https://github.com/citation-style-language/schema/raw/master/csl-citation.json"} </w:instrText>
      </w:r>
      <w:r w:rsidR="009D137A"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55</w:t>
      </w:r>
      <w:r w:rsidR="009D137A" w:rsidRPr="00726423">
        <w:rPr>
          <w:rFonts w:ascii="Arial" w:hAnsi="Arial" w:cs="Arial"/>
          <w:color w:val="000000" w:themeColor="text1"/>
          <w:sz w:val="22"/>
          <w:szCs w:val="22"/>
        </w:rPr>
        <w:fldChar w:fldCharType="end"/>
      </w:r>
      <w:r w:rsidRPr="00726423">
        <w:rPr>
          <w:rFonts w:ascii="Arial" w:hAnsi="Arial" w:cs="Arial"/>
          <w:color w:val="000000" w:themeColor="text1"/>
          <w:sz w:val="22"/>
          <w:szCs w:val="22"/>
        </w:rPr>
        <w:t xml:space="preserve"> </w:t>
      </w:r>
      <w:r w:rsidR="00C01EAF" w:rsidRPr="00726423">
        <w:rPr>
          <w:rFonts w:ascii="Arial" w:hAnsi="Arial" w:cs="Arial"/>
          <w:color w:val="000000" w:themeColor="text1"/>
          <w:sz w:val="22"/>
          <w:szCs w:val="22"/>
        </w:rPr>
        <w:t xml:space="preserve">was </w:t>
      </w:r>
      <w:r w:rsidRPr="00726423">
        <w:rPr>
          <w:rFonts w:ascii="Arial" w:hAnsi="Arial" w:cs="Arial"/>
          <w:color w:val="000000" w:themeColor="text1"/>
          <w:sz w:val="22"/>
          <w:szCs w:val="22"/>
        </w:rPr>
        <w:t xml:space="preserve">used to assess the quality of mapped data and </w:t>
      </w:r>
      <w:proofErr w:type="spellStart"/>
      <w:r w:rsidRPr="00726423">
        <w:rPr>
          <w:rFonts w:ascii="Arial" w:hAnsi="Arial" w:cs="Arial"/>
          <w:color w:val="000000" w:themeColor="text1"/>
          <w:sz w:val="22"/>
          <w:szCs w:val="22"/>
        </w:rPr>
        <w:t>featureCounts</w:t>
      </w:r>
      <w:proofErr w:type="spellEnd"/>
      <w:r w:rsidRPr="00726423">
        <w:rPr>
          <w:rFonts w:ascii="Arial" w:hAnsi="Arial" w:cs="Arial"/>
          <w:color w:val="000000" w:themeColor="text1"/>
          <w:sz w:val="22"/>
          <w:szCs w:val="22"/>
        </w:rPr>
        <w:t xml:space="preserve"> was </w:t>
      </w:r>
      <w:r w:rsidR="00C01EAF" w:rsidRPr="00726423">
        <w:rPr>
          <w:rFonts w:ascii="Arial" w:hAnsi="Arial" w:cs="Arial"/>
          <w:color w:val="000000" w:themeColor="text1"/>
          <w:sz w:val="22"/>
          <w:szCs w:val="22"/>
        </w:rPr>
        <w:t>employed</w:t>
      </w:r>
      <w:r w:rsidRPr="00726423">
        <w:rPr>
          <w:rFonts w:ascii="Arial" w:hAnsi="Arial" w:cs="Arial"/>
          <w:color w:val="000000" w:themeColor="text1"/>
          <w:sz w:val="22"/>
          <w:szCs w:val="22"/>
        </w:rPr>
        <w:t xml:space="preserve"> to count uniquely mapped fragment</w:t>
      </w:r>
      <w:r w:rsidR="001F1233" w:rsidRPr="00726423">
        <w:rPr>
          <w:rFonts w:ascii="Arial" w:hAnsi="Arial" w:cs="Arial"/>
          <w:color w:val="000000" w:themeColor="text1"/>
          <w:sz w:val="22"/>
          <w:szCs w:val="22"/>
        </w:rPr>
        <w:t>s</w:t>
      </w:r>
      <w:r w:rsidRPr="00726423">
        <w:rPr>
          <w:rFonts w:ascii="Arial" w:hAnsi="Arial" w:cs="Arial"/>
          <w:color w:val="000000" w:themeColor="text1"/>
          <w:sz w:val="22"/>
          <w:szCs w:val="22"/>
        </w:rPr>
        <w:t xml:space="preserve"> against genomic features defined by the GENCODE annotation file (Mus_musculus.GRCm39.103.gtf). The counts were further processed for differential expression gene analysis</w:t>
      </w:r>
      <w:r w:rsidR="00C01EAF" w:rsidRPr="00726423">
        <w:rPr>
          <w:rFonts w:ascii="Arial" w:hAnsi="Arial" w:cs="Arial"/>
          <w:color w:val="000000" w:themeColor="text1"/>
          <w:sz w:val="22"/>
          <w:szCs w:val="22"/>
        </w:rPr>
        <w:t xml:space="preserve"> in R (4.0.3)</w:t>
      </w:r>
      <w:r w:rsidRPr="00726423">
        <w:rPr>
          <w:rFonts w:ascii="Arial" w:hAnsi="Arial" w:cs="Arial"/>
          <w:color w:val="000000" w:themeColor="text1"/>
          <w:sz w:val="22"/>
          <w:szCs w:val="22"/>
        </w:rPr>
        <w:t>. Differentially expressed genes were analysed by DESeq2</w:t>
      </w:r>
      <w:r w:rsidR="009D137A" w:rsidRPr="00726423">
        <w:rPr>
          <w:rFonts w:ascii="Arial" w:hAnsi="Arial" w:cs="Arial"/>
          <w:color w:val="000000" w:themeColor="text1"/>
          <w:sz w:val="22"/>
          <w:szCs w:val="22"/>
        </w:rPr>
        <w:fldChar w:fldCharType="begin"/>
      </w:r>
      <w:r w:rsidR="00361359">
        <w:rPr>
          <w:rFonts w:ascii="Arial" w:hAnsi="Arial" w:cs="Arial"/>
          <w:color w:val="000000" w:themeColor="text1"/>
          <w:sz w:val="22"/>
          <w:szCs w:val="22"/>
        </w:rPr>
        <w:instrText xml:space="preserve"> ADDIN ZOTERO_ITEM CSL_CITATION {"citationID":"a23g6hd8u75","properties":{"formattedCitation":"\\super 56\\nosupersub{}","plainCitation":"56","noteIndex":0},"citationItems":[{"id":1731,"uris":["http://zotero.org/users/local/OCWppIAO/items/BC4IWUTR"],"itemData":{"id":1731,"type":"article-journal","abstract":"In comparative high-throughput sequencing assays, a fundamental task is the analysis of count data, such as read counts per gene in RNA-seq, for evidence of systematic changes across experimental conditions. Small replicate numbers, discreteness, large dynamic range and the presence of outliers require a suitable statistical approach. We present DESeq2, a method for differential analysis of count data, using shrinkage estimation for dispersions and fold changes to improve stability and interpretability of estimates. This enables a more quantitative analysis focused on the strength rather than the mere presence of differential expression. The DESeq2 package is available at http://www.bioconductor.org/packages/release/bioc/html/DESeq2.html webcite.","container-title":"Genome Biology","DOI":"10.1186/s13059-014-0550-8","ISSN":"1474-760X","issue":"12","journalAbbreviation":"Genome Biol","language":"eng","note":"PMID: 25516281\nPMCID: PMC4302049","page":"550","source":"PubMed","title":"Moderated estimation of fold change and  dispersion for RNA-seq data with DESeq2","volume":"15","author":[{"family":"Love","given":"Michael I."},{"family":"Huber","given":"Wolfgang"},{"family":"Anders","given":"Simon"}],"issued":{"date-parts":[["2014"]]}}}],"schema":"https://github.com/citation-style-language/schema/raw/master/csl-citation.json"} </w:instrText>
      </w:r>
      <w:r w:rsidR="009D137A" w:rsidRPr="00726423">
        <w:rPr>
          <w:rFonts w:ascii="Arial" w:hAnsi="Arial" w:cs="Arial"/>
          <w:color w:val="000000" w:themeColor="text1"/>
          <w:sz w:val="22"/>
          <w:szCs w:val="22"/>
        </w:rPr>
        <w:fldChar w:fldCharType="separate"/>
      </w:r>
      <w:r w:rsidR="00361359" w:rsidRPr="00361359">
        <w:rPr>
          <w:rFonts w:ascii="Arial" w:hAnsi="Arial" w:cs="Arial"/>
          <w:color w:val="000000"/>
          <w:sz w:val="22"/>
          <w:vertAlign w:val="superscript"/>
        </w:rPr>
        <w:t>56</w:t>
      </w:r>
      <w:r w:rsidR="009D137A" w:rsidRPr="00726423">
        <w:rPr>
          <w:rFonts w:ascii="Arial" w:hAnsi="Arial" w:cs="Arial"/>
          <w:color w:val="000000" w:themeColor="text1"/>
          <w:sz w:val="22"/>
          <w:szCs w:val="22"/>
        </w:rPr>
        <w:fldChar w:fldCharType="end"/>
      </w:r>
      <w:r w:rsidRPr="00726423">
        <w:rPr>
          <w:rFonts w:ascii="Arial" w:hAnsi="Arial" w:cs="Arial"/>
          <w:color w:val="000000" w:themeColor="text1"/>
          <w:sz w:val="22"/>
          <w:szCs w:val="22"/>
        </w:rPr>
        <w:t xml:space="preserve"> and </w:t>
      </w:r>
      <w:r w:rsidR="00C01EAF" w:rsidRPr="00726423">
        <w:rPr>
          <w:rFonts w:ascii="Arial" w:hAnsi="Arial" w:cs="Arial"/>
          <w:color w:val="000000" w:themeColor="text1"/>
          <w:sz w:val="22"/>
          <w:szCs w:val="22"/>
        </w:rPr>
        <w:t xml:space="preserve">significance was </w:t>
      </w:r>
      <w:r w:rsidRPr="00726423">
        <w:rPr>
          <w:rFonts w:ascii="Arial" w:hAnsi="Arial" w:cs="Arial"/>
          <w:color w:val="000000" w:themeColor="text1"/>
          <w:sz w:val="22"/>
          <w:szCs w:val="22"/>
        </w:rPr>
        <w:t xml:space="preserve">identified </w:t>
      </w:r>
      <w:r w:rsidR="00C01EAF" w:rsidRPr="00726423">
        <w:rPr>
          <w:rFonts w:ascii="Arial" w:hAnsi="Arial" w:cs="Arial"/>
          <w:color w:val="000000" w:themeColor="text1"/>
          <w:sz w:val="22"/>
          <w:szCs w:val="22"/>
        </w:rPr>
        <w:t>using</w:t>
      </w:r>
      <w:r w:rsidRPr="00726423">
        <w:rPr>
          <w:rFonts w:ascii="Arial" w:hAnsi="Arial" w:cs="Arial"/>
          <w:color w:val="000000" w:themeColor="text1"/>
          <w:sz w:val="22"/>
          <w:szCs w:val="22"/>
        </w:rPr>
        <w:t xml:space="preserve"> adjusted p value &lt; 0.05 and </w:t>
      </w:r>
      <w:r w:rsidRPr="00726423">
        <w:rPr>
          <w:rFonts w:ascii="Arial" w:hAnsi="Arial" w:cs="Arial" w:hint="eastAsia"/>
          <w:color w:val="000000" w:themeColor="text1"/>
          <w:sz w:val="22"/>
          <w:szCs w:val="22"/>
        </w:rPr>
        <w:t>the</w:t>
      </w:r>
      <w:r w:rsidRPr="00726423">
        <w:rPr>
          <w:rFonts w:ascii="Arial" w:hAnsi="Arial" w:cs="Arial"/>
          <w:color w:val="000000" w:themeColor="text1"/>
          <w:sz w:val="22"/>
          <w:szCs w:val="22"/>
        </w:rPr>
        <w:t xml:space="preserve"> absolute value log2 fold change  ≥ 1. </w:t>
      </w:r>
      <w:proofErr w:type="spellStart"/>
      <w:r w:rsidRPr="00726423">
        <w:rPr>
          <w:rFonts w:ascii="Arial" w:hAnsi="Arial" w:cs="Arial"/>
          <w:color w:val="000000" w:themeColor="text1"/>
          <w:sz w:val="22"/>
          <w:szCs w:val="22"/>
        </w:rPr>
        <w:t>Ensembl</w:t>
      </w:r>
      <w:proofErr w:type="spellEnd"/>
      <w:r w:rsidRPr="00726423">
        <w:rPr>
          <w:rFonts w:ascii="Arial" w:hAnsi="Arial" w:cs="Arial"/>
          <w:color w:val="000000" w:themeColor="text1"/>
          <w:sz w:val="22"/>
          <w:szCs w:val="22"/>
        </w:rPr>
        <w:t xml:space="preserve"> version 103 was used for gene annotation. </w:t>
      </w:r>
      <w:r w:rsidRPr="00726423">
        <w:rPr>
          <w:rFonts w:ascii="Arial" w:hAnsi="Arial" w:cs="Arial"/>
          <w:color w:val="000000" w:themeColor="text1"/>
          <w:sz w:val="22"/>
          <w:szCs w:val="22"/>
          <w:shd w:val="clear" w:color="auto" w:fill="FFFFFF"/>
        </w:rPr>
        <w:t>Gene Set Enrichment Analysis</w:t>
      </w:r>
      <w:r w:rsidR="009D137A" w:rsidRPr="00726423">
        <w:rPr>
          <w:rFonts w:ascii="Arial" w:hAnsi="Arial" w:cs="Arial"/>
          <w:color w:val="000000" w:themeColor="text1"/>
          <w:sz w:val="22"/>
          <w:szCs w:val="22"/>
          <w:shd w:val="clear" w:color="auto" w:fill="FFFFFF"/>
        </w:rPr>
        <w:fldChar w:fldCharType="begin"/>
      </w:r>
      <w:r w:rsidR="00361359">
        <w:rPr>
          <w:rFonts w:ascii="Arial" w:hAnsi="Arial" w:cs="Arial"/>
          <w:color w:val="000000" w:themeColor="text1"/>
          <w:sz w:val="22"/>
          <w:szCs w:val="22"/>
          <w:shd w:val="clear" w:color="auto" w:fill="FFFFFF"/>
        </w:rPr>
        <w:instrText xml:space="preserve"> ADDIN ZOTERO_ITEM CSL_CITATION {"citationID":"a1udcfc0jrh","properties":{"formattedCitation":"\\super 57\\nosupersub{}","plainCitation":"57","noteIndex":0},"citationItems":[{"id":1734,"uris":["http://zotero.org/users/local/OCWppIAO/items/FF376E82"],"itemData":{"id":1734,"type":"article-journal","abstract":"Although genomewide RNA expression analysis has become a routine tool in biomedical research, extracting biological insight from such information remains a major challenge. Here, we describe a powerful analytical method called Gene Set Enrichment Analysis (GSEA) for interpreting gene expression data. The method derives its power by focusing on gene sets, that is, groups of genes that share common biological function, chromosomal location, or regulation. We demonstrate how GSEA yields insights into several cancer-related data sets, including leukemia and lung cancer. Notably, where single-gene analysis finds little similarity between two independent studies of patient survival in lung cancer, GSEA reveals many biological pathways in common. The GSEA method is embodied in a freely available software package, together with an initial database of 1,325 biologically defined gene sets.","container-title":"Proceedings of the National Academy of Sciences of the United States of America","DOI":"10.1073/pnas.0506580102","ISSN":"0027-8424","issue":"43","journalAbbreviation":"Proc Natl Acad Sci U S A","language":"eng","note":"PMID: 16199517\nPMCID: PMC1239896","page":"15545-15550","source":"PubMed","title":"Gene set enrichment analysis: a knowledge-based approach for interpreting genome-wide expression profiles","title-short":"Gene set enrichment analysis","volume":"102","author":[{"family":"Subramanian","given":"Aravind"},{"family":"Tamayo","given":"Pablo"},{"family":"Mootha","given":"Vamsi K."},{"family":"Mukherjee","given":"Sayan"},{"family":"Ebert","given":"Benjamin L."},{"family":"Gillette","given":"Michael A."},{"family":"Paulovich","given":"Amanda"},{"family":"Pomeroy","given":"Scott L."},{"family":"Golub","given":"Todd R."},{"family":"Lander","given":"Eric S."},{"family":"Mesirov","given":"Jill P."}],"issued":{"date-parts":[["2005",10,25]]}}}],"schema":"https://github.com/citation-style-language/schema/raw/master/csl-citation.json"} </w:instrText>
      </w:r>
      <w:r w:rsidR="009D137A" w:rsidRPr="00726423">
        <w:rPr>
          <w:rFonts w:ascii="Arial" w:hAnsi="Arial" w:cs="Arial"/>
          <w:color w:val="000000" w:themeColor="text1"/>
          <w:sz w:val="22"/>
          <w:szCs w:val="22"/>
          <w:shd w:val="clear" w:color="auto" w:fill="FFFFFF"/>
        </w:rPr>
        <w:fldChar w:fldCharType="separate"/>
      </w:r>
      <w:r w:rsidR="00361359" w:rsidRPr="00361359">
        <w:rPr>
          <w:rFonts w:ascii="Arial" w:hAnsi="Arial" w:cs="Arial"/>
          <w:color w:val="000000"/>
          <w:sz w:val="22"/>
          <w:vertAlign w:val="superscript"/>
        </w:rPr>
        <w:t>57</w:t>
      </w:r>
      <w:r w:rsidR="009D137A" w:rsidRPr="00726423">
        <w:rPr>
          <w:rFonts w:ascii="Arial" w:hAnsi="Arial" w:cs="Arial"/>
          <w:color w:val="000000" w:themeColor="text1"/>
          <w:sz w:val="22"/>
          <w:szCs w:val="22"/>
          <w:shd w:val="clear" w:color="auto" w:fill="FFFFFF"/>
        </w:rPr>
        <w:fldChar w:fldCharType="end"/>
      </w:r>
      <w:r w:rsidRPr="00726423">
        <w:rPr>
          <w:rFonts w:ascii="Arial" w:hAnsi="Arial" w:cs="Arial"/>
          <w:color w:val="000000" w:themeColor="text1"/>
          <w:sz w:val="22"/>
          <w:szCs w:val="22"/>
        </w:rPr>
        <w:t xml:space="preserve"> was performed for functional analysis using the Molecular Signatures Database v7.4. Hallmark, KEGG and REACTOME curated gene sets were </w:t>
      </w:r>
      <w:r w:rsidR="00C01EAF" w:rsidRPr="00726423">
        <w:rPr>
          <w:rFonts w:ascii="Arial" w:hAnsi="Arial" w:cs="Arial"/>
          <w:color w:val="000000" w:themeColor="text1"/>
          <w:sz w:val="22"/>
          <w:szCs w:val="22"/>
        </w:rPr>
        <w:t>used as references for</w:t>
      </w:r>
      <w:r w:rsidRPr="00726423">
        <w:rPr>
          <w:rFonts w:ascii="Arial" w:hAnsi="Arial" w:cs="Arial"/>
          <w:color w:val="000000" w:themeColor="text1"/>
          <w:sz w:val="22"/>
          <w:szCs w:val="22"/>
        </w:rPr>
        <w:t xml:space="preserve"> screen</w:t>
      </w:r>
      <w:r w:rsidR="00C01EAF" w:rsidRPr="00726423">
        <w:rPr>
          <w:rFonts w:ascii="Arial" w:hAnsi="Arial" w:cs="Arial"/>
          <w:color w:val="000000" w:themeColor="text1"/>
          <w:sz w:val="22"/>
          <w:szCs w:val="22"/>
        </w:rPr>
        <w:t>ing enriched pathways.</w:t>
      </w:r>
      <w:r w:rsidRPr="00726423">
        <w:rPr>
          <w:rFonts w:ascii="Arial" w:hAnsi="Arial" w:cs="Arial"/>
          <w:color w:val="000000" w:themeColor="text1"/>
          <w:sz w:val="22"/>
          <w:szCs w:val="22"/>
        </w:rPr>
        <w:t xml:space="preserve"> </w:t>
      </w:r>
      <w:r w:rsidRPr="00726423">
        <w:rPr>
          <w:rFonts w:ascii="Arial" w:hAnsi="Arial" w:cs="Arial"/>
          <w:i/>
          <w:iCs/>
          <w:color w:val="000000" w:themeColor="text1"/>
          <w:sz w:val="22"/>
          <w:szCs w:val="22"/>
        </w:rPr>
        <w:t>P</w:t>
      </w:r>
      <w:r w:rsidRPr="00726423">
        <w:rPr>
          <w:rFonts w:ascii="Arial" w:hAnsi="Arial" w:cs="Arial"/>
          <w:color w:val="000000" w:themeColor="text1"/>
          <w:sz w:val="22"/>
          <w:szCs w:val="22"/>
        </w:rPr>
        <w:t xml:space="preserve"> values were adjusted and enrichment scores were normalised. An adjusted </w:t>
      </w:r>
      <w:r w:rsidR="001F1233" w:rsidRPr="00726423">
        <w:rPr>
          <w:rFonts w:ascii="Arial" w:hAnsi="Arial" w:cs="Arial"/>
          <w:i/>
          <w:iCs/>
          <w:color w:val="000000" w:themeColor="text1"/>
          <w:sz w:val="22"/>
          <w:szCs w:val="22"/>
        </w:rPr>
        <w:t>P</w:t>
      </w:r>
      <w:r w:rsidR="001F1233" w:rsidRPr="00726423">
        <w:rPr>
          <w:rFonts w:ascii="Arial" w:hAnsi="Arial" w:cs="Arial"/>
          <w:color w:val="000000" w:themeColor="text1"/>
          <w:sz w:val="22"/>
          <w:szCs w:val="22"/>
        </w:rPr>
        <w:t xml:space="preserve"> </w:t>
      </w:r>
      <w:r w:rsidRPr="00726423">
        <w:rPr>
          <w:rFonts w:ascii="Arial" w:hAnsi="Arial" w:cs="Arial"/>
          <w:color w:val="000000" w:themeColor="text1"/>
          <w:sz w:val="22"/>
          <w:szCs w:val="22"/>
        </w:rPr>
        <w:t>value &lt; 0.05 (</w:t>
      </w:r>
      <w:proofErr w:type="spellStart"/>
      <w:r w:rsidRPr="00726423">
        <w:rPr>
          <w:rFonts w:ascii="Arial" w:hAnsi="Arial" w:cs="Arial"/>
          <w:color w:val="000000" w:themeColor="text1"/>
          <w:sz w:val="22"/>
          <w:szCs w:val="22"/>
        </w:rPr>
        <w:t>Benjamini</w:t>
      </w:r>
      <w:proofErr w:type="spellEnd"/>
      <w:r w:rsidRPr="00726423">
        <w:rPr>
          <w:rFonts w:ascii="Arial" w:hAnsi="Arial" w:cs="Arial"/>
          <w:color w:val="000000" w:themeColor="text1"/>
          <w:sz w:val="22"/>
          <w:szCs w:val="22"/>
        </w:rPr>
        <w:t>–Hochberg) was used as an indicator of significance in pathway analysis.</w:t>
      </w:r>
    </w:p>
    <w:p w14:paraId="656D368A" w14:textId="77777777" w:rsidR="008E3115" w:rsidRPr="00726423" w:rsidRDefault="008E3115" w:rsidP="00AF01E8">
      <w:pPr>
        <w:spacing w:line="480" w:lineRule="auto"/>
        <w:jc w:val="both"/>
        <w:rPr>
          <w:rFonts w:ascii="Arial" w:hAnsi="Arial" w:cs="Arial"/>
          <w:color w:val="000000" w:themeColor="text1"/>
          <w:sz w:val="22"/>
          <w:szCs w:val="22"/>
        </w:rPr>
      </w:pPr>
    </w:p>
    <w:p w14:paraId="7F35658C" w14:textId="327CAF53" w:rsidR="008E3115" w:rsidRPr="00726423" w:rsidRDefault="008E3115" w:rsidP="00AF01E8">
      <w:pPr>
        <w:spacing w:line="480" w:lineRule="auto"/>
        <w:jc w:val="both"/>
        <w:rPr>
          <w:rFonts w:ascii="Arial" w:hAnsi="Arial" w:cs="Arial"/>
          <w:color w:val="000000" w:themeColor="text1"/>
          <w:sz w:val="22"/>
          <w:szCs w:val="22"/>
        </w:rPr>
      </w:pPr>
      <w:r w:rsidRPr="00726423">
        <w:rPr>
          <w:rFonts w:ascii="Arial" w:hAnsi="Arial" w:cs="Arial"/>
          <w:b/>
          <w:bCs/>
          <w:color w:val="000000" w:themeColor="text1"/>
          <w:sz w:val="22"/>
          <w:szCs w:val="22"/>
        </w:rPr>
        <w:t>Statistical analyses</w:t>
      </w:r>
      <w:r w:rsidR="00502347" w:rsidRPr="00726423">
        <w:rPr>
          <w:rFonts w:ascii="Arial" w:hAnsi="Arial" w:cs="Arial"/>
          <w:b/>
          <w:bCs/>
          <w:color w:val="000000" w:themeColor="text1"/>
          <w:sz w:val="22"/>
          <w:szCs w:val="22"/>
        </w:rPr>
        <w:t xml:space="preserve">. </w:t>
      </w:r>
      <w:r w:rsidRPr="00726423">
        <w:rPr>
          <w:rFonts w:ascii="Arial" w:hAnsi="Arial" w:cs="Arial"/>
          <w:color w:val="000000" w:themeColor="text1"/>
          <w:sz w:val="22"/>
          <w:szCs w:val="22"/>
        </w:rPr>
        <w:t>All data were expressed as mean ± SD (</w:t>
      </w:r>
      <w:r w:rsidRPr="00726423">
        <w:rPr>
          <w:rFonts w:ascii="Arial" w:hAnsi="Arial" w:cs="Arial"/>
          <w:i/>
          <w:iCs/>
          <w:color w:val="000000" w:themeColor="text1"/>
          <w:sz w:val="22"/>
          <w:szCs w:val="22"/>
        </w:rPr>
        <w:t>in vivo</w:t>
      </w:r>
      <w:r w:rsidRPr="00726423">
        <w:rPr>
          <w:rFonts w:ascii="Arial" w:hAnsi="Arial" w:cs="Arial"/>
          <w:color w:val="000000" w:themeColor="text1"/>
          <w:sz w:val="22"/>
          <w:szCs w:val="22"/>
        </w:rPr>
        <w:t>) or SEM (</w:t>
      </w:r>
      <w:r w:rsidRPr="00726423">
        <w:rPr>
          <w:rFonts w:ascii="Arial" w:hAnsi="Arial" w:cs="Arial"/>
          <w:i/>
          <w:iCs/>
          <w:color w:val="000000" w:themeColor="text1"/>
          <w:sz w:val="22"/>
          <w:szCs w:val="22"/>
        </w:rPr>
        <w:t>in vitro</w:t>
      </w:r>
      <w:r w:rsidRPr="00726423">
        <w:rPr>
          <w:rFonts w:ascii="Arial" w:hAnsi="Arial" w:cs="Arial"/>
          <w:color w:val="000000" w:themeColor="text1"/>
          <w:sz w:val="22"/>
          <w:szCs w:val="22"/>
        </w:rPr>
        <w:t xml:space="preserve">). </w:t>
      </w:r>
      <w:r w:rsidR="00337B40" w:rsidRPr="00726423">
        <w:rPr>
          <w:rFonts w:ascii="Arial" w:hAnsi="Arial" w:cs="Arial"/>
          <w:color w:val="000000" w:themeColor="text1"/>
          <w:sz w:val="22"/>
          <w:szCs w:val="22"/>
        </w:rPr>
        <w:t xml:space="preserve">For </w:t>
      </w:r>
      <w:r w:rsidR="00502347" w:rsidRPr="00726423">
        <w:rPr>
          <w:rFonts w:ascii="Arial" w:hAnsi="Arial" w:cs="Arial"/>
          <w:color w:val="000000" w:themeColor="text1"/>
          <w:sz w:val="22"/>
          <w:szCs w:val="22"/>
        </w:rPr>
        <w:t>certain experiments where both sexes of animals were used</w:t>
      </w:r>
      <w:r w:rsidRPr="00726423">
        <w:rPr>
          <w:rFonts w:ascii="Arial" w:hAnsi="Arial" w:cs="Arial"/>
          <w:color w:val="000000" w:themeColor="text1"/>
          <w:sz w:val="22"/>
          <w:szCs w:val="22"/>
        </w:rPr>
        <w:t xml:space="preserve">, absolute cell numbers were normalised </w:t>
      </w:r>
      <w:r w:rsidR="00337B40" w:rsidRPr="00726423">
        <w:rPr>
          <w:rFonts w:ascii="Arial" w:hAnsi="Arial" w:cs="Arial"/>
          <w:color w:val="000000" w:themeColor="text1"/>
          <w:sz w:val="22"/>
          <w:szCs w:val="22"/>
        </w:rPr>
        <w:t>by sex</w:t>
      </w:r>
      <w:r w:rsidR="00502347" w:rsidRPr="00726423">
        <w:rPr>
          <w:rFonts w:ascii="Arial" w:hAnsi="Arial" w:cs="Arial"/>
          <w:color w:val="000000" w:themeColor="text1"/>
          <w:sz w:val="22"/>
          <w:szCs w:val="22"/>
        </w:rPr>
        <w:t xml:space="preserve"> and data were presented as fold changes</w:t>
      </w:r>
      <w:r w:rsidRPr="00726423">
        <w:rPr>
          <w:rFonts w:ascii="Arial" w:hAnsi="Arial" w:cs="Arial"/>
          <w:color w:val="000000" w:themeColor="text1"/>
          <w:sz w:val="22"/>
          <w:szCs w:val="22"/>
        </w:rPr>
        <w:t xml:space="preserve">. Statistical significance between two groups was examined </w:t>
      </w:r>
      <w:r w:rsidR="001F1233" w:rsidRPr="00726423">
        <w:rPr>
          <w:rFonts w:ascii="Arial" w:hAnsi="Arial" w:cs="Arial"/>
          <w:color w:val="000000" w:themeColor="text1"/>
          <w:sz w:val="22"/>
          <w:szCs w:val="22"/>
        </w:rPr>
        <w:t>using an</w:t>
      </w:r>
      <w:r w:rsidRPr="00726423">
        <w:rPr>
          <w:rFonts w:ascii="Arial" w:hAnsi="Arial" w:cs="Arial"/>
          <w:color w:val="000000" w:themeColor="text1"/>
          <w:sz w:val="22"/>
          <w:szCs w:val="22"/>
        </w:rPr>
        <w:t xml:space="preserve"> unpaired</w:t>
      </w:r>
      <w:r w:rsidR="001F1233" w:rsidRPr="00726423">
        <w:rPr>
          <w:rFonts w:ascii="Arial" w:hAnsi="Arial" w:cs="Arial"/>
          <w:color w:val="000000" w:themeColor="text1"/>
          <w:sz w:val="22"/>
          <w:szCs w:val="22"/>
        </w:rPr>
        <w:t>,</w:t>
      </w:r>
      <w:r w:rsidRPr="00726423">
        <w:rPr>
          <w:rFonts w:ascii="Arial" w:hAnsi="Arial" w:cs="Arial"/>
          <w:color w:val="000000" w:themeColor="text1"/>
          <w:sz w:val="22"/>
          <w:szCs w:val="22"/>
        </w:rPr>
        <w:t xml:space="preserve"> 2-tailed Student’s </w:t>
      </w:r>
      <w:r w:rsidRPr="00726423">
        <w:rPr>
          <w:rFonts w:ascii="Arial" w:hAnsi="Arial" w:cs="Arial"/>
          <w:i/>
          <w:iCs/>
          <w:color w:val="000000" w:themeColor="text1"/>
          <w:sz w:val="22"/>
          <w:szCs w:val="22"/>
        </w:rPr>
        <w:t>t</w:t>
      </w:r>
      <w:r w:rsidRPr="00726423">
        <w:rPr>
          <w:rFonts w:ascii="Arial" w:hAnsi="Arial" w:cs="Arial"/>
          <w:color w:val="000000" w:themeColor="text1"/>
          <w:sz w:val="22"/>
          <w:szCs w:val="22"/>
        </w:rPr>
        <w:t xml:space="preserve">-test. One-way and two-way ANOVA with post-hoc </w:t>
      </w:r>
      <w:r w:rsidR="00502347" w:rsidRPr="00726423">
        <w:rPr>
          <w:rFonts w:ascii="Arial" w:hAnsi="Arial" w:cs="Arial"/>
          <w:color w:val="000000" w:themeColor="text1"/>
          <w:sz w:val="22"/>
          <w:szCs w:val="22"/>
        </w:rPr>
        <w:t>Holm-</w:t>
      </w:r>
      <w:proofErr w:type="spellStart"/>
      <w:r w:rsidR="00502347" w:rsidRPr="00726423">
        <w:rPr>
          <w:rFonts w:ascii="Arial" w:hAnsi="Arial" w:cs="Arial"/>
          <w:color w:val="000000" w:themeColor="text1"/>
          <w:sz w:val="22"/>
          <w:szCs w:val="22"/>
        </w:rPr>
        <w:t>Sidak's</w:t>
      </w:r>
      <w:proofErr w:type="spellEnd"/>
      <w:r w:rsidRPr="00726423">
        <w:rPr>
          <w:rFonts w:ascii="Arial" w:hAnsi="Arial" w:cs="Arial"/>
          <w:color w:val="000000" w:themeColor="text1"/>
          <w:sz w:val="22"/>
          <w:szCs w:val="22"/>
        </w:rPr>
        <w:t xml:space="preserve"> multiple comparisons test</w:t>
      </w:r>
      <w:r w:rsidR="00502347" w:rsidRPr="00726423">
        <w:rPr>
          <w:rFonts w:ascii="Arial" w:hAnsi="Arial" w:cs="Arial"/>
          <w:color w:val="000000" w:themeColor="text1"/>
          <w:sz w:val="22"/>
          <w:szCs w:val="22"/>
        </w:rPr>
        <w:t>s</w:t>
      </w:r>
      <w:r w:rsidRPr="00726423">
        <w:rPr>
          <w:rFonts w:ascii="Arial" w:hAnsi="Arial" w:cs="Arial"/>
          <w:color w:val="000000" w:themeColor="text1"/>
          <w:sz w:val="22"/>
          <w:szCs w:val="22"/>
        </w:rPr>
        <w:t xml:space="preserve"> were used to evaluate statistical significance between multiple </w:t>
      </w:r>
      <w:r w:rsidRPr="00726423">
        <w:rPr>
          <w:rFonts w:ascii="Arial" w:hAnsi="Arial" w:cs="Arial"/>
          <w:color w:val="000000" w:themeColor="text1"/>
          <w:sz w:val="22"/>
          <w:szCs w:val="22"/>
        </w:rPr>
        <w:lastRenderedPageBreak/>
        <w:t xml:space="preserve">groups. Statistical analyses were performed using Prism </w:t>
      </w:r>
      <w:r w:rsidR="007B5609" w:rsidRPr="00726423">
        <w:rPr>
          <w:rFonts w:ascii="Arial" w:hAnsi="Arial" w:cs="Arial"/>
          <w:color w:val="000000" w:themeColor="text1"/>
          <w:sz w:val="22"/>
          <w:szCs w:val="22"/>
        </w:rPr>
        <w:t>8</w:t>
      </w:r>
      <w:r w:rsidRPr="00726423">
        <w:rPr>
          <w:rFonts w:ascii="Arial" w:hAnsi="Arial" w:cs="Arial"/>
          <w:color w:val="000000" w:themeColor="text1"/>
          <w:sz w:val="22"/>
          <w:szCs w:val="22"/>
        </w:rPr>
        <w:t xml:space="preserve"> software (</w:t>
      </w:r>
      <w:proofErr w:type="spellStart"/>
      <w:r w:rsidRPr="00726423">
        <w:rPr>
          <w:rFonts w:ascii="Arial" w:hAnsi="Arial" w:cs="Arial"/>
          <w:color w:val="000000" w:themeColor="text1"/>
          <w:sz w:val="22"/>
          <w:szCs w:val="22"/>
        </w:rPr>
        <w:t>Graphpad</w:t>
      </w:r>
      <w:proofErr w:type="spellEnd"/>
      <w:r w:rsidRPr="00726423">
        <w:rPr>
          <w:rFonts w:ascii="Arial" w:hAnsi="Arial" w:cs="Arial"/>
          <w:color w:val="000000" w:themeColor="text1"/>
          <w:sz w:val="22"/>
          <w:szCs w:val="22"/>
        </w:rPr>
        <w:t xml:space="preserve">) and significance was accepted at </w:t>
      </w:r>
      <w:r w:rsidRPr="00726423">
        <w:rPr>
          <w:rFonts w:ascii="Arial" w:hAnsi="Arial" w:cs="Arial"/>
          <w:i/>
          <w:iCs/>
          <w:color w:val="000000" w:themeColor="text1"/>
          <w:sz w:val="22"/>
          <w:szCs w:val="22"/>
        </w:rPr>
        <w:t>P</w:t>
      </w:r>
      <w:r w:rsidRPr="00726423">
        <w:rPr>
          <w:rFonts w:ascii="Arial" w:hAnsi="Arial" w:cs="Arial"/>
          <w:color w:val="000000" w:themeColor="text1"/>
          <w:sz w:val="22"/>
          <w:szCs w:val="22"/>
        </w:rPr>
        <w:t xml:space="preserve">&lt;0.05. </w:t>
      </w:r>
    </w:p>
    <w:p w14:paraId="0573174B" w14:textId="77777777" w:rsidR="00502347" w:rsidRPr="00726423" w:rsidRDefault="00502347" w:rsidP="00AF01E8">
      <w:pPr>
        <w:spacing w:line="480" w:lineRule="auto"/>
        <w:jc w:val="both"/>
        <w:rPr>
          <w:rFonts w:ascii="Arial" w:hAnsi="Arial" w:cs="Arial"/>
          <w:color w:val="000000" w:themeColor="text1"/>
          <w:sz w:val="22"/>
          <w:szCs w:val="22"/>
        </w:rPr>
      </w:pPr>
    </w:p>
    <w:p w14:paraId="1EEFA286" w14:textId="77777777" w:rsidR="00397507" w:rsidRDefault="00397507">
      <w:pPr>
        <w:rPr>
          <w:rFonts w:ascii="Arial" w:hAnsi="Arial" w:cs="Arial"/>
          <w:b/>
          <w:bCs/>
          <w:color w:val="000000" w:themeColor="text1"/>
          <w:sz w:val="22"/>
          <w:szCs w:val="22"/>
        </w:rPr>
      </w:pPr>
      <w:r>
        <w:rPr>
          <w:rFonts w:ascii="Arial" w:hAnsi="Arial" w:cs="Arial"/>
          <w:b/>
          <w:bCs/>
          <w:color w:val="000000" w:themeColor="text1"/>
          <w:sz w:val="22"/>
          <w:szCs w:val="22"/>
        </w:rPr>
        <w:br w:type="page"/>
      </w:r>
    </w:p>
    <w:p w14:paraId="15ACAF3C" w14:textId="3BED7007" w:rsidR="00C2702D" w:rsidRPr="00726423" w:rsidRDefault="008007AE" w:rsidP="00AF01E8">
      <w:pPr>
        <w:spacing w:line="480" w:lineRule="auto"/>
        <w:jc w:val="both"/>
        <w:rPr>
          <w:rFonts w:ascii="Arial" w:hAnsi="Arial" w:cs="Arial"/>
          <w:b/>
          <w:bCs/>
          <w:color w:val="000000" w:themeColor="text1"/>
          <w:sz w:val="22"/>
          <w:szCs w:val="22"/>
        </w:rPr>
      </w:pPr>
      <w:r w:rsidRPr="00726423">
        <w:rPr>
          <w:rFonts w:ascii="Arial" w:hAnsi="Arial" w:cs="Arial"/>
          <w:b/>
          <w:bCs/>
          <w:color w:val="000000" w:themeColor="text1"/>
          <w:sz w:val="22"/>
          <w:szCs w:val="22"/>
        </w:rPr>
        <w:lastRenderedPageBreak/>
        <w:t>Author contributions</w:t>
      </w:r>
    </w:p>
    <w:p w14:paraId="1AA90D86" w14:textId="745EDFB0" w:rsidR="00655F8C" w:rsidRPr="00726423" w:rsidRDefault="00655F8C" w:rsidP="00AF01E8">
      <w:pPr>
        <w:spacing w:line="480" w:lineRule="auto"/>
        <w:jc w:val="both"/>
        <w:rPr>
          <w:rFonts w:ascii="Arial" w:hAnsi="Arial" w:cs="Arial"/>
          <w:color w:val="000000" w:themeColor="text1"/>
          <w:sz w:val="22"/>
          <w:szCs w:val="22"/>
        </w:rPr>
      </w:pPr>
      <w:r w:rsidRPr="00726423">
        <w:rPr>
          <w:rFonts w:ascii="Arial" w:hAnsi="Arial" w:cs="Arial"/>
          <w:color w:val="000000" w:themeColor="text1"/>
          <w:sz w:val="22"/>
          <w:szCs w:val="22"/>
        </w:rPr>
        <w:t xml:space="preserve">CTR and CY conceived of all the experiments. CTR, JMF, MG, and PJ performed the experimental work. YZ and BZ analysed </w:t>
      </w:r>
      <w:proofErr w:type="spellStart"/>
      <w:r w:rsidRPr="00726423">
        <w:rPr>
          <w:rFonts w:ascii="Arial" w:hAnsi="Arial" w:cs="Arial"/>
          <w:color w:val="000000" w:themeColor="text1"/>
          <w:sz w:val="22"/>
          <w:szCs w:val="22"/>
        </w:rPr>
        <w:t>RNAseq</w:t>
      </w:r>
      <w:proofErr w:type="spellEnd"/>
      <w:r w:rsidRPr="00726423">
        <w:rPr>
          <w:rFonts w:ascii="Arial" w:hAnsi="Arial" w:cs="Arial"/>
          <w:color w:val="000000" w:themeColor="text1"/>
          <w:sz w:val="22"/>
          <w:szCs w:val="22"/>
        </w:rPr>
        <w:t xml:space="preserve"> data. </w:t>
      </w:r>
      <w:r w:rsidR="00D309EE" w:rsidRPr="00726423">
        <w:rPr>
          <w:rFonts w:ascii="Arial" w:hAnsi="Arial" w:cs="Arial"/>
          <w:color w:val="000000" w:themeColor="text1"/>
          <w:sz w:val="22"/>
          <w:szCs w:val="22"/>
        </w:rPr>
        <w:t>DJS, RMB, SN, HJM, RMM, JKJS, and AGR provided essential animal lines, key reagents and critical input. The manuscript was written by CTR and CY, with critical input from YZ, RMB, SN, HJM, RMM, JKJS, and AGR. This project was managed and supervised by CY.</w:t>
      </w:r>
    </w:p>
    <w:p w14:paraId="12BED116" w14:textId="77777777" w:rsidR="008007AE" w:rsidRPr="00726423" w:rsidRDefault="008007AE" w:rsidP="00AF01E8">
      <w:pPr>
        <w:spacing w:line="480" w:lineRule="auto"/>
        <w:jc w:val="both"/>
        <w:rPr>
          <w:rFonts w:ascii="Arial" w:hAnsi="Arial" w:cs="Arial"/>
          <w:color w:val="000000" w:themeColor="text1"/>
          <w:sz w:val="22"/>
          <w:szCs w:val="22"/>
        </w:rPr>
      </w:pPr>
    </w:p>
    <w:p w14:paraId="3FE40220" w14:textId="4D656B89" w:rsidR="00C2702D" w:rsidRPr="00726423" w:rsidRDefault="00C2702D" w:rsidP="00AF01E8">
      <w:pPr>
        <w:spacing w:line="480" w:lineRule="auto"/>
        <w:jc w:val="both"/>
        <w:rPr>
          <w:rFonts w:ascii="Arial" w:hAnsi="Arial" w:cs="Arial"/>
          <w:b/>
          <w:bCs/>
          <w:color w:val="000000" w:themeColor="text1"/>
          <w:sz w:val="22"/>
          <w:szCs w:val="22"/>
        </w:rPr>
      </w:pPr>
      <w:r w:rsidRPr="00726423">
        <w:rPr>
          <w:rFonts w:ascii="Arial" w:hAnsi="Arial" w:cs="Arial"/>
          <w:b/>
          <w:bCs/>
          <w:color w:val="000000" w:themeColor="text1"/>
          <w:sz w:val="22"/>
          <w:szCs w:val="22"/>
        </w:rPr>
        <w:t xml:space="preserve">Acknowledgements: </w:t>
      </w:r>
    </w:p>
    <w:p w14:paraId="060166F6" w14:textId="35BB708F" w:rsidR="002D7881" w:rsidRPr="00726423" w:rsidRDefault="00C2702D" w:rsidP="00AF01E8">
      <w:pPr>
        <w:spacing w:line="480" w:lineRule="auto"/>
        <w:jc w:val="both"/>
        <w:rPr>
          <w:rFonts w:ascii="Arial" w:hAnsi="Arial" w:cs="Arial"/>
          <w:color w:val="000000" w:themeColor="text1"/>
          <w:sz w:val="22"/>
          <w:szCs w:val="22"/>
        </w:rPr>
      </w:pPr>
      <w:r w:rsidRPr="00726423">
        <w:rPr>
          <w:rFonts w:ascii="Arial" w:hAnsi="Arial" w:cs="Arial"/>
          <w:color w:val="000000" w:themeColor="text1"/>
          <w:sz w:val="22"/>
          <w:szCs w:val="22"/>
        </w:rPr>
        <w:t xml:space="preserve">We thank </w:t>
      </w:r>
      <w:r w:rsidR="0000646D" w:rsidRPr="00726423">
        <w:rPr>
          <w:rFonts w:ascii="Arial" w:hAnsi="Arial" w:cs="Arial"/>
          <w:color w:val="000000" w:themeColor="text1"/>
          <w:sz w:val="22"/>
          <w:szCs w:val="22"/>
        </w:rPr>
        <w:t>E</w:t>
      </w:r>
      <w:r w:rsidR="00F16706" w:rsidRPr="00726423">
        <w:rPr>
          <w:rFonts w:ascii="Arial" w:hAnsi="Arial" w:cs="Arial"/>
          <w:color w:val="000000" w:themeColor="text1"/>
          <w:sz w:val="22"/>
          <w:szCs w:val="22"/>
        </w:rPr>
        <w:t>.</w:t>
      </w:r>
      <w:r w:rsidR="0000646D" w:rsidRPr="00726423">
        <w:rPr>
          <w:rFonts w:ascii="Arial" w:hAnsi="Arial" w:cs="Arial"/>
          <w:color w:val="000000" w:themeColor="text1"/>
          <w:sz w:val="22"/>
          <w:szCs w:val="22"/>
        </w:rPr>
        <w:t xml:space="preserve"> </w:t>
      </w:r>
      <w:proofErr w:type="spellStart"/>
      <w:r w:rsidR="0000646D" w:rsidRPr="00726423">
        <w:rPr>
          <w:rFonts w:ascii="Arial" w:hAnsi="Arial" w:cs="Arial"/>
          <w:color w:val="000000" w:themeColor="text1"/>
          <w:sz w:val="22"/>
          <w:szCs w:val="22"/>
        </w:rPr>
        <w:t>Dzierzak</w:t>
      </w:r>
      <w:proofErr w:type="spellEnd"/>
      <w:r w:rsidR="0000646D" w:rsidRPr="00726423">
        <w:rPr>
          <w:rFonts w:ascii="Arial" w:hAnsi="Arial" w:cs="Arial"/>
          <w:color w:val="000000" w:themeColor="text1"/>
          <w:sz w:val="22"/>
          <w:szCs w:val="22"/>
        </w:rPr>
        <w:t xml:space="preserve"> for </w:t>
      </w:r>
      <w:r w:rsidR="009A1872" w:rsidRPr="00726423">
        <w:rPr>
          <w:rFonts w:ascii="Arial" w:hAnsi="Arial" w:cs="Arial"/>
          <w:color w:val="000000" w:themeColor="text1"/>
          <w:sz w:val="22"/>
          <w:szCs w:val="22"/>
        </w:rPr>
        <w:t xml:space="preserve">providing </w:t>
      </w:r>
      <w:r w:rsidR="0000646D" w:rsidRPr="00726423">
        <w:rPr>
          <w:rFonts w:ascii="Arial" w:hAnsi="Arial" w:cs="Arial"/>
          <w:color w:val="000000" w:themeColor="text1"/>
          <w:sz w:val="22"/>
          <w:szCs w:val="22"/>
        </w:rPr>
        <w:t>Vav-</w:t>
      </w:r>
      <w:proofErr w:type="spellStart"/>
      <w:r w:rsidR="0000646D" w:rsidRPr="00726423">
        <w:rPr>
          <w:rFonts w:ascii="Arial" w:hAnsi="Arial" w:cs="Arial"/>
          <w:color w:val="000000" w:themeColor="text1"/>
          <w:sz w:val="22"/>
          <w:szCs w:val="22"/>
        </w:rPr>
        <w:t>Cre</w:t>
      </w:r>
      <w:proofErr w:type="spellEnd"/>
      <w:r w:rsidR="0000646D" w:rsidRPr="00726423">
        <w:rPr>
          <w:rFonts w:ascii="Arial" w:hAnsi="Arial" w:cs="Arial"/>
          <w:color w:val="000000" w:themeColor="text1"/>
          <w:sz w:val="22"/>
          <w:szCs w:val="22"/>
        </w:rPr>
        <w:t xml:space="preserve"> mice; </w:t>
      </w:r>
      <w:r w:rsidR="00F16706" w:rsidRPr="00726423">
        <w:rPr>
          <w:rFonts w:ascii="Arial" w:hAnsi="Arial" w:cs="Arial"/>
          <w:color w:val="000000" w:themeColor="text1"/>
          <w:sz w:val="22"/>
          <w:szCs w:val="22"/>
        </w:rPr>
        <w:t>P.J. Brophy and D. Mahad for CD90.2(Thy1.2)-</w:t>
      </w:r>
      <w:proofErr w:type="spellStart"/>
      <w:r w:rsidR="00F16706" w:rsidRPr="00726423">
        <w:rPr>
          <w:rFonts w:ascii="Arial" w:hAnsi="Arial" w:cs="Arial"/>
          <w:color w:val="000000" w:themeColor="text1"/>
          <w:sz w:val="22"/>
          <w:szCs w:val="22"/>
        </w:rPr>
        <w:t>iCre</w:t>
      </w:r>
      <w:proofErr w:type="spellEnd"/>
      <w:r w:rsidR="00F16706" w:rsidRPr="00726423">
        <w:rPr>
          <w:rFonts w:ascii="Arial" w:hAnsi="Arial" w:cs="Arial"/>
          <w:color w:val="000000" w:themeColor="text1"/>
          <w:sz w:val="22"/>
          <w:szCs w:val="22"/>
        </w:rPr>
        <w:t xml:space="preserve"> mice; </w:t>
      </w:r>
      <w:r w:rsidR="00615071" w:rsidRPr="00726423">
        <w:rPr>
          <w:rFonts w:ascii="Arial" w:hAnsi="Arial" w:cs="Arial"/>
          <w:color w:val="000000" w:themeColor="text1"/>
          <w:sz w:val="22"/>
          <w:szCs w:val="22"/>
        </w:rPr>
        <w:t xml:space="preserve">and </w:t>
      </w:r>
      <w:r w:rsidR="005F4E8C" w:rsidRPr="00726423">
        <w:rPr>
          <w:rFonts w:ascii="Arial" w:hAnsi="Arial" w:cs="Arial"/>
          <w:color w:val="000000" w:themeColor="text1"/>
          <w:sz w:val="22"/>
          <w:szCs w:val="22"/>
        </w:rPr>
        <w:t xml:space="preserve">C. </w:t>
      </w:r>
      <w:proofErr w:type="spellStart"/>
      <w:r w:rsidR="005F4E8C" w:rsidRPr="00726423">
        <w:rPr>
          <w:rFonts w:ascii="Arial" w:hAnsi="Arial" w:cs="Arial"/>
          <w:color w:val="000000" w:themeColor="text1"/>
          <w:sz w:val="22"/>
          <w:szCs w:val="22"/>
        </w:rPr>
        <w:t>Ffrench</w:t>
      </w:r>
      <w:proofErr w:type="spellEnd"/>
      <w:r w:rsidR="005F4E8C" w:rsidRPr="00726423">
        <w:rPr>
          <w:rFonts w:ascii="Arial" w:hAnsi="Arial" w:cs="Arial"/>
          <w:color w:val="000000" w:themeColor="text1"/>
          <w:sz w:val="22"/>
          <w:szCs w:val="22"/>
        </w:rPr>
        <w:t>-Constant for Rag2</w:t>
      </w:r>
      <w:r w:rsidR="005F4E8C" w:rsidRPr="00726423">
        <w:rPr>
          <w:rFonts w:ascii="Arial" w:hAnsi="Arial" w:cs="Arial"/>
          <w:color w:val="000000" w:themeColor="text1"/>
          <w:sz w:val="22"/>
          <w:szCs w:val="22"/>
          <w:vertAlign w:val="superscript"/>
        </w:rPr>
        <w:t>–/–</w:t>
      </w:r>
      <w:r w:rsidR="005F4E8C" w:rsidRPr="00726423">
        <w:rPr>
          <w:rFonts w:ascii="Arial" w:hAnsi="Arial" w:cs="Arial"/>
          <w:color w:val="000000" w:themeColor="text1"/>
          <w:sz w:val="22"/>
          <w:szCs w:val="22"/>
        </w:rPr>
        <w:t xml:space="preserve"> mice. We also thank</w:t>
      </w:r>
      <w:r w:rsidR="00F16706" w:rsidRPr="00726423">
        <w:rPr>
          <w:rFonts w:ascii="Arial" w:hAnsi="Arial" w:cs="Arial"/>
          <w:color w:val="000000" w:themeColor="text1"/>
          <w:sz w:val="22"/>
          <w:szCs w:val="22"/>
        </w:rPr>
        <w:t xml:space="preserve"> </w:t>
      </w:r>
      <w:r w:rsidRPr="00726423">
        <w:rPr>
          <w:rFonts w:ascii="Arial" w:hAnsi="Arial" w:cs="Arial"/>
          <w:color w:val="000000" w:themeColor="text1"/>
          <w:sz w:val="22"/>
          <w:szCs w:val="22"/>
        </w:rPr>
        <w:t>F</w:t>
      </w:r>
      <w:r w:rsidR="005F4E8C" w:rsidRPr="00726423">
        <w:rPr>
          <w:rFonts w:ascii="Arial" w:hAnsi="Arial" w:cs="Arial"/>
          <w:color w:val="000000" w:themeColor="text1"/>
          <w:sz w:val="22"/>
          <w:szCs w:val="22"/>
        </w:rPr>
        <w:t>.</w:t>
      </w:r>
      <w:r w:rsidRPr="00726423">
        <w:rPr>
          <w:rFonts w:ascii="Arial" w:hAnsi="Arial" w:cs="Arial"/>
          <w:color w:val="000000" w:themeColor="text1"/>
          <w:sz w:val="22"/>
          <w:szCs w:val="22"/>
        </w:rPr>
        <w:t xml:space="preserve"> Rossi, S</w:t>
      </w:r>
      <w:r w:rsidR="005F4E8C" w:rsidRPr="00726423">
        <w:rPr>
          <w:rFonts w:ascii="Arial" w:hAnsi="Arial" w:cs="Arial"/>
          <w:color w:val="000000" w:themeColor="text1"/>
          <w:sz w:val="22"/>
          <w:szCs w:val="22"/>
        </w:rPr>
        <w:t>.</w:t>
      </w:r>
      <w:r w:rsidRPr="00726423">
        <w:rPr>
          <w:rFonts w:ascii="Arial" w:hAnsi="Arial" w:cs="Arial"/>
          <w:color w:val="000000" w:themeColor="text1"/>
          <w:sz w:val="22"/>
          <w:szCs w:val="22"/>
        </w:rPr>
        <w:t xml:space="preserve"> Johnston, W</w:t>
      </w:r>
      <w:r w:rsidR="005F4E8C" w:rsidRPr="00726423">
        <w:rPr>
          <w:rFonts w:ascii="Arial" w:hAnsi="Arial" w:cs="Arial"/>
          <w:color w:val="000000" w:themeColor="text1"/>
          <w:sz w:val="22"/>
          <w:szCs w:val="22"/>
        </w:rPr>
        <w:t>.</w:t>
      </w:r>
      <w:r w:rsidRPr="00726423">
        <w:rPr>
          <w:rFonts w:ascii="Arial" w:hAnsi="Arial" w:cs="Arial"/>
          <w:color w:val="000000" w:themeColor="text1"/>
          <w:sz w:val="22"/>
          <w:szCs w:val="22"/>
        </w:rPr>
        <w:t xml:space="preserve"> Ramsay</w:t>
      </w:r>
      <w:r w:rsidR="005F4E8C" w:rsidRPr="00726423">
        <w:rPr>
          <w:rFonts w:ascii="Arial" w:hAnsi="Arial" w:cs="Arial"/>
          <w:color w:val="000000" w:themeColor="text1"/>
          <w:sz w:val="22"/>
          <w:szCs w:val="22"/>
        </w:rPr>
        <w:t>, and</w:t>
      </w:r>
      <w:r w:rsidRPr="00726423">
        <w:rPr>
          <w:rFonts w:ascii="Arial" w:hAnsi="Arial" w:cs="Arial"/>
          <w:color w:val="000000" w:themeColor="text1"/>
          <w:sz w:val="22"/>
          <w:szCs w:val="22"/>
        </w:rPr>
        <w:t xml:space="preserve"> M</w:t>
      </w:r>
      <w:r w:rsidR="005F4E8C" w:rsidRPr="00726423">
        <w:rPr>
          <w:rFonts w:ascii="Arial" w:hAnsi="Arial" w:cs="Arial"/>
          <w:color w:val="000000" w:themeColor="text1"/>
          <w:sz w:val="22"/>
          <w:szCs w:val="22"/>
        </w:rPr>
        <w:t>.</w:t>
      </w:r>
      <w:r w:rsidRPr="00726423">
        <w:rPr>
          <w:rFonts w:ascii="Arial" w:hAnsi="Arial" w:cs="Arial"/>
          <w:color w:val="000000" w:themeColor="text1"/>
          <w:sz w:val="22"/>
          <w:szCs w:val="22"/>
        </w:rPr>
        <w:t xml:space="preserve"> Pattison at the University of Edinburgh QMRI and SCRM flow cytometry facilities for cell sorting and analysis</w:t>
      </w:r>
      <w:r w:rsidR="0000646D" w:rsidRPr="00726423">
        <w:rPr>
          <w:rFonts w:ascii="Arial" w:hAnsi="Arial" w:cs="Arial"/>
          <w:color w:val="000000" w:themeColor="text1"/>
          <w:sz w:val="22"/>
          <w:szCs w:val="22"/>
        </w:rPr>
        <w:t>;</w:t>
      </w:r>
      <w:r w:rsidRPr="00726423">
        <w:rPr>
          <w:rFonts w:ascii="Arial" w:hAnsi="Arial" w:cs="Arial"/>
          <w:color w:val="000000" w:themeColor="text1"/>
          <w:sz w:val="22"/>
          <w:szCs w:val="22"/>
        </w:rPr>
        <w:t xml:space="preserve"> </w:t>
      </w:r>
      <w:r w:rsidR="003638EB" w:rsidRPr="00726423">
        <w:rPr>
          <w:rFonts w:ascii="Arial" w:hAnsi="Arial" w:cs="Arial"/>
          <w:color w:val="000000" w:themeColor="text1"/>
          <w:sz w:val="22"/>
          <w:szCs w:val="22"/>
        </w:rPr>
        <w:t xml:space="preserve">staff at the University of Edinburgh LFR and SCRM animal facilities for technical support; </w:t>
      </w:r>
      <w:r w:rsidRPr="00726423">
        <w:rPr>
          <w:rFonts w:ascii="Arial" w:hAnsi="Arial" w:cs="Arial"/>
          <w:color w:val="000000" w:themeColor="text1"/>
          <w:sz w:val="22"/>
          <w:szCs w:val="22"/>
        </w:rPr>
        <w:t>and C</w:t>
      </w:r>
      <w:r w:rsidR="005F4E8C" w:rsidRPr="00726423">
        <w:rPr>
          <w:rFonts w:ascii="Arial" w:hAnsi="Arial" w:cs="Arial"/>
          <w:color w:val="000000" w:themeColor="text1"/>
          <w:sz w:val="22"/>
          <w:szCs w:val="22"/>
        </w:rPr>
        <w:t>.</w:t>
      </w:r>
      <w:r w:rsidRPr="00726423">
        <w:rPr>
          <w:rFonts w:ascii="Arial" w:hAnsi="Arial" w:cs="Arial"/>
          <w:color w:val="000000" w:themeColor="text1"/>
          <w:sz w:val="22"/>
          <w:szCs w:val="22"/>
        </w:rPr>
        <w:t xml:space="preserve"> Elder and M</w:t>
      </w:r>
      <w:r w:rsidR="005F4E8C" w:rsidRPr="00726423">
        <w:rPr>
          <w:rFonts w:ascii="Arial" w:hAnsi="Arial" w:cs="Arial"/>
          <w:color w:val="000000" w:themeColor="text1"/>
          <w:sz w:val="22"/>
          <w:szCs w:val="22"/>
        </w:rPr>
        <w:t>.</w:t>
      </w:r>
      <w:r w:rsidRPr="00726423">
        <w:rPr>
          <w:rFonts w:ascii="Arial" w:hAnsi="Arial" w:cs="Arial"/>
          <w:color w:val="000000" w:themeColor="text1"/>
          <w:sz w:val="22"/>
          <w:szCs w:val="22"/>
        </w:rPr>
        <w:t xml:space="preserve"> </w:t>
      </w:r>
      <w:proofErr w:type="spellStart"/>
      <w:r w:rsidRPr="00726423">
        <w:rPr>
          <w:rFonts w:ascii="Arial" w:hAnsi="Arial" w:cs="Arial"/>
          <w:color w:val="000000" w:themeColor="text1"/>
          <w:sz w:val="22"/>
          <w:szCs w:val="22"/>
        </w:rPr>
        <w:t>Mc</w:t>
      </w:r>
      <w:r w:rsidR="005D3413" w:rsidRPr="00726423">
        <w:rPr>
          <w:rFonts w:ascii="Arial" w:hAnsi="Arial" w:cs="Arial"/>
          <w:color w:val="000000" w:themeColor="text1"/>
          <w:sz w:val="22"/>
          <w:szCs w:val="22"/>
        </w:rPr>
        <w:t>I</w:t>
      </w:r>
      <w:r w:rsidRPr="00726423">
        <w:rPr>
          <w:rFonts w:ascii="Arial" w:hAnsi="Arial" w:cs="Arial"/>
          <w:color w:val="000000" w:themeColor="text1"/>
          <w:sz w:val="22"/>
          <w:szCs w:val="22"/>
        </w:rPr>
        <w:t>lorum</w:t>
      </w:r>
      <w:proofErr w:type="spellEnd"/>
      <w:r w:rsidRPr="00726423">
        <w:rPr>
          <w:rFonts w:ascii="Arial" w:hAnsi="Arial" w:cs="Arial"/>
          <w:color w:val="000000" w:themeColor="text1"/>
          <w:sz w:val="22"/>
          <w:szCs w:val="22"/>
        </w:rPr>
        <w:t xml:space="preserve"> for technical </w:t>
      </w:r>
      <w:r w:rsidR="005928A7" w:rsidRPr="00726423">
        <w:rPr>
          <w:rFonts w:ascii="Arial" w:hAnsi="Arial" w:cs="Arial"/>
          <w:color w:val="000000" w:themeColor="text1"/>
          <w:sz w:val="22"/>
          <w:szCs w:val="22"/>
        </w:rPr>
        <w:t>assistance</w:t>
      </w:r>
      <w:r w:rsidRPr="00726423">
        <w:rPr>
          <w:rFonts w:ascii="Arial" w:hAnsi="Arial" w:cs="Arial"/>
          <w:color w:val="000000" w:themeColor="text1"/>
          <w:sz w:val="22"/>
          <w:szCs w:val="22"/>
        </w:rPr>
        <w:t>.</w:t>
      </w:r>
      <w:r w:rsidR="003638EB" w:rsidRPr="00726423">
        <w:rPr>
          <w:rFonts w:ascii="Arial" w:hAnsi="Arial" w:cs="Arial"/>
          <w:color w:val="000000" w:themeColor="text1"/>
          <w:sz w:val="22"/>
          <w:szCs w:val="22"/>
        </w:rPr>
        <w:t xml:space="preserve"> </w:t>
      </w:r>
      <w:r w:rsidR="002D7881" w:rsidRPr="00726423">
        <w:rPr>
          <w:rFonts w:ascii="Arial" w:hAnsi="Arial" w:cs="Arial"/>
          <w:color w:val="000000" w:themeColor="text1"/>
          <w:sz w:val="22"/>
          <w:szCs w:val="22"/>
        </w:rPr>
        <w:t>This work is supported in part by UKRI Medical Research Council (MR/R008167/1 to C</w:t>
      </w:r>
      <w:r w:rsidR="005F4E8C" w:rsidRPr="00726423">
        <w:rPr>
          <w:rFonts w:ascii="Arial" w:hAnsi="Arial" w:cs="Arial"/>
          <w:color w:val="000000" w:themeColor="text1"/>
          <w:sz w:val="22"/>
          <w:szCs w:val="22"/>
        </w:rPr>
        <w:t>.</w:t>
      </w:r>
      <w:r w:rsidR="002D7881" w:rsidRPr="00726423">
        <w:rPr>
          <w:rFonts w:ascii="Arial" w:hAnsi="Arial" w:cs="Arial"/>
          <w:color w:val="000000" w:themeColor="text1"/>
          <w:sz w:val="22"/>
          <w:szCs w:val="22"/>
        </w:rPr>
        <w:t>Y</w:t>
      </w:r>
      <w:r w:rsidR="005F4E8C" w:rsidRPr="00726423">
        <w:rPr>
          <w:rFonts w:ascii="Arial" w:hAnsi="Arial" w:cs="Arial"/>
          <w:color w:val="000000" w:themeColor="text1"/>
          <w:sz w:val="22"/>
          <w:szCs w:val="22"/>
        </w:rPr>
        <w:t>.</w:t>
      </w:r>
      <w:r w:rsidR="002D7881" w:rsidRPr="00726423">
        <w:rPr>
          <w:rFonts w:ascii="Arial" w:hAnsi="Arial" w:cs="Arial"/>
          <w:color w:val="000000" w:themeColor="text1"/>
          <w:sz w:val="22"/>
          <w:szCs w:val="22"/>
        </w:rPr>
        <w:t>), Cancer Research UK (C63480/A25246 to C</w:t>
      </w:r>
      <w:r w:rsidR="005F4E8C" w:rsidRPr="00726423">
        <w:rPr>
          <w:rFonts w:ascii="Arial" w:hAnsi="Arial" w:cs="Arial"/>
          <w:color w:val="000000" w:themeColor="text1"/>
          <w:sz w:val="22"/>
          <w:szCs w:val="22"/>
        </w:rPr>
        <w:t>.</w:t>
      </w:r>
      <w:r w:rsidR="002D7881" w:rsidRPr="00726423">
        <w:rPr>
          <w:rFonts w:ascii="Arial" w:hAnsi="Arial" w:cs="Arial"/>
          <w:color w:val="000000" w:themeColor="text1"/>
          <w:sz w:val="22"/>
          <w:szCs w:val="22"/>
        </w:rPr>
        <w:t>Y</w:t>
      </w:r>
      <w:r w:rsidR="005F4E8C" w:rsidRPr="00726423">
        <w:rPr>
          <w:rFonts w:ascii="Arial" w:hAnsi="Arial" w:cs="Arial"/>
          <w:color w:val="000000" w:themeColor="text1"/>
          <w:sz w:val="22"/>
          <w:szCs w:val="22"/>
        </w:rPr>
        <w:t>.</w:t>
      </w:r>
      <w:r w:rsidR="002D7881" w:rsidRPr="00726423">
        <w:rPr>
          <w:rFonts w:ascii="Arial" w:hAnsi="Arial" w:cs="Arial"/>
          <w:color w:val="000000" w:themeColor="text1"/>
          <w:sz w:val="22"/>
          <w:szCs w:val="22"/>
        </w:rPr>
        <w:t>). M</w:t>
      </w:r>
      <w:r w:rsidR="005F4E8C" w:rsidRPr="00726423">
        <w:rPr>
          <w:rFonts w:ascii="Arial" w:hAnsi="Arial" w:cs="Arial"/>
          <w:color w:val="000000" w:themeColor="text1"/>
          <w:sz w:val="22"/>
          <w:szCs w:val="22"/>
        </w:rPr>
        <w:t>.</w:t>
      </w:r>
      <w:r w:rsidR="002D7881" w:rsidRPr="00726423">
        <w:rPr>
          <w:rFonts w:ascii="Arial" w:hAnsi="Arial" w:cs="Arial"/>
          <w:color w:val="000000" w:themeColor="text1"/>
          <w:sz w:val="22"/>
          <w:szCs w:val="22"/>
        </w:rPr>
        <w:t>G</w:t>
      </w:r>
      <w:r w:rsidR="005F4E8C" w:rsidRPr="00726423">
        <w:rPr>
          <w:rFonts w:ascii="Arial" w:hAnsi="Arial" w:cs="Arial"/>
          <w:color w:val="000000" w:themeColor="text1"/>
          <w:sz w:val="22"/>
          <w:szCs w:val="22"/>
        </w:rPr>
        <w:t>.</w:t>
      </w:r>
      <w:r w:rsidR="002D7881" w:rsidRPr="00726423">
        <w:rPr>
          <w:rFonts w:ascii="Arial" w:hAnsi="Arial" w:cs="Arial"/>
          <w:color w:val="000000" w:themeColor="text1"/>
          <w:sz w:val="22"/>
          <w:szCs w:val="22"/>
        </w:rPr>
        <w:t xml:space="preserve"> received a CMVM Research Adaptation Funding support. </w:t>
      </w:r>
    </w:p>
    <w:p w14:paraId="2EFF3FB1" w14:textId="77777777" w:rsidR="009B59E8" w:rsidRPr="00726423" w:rsidRDefault="009B59E8" w:rsidP="00AF01E8">
      <w:pPr>
        <w:spacing w:line="480" w:lineRule="auto"/>
        <w:jc w:val="both"/>
        <w:rPr>
          <w:rFonts w:ascii="Arial" w:hAnsi="Arial" w:cs="Arial"/>
          <w:color w:val="000000" w:themeColor="text1"/>
          <w:sz w:val="22"/>
          <w:szCs w:val="22"/>
        </w:rPr>
      </w:pPr>
    </w:p>
    <w:p w14:paraId="270AD399" w14:textId="77777777" w:rsidR="00F73832" w:rsidRPr="00726423" w:rsidRDefault="00F73832" w:rsidP="009C4822">
      <w:pPr>
        <w:spacing w:line="360" w:lineRule="auto"/>
        <w:rPr>
          <w:rFonts w:ascii="Arial" w:hAnsi="Arial" w:cs="Arial"/>
          <w:b/>
          <w:bCs/>
          <w:color w:val="000000" w:themeColor="text1"/>
          <w:sz w:val="22"/>
          <w:szCs w:val="22"/>
        </w:rPr>
      </w:pPr>
      <w:r w:rsidRPr="00726423">
        <w:rPr>
          <w:rFonts w:ascii="Arial" w:hAnsi="Arial" w:cs="Arial"/>
          <w:b/>
          <w:bCs/>
          <w:color w:val="000000" w:themeColor="text1"/>
          <w:sz w:val="22"/>
          <w:szCs w:val="22"/>
        </w:rPr>
        <w:br w:type="page"/>
      </w:r>
    </w:p>
    <w:p w14:paraId="60BB5066" w14:textId="77777777" w:rsidR="003B7674" w:rsidRDefault="00D4041A" w:rsidP="003B7674">
      <w:pPr>
        <w:pStyle w:val="Bibliography"/>
        <w:rPr>
          <w:rFonts w:ascii="Arial" w:hAnsi="Arial" w:cs="Arial"/>
          <w:b/>
          <w:bCs/>
          <w:color w:val="000000" w:themeColor="text1"/>
          <w:sz w:val="22"/>
          <w:szCs w:val="22"/>
        </w:rPr>
      </w:pPr>
      <w:r w:rsidRPr="00726423">
        <w:rPr>
          <w:rFonts w:ascii="Arial" w:hAnsi="Arial" w:cs="Arial"/>
          <w:b/>
          <w:bCs/>
          <w:color w:val="000000" w:themeColor="text1"/>
          <w:sz w:val="22"/>
          <w:szCs w:val="22"/>
        </w:rPr>
        <w:lastRenderedPageBreak/>
        <w:t>References:</w:t>
      </w:r>
    </w:p>
    <w:p w14:paraId="63013547" w14:textId="1ECE05A5" w:rsidR="003B7674" w:rsidRPr="003B7674" w:rsidRDefault="003B7674" w:rsidP="003B7674">
      <w:pPr>
        <w:pStyle w:val="Bibliography"/>
        <w:rPr>
          <w:rFonts w:ascii="Arial" w:hAnsi="Arial" w:cs="Arial"/>
          <w:color w:val="000000"/>
          <w:sz w:val="22"/>
        </w:rPr>
      </w:pPr>
      <w:r>
        <w:rPr>
          <w:rFonts w:ascii="Arial" w:hAnsi="Arial" w:cs="Arial"/>
          <w:b/>
          <w:bCs/>
          <w:color w:val="000000" w:themeColor="text1"/>
          <w:sz w:val="22"/>
          <w:szCs w:val="22"/>
        </w:rPr>
        <w:fldChar w:fldCharType="begin"/>
      </w:r>
      <w:r>
        <w:rPr>
          <w:rFonts w:ascii="Arial" w:hAnsi="Arial" w:cs="Arial"/>
          <w:b/>
          <w:bCs/>
          <w:color w:val="000000" w:themeColor="text1"/>
          <w:sz w:val="22"/>
          <w:szCs w:val="22"/>
        </w:rPr>
        <w:instrText xml:space="preserve"> ADDIN ZOTERO_BIBL {"uncited":[],"omitted":[],"custom":[]} CSL_BIBLIOGRAPHY </w:instrText>
      </w:r>
      <w:r>
        <w:rPr>
          <w:rFonts w:ascii="Arial" w:hAnsi="Arial" w:cs="Arial"/>
          <w:b/>
          <w:bCs/>
          <w:color w:val="000000" w:themeColor="text1"/>
          <w:sz w:val="22"/>
          <w:szCs w:val="22"/>
        </w:rPr>
        <w:fldChar w:fldCharType="separate"/>
      </w:r>
      <w:r w:rsidRPr="003B7674">
        <w:rPr>
          <w:rFonts w:ascii="Arial" w:hAnsi="Arial" w:cs="Arial"/>
          <w:color w:val="000000"/>
          <w:sz w:val="22"/>
        </w:rPr>
        <w:t xml:space="preserve">1. </w:t>
      </w:r>
      <w:r w:rsidRPr="003B7674">
        <w:rPr>
          <w:rFonts w:ascii="Arial" w:hAnsi="Arial" w:cs="Arial"/>
          <w:color w:val="000000"/>
          <w:sz w:val="22"/>
        </w:rPr>
        <w:tab/>
        <w:t xml:space="preserve">Morita H, Moro K, </w:t>
      </w:r>
      <w:proofErr w:type="spellStart"/>
      <w:r w:rsidRPr="003B7674">
        <w:rPr>
          <w:rFonts w:ascii="Arial" w:hAnsi="Arial" w:cs="Arial"/>
          <w:color w:val="000000"/>
          <w:sz w:val="22"/>
        </w:rPr>
        <w:t>Koyasu</w:t>
      </w:r>
      <w:proofErr w:type="spellEnd"/>
      <w:r w:rsidRPr="003B7674">
        <w:rPr>
          <w:rFonts w:ascii="Arial" w:hAnsi="Arial" w:cs="Arial"/>
          <w:color w:val="000000"/>
          <w:sz w:val="22"/>
        </w:rPr>
        <w:t xml:space="preserve"> S. Innate lymphoid cells in allergic and nonallergic inflammation. </w:t>
      </w:r>
      <w:r w:rsidRPr="003B7674">
        <w:rPr>
          <w:rFonts w:ascii="Arial" w:hAnsi="Arial" w:cs="Arial"/>
          <w:i/>
          <w:iCs/>
          <w:color w:val="000000"/>
          <w:sz w:val="22"/>
        </w:rPr>
        <w:t>J Allergy Clin Immunol</w:t>
      </w:r>
      <w:r w:rsidRPr="003B7674">
        <w:rPr>
          <w:rFonts w:ascii="Arial" w:hAnsi="Arial" w:cs="Arial"/>
          <w:color w:val="000000"/>
          <w:sz w:val="22"/>
        </w:rPr>
        <w:t xml:space="preserve">. 2016;138(5):1253-1264. </w:t>
      </w:r>
      <w:proofErr w:type="gramStart"/>
      <w:r w:rsidRPr="003B7674">
        <w:rPr>
          <w:rFonts w:ascii="Arial" w:hAnsi="Arial" w:cs="Arial"/>
          <w:color w:val="000000"/>
          <w:sz w:val="22"/>
        </w:rPr>
        <w:t>doi:10.1016/j.jaci</w:t>
      </w:r>
      <w:proofErr w:type="gramEnd"/>
      <w:r w:rsidRPr="003B7674">
        <w:rPr>
          <w:rFonts w:ascii="Arial" w:hAnsi="Arial" w:cs="Arial"/>
          <w:color w:val="000000"/>
          <w:sz w:val="22"/>
        </w:rPr>
        <w:t>.2016.09.011</w:t>
      </w:r>
    </w:p>
    <w:p w14:paraId="4065C394"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2. </w:t>
      </w:r>
      <w:r w:rsidRPr="003B7674">
        <w:rPr>
          <w:rFonts w:ascii="Arial" w:hAnsi="Arial" w:cs="Arial"/>
          <w:color w:val="000000"/>
          <w:sz w:val="22"/>
        </w:rPr>
        <w:tab/>
        <w:t xml:space="preserve">Halim TYF, Krauss RH, Sun AC, Takei F. Lung natural helper cells are a critical source of Th2 cell-type cytokines in protease allergen-induced airway inflammation. </w:t>
      </w:r>
      <w:r w:rsidRPr="003B7674">
        <w:rPr>
          <w:rFonts w:ascii="Arial" w:hAnsi="Arial" w:cs="Arial"/>
          <w:i/>
          <w:iCs/>
          <w:color w:val="000000"/>
          <w:sz w:val="22"/>
        </w:rPr>
        <w:t>Immunity</w:t>
      </w:r>
      <w:r w:rsidRPr="003B7674">
        <w:rPr>
          <w:rFonts w:ascii="Arial" w:hAnsi="Arial" w:cs="Arial"/>
          <w:color w:val="000000"/>
          <w:sz w:val="22"/>
        </w:rPr>
        <w:t xml:space="preserve">. 2012;36(3):451-463. </w:t>
      </w:r>
      <w:proofErr w:type="gramStart"/>
      <w:r w:rsidRPr="003B7674">
        <w:rPr>
          <w:rFonts w:ascii="Arial" w:hAnsi="Arial" w:cs="Arial"/>
          <w:color w:val="000000"/>
          <w:sz w:val="22"/>
        </w:rPr>
        <w:t>doi:10.1016/j.immuni</w:t>
      </w:r>
      <w:proofErr w:type="gramEnd"/>
      <w:r w:rsidRPr="003B7674">
        <w:rPr>
          <w:rFonts w:ascii="Arial" w:hAnsi="Arial" w:cs="Arial"/>
          <w:color w:val="000000"/>
          <w:sz w:val="22"/>
        </w:rPr>
        <w:t>.2011.12.020</w:t>
      </w:r>
    </w:p>
    <w:p w14:paraId="1B0CD5FE"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3. </w:t>
      </w:r>
      <w:r w:rsidRPr="003B7674">
        <w:rPr>
          <w:rFonts w:ascii="Arial" w:hAnsi="Arial" w:cs="Arial"/>
          <w:color w:val="000000"/>
          <w:sz w:val="22"/>
        </w:rPr>
        <w:tab/>
        <w:t xml:space="preserve">Halim TYF, Hwang YY, Scanlon ST, et al. Group 2 innate lymphoid cells license dendritic cells to potentiate memory TH2 cell responses. </w:t>
      </w:r>
      <w:r w:rsidRPr="003B7674">
        <w:rPr>
          <w:rFonts w:ascii="Arial" w:hAnsi="Arial" w:cs="Arial"/>
          <w:i/>
          <w:iCs/>
          <w:color w:val="000000"/>
          <w:sz w:val="22"/>
        </w:rPr>
        <w:t>Nat Immunol</w:t>
      </w:r>
      <w:r w:rsidRPr="003B7674">
        <w:rPr>
          <w:rFonts w:ascii="Arial" w:hAnsi="Arial" w:cs="Arial"/>
          <w:color w:val="000000"/>
          <w:sz w:val="22"/>
        </w:rPr>
        <w:t>. 2016;17(1):57-64. doi:10.1038/ni.3294</w:t>
      </w:r>
    </w:p>
    <w:p w14:paraId="567A20DA"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4. </w:t>
      </w:r>
      <w:r w:rsidRPr="003B7674">
        <w:rPr>
          <w:rFonts w:ascii="Arial" w:hAnsi="Arial" w:cs="Arial"/>
          <w:color w:val="000000"/>
          <w:sz w:val="22"/>
        </w:rPr>
        <w:tab/>
        <w:t xml:space="preserve">Christianson CA, </w:t>
      </w:r>
      <w:proofErr w:type="spellStart"/>
      <w:r w:rsidRPr="003B7674">
        <w:rPr>
          <w:rFonts w:ascii="Arial" w:hAnsi="Arial" w:cs="Arial"/>
          <w:color w:val="000000"/>
          <w:sz w:val="22"/>
        </w:rPr>
        <w:t>Goplen</w:t>
      </w:r>
      <w:proofErr w:type="spellEnd"/>
      <w:r w:rsidRPr="003B7674">
        <w:rPr>
          <w:rFonts w:ascii="Arial" w:hAnsi="Arial" w:cs="Arial"/>
          <w:color w:val="000000"/>
          <w:sz w:val="22"/>
        </w:rPr>
        <w:t xml:space="preserve"> NP, Zafar I, et al. Persistence of asthma requires multiple feedback circuits involving type 2 innate lymphoid cells and IL-33. </w:t>
      </w:r>
      <w:r w:rsidRPr="003B7674">
        <w:rPr>
          <w:rFonts w:ascii="Arial" w:hAnsi="Arial" w:cs="Arial"/>
          <w:i/>
          <w:iCs/>
          <w:color w:val="000000"/>
          <w:sz w:val="22"/>
        </w:rPr>
        <w:t>J Allergy Clin Immunol</w:t>
      </w:r>
      <w:r w:rsidRPr="003B7674">
        <w:rPr>
          <w:rFonts w:ascii="Arial" w:hAnsi="Arial" w:cs="Arial"/>
          <w:color w:val="000000"/>
          <w:sz w:val="22"/>
        </w:rPr>
        <w:t>. 2015;136(1):59-</w:t>
      </w:r>
      <w:proofErr w:type="gramStart"/>
      <w:r w:rsidRPr="003B7674">
        <w:rPr>
          <w:rFonts w:ascii="Arial" w:hAnsi="Arial" w:cs="Arial"/>
          <w:color w:val="000000"/>
          <w:sz w:val="22"/>
        </w:rPr>
        <w:t>68.e</w:t>
      </w:r>
      <w:proofErr w:type="gramEnd"/>
      <w:r w:rsidRPr="003B7674">
        <w:rPr>
          <w:rFonts w:ascii="Arial" w:hAnsi="Arial" w:cs="Arial"/>
          <w:color w:val="000000"/>
          <w:sz w:val="22"/>
        </w:rPr>
        <w:t xml:space="preserve">14. </w:t>
      </w:r>
      <w:proofErr w:type="gramStart"/>
      <w:r w:rsidRPr="003B7674">
        <w:rPr>
          <w:rFonts w:ascii="Arial" w:hAnsi="Arial" w:cs="Arial"/>
          <w:color w:val="000000"/>
          <w:sz w:val="22"/>
        </w:rPr>
        <w:t>doi:10.1016/j.jaci</w:t>
      </w:r>
      <w:proofErr w:type="gramEnd"/>
      <w:r w:rsidRPr="003B7674">
        <w:rPr>
          <w:rFonts w:ascii="Arial" w:hAnsi="Arial" w:cs="Arial"/>
          <w:color w:val="000000"/>
          <w:sz w:val="22"/>
        </w:rPr>
        <w:t>.2014.11.037</w:t>
      </w:r>
    </w:p>
    <w:p w14:paraId="264B3226"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5. </w:t>
      </w:r>
      <w:r w:rsidRPr="003B7674">
        <w:rPr>
          <w:rFonts w:ascii="Arial" w:hAnsi="Arial" w:cs="Arial"/>
          <w:color w:val="000000"/>
          <w:sz w:val="22"/>
        </w:rPr>
        <w:tab/>
        <w:t xml:space="preserve">Lambrecht BN, Hammad H. The immunology of asthma. </w:t>
      </w:r>
      <w:r w:rsidRPr="003B7674">
        <w:rPr>
          <w:rFonts w:ascii="Arial" w:hAnsi="Arial" w:cs="Arial"/>
          <w:i/>
          <w:iCs/>
          <w:color w:val="000000"/>
          <w:sz w:val="22"/>
        </w:rPr>
        <w:t>Nat Immunol</w:t>
      </w:r>
      <w:r w:rsidRPr="003B7674">
        <w:rPr>
          <w:rFonts w:ascii="Arial" w:hAnsi="Arial" w:cs="Arial"/>
          <w:color w:val="000000"/>
          <w:sz w:val="22"/>
        </w:rPr>
        <w:t>. 2015;16(1):45-56. doi:10.1038/ni.3049</w:t>
      </w:r>
    </w:p>
    <w:p w14:paraId="2DCFA550"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6. </w:t>
      </w:r>
      <w:r w:rsidRPr="003B7674">
        <w:rPr>
          <w:rFonts w:ascii="Arial" w:hAnsi="Arial" w:cs="Arial"/>
          <w:color w:val="000000"/>
          <w:sz w:val="22"/>
        </w:rPr>
        <w:tab/>
        <w:t xml:space="preserve">Peebles RS, </w:t>
      </w:r>
      <w:proofErr w:type="spellStart"/>
      <w:r w:rsidRPr="003B7674">
        <w:rPr>
          <w:rFonts w:ascii="Arial" w:hAnsi="Arial" w:cs="Arial"/>
          <w:color w:val="000000"/>
          <w:sz w:val="22"/>
        </w:rPr>
        <w:t>Aronica</w:t>
      </w:r>
      <w:proofErr w:type="spellEnd"/>
      <w:r w:rsidRPr="003B7674">
        <w:rPr>
          <w:rFonts w:ascii="Arial" w:hAnsi="Arial" w:cs="Arial"/>
          <w:color w:val="000000"/>
          <w:sz w:val="22"/>
        </w:rPr>
        <w:t xml:space="preserve"> MA. Proinflammatory Pathways in the Pathogenesis of Asthma. </w:t>
      </w:r>
      <w:r w:rsidRPr="003B7674">
        <w:rPr>
          <w:rFonts w:ascii="Arial" w:hAnsi="Arial" w:cs="Arial"/>
          <w:i/>
          <w:iCs/>
          <w:color w:val="000000"/>
          <w:sz w:val="22"/>
        </w:rPr>
        <w:t>Clin Chest Med</w:t>
      </w:r>
      <w:r w:rsidRPr="003B7674">
        <w:rPr>
          <w:rFonts w:ascii="Arial" w:hAnsi="Arial" w:cs="Arial"/>
          <w:color w:val="000000"/>
          <w:sz w:val="22"/>
        </w:rPr>
        <w:t xml:space="preserve">. 2019;40(1):29-50. </w:t>
      </w:r>
      <w:proofErr w:type="gramStart"/>
      <w:r w:rsidRPr="003B7674">
        <w:rPr>
          <w:rFonts w:ascii="Arial" w:hAnsi="Arial" w:cs="Arial"/>
          <w:color w:val="000000"/>
          <w:sz w:val="22"/>
        </w:rPr>
        <w:t>doi:10.1016/j.ccm</w:t>
      </w:r>
      <w:proofErr w:type="gramEnd"/>
      <w:r w:rsidRPr="003B7674">
        <w:rPr>
          <w:rFonts w:ascii="Arial" w:hAnsi="Arial" w:cs="Arial"/>
          <w:color w:val="000000"/>
          <w:sz w:val="22"/>
        </w:rPr>
        <w:t>.2018.10.014</w:t>
      </w:r>
    </w:p>
    <w:p w14:paraId="1205A8CF"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7. </w:t>
      </w:r>
      <w:r w:rsidRPr="003B7674">
        <w:rPr>
          <w:rFonts w:ascii="Arial" w:hAnsi="Arial" w:cs="Arial"/>
          <w:color w:val="000000"/>
          <w:sz w:val="22"/>
        </w:rPr>
        <w:tab/>
        <w:t xml:space="preserve">Robb CT, </w:t>
      </w:r>
      <w:proofErr w:type="spellStart"/>
      <w:r w:rsidRPr="003B7674">
        <w:rPr>
          <w:rFonts w:ascii="Arial" w:hAnsi="Arial" w:cs="Arial"/>
          <w:color w:val="000000"/>
          <w:sz w:val="22"/>
        </w:rPr>
        <w:t>Goepp</w:t>
      </w:r>
      <w:proofErr w:type="spellEnd"/>
      <w:r w:rsidRPr="003B7674">
        <w:rPr>
          <w:rFonts w:ascii="Arial" w:hAnsi="Arial" w:cs="Arial"/>
          <w:color w:val="000000"/>
          <w:sz w:val="22"/>
        </w:rPr>
        <w:t xml:space="preserve"> M, Rossi AG, Yao C. Non-steroidal anti-inflammatory drugs, prostaglandins, and COVID-19. </w:t>
      </w:r>
      <w:r w:rsidRPr="003B7674">
        <w:rPr>
          <w:rFonts w:ascii="Arial" w:hAnsi="Arial" w:cs="Arial"/>
          <w:i/>
          <w:iCs/>
          <w:color w:val="000000"/>
          <w:sz w:val="22"/>
        </w:rPr>
        <w:t xml:space="preserve">Br J </w:t>
      </w:r>
      <w:proofErr w:type="spellStart"/>
      <w:r w:rsidRPr="003B7674">
        <w:rPr>
          <w:rFonts w:ascii="Arial" w:hAnsi="Arial" w:cs="Arial"/>
          <w:i/>
          <w:iCs/>
          <w:color w:val="000000"/>
          <w:sz w:val="22"/>
        </w:rPr>
        <w:t>Pharmacol</w:t>
      </w:r>
      <w:proofErr w:type="spellEnd"/>
      <w:r w:rsidRPr="003B7674">
        <w:rPr>
          <w:rFonts w:ascii="Arial" w:hAnsi="Arial" w:cs="Arial"/>
          <w:color w:val="000000"/>
          <w:sz w:val="22"/>
        </w:rPr>
        <w:t>. 2020;177(21):4899-4920. doi:10.1111/bph.15206</w:t>
      </w:r>
    </w:p>
    <w:p w14:paraId="7E29D042"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8. </w:t>
      </w:r>
      <w:r w:rsidRPr="003B7674">
        <w:rPr>
          <w:rFonts w:ascii="Arial" w:hAnsi="Arial" w:cs="Arial"/>
          <w:color w:val="000000"/>
          <w:sz w:val="22"/>
        </w:rPr>
        <w:tab/>
        <w:t xml:space="preserve">White AA, Stevenson DD. Aspirin-Exacerbated Respiratory Disease. </w:t>
      </w:r>
      <w:r w:rsidRPr="003B7674">
        <w:rPr>
          <w:rFonts w:ascii="Arial" w:hAnsi="Arial" w:cs="Arial"/>
          <w:i/>
          <w:iCs/>
          <w:color w:val="000000"/>
          <w:sz w:val="22"/>
        </w:rPr>
        <w:t xml:space="preserve">N </w:t>
      </w:r>
      <w:proofErr w:type="spellStart"/>
      <w:r w:rsidRPr="003B7674">
        <w:rPr>
          <w:rFonts w:ascii="Arial" w:hAnsi="Arial" w:cs="Arial"/>
          <w:i/>
          <w:iCs/>
          <w:color w:val="000000"/>
          <w:sz w:val="22"/>
        </w:rPr>
        <w:t>Engl</w:t>
      </w:r>
      <w:proofErr w:type="spellEnd"/>
      <w:r w:rsidRPr="003B7674">
        <w:rPr>
          <w:rFonts w:ascii="Arial" w:hAnsi="Arial" w:cs="Arial"/>
          <w:i/>
          <w:iCs/>
          <w:color w:val="000000"/>
          <w:sz w:val="22"/>
        </w:rPr>
        <w:t xml:space="preserve"> J Med</w:t>
      </w:r>
      <w:r w:rsidRPr="003B7674">
        <w:rPr>
          <w:rFonts w:ascii="Arial" w:hAnsi="Arial" w:cs="Arial"/>
          <w:color w:val="000000"/>
          <w:sz w:val="22"/>
        </w:rPr>
        <w:t>. 2018;379(11):1060-1070. doi:10.1056/NEJMra1712125</w:t>
      </w:r>
    </w:p>
    <w:p w14:paraId="2527639F"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9. </w:t>
      </w:r>
      <w:r w:rsidRPr="003B7674">
        <w:rPr>
          <w:rFonts w:ascii="Arial" w:hAnsi="Arial" w:cs="Arial"/>
          <w:color w:val="000000"/>
          <w:sz w:val="22"/>
        </w:rPr>
        <w:tab/>
        <w:t xml:space="preserve">Eastman JJ, </w:t>
      </w:r>
      <w:proofErr w:type="spellStart"/>
      <w:r w:rsidRPr="003B7674">
        <w:rPr>
          <w:rFonts w:ascii="Arial" w:hAnsi="Arial" w:cs="Arial"/>
          <w:color w:val="000000"/>
          <w:sz w:val="22"/>
        </w:rPr>
        <w:t>Cavagnero</w:t>
      </w:r>
      <w:proofErr w:type="spellEnd"/>
      <w:r w:rsidRPr="003B7674">
        <w:rPr>
          <w:rFonts w:ascii="Arial" w:hAnsi="Arial" w:cs="Arial"/>
          <w:color w:val="000000"/>
          <w:sz w:val="22"/>
        </w:rPr>
        <w:t xml:space="preserve"> KJ, </w:t>
      </w:r>
      <w:proofErr w:type="spellStart"/>
      <w:r w:rsidRPr="003B7674">
        <w:rPr>
          <w:rFonts w:ascii="Arial" w:hAnsi="Arial" w:cs="Arial"/>
          <w:color w:val="000000"/>
          <w:sz w:val="22"/>
        </w:rPr>
        <w:t>Deconde</w:t>
      </w:r>
      <w:proofErr w:type="spellEnd"/>
      <w:r w:rsidRPr="003B7674">
        <w:rPr>
          <w:rFonts w:ascii="Arial" w:hAnsi="Arial" w:cs="Arial"/>
          <w:color w:val="000000"/>
          <w:sz w:val="22"/>
        </w:rPr>
        <w:t xml:space="preserve"> AS, et al. Group 2 innate lymphoid cells are recruited to the nasal mucosa in patients with aspirin-exacerbated respiratory disease. </w:t>
      </w:r>
      <w:r w:rsidRPr="003B7674">
        <w:rPr>
          <w:rFonts w:ascii="Arial" w:hAnsi="Arial" w:cs="Arial"/>
          <w:i/>
          <w:iCs/>
          <w:color w:val="000000"/>
          <w:sz w:val="22"/>
        </w:rPr>
        <w:t>J Allergy Clin Immunol</w:t>
      </w:r>
      <w:r w:rsidRPr="003B7674">
        <w:rPr>
          <w:rFonts w:ascii="Arial" w:hAnsi="Arial" w:cs="Arial"/>
          <w:color w:val="000000"/>
          <w:sz w:val="22"/>
        </w:rPr>
        <w:t xml:space="preserve">. 2017;140(1):101-108.e3. </w:t>
      </w:r>
      <w:proofErr w:type="gramStart"/>
      <w:r w:rsidRPr="003B7674">
        <w:rPr>
          <w:rFonts w:ascii="Arial" w:hAnsi="Arial" w:cs="Arial"/>
          <w:color w:val="000000"/>
          <w:sz w:val="22"/>
        </w:rPr>
        <w:t>doi:10.1016/j.jaci</w:t>
      </w:r>
      <w:proofErr w:type="gramEnd"/>
      <w:r w:rsidRPr="003B7674">
        <w:rPr>
          <w:rFonts w:ascii="Arial" w:hAnsi="Arial" w:cs="Arial"/>
          <w:color w:val="000000"/>
          <w:sz w:val="22"/>
        </w:rPr>
        <w:t>.2016.11.023</w:t>
      </w:r>
    </w:p>
    <w:p w14:paraId="7325971C"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10. </w:t>
      </w:r>
      <w:r w:rsidRPr="003B7674">
        <w:rPr>
          <w:rFonts w:ascii="Arial" w:hAnsi="Arial" w:cs="Arial"/>
          <w:color w:val="000000"/>
          <w:sz w:val="22"/>
        </w:rPr>
        <w:tab/>
        <w:t xml:space="preserve">White AA, Doherty TA. Role of group 2 innate lymphocytes in aspirin-exacerbated respiratory disease pathogenesis. </w:t>
      </w:r>
      <w:r w:rsidRPr="003B7674">
        <w:rPr>
          <w:rFonts w:ascii="Arial" w:hAnsi="Arial" w:cs="Arial"/>
          <w:i/>
          <w:iCs/>
          <w:color w:val="000000"/>
          <w:sz w:val="22"/>
        </w:rPr>
        <w:t xml:space="preserve">Am J </w:t>
      </w:r>
      <w:proofErr w:type="spellStart"/>
      <w:r w:rsidRPr="003B7674">
        <w:rPr>
          <w:rFonts w:ascii="Arial" w:hAnsi="Arial" w:cs="Arial"/>
          <w:i/>
          <w:iCs/>
          <w:color w:val="000000"/>
          <w:sz w:val="22"/>
        </w:rPr>
        <w:t>Rhinol</w:t>
      </w:r>
      <w:proofErr w:type="spellEnd"/>
      <w:r w:rsidRPr="003B7674">
        <w:rPr>
          <w:rFonts w:ascii="Arial" w:hAnsi="Arial" w:cs="Arial"/>
          <w:i/>
          <w:iCs/>
          <w:color w:val="000000"/>
          <w:sz w:val="22"/>
        </w:rPr>
        <w:t xml:space="preserve"> Allergy</w:t>
      </w:r>
      <w:r w:rsidRPr="003B7674">
        <w:rPr>
          <w:rFonts w:ascii="Arial" w:hAnsi="Arial" w:cs="Arial"/>
          <w:color w:val="000000"/>
          <w:sz w:val="22"/>
        </w:rPr>
        <w:t>. 2018;32(1):7-11. doi:10.2500/ajra.2018.32.4498</w:t>
      </w:r>
    </w:p>
    <w:p w14:paraId="042310E6"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11. </w:t>
      </w:r>
      <w:r w:rsidRPr="003B7674">
        <w:rPr>
          <w:rFonts w:ascii="Arial" w:hAnsi="Arial" w:cs="Arial"/>
          <w:color w:val="000000"/>
          <w:sz w:val="22"/>
        </w:rPr>
        <w:tab/>
        <w:t xml:space="preserve">Liu T, Laidlaw TM, Katz HR, Boyce JA. Prostaglandin E2 deficiency causes a phenotype of aspirin sensitivity that depends on platelets and cysteinyl leukotrienes. </w:t>
      </w:r>
      <w:r w:rsidRPr="003B7674">
        <w:rPr>
          <w:rFonts w:ascii="Arial" w:hAnsi="Arial" w:cs="Arial"/>
          <w:i/>
          <w:iCs/>
          <w:color w:val="000000"/>
          <w:sz w:val="22"/>
        </w:rPr>
        <w:t xml:space="preserve">Proc Natl </w:t>
      </w:r>
      <w:proofErr w:type="spellStart"/>
      <w:r w:rsidRPr="003B7674">
        <w:rPr>
          <w:rFonts w:ascii="Arial" w:hAnsi="Arial" w:cs="Arial"/>
          <w:i/>
          <w:iCs/>
          <w:color w:val="000000"/>
          <w:sz w:val="22"/>
        </w:rPr>
        <w:t>Acad</w:t>
      </w:r>
      <w:proofErr w:type="spellEnd"/>
      <w:r w:rsidRPr="003B7674">
        <w:rPr>
          <w:rFonts w:ascii="Arial" w:hAnsi="Arial" w:cs="Arial"/>
          <w:i/>
          <w:iCs/>
          <w:color w:val="000000"/>
          <w:sz w:val="22"/>
        </w:rPr>
        <w:t xml:space="preserve"> Sci U S A</w:t>
      </w:r>
      <w:r w:rsidRPr="003B7674">
        <w:rPr>
          <w:rFonts w:ascii="Arial" w:hAnsi="Arial" w:cs="Arial"/>
          <w:color w:val="000000"/>
          <w:sz w:val="22"/>
        </w:rPr>
        <w:t>. 2013;110(42):16987-16992. doi:10.1073/pnas.1313185110</w:t>
      </w:r>
    </w:p>
    <w:p w14:paraId="504C079E"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12. </w:t>
      </w:r>
      <w:r w:rsidRPr="003B7674">
        <w:rPr>
          <w:rFonts w:ascii="Arial" w:hAnsi="Arial" w:cs="Arial"/>
          <w:color w:val="000000"/>
          <w:sz w:val="22"/>
        </w:rPr>
        <w:tab/>
      </w:r>
      <w:proofErr w:type="spellStart"/>
      <w:r w:rsidRPr="003B7674">
        <w:rPr>
          <w:rFonts w:ascii="Arial" w:hAnsi="Arial" w:cs="Arial"/>
          <w:color w:val="000000"/>
          <w:sz w:val="22"/>
        </w:rPr>
        <w:t>Xue</w:t>
      </w:r>
      <w:proofErr w:type="spellEnd"/>
      <w:r w:rsidRPr="003B7674">
        <w:rPr>
          <w:rFonts w:ascii="Arial" w:hAnsi="Arial" w:cs="Arial"/>
          <w:color w:val="000000"/>
          <w:sz w:val="22"/>
        </w:rPr>
        <w:t xml:space="preserve"> L, </w:t>
      </w:r>
      <w:proofErr w:type="spellStart"/>
      <w:r w:rsidRPr="003B7674">
        <w:rPr>
          <w:rFonts w:ascii="Arial" w:hAnsi="Arial" w:cs="Arial"/>
          <w:color w:val="000000"/>
          <w:sz w:val="22"/>
        </w:rPr>
        <w:t>Salimi</w:t>
      </w:r>
      <w:proofErr w:type="spellEnd"/>
      <w:r w:rsidRPr="003B7674">
        <w:rPr>
          <w:rFonts w:ascii="Arial" w:hAnsi="Arial" w:cs="Arial"/>
          <w:color w:val="000000"/>
          <w:sz w:val="22"/>
        </w:rPr>
        <w:t xml:space="preserve"> M, </w:t>
      </w:r>
      <w:proofErr w:type="spellStart"/>
      <w:r w:rsidRPr="003B7674">
        <w:rPr>
          <w:rFonts w:ascii="Arial" w:hAnsi="Arial" w:cs="Arial"/>
          <w:color w:val="000000"/>
          <w:sz w:val="22"/>
        </w:rPr>
        <w:t>Panse</w:t>
      </w:r>
      <w:proofErr w:type="spellEnd"/>
      <w:r w:rsidRPr="003B7674">
        <w:rPr>
          <w:rFonts w:ascii="Arial" w:hAnsi="Arial" w:cs="Arial"/>
          <w:color w:val="000000"/>
          <w:sz w:val="22"/>
        </w:rPr>
        <w:t xml:space="preserve"> I, et al. Prostaglandin D2 activates group 2 innate lymphoid cells through chemoattractant receptor-homologous molecule expressed on TH2 cells. </w:t>
      </w:r>
      <w:r w:rsidRPr="003B7674">
        <w:rPr>
          <w:rFonts w:ascii="Arial" w:hAnsi="Arial" w:cs="Arial"/>
          <w:i/>
          <w:iCs/>
          <w:color w:val="000000"/>
          <w:sz w:val="22"/>
        </w:rPr>
        <w:t>J Allergy Clin Immunol</w:t>
      </w:r>
      <w:r w:rsidRPr="003B7674">
        <w:rPr>
          <w:rFonts w:ascii="Arial" w:hAnsi="Arial" w:cs="Arial"/>
          <w:color w:val="000000"/>
          <w:sz w:val="22"/>
        </w:rPr>
        <w:t xml:space="preserve">. 2014;133(4):1184-1194. </w:t>
      </w:r>
      <w:proofErr w:type="gramStart"/>
      <w:r w:rsidRPr="003B7674">
        <w:rPr>
          <w:rFonts w:ascii="Arial" w:hAnsi="Arial" w:cs="Arial"/>
          <w:color w:val="000000"/>
          <w:sz w:val="22"/>
        </w:rPr>
        <w:t>doi:10.1016/j.jaci</w:t>
      </w:r>
      <w:proofErr w:type="gramEnd"/>
      <w:r w:rsidRPr="003B7674">
        <w:rPr>
          <w:rFonts w:ascii="Arial" w:hAnsi="Arial" w:cs="Arial"/>
          <w:color w:val="000000"/>
          <w:sz w:val="22"/>
        </w:rPr>
        <w:t>.2013.10.056</w:t>
      </w:r>
    </w:p>
    <w:p w14:paraId="0FCD1DDB"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13. </w:t>
      </w:r>
      <w:r w:rsidRPr="003B7674">
        <w:rPr>
          <w:rFonts w:ascii="Arial" w:hAnsi="Arial" w:cs="Arial"/>
          <w:color w:val="000000"/>
          <w:sz w:val="22"/>
        </w:rPr>
        <w:tab/>
      </w:r>
      <w:proofErr w:type="spellStart"/>
      <w:r w:rsidRPr="003B7674">
        <w:rPr>
          <w:rFonts w:ascii="Arial" w:hAnsi="Arial" w:cs="Arial"/>
          <w:color w:val="000000"/>
          <w:sz w:val="22"/>
        </w:rPr>
        <w:t>Oyesola</w:t>
      </w:r>
      <w:proofErr w:type="spellEnd"/>
      <w:r w:rsidRPr="003B7674">
        <w:rPr>
          <w:rFonts w:ascii="Arial" w:hAnsi="Arial" w:cs="Arial"/>
          <w:color w:val="000000"/>
          <w:sz w:val="22"/>
        </w:rPr>
        <w:t xml:space="preserve"> OO, Duque C, Huang LC, et al. The Prostaglandin D2 Receptor CRTH2 Promotes IL-33-Induced ILC2 Accumulation in the Lung. </w:t>
      </w:r>
      <w:r w:rsidRPr="003B7674">
        <w:rPr>
          <w:rFonts w:ascii="Arial" w:hAnsi="Arial" w:cs="Arial"/>
          <w:i/>
          <w:iCs/>
          <w:color w:val="000000"/>
          <w:sz w:val="22"/>
        </w:rPr>
        <w:t>J Immunol</w:t>
      </w:r>
      <w:r w:rsidRPr="003B7674">
        <w:rPr>
          <w:rFonts w:ascii="Arial" w:hAnsi="Arial" w:cs="Arial"/>
          <w:color w:val="000000"/>
          <w:sz w:val="22"/>
        </w:rPr>
        <w:t>. 2020;204(4):1001-1011. doi:10.4049/jimmunol.1900745</w:t>
      </w:r>
    </w:p>
    <w:p w14:paraId="4AFF0BC9"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14. </w:t>
      </w:r>
      <w:r w:rsidRPr="003B7674">
        <w:rPr>
          <w:rFonts w:ascii="Arial" w:hAnsi="Arial" w:cs="Arial"/>
          <w:color w:val="000000"/>
          <w:sz w:val="22"/>
        </w:rPr>
        <w:tab/>
        <w:t xml:space="preserve">Zhou W, Toki S, Zhang J, et al. Prostaglandin I2 </w:t>
      </w:r>
      <w:proofErr w:type="spellStart"/>
      <w:r w:rsidRPr="003B7674">
        <w:rPr>
          <w:rFonts w:ascii="Arial" w:hAnsi="Arial" w:cs="Arial"/>
          <w:color w:val="000000"/>
          <w:sz w:val="22"/>
        </w:rPr>
        <w:t>Signaling</w:t>
      </w:r>
      <w:proofErr w:type="spellEnd"/>
      <w:r w:rsidRPr="003B7674">
        <w:rPr>
          <w:rFonts w:ascii="Arial" w:hAnsi="Arial" w:cs="Arial"/>
          <w:color w:val="000000"/>
          <w:sz w:val="22"/>
        </w:rPr>
        <w:t xml:space="preserve"> and Inhibition of Group 2 Innate Lymphoid Cell Responses. </w:t>
      </w:r>
      <w:r w:rsidRPr="003B7674">
        <w:rPr>
          <w:rFonts w:ascii="Arial" w:hAnsi="Arial" w:cs="Arial"/>
          <w:i/>
          <w:iCs/>
          <w:color w:val="000000"/>
          <w:sz w:val="22"/>
        </w:rPr>
        <w:t>Am J Respir Crit Care Med</w:t>
      </w:r>
      <w:r w:rsidRPr="003B7674">
        <w:rPr>
          <w:rFonts w:ascii="Arial" w:hAnsi="Arial" w:cs="Arial"/>
          <w:color w:val="000000"/>
          <w:sz w:val="22"/>
        </w:rPr>
        <w:t>. 2016;193(1):31-42. doi:10.1164/rccm.201410-1793OC</w:t>
      </w:r>
    </w:p>
    <w:p w14:paraId="357404D2"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15. </w:t>
      </w:r>
      <w:r w:rsidRPr="003B7674">
        <w:rPr>
          <w:rFonts w:ascii="Arial" w:hAnsi="Arial" w:cs="Arial"/>
          <w:color w:val="000000"/>
          <w:sz w:val="22"/>
        </w:rPr>
        <w:tab/>
        <w:t xml:space="preserve">Lee JU, Park JS, Chang HS, Park CS. Complementary Participation of Genetics and Epigenetics in Development of NSAID-exacerbated </w:t>
      </w:r>
      <w:proofErr w:type="gramStart"/>
      <w:r w:rsidRPr="003B7674">
        <w:rPr>
          <w:rFonts w:ascii="Arial" w:hAnsi="Arial" w:cs="Arial"/>
          <w:color w:val="000000"/>
          <w:sz w:val="22"/>
        </w:rPr>
        <w:t>Respiratory Disease</w:t>
      </w:r>
      <w:proofErr w:type="gramEnd"/>
      <w:r w:rsidRPr="003B7674">
        <w:rPr>
          <w:rFonts w:ascii="Arial" w:hAnsi="Arial" w:cs="Arial"/>
          <w:color w:val="000000"/>
          <w:sz w:val="22"/>
        </w:rPr>
        <w:t xml:space="preserve">. </w:t>
      </w:r>
      <w:r w:rsidRPr="003B7674">
        <w:rPr>
          <w:rFonts w:ascii="Arial" w:hAnsi="Arial" w:cs="Arial"/>
          <w:i/>
          <w:iCs/>
          <w:color w:val="000000"/>
          <w:sz w:val="22"/>
        </w:rPr>
        <w:t>Allergy Asthma Immunol Res</w:t>
      </w:r>
      <w:r w:rsidRPr="003B7674">
        <w:rPr>
          <w:rFonts w:ascii="Arial" w:hAnsi="Arial" w:cs="Arial"/>
          <w:color w:val="000000"/>
          <w:sz w:val="22"/>
        </w:rPr>
        <w:t>. 2019;11(6):779-794. doi:10.4168/aair.2019.11.6.779</w:t>
      </w:r>
    </w:p>
    <w:p w14:paraId="3EE9CE39"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lastRenderedPageBreak/>
        <w:t xml:space="preserve">16. </w:t>
      </w:r>
      <w:r w:rsidRPr="003B7674">
        <w:rPr>
          <w:rFonts w:ascii="Arial" w:hAnsi="Arial" w:cs="Arial"/>
          <w:color w:val="000000"/>
          <w:sz w:val="22"/>
        </w:rPr>
        <w:tab/>
        <w:t xml:space="preserve">Jinnai N, Sakagami T, </w:t>
      </w:r>
      <w:proofErr w:type="spellStart"/>
      <w:r w:rsidRPr="003B7674">
        <w:rPr>
          <w:rFonts w:ascii="Arial" w:hAnsi="Arial" w:cs="Arial"/>
          <w:color w:val="000000"/>
          <w:sz w:val="22"/>
        </w:rPr>
        <w:t>Sekigawa</w:t>
      </w:r>
      <w:proofErr w:type="spellEnd"/>
      <w:r w:rsidRPr="003B7674">
        <w:rPr>
          <w:rFonts w:ascii="Arial" w:hAnsi="Arial" w:cs="Arial"/>
          <w:color w:val="000000"/>
          <w:sz w:val="22"/>
        </w:rPr>
        <w:t xml:space="preserve"> T, et al. Polymorphisms in the prostaglandin E2 receptor subtype 2 gene confer susceptibility to aspirin-intolerant asthma: a candidate gene approach. </w:t>
      </w:r>
      <w:r w:rsidRPr="003B7674">
        <w:rPr>
          <w:rFonts w:ascii="Arial" w:hAnsi="Arial" w:cs="Arial"/>
          <w:i/>
          <w:iCs/>
          <w:color w:val="000000"/>
          <w:sz w:val="22"/>
        </w:rPr>
        <w:t>Hum Mol Genet</w:t>
      </w:r>
      <w:r w:rsidRPr="003B7674">
        <w:rPr>
          <w:rFonts w:ascii="Arial" w:hAnsi="Arial" w:cs="Arial"/>
          <w:color w:val="000000"/>
          <w:sz w:val="22"/>
        </w:rPr>
        <w:t>. 2004;13(24):3203-3217. doi:10.1093/</w:t>
      </w:r>
      <w:proofErr w:type="spellStart"/>
      <w:r w:rsidRPr="003B7674">
        <w:rPr>
          <w:rFonts w:ascii="Arial" w:hAnsi="Arial" w:cs="Arial"/>
          <w:color w:val="000000"/>
          <w:sz w:val="22"/>
        </w:rPr>
        <w:t>hmg</w:t>
      </w:r>
      <w:proofErr w:type="spellEnd"/>
      <w:r w:rsidRPr="003B7674">
        <w:rPr>
          <w:rFonts w:ascii="Arial" w:hAnsi="Arial" w:cs="Arial"/>
          <w:color w:val="000000"/>
          <w:sz w:val="22"/>
        </w:rPr>
        <w:t>/ddh332</w:t>
      </w:r>
    </w:p>
    <w:p w14:paraId="2A9923B2"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17. </w:t>
      </w:r>
      <w:r w:rsidRPr="003B7674">
        <w:rPr>
          <w:rFonts w:ascii="Arial" w:hAnsi="Arial" w:cs="Arial"/>
          <w:color w:val="000000"/>
          <w:sz w:val="22"/>
        </w:rPr>
        <w:tab/>
        <w:t>Machado-Carvalho L, Martín M, Torres R, et al. Low E-</w:t>
      </w:r>
      <w:proofErr w:type="spellStart"/>
      <w:r w:rsidRPr="003B7674">
        <w:rPr>
          <w:rFonts w:ascii="Arial" w:hAnsi="Arial" w:cs="Arial"/>
          <w:color w:val="000000"/>
          <w:sz w:val="22"/>
        </w:rPr>
        <w:t>prostanoid</w:t>
      </w:r>
      <w:proofErr w:type="spellEnd"/>
      <w:r w:rsidRPr="003B7674">
        <w:rPr>
          <w:rFonts w:ascii="Arial" w:hAnsi="Arial" w:cs="Arial"/>
          <w:color w:val="000000"/>
          <w:sz w:val="22"/>
        </w:rPr>
        <w:t xml:space="preserve"> 2 receptor levels and deficient induction of the IL-1β/IL-1 type I receptor/COX-2 pathway: Vicious circle in patients with aspirin-exacerbated respiratory disease. </w:t>
      </w:r>
      <w:r w:rsidRPr="003B7674">
        <w:rPr>
          <w:rFonts w:ascii="Arial" w:hAnsi="Arial" w:cs="Arial"/>
          <w:i/>
          <w:iCs/>
          <w:color w:val="000000"/>
          <w:sz w:val="22"/>
        </w:rPr>
        <w:t>J Allergy Clin Immunol</w:t>
      </w:r>
      <w:r w:rsidRPr="003B7674">
        <w:rPr>
          <w:rFonts w:ascii="Arial" w:hAnsi="Arial" w:cs="Arial"/>
          <w:color w:val="000000"/>
          <w:sz w:val="22"/>
        </w:rPr>
        <w:t xml:space="preserve">. 2016;137(1):99-107.e7. </w:t>
      </w:r>
      <w:proofErr w:type="gramStart"/>
      <w:r w:rsidRPr="003B7674">
        <w:rPr>
          <w:rFonts w:ascii="Arial" w:hAnsi="Arial" w:cs="Arial"/>
          <w:color w:val="000000"/>
          <w:sz w:val="22"/>
        </w:rPr>
        <w:t>doi:10.1016/j.jaci</w:t>
      </w:r>
      <w:proofErr w:type="gramEnd"/>
      <w:r w:rsidRPr="003B7674">
        <w:rPr>
          <w:rFonts w:ascii="Arial" w:hAnsi="Arial" w:cs="Arial"/>
          <w:color w:val="000000"/>
          <w:sz w:val="22"/>
        </w:rPr>
        <w:t>.2015.09.028</w:t>
      </w:r>
    </w:p>
    <w:p w14:paraId="4FFB25FA"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18. </w:t>
      </w:r>
      <w:r w:rsidRPr="003B7674">
        <w:rPr>
          <w:rFonts w:ascii="Arial" w:hAnsi="Arial" w:cs="Arial"/>
          <w:color w:val="000000"/>
          <w:sz w:val="22"/>
        </w:rPr>
        <w:tab/>
      </w:r>
      <w:proofErr w:type="spellStart"/>
      <w:r w:rsidRPr="003B7674">
        <w:rPr>
          <w:rFonts w:ascii="Arial" w:hAnsi="Arial" w:cs="Arial"/>
          <w:color w:val="000000"/>
          <w:sz w:val="22"/>
        </w:rPr>
        <w:t>Zasłona</w:t>
      </w:r>
      <w:proofErr w:type="spellEnd"/>
      <w:r w:rsidRPr="003B7674">
        <w:rPr>
          <w:rFonts w:ascii="Arial" w:hAnsi="Arial" w:cs="Arial"/>
          <w:color w:val="000000"/>
          <w:sz w:val="22"/>
        </w:rPr>
        <w:t xml:space="preserve"> Z, </w:t>
      </w:r>
      <w:proofErr w:type="spellStart"/>
      <w:r w:rsidRPr="003B7674">
        <w:rPr>
          <w:rFonts w:ascii="Arial" w:hAnsi="Arial" w:cs="Arial"/>
          <w:color w:val="000000"/>
          <w:sz w:val="22"/>
        </w:rPr>
        <w:t>Okunishi</w:t>
      </w:r>
      <w:proofErr w:type="spellEnd"/>
      <w:r w:rsidRPr="003B7674">
        <w:rPr>
          <w:rFonts w:ascii="Arial" w:hAnsi="Arial" w:cs="Arial"/>
          <w:color w:val="000000"/>
          <w:sz w:val="22"/>
        </w:rPr>
        <w:t xml:space="preserve"> K, </w:t>
      </w:r>
      <w:proofErr w:type="spellStart"/>
      <w:r w:rsidRPr="003B7674">
        <w:rPr>
          <w:rFonts w:ascii="Arial" w:hAnsi="Arial" w:cs="Arial"/>
          <w:color w:val="000000"/>
          <w:sz w:val="22"/>
        </w:rPr>
        <w:t>Bourdonnay</w:t>
      </w:r>
      <w:proofErr w:type="spellEnd"/>
      <w:r w:rsidRPr="003B7674">
        <w:rPr>
          <w:rFonts w:ascii="Arial" w:hAnsi="Arial" w:cs="Arial"/>
          <w:color w:val="000000"/>
          <w:sz w:val="22"/>
        </w:rPr>
        <w:t xml:space="preserve"> E, et al. Prostaglandin E</w:t>
      </w:r>
      <w:r w:rsidRPr="003B7674">
        <w:rPr>
          <w:rFonts w:ascii="Cambria Math" w:hAnsi="Cambria Math" w:cs="Cambria Math"/>
          <w:color w:val="000000"/>
          <w:sz w:val="22"/>
        </w:rPr>
        <w:t>₂</w:t>
      </w:r>
      <w:r w:rsidRPr="003B7674">
        <w:rPr>
          <w:rFonts w:ascii="Arial" w:hAnsi="Arial" w:cs="Arial"/>
          <w:color w:val="000000"/>
          <w:sz w:val="22"/>
        </w:rPr>
        <w:t xml:space="preserve"> suppresses allergic sensitization and lung inflammation by targeting the E </w:t>
      </w:r>
      <w:proofErr w:type="spellStart"/>
      <w:r w:rsidRPr="003B7674">
        <w:rPr>
          <w:rFonts w:ascii="Arial" w:hAnsi="Arial" w:cs="Arial"/>
          <w:color w:val="000000"/>
          <w:sz w:val="22"/>
        </w:rPr>
        <w:t>prostanoid</w:t>
      </w:r>
      <w:proofErr w:type="spellEnd"/>
      <w:r w:rsidRPr="003B7674">
        <w:rPr>
          <w:rFonts w:ascii="Arial" w:hAnsi="Arial" w:cs="Arial"/>
          <w:color w:val="000000"/>
          <w:sz w:val="22"/>
        </w:rPr>
        <w:t xml:space="preserve"> 2 </w:t>
      </w:r>
      <w:proofErr w:type="gramStart"/>
      <w:r w:rsidRPr="003B7674">
        <w:rPr>
          <w:rFonts w:ascii="Arial" w:hAnsi="Arial" w:cs="Arial"/>
          <w:color w:val="000000"/>
          <w:sz w:val="22"/>
        </w:rPr>
        <w:t>receptor</w:t>
      </w:r>
      <w:proofErr w:type="gramEnd"/>
      <w:r w:rsidRPr="003B7674">
        <w:rPr>
          <w:rFonts w:ascii="Arial" w:hAnsi="Arial" w:cs="Arial"/>
          <w:color w:val="000000"/>
          <w:sz w:val="22"/>
        </w:rPr>
        <w:t xml:space="preserve"> on T cells. </w:t>
      </w:r>
      <w:r w:rsidRPr="003B7674">
        <w:rPr>
          <w:rFonts w:ascii="Arial" w:hAnsi="Arial" w:cs="Arial"/>
          <w:i/>
          <w:iCs/>
          <w:color w:val="000000"/>
          <w:sz w:val="22"/>
        </w:rPr>
        <w:t>J Allergy Clin Immunol</w:t>
      </w:r>
      <w:r w:rsidRPr="003B7674">
        <w:rPr>
          <w:rFonts w:ascii="Arial" w:hAnsi="Arial" w:cs="Arial"/>
          <w:color w:val="000000"/>
          <w:sz w:val="22"/>
        </w:rPr>
        <w:t xml:space="preserve">. 2014;133(2):379-387. </w:t>
      </w:r>
      <w:proofErr w:type="gramStart"/>
      <w:r w:rsidRPr="003B7674">
        <w:rPr>
          <w:rFonts w:ascii="Arial" w:hAnsi="Arial" w:cs="Arial"/>
          <w:color w:val="000000"/>
          <w:sz w:val="22"/>
        </w:rPr>
        <w:t>doi:10.1016/j.jaci</w:t>
      </w:r>
      <w:proofErr w:type="gramEnd"/>
      <w:r w:rsidRPr="003B7674">
        <w:rPr>
          <w:rFonts w:ascii="Arial" w:hAnsi="Arial" w:cs="Arial"/>
          <w:color w:val="000000"/>
          <w:sz w:val="22"/>
        </w:rPr>
        <w:t>.2013.07.037</w:t>
      </w:r>
    </w:p>
    <w:p w14:paraId="70ECB824"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19. </w:t>
      </w:r>
      <w:r w:rsidRPr="003B7674">
        <w:rPr>
          <w:rFonts w:ascii="Arial" w:hAnsi="Arial" w:cs="Arial"/>
          <w:color w:val="000000"/>
          <w:sz w:val="22"/>
        </w:rPr>
        <w:tab/>
        <w:t xml:space="preserve">Felton JM, Duffin R, Robb CT, et al. Facilitation of IL-22 production from innate lymphoid cells by prostaglandin E2 prevents experimental lung neutrophilic inflammation. </w:t>
      </w:r>
      <w:r w:rsidRPr="003B7674">
        <w:rPr>
          <w:rFonts w:ascii="Arial" w:hAnsi="Arial" w:cs="Arial"/>
          <w:i/>
          <w:iCs/>
          <w:color w:val="000000"/>
          <w:sz w:val="22"/>
        </w:rPr>
        <w:t>Thorax</w:t>
      </w:r>
      <w:r w:rsidRPr="003B7674">
        <w:rPr>
          <w:rFonts w:ascii="Arial" w:hAnsi="Arial" w:cs="Arial"/>
          <w:color w:val="000000"/>
          <w:sz w:val="22"/>
        </w:rPr>
        <w:t>. 2018;73(11):1081-1084. doi:10.1136/thoraxjnl-2017-211097</w:t>
      </w:r>
    </w:p>
    <w:p w14:paraId="4461327E"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20. </w:t>
      </w:r>
      <w:r w:rsidRPr="003B7674">
        <w:rPr>
          <w:rFonts w:ascii="Arial" w:hAnsi="Arial" w:cs="Arial"/>
          <w:color w:val="000000"/>
          <w:sz w:val="22"/>
        </w:rPr>
        <w:tab/>
      </w:r>
      <w:proofErr w:type="spellStart"/>
      <w:r w:rsidRPr="003B7674">
        <w:rPr>
          <w:rFonts w:ascii="Arial" w:hAnsi="Arial" w:cs="Arial"/>
          <w:color w:val="000000"/>
          <w:sz w:val="22"/>
        </w:rPr>
        <w:t>Birrell</w:t>
      </w:r>
      <w:proofErr w:type="spellEnd"/>
      <w:r w:rsidRPr="003B7674">
        <w:rPr>
          <w:rFonts w:ascii="Arial" w:hAnsi="Arial" w:cs="Arial"/>
          <w:color w:val="000000"/>
          <w:sz w:val="22"/>
        </w:rPr>
        <w:t xml:space="preserve"> MA, Maher SA, </w:t>
      </w:r>
      <w:proofErr w:type="spellStart"/>
      <w:r w:rsidRPr="003B7674">
        <w:rPr>
          <w:rFonts w:ascii="Arial" w:hAnsi="Arial" w:cs="Arial"/>
          <w:color w:val="000000"/>
          <w:sz w:val="22"/>
        </w:rPr>
        <w:t>Dekkak</w:t>
      </w:r>
      <w:proofErr w:type="spellEnd"/>
      <w:r w:rsidRPr="003B7674">
        <w:rPr>
          <w:rFonts w:ascii="Arial" w:hAnsi="Arial" w:cs="Arial"/>
          <w:color w:val="000000"/>
          <w:sz w:val="22"/>
        </w:rPr>
        <w:t xml:space="preserve"> B, et al. Anti-inflammatory effects of PGE2 in the lung: role of the EP4 receptor subtype. </w:t>
      </w:r>
      <w:r w:rsidRPr="003B7674">
        <w:rPr>
          <w:rFonts w:ascii="Arial" w:hAnsi="Arial" w:cs="Arial"/>
          <w:i/>
          <w:iCs/>
          <w:color w:val="000000"/>
          <w:sz w:val="22"/>
        </w:rPr>
        <w:t>Thorax</w:t>
      </w:r>
      <w:r w:rsidRPr="003B7674">
        <w:rPr>
          <w:rFonts w:ascii="Arial" w:hAnsi="Arial" w:cs="Arial"/>
          <w:color w:val="000000"/>
          <w:sz w:val="22"/>
        </w:rPr>
        <w:t>. 2015;70(8):740-747. doi:10.1136/thoraxjnl-2014-206592</w:t>
      </w:r>
    </w:p>
    <w:p w14:paraId="5FDAD786"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21. </w:t>
      </w:r>
      <w:r w:rsidRPr="003B7674">
        <w:rPr>
          <w:rFonts w:ascii="Arial" w:hAnsi="Arial" w:cs="Arial"/>
          <w:color w:val="000000"/>
          <w:sz w:val="22"/>
        </w:rPr>
        <w:tab/>
        <w:t xml:space="preserve">Buckley J, </w:t>
      </w:r>
      <w:proofErr w:type="spellStart"/>
      <w:r w:rsidRPr="003B7674">
        <w:rPr>
          <w:rFonts w:ascii="Arial" w:hAnsi="Arial" w:cs="Arial"/>
          <w:color w:val="000000"/>
          <w:sz w:val="22"/>
        </w:rPr>
        <w:t>Birrell</w:t>
      </w:r>
      <w:proofErr w:type="spellEnd"/>
      <w:r w:rsidRPr="003B7674">
        <w:rPr>
          <w:rFonts w:ascii="Arial" w:hAnsi="Arial" w:cs="Arial"/>
          <w:color w:val="000000"/>
          <w:sz w:val="22"/>
        </w:rPr>
        <w:t xml:space="preserve"> MA, Maher SA, </w:t>
      </w:r>
      <w:proofErr w:type="spellStart"/>
      <w:r w:rsidRPr="003B7674">
        <w:rPr>
          <w:rFonts w:ascii="Arial" w:hAnsi="Arial" w:cs="Arial"/>
          <w:color w:val="000000"/>
          <w:sz w:val="22"/>
        </w:rPr>
        <w:t>Nials</w:t>
      </w:r>
      <w:proofErr w:type="spellEnd"/>
      <w:r w:rsidRPr="003B7674">
        <w:rPr>
          <w:rFonts w:ascii="Arial" w:hAnsi="Arial" w:cs="Arial"/>
          <w:color w:val="000000"/>
          <w:sz w:val="22"/>
        </w:rPr>
        <w:t xml:space="preserve"> AT, Clarke DL, </w:t>
      </w:r>
      <w:proofErr w:type="spellStart"/>
      <w:r w:rsidRPr="003B7674">
        <w:rPr>
          <w:rFonts w:ascii="Arial" w:hAnsi="Arial" w:cs="Arial"/>
          <w:color w:val="000000"/>
          <w:sz w:val="22"/>
        </w:rPr>
        <w:t>Belvisi</w:t>
      </w:r>
      <w:proofErr w:type="spellEnd"/>
      <w:r w:rsidRPr="003B7674">
        <w:rPr>
          <w:rFonts w:ascii="Arial" w:hAnsi="Arial" w:cs="Arial"/>
          <w:color w:val="000000"/>
          <w:sz w:val="22"/>
        </w:rPr>
        <w:t xml:space="preserve"> MG. EP4 receptor as a new target for bronchodilator therapy. </w:t>
      </w:r>
      <w:r w:rsidRPr="003B7674">
        <w:rPr>
          <w:rFonts w:ascii="Arial" w:hAnsi="Arial" w:cs="Arial"/>
          <w:i/>
          <w:iCs/>
          <w:color w:val="000000"/>
          <w:sz w:val="22"/>
        </w:rPr>
        <w:t>Thorax</w:t>
      </w:r>
      <w:r w:rsidRPr="003B7674">
        <w:rPr>
          <w:rFonts w:ascii="Arial" w:hAnsi="Arial" w:cs="Arial"/>
          <w:color w:val="000000"/>
          <w:sz w:val="22"/>
        </w:rPr>
        <w:t>. 2011;66(12):1029-1035. doi:10.1136/thx.2010.158568</w:t>
      </w:r>
    </w:p>
    <w:p w14:paraId="698B2205"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22. </w:t>
      </w:r>
      <w:r w:rsidRPr="003B7674">
        <w:rPr>
          <w:rFonts w:ascii="Arial" w:hAnsi="Arial" w:cs="Arial"/>
          <w:color w:val="000000"/>
          <w:sz w:val="22"/>
        </w:rPr>
        <w:tab/>
      </w:r>
      <w:proofErr w:type="spellStart"/>
      <w:r w:rsidRPr="003B7674">
        <w:rPr>
          <w:rFonts w:ascii="Arial" w:hAnsi="Arial" w:cs="Arial"/>
          <w:color w:val="000000"/>
          <w:sz w:val="22"/>
        </w:rPr>
        <w:t>Gavett</w:t>
      </w:r>
      <w:proofErr w:type="spellEnd"/>
      <w:r w:rsidRPr="003B7674">
        <w:rPr>
          <w:rFonts w:ascii="Arial" w:hAnsi="Arial" w:cs="Arial"/>
          <w:color w:val="000000"/>
          <w:sz w:val="22"/>
        </w:rPr>
        <w:t xml:space="preserve"> SH, Madison SL, </w:t>
      </w:r>
      <w:proofErr w:type="spellStart"/>
      <w:r w:rsidRPr="003B7674">
        <w:rPr>
          <w:rFonts w:ascii="Arial" w:hAnsi="Arial" w:cs="Arial"/>
          <w:color w:val="000000"/>
          <w:sz w:val="22"/>
        </w:rPr>
        <w:t>Chulada</w:t>
      </w:r>
      <w:proofErr w:type="spellEnd"/>
      <w:r w:rsidRPr="003B7674">
        <w:rPr>
          <w:rFonts w:ascii="Arial" w:hAnsi="Arial" w:cs="Arial"/>
          <w:color w:val="000000"/>
          <w:sz w:val="22"/>
        </w:rPr>
        <w:t xml:space="preserve"> PC, et al. Allergic lung responses are increased in prostaglandin H synthase-deficient mice. </w:t>
      </w:r>
      <w:r w:rsidRPr="003B7674">
        <w:rPr>
          <w:rFonts w:ascii="Arial" w:hAnsi="Arial" w:cs="Arial"/>
          <w:i/>
          <w:iCs/>
          <w:color w:val="000000"/>
          <w:sz w:val="22"/>
        </w:rPr>
        <w:t>J Clin Invest</w:t>
      </w:r>
      <w:r w:rsidRPr="003B7674">
        <w:rPr>
          <w:rFonts w:ascii="Arial" w:hAnsi="Arial" w:cs="Arial"/>
          <w:color w:val="000000"/>
          <w:sz w:val="22"/>
        </w:rPr>
        <w:t>. 1999;104(6):721-732. doi:10.1172/JCI6890</w:t>
      </w:r>
    </w:p>
    <w:p w14:paraId="19A4FAB4"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23. </w:t>
      </w:r>
      <w:r w:rsidRPr="003B7674">
        <w:rPr>
          <w:rFonts w:ascii="Arial" w:hAnsi="Arial" w:cs="Arial"/>
          <w:color w:val="000000"/>
          <w:sz w:val="22"/>
        </w:rPr>
        <w:tab/>
      </w:r>
      <w:proofErr w:type="spellStart"/>
      <w:r w:rsidRPr="003B7674">
        <w:rPr>
          <w:rFonts w:ascii="Arial" w:hAnsi="Arial" w:cs="Arial"/>
          <w:color w:val="000000"/>
          <w:sz w:val="22"/>
        </w:rPr>
        <w:t>Maric</w:t>
      </w:r>
      <w:proofErr w:type="spellEnd"/>
      <w:r w:rsidRPr="003B7674">
        <w:rPr>
          <w:rFonts w:ascii="Arial" w:hAnsi="Arial" w:cs="Arial"/>
          <w:color w:val="000000"/>
          <w:sz w:val="22"/>
        </w:rPr>
        <w:t xml:space="preserve"> J, Ravindran A, </w:t>
      </w:r>
      <w:proofErr w:type="spellStart"/>
      <w:r w:rsidRPr="003B7674">
        <w:rPr>
          <w:rFonts w:ascii="Arial" w:hAnsi="Arial" w:cs="Arial"/>
          <w:color w:val="000000"/>
          <w:sz w:val="22"/>
        </w:rPr>
        <w:t>Mazzurana</w:t>
      </w:r>
      <w:proofErr w:type="spellEnd"/>
      <w:r w:rsidRPr="003B7674">
        <w:rPr>
          <w:rFonts w:ascii="Arial" w:hAnsi="Arial" w:cs="Arial"/>
          <w:color w:val="000000"/>
          <w:sz w:val="22"/>
        </w:rPr>
        <w:t xml:space="preserve"> L, et al. Prostaglandin E2 suppresses human group 2 innate lymphoid cell function. </w:t>
      </w:r>
      <w:r w:rsidRPr="003B7674">
        <w:rPr>
          <w:rFonts w:ascii="Arial" w:hAnsi="Arial" w:cs="Arial"/>
          <w:i/>
          <w:iCs/>
          <w:color w:val="000000"/>
          <w:sz w:val="22"/>
        </w:rPr>
        <w:t>J Allergy Clin Immunol</w:t>
      </w:r>
      <w:r w:rsidRPr="003B7674">
        <w:rPr>
          <w:rFonts w:ascii="Arial" w:hAnsi="Arial" w:cs="Arial"/>
          <w:color w:val="000000"/>
          <w:sz w:val="22"/>
        </w:rPr>
        <w:t xml:space="preserve">. 2018;141(5):1761-1773.e6. </w:t>
      </w:r>
      <w:proofErr w:type="gramStart"/>
      <w:r w:rsidRPr="003B7674">
        <w:rPr>
          <w:rFonts w:ascii="Arial" w:hAnsi="Arial" w:cs="Arial"/>
          <w:color w:val="000000"/>
          <w:sz w:val="22"/>
        </w:rPr>
        <w:t>doi:10.1016/j.jaci</w:t>
      </w:r>
      <w:proofErr w:type="gramEnd"/>
      <w:r w:rsidRPr="003B7674">
        <w:rPr>
          <w:rFonts w:ascii="Arial" w:hAnsi="Arial" w:cs="Arial"/>
          <w:color w:val="000000"/>
          <w:sz w:val="22"/>
        </w:rPr>
        <w:t>.2017.09.050</w:t>
      </w:r>
    </w:p>
    <w:p w14:paraId="6932798B"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24. </w:t>
      </w:r>
      <w:r w:rsidRPr="003B7674">
        <w:rPr>
          <w:rFonts w:ascii="Arial" w:hAnsi="Arial" w:cs="Arial"/>
          <w:color w:val="000000"/>
          <w:sz w:val="22"/>
        </w:rPr>
        <w:tab/>
        <w:t>Zhou Y, Wang W, Zhao C, et al. Prostaglandin E2 Inhibits Group 2 Innate Lymphoid Cell Activation and Allergic Airway Inflammation Through E-</w:t>
      </w:r>
      <w:proofErr w:type="spellStart"/>
      <w:r w:rsidRPr="003B7674">
        <w:rPr>
          <w:rFonts w:ascii="Arial" w:hAnsi="Arial" w:cs="Arial"/>
          <w:color w:val="000000"/>
          <w:sz w:val="22"/>
        </w:rPr>
        <w:t>Prostanoid</w:t>
      </w:r>
      <w:proofErr w:type="spellEnd"/>
      <w:r w:rsidRPr="003B7674">
        <w:rPr>
          <w:rFonts w:ascii="Arial" w:hAnsi="Arial" w:cs="Arial"/>
          <w:color w:val="000000"/>
          <w:sz w:val="22"/>
        </w:rPr>
        <w:t xml:space="preserve"> 4-Cyclic Adenosine Monophosphate </w:t>
      </w:r>
      <w:proofErr w:type="spellStart"/>
      <w:r w:rsidRPr="003B7674">
        <w:rPr>
          <w:rFonts w:ascii="Arial" w:hAnsi="Arial" w:cs="Arial"/>
          <w:color w:val="000000"/>
          <w:sz w:val="22"/>
        </w:rPr>
        <w:t>Signaling</w:t>
      </w:r>
      <w:proofErr w:type="spellEnd"/>
      <w:r w:rsidRPr="003B7674">
        <w:rPr>
          <w:rFonts w:ascii="Arial" w:hAnsi="Arial" w:cs="Arial"/>
          <w:color w:val="000000"/>
          <w:sz w:val="22"/>
        </w:rPr>
        <w:t xml:space="preserve">. </w:t>
      </w:r>
      <w:r w:rsidRPr="003B7674">
        <w:rPr>
          <w:rFonts w:ascii="Arial" w:hAnsi="Arial" w:cs="Arial"/>
          <w:i/>
          <w:iCs/>
          <w:color w:val="000000"/>
          <w:sz w:val="22"/>
        </w:rPr>
        <w:t>Front Immunol</w:t>
      </w:r>
      <w:r w:rsidRPr="003B7674">
        <w:rPr>
          <w:rFonts w:ascii="Arial" w:hAnsi="Arial" w:cs="Arial"/>
          <w:color w:val="000000"/>
          <w:sz w:val="22"/>
        </w:rPr>
        <w:t xml:space="preserve">. </w:t>
      </w:r>
      <w:proofErr w:type="gramStart"/>
      <w:r w:rsidRPr="003B7674">
        <w:rPr>
          <w:rFonts w:ascii="Arial" w:hAnsi="Arial" w:cs="Arial"/>
          <w:color w:val="000000"/>
          <w:sz w:val="22"/>
        </w:rPr>
        <w:t>2018;9:501</w:t>
      </w:r>
      <w:proofErr w:type="gramEnd"/>
      <w:r w:rsidRPr="003B7674">
        <w:rPr>
          <w:rFonts w:ascii="Arial" w:hAnsi="Arial" w:cs="Arial"/>
          <w:color w:val="000000"/>
          <w:sz w:val="22"/>
        </w:rPr>
        <w:t>. doi:10.3389/fimmu.2018.00501</w:t>
      </w:r>
    </w:p>
    <w:p w14:paraId="506DC580"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25. </w:t>
      </w:r>
      <w:r w:rsidRPr="003B7674">
        <w:rPr>
          <w:rFonts w:ascii="Arial" w:hAnsi="Arial" w:cs="Arial"/>
          <w:color w:val="000000"/>
          <w:sz w:val="22"/>
        </w:rPr>
        <w:tab/>
        <w:t xml:space="preserve">Zhou W, Zhang J, Toki S, et al. COX Inhibition Increases Alternaria-Induced Pulmonary Group 2 Innate Lymphoid Cell Responses and IL-33 Release in Mice. </w:t>
      </w:r>
      <w:r w:rsidRPr="003B7674">
        <w:rPr>
          <w:rFonts w:ascii="Arial" w:hAnsi="Arial" w:cs="Arial"/>
          <w:i/>
          <w:iCs/>
          <w:color w:val="000000"/>
          <w:sz w:val="22"/>
        </w:rPr>
        <w:t>J Immunol</w:t>
      </w:r>
      <w:r w:rsidRPr="003B7674">
        <w:rPr>
          <w:rFonts w:ascii="Arial" w:hAnsi="Arial" w:cs="Arial"/>
          <w:color w:val="000000"/>
          <w:sz w:val="22"/>
        </w:rPr>
        <w:t>. 2020;205(4):1157-1166. doi:10.4049/jimmunol.1901544</w:t>
      </w:r>
    </w:p>
    <w:p w14:paraId="1E3EB0F2"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26. </w:t>
      </w:r>
      <w:r w:rsidRPr="003B7674">
        <w:rPr>
          <w:rFonts w:ascii="Arial" w:hAnsi="Arial" w:cs="Arial"/>
          <w:color w:val="000000"/>
          <w:sz w:val="22"/>
        </w:rPr>
        <w:tab/>
      </w:r>
      <w:proofErr w:type="spellStart"/>
      <w:r w:rsidRPr="003B7674">
        <w:rPr>
          <w:rFonts w:ascii="Arial" w:hAnsi="Arial" w:cs="Arial"/>
          <w:color w:val="000000"/>
          <w:sz w:val="22"/>
        </w:rPr>
        <w:t>Hata</w:t>
      </w:r>
      <w:proofErr w:type="spellEnd"/>
      <w:r w:rsidRPr="003B7674">
        <w:rPr>
          <w:rFonts w:ascii="Arial" w:hAnsi="Arial" w:cs="Arial"/>
          <w:color w:val="000000"/>
          <w:sz w:val="22"/>
        </w:rPr>
        <w:t xml:space="preserve"> AN, </w:t>
      </w:r>
      <w:proofErr w:type="spellStart"/>
      <w:r w:rsidRPr="003B7674">
        <w:rPr>
          <w:rFonts w:ascii="Arial" w:hAnsi="Arial" w:cs="Arial"/>
          <w:color w:val="000000"/>
          <w:sz w:val="22"/>
        </w:rPr>
        <w:t>Zent</w:t>
      </w:r>
      <w:proofErr w:type="spellEnd"/>
      <w:r w:rsidRPr="003B7674">
        <w:rPr>
          <w:rFonts w:ascii="Arial" w:hAnsi="Arial" w:cs="Arial"/>
          <w:color w:val="000000"/>
          <w:sz w:val="22"/>
        </w:rPr>
        <w:t xml:space="preserve"> R, </w:t>
      </w:r>
      <w:proofErr w:type="spellStart"/>
      <w:r w:rsidRPr="003B7674">
        <w:rPr>
          <w:rFonts w:ascii="Arial" w:hAnsi="Arial" w:cs="Arial"/>
          <w:color w:val="000000"/>
          <w:sz w:val="22"/>
        </w:rPr>
        <w:t>Breyer</w:t>
      </w:r>
      <w:proofErr w:type="spellEnd"/>
      <w:r w:rsidRPr="003B7674">
        <w:rPr>
          <w:rFonts w:ascii="Arial" w:hAnsi="Arial" w:cs="Arial"/>
          <w:color w:val="000000"/>
          <w:sz w:val="22"/>
        </w:rPr>
        <w:t xml:space="preserve"> MD, </w:t>
      </w:r>
      <w:proofErr w:type="spellStart"/>
      <w:r w:rsidRPr="003B7674">
        <w:rPr>
          <w:rFonts w:ascii="Arial" w:hAnsi="Arial" w:cs="Arial"/>
          <w:color w:val="000000"/>
          <w:sz w:val="22"/>
        </w:rPr>
        <w:t>Breyer</w:t>
      </w:r>
      <w:proofErr w:type="spellEnd"/>
      <w:r w:rsidRPr="003B7674">
        <w:rPr>
          <w:rFonts w:ascii="Arial" w:hAnsi="Arial" w:cs="Arial"/>
          <w:color w:val="000000"/>
          <w:sz w:val="22"/>
        </w:rPr>
        <w:t xml:space="preserve"> RM. Expression and molecular pharmacology of the mouse CRTH2 receptor. </w:t>
      </w:r>
      <w:r w:rsidRPr="003B7674">
        <w:rPr>
          <w:rFonts w:ascii="Arial" w:hAnsi="Arial" w:cs="Arial"/>
          <w:i/>
          <w:iCs/>
          <w:color w:val="000000"/>
          <w:sz w:val="22"/>
        </w:rPr>
        <w:t xml:space="preserve">J </w:t>
      </w:r>
      <w:proofErr w:type="spellStart"/>
      <w:r w:rsidRPr="003B7674">
        <w:rPr>
          <w:rFonts w:ascii="Arial" w:hAnsi="Arial" w:cs="Arial"/>
          <w:i/>
          <w:iCs/>
          <w:color w:val="000000"/>
          <w:sz w:val="22"/>
        </w:rPr>
        <w:t>Pharmacol</w:t>
      </w:r>
      <w:proofErr w:type="spellEnd"/>
      <w:r w:rsidRPr="003B7674">
        <w:rPr>
          <w:rFonts w:ascii="Arial" w:hAnsi="Arial" w:cs="Arial"/>
          <w:i/>
          <w:iCs/>
          <w:color w:val="000000"/>
          <w:sz w:val="22"/>
        </w:rPr>
        <w:t xml:space="preserve"> Exp </w:t>
      </w:r>
      <w:proofErr w:type="spellStart"/>
      <w:r w:rsidRPr="003B7674">
        <w:rPr>
          <w:rFonts w:ascii="Arial" w:hAnsi="Arial" w:cs="Arial"/>
          <w:i/>
          <w:iCs/>
          <w:color w:val="000000"/>
          <w:sz w:val="22"/>
        </w:rPr>
        <w:t>Ther</w:t>
      </w:r>
      <w:proofErr w:type="spellEnd"/>
      <w:r w:rsidRPr="003B7674">
        <w:rPr>
          <w:rFonts w:ascii="Arial" w:hAnsi="Arial" w:cs="Arial"/>
          <w:color w:val="000000"/>
          <w:sz w:val="22"/>
        </w:rPr>
        <w:t>. 2003;306(2):463-470. doi:10.1124/jpet.103.050955</w:t>
      </w:r>
    </w:p>
    <w:p w14:paraId="6616E78A"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27. </w:t>
      </w:r>
      <w:r w:rsidRPr="003B7674">
        <w:rPr>
          <w:rFonts w:ascii="Arial" w:hAnsi="Arial" w:cs="Arial"/>
          <w:color w:val="000000"/>
          <w:sz w:val="22"/>
        </w:rPr>
        <w:tab/>
      </w:r>
      <w:proofErr w:type="spellStart"/>
      <w:r w:rsidRPr="003B7674">
        <w:rPr>
          <w:rFonts w:ascii="Arial" w:hAnsi="Arial" w:cs="Arial"/>
          <w:color w:val="000000"/>
          <w:sz w:val="22"/>
        </w:rPr>
        <w:t>Wojno</w:t>
      </w:r>
      <w:proofErr w:type="spellEnd"/>
      <w:r w:rsidRPr="003B7674">
        <w:rPr>
          <w:rFonts w:ascii="Arial" w:hAnsi="Arial" w:cs="Arial"/>
          <w:color w:val="000000"/>
          <w:sz w:val="22"/>
        </w:rPr>
        <w:t xml:space="preserve"> EDT, </w:t>
      </w:r>
      <w:proofErr w:type="spellStart"/>
      <w:r w:rsidRPr="003B7674">
        <w:rPr>
          <w:rFonts w:ascii="Arial" w:hAnsi="Arial" w:cs="Arial"/>
          <w:color w:val="000000"/>
          <w:sz w:val="22"/>
        </w:rPr>
        <w:t>Monticelli</w:t>
      </w:r>
      <w:proofErr w:type="spellEnd"/>
      <w:r w:rsidRPr="003B7674">
        <w:rPr>
          <w:rFonts w:ascii="Arial" w:hAnsi="Arial" w:cs="Arial"/>
          <w:color w:val="000000"/>
          <w:sz w:val="22"/>
        </w:rPr>
        <w:t xml:space="preserve"> LA, Tran SV, et al. The prostaglandin D</w:t>
      </w:r>
      <w:r w:rsidRPr="003B7674">
        <w:rPr>
          <w:rFonts w:ascii="Cambria Math" w:hAnsi="Cambria Math" w:cs="Cambria Math"/>
          <w:color w:val="000000"/>
          <w:sz w:val="22"/>
        </w:rPr>
        <w:t>₂</w:t>
      </w:r>
      <w:r w:rsidRPr="003B7674">
        <w:rPr>
          <w:rFonts w:ascii="Arial" w:hAnsi="Arial" w:cs="Arial"/>
          <w:color w:val="000000"/>
          <w:sz w:val="22"/>
        </w:rPr>
        <w:t xml:space="preserve"> receptor CRTH2 regulates accumulation of group 2 innate lymphoid cells in the inflamed lung. </w:t>
      </w:r>
      <w:r w:rsidRPr="003B7674">
        <w:rPr>
          <w:rFonts w:ascii="Arial" w:hAnsi="Arial" w:cs="Arial"/>
          <w:i/>
          <w:iCs/>
          <w:color w:val="000000"/>
          <w:sz w:val="22"/>
        </w:rPr>
        <w:t>Mucosal Immunol</w:t>
      </w:r>
      <w:r w:rsidRPr="003B7674">
        <w:rPr>
          <w:rFonts w:ascii="Arial" w:hAnsi="Arial" w:cs="Arial"/>
          <w:color w:val="000000"/>
          <w:sz w:val="22"/>
        </w:rPr>
        <w:t>. 2015;8(6):1313-1323. doi:10.1038/mi.2015.21</w:t>
      </w:r>
    </w:p>
    <w:p w14:paraId="17BD78BE"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28. </w:t>
      </w:r>
      <w:r w:rsidRPr="003B7674">
        <w:rPr>
          <w:rFonts w:ascii="Arial" w:hAnsi="Arial" w:cs="Arial"/>
          <w:color w:val="000000"/>
          <w:sz w:val="22"/>
        </w:rPr>
        <w:tab/>
        <w:t xml:space="preserve">Ricardo-Gonzalez RR, Van </w:t>
      </w:r>
      <w:proofErr w:type="spellStart"/>
      <w:r w:rsidRPr="003B7674">
        <w:rPr>
          <w:rFonts w:ascii="Arial" w:hAnsi="Arial" w:cs="Arial"/>
          <w:color w:val="000000"/>
          <w:sz w:val="22"/>
        </w:rPr>
        <w:t>Dyken</w:t>
      </w:r>
      <w:proofErr w:type="spellEnd"/>
      <w:r w:rsidRPr="003B7674">
        <w:rPr>
          <w:rFonts w:ascii="Arial" w:hAnsi="Arial" w:cs="Arial"/>
          <w:color w:val="000000"/>
          <w:sz w:val="22"/>
        </w:rPr>
        <w:t xml:space="preserve"> SJ, Schneider C, et al. Tissue signals imprint ILC2 identity with anticipatory function. </w:t>
      </w:r>
      <w:r w:rsidRPr="003B7674">
        <w:rPr>
          <w:rFonts w:ascii="Arial" w:hAnsi="Arial" w:cs="Arial"/>
          <w:i/>
          <w:iCs/>
          <w:color w:val="000000"/>
          <w:sz w:val="22"/>
        </w:rPr>
        <w:t>Nat Immunol</w:t>
      </w:r>
      <w:r w:rsidRPr="003B7674">
        <w:rPr>
          <w:rFonts w:ascii="Arial" w:hAnsi="Arial" w:cs="Arial"/>
          <w:color w:val="000000"/>
          <w:sz w:val="22"/>
        </w:rPr>
        <w:t>. 2018;19(10):1093-1099. doi:10.1038/s41590-018-0201-4</w:t>
      </w:r>
    </w:p>
    <w:p w14:paraId="5ACDE22B"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29. </w:t>
      </w:r>
      <w:r w:rsidRPr="003B7674">
        <w:rPr>
          <w:rFonts w:ascii="Arial" w:hAnsi="Arial" w:cs="Arial"/>
          <w:color w:val="000000"/>
          <w:sz w:val="22"/>
        </w:rPr>
        <w:tab/>
      </w:r>
      <w:proofErr w:type="spellStart"/>
      <w:r w:rsidRPr="003B7674">
        <w:rPr>
          <w:rFonts w:ascii="Arial" w:hAnsi="Arial" w:cs="Arial"/>
          <w:color w:val="000000"/>
          <w:sz w:val="22"/>
        </w:rPr>
        <w:t>Hizaki</w:t>
      </w:r>
      <w:proofErr w:type="spellEnd"/>
      <w:r w:rsidRPr="003B7674">
        <w:rPr>
          <w:rFonts w:ascii="Arial" w:hAnsi="Arial" w:cs="Arial"/>
          <w:color w:val="000000"/>
          <w:sz w:val="22"/>
        </w:rPr>
        <w:t xml:space="preserve"> H, </w:t>
      </w:r>
      <w:proofErr w:type="spellStart"/>
      <w:r w:rsidRPr="003B7674">
        <w:rPr>
          <w:rFonts w:ascii="Arial" w:hAnsi="Arial" w:cs="Arial"/>
          <w:color w:val="000000"/>
          <w:sz w:val="22"/>
        </w:rPr>
        <w:t>Segi</w:t>
      </w:r>
      <w:proofErr w:type="spellEnd"/>
      <w:r w:rsidRPr="003B7674">
        <w:rPr>
          <w:rFonts w:ascii="Arial" w:hAnsi="Arial" w:cs="Arial"/>
          <w:color w:val="000000"/>
          <w:sz w:val="22"/>
        </w:rPr>
        <w:t xml:space="preserve"> E, Sugimoto Y, et al. Abortive expansion of the cumulus and impaired fertility in mice lacking the prostaglandin E receptor subtype </w:t>
      </w:r>
      <w:proofErr w:type="gramStart"/>
      <w:r w:rsidRPr="003B7674">
        <w:rPr>
          <w:rFonts w:ascii="Arial" w:hAnsi="Arial" w:cs="Arial"/>
          <w:color w:val="000000"/>
          <w:sz w:val="22"/>
        </w:rPr>
        <w:t>EP(</w:t>
      </w:r>
      <w:proofErr w:type="gramEnd"/>
      <w:r w:rsidRPr="003B7674">
        <w:rPr>
          <w:rFonts w:ascii="Arial" w:hAnsi="Arial" w:cs="Arial"/>
          <w:color w:val="000000"/>
          <w:sz w:val="22"/>
        </w:rPr>
        <w:t xml:space="preserve">2). </w:t>
      </w:r>
      <w:r w:rsidRPr="003B7674">
        <w:rPr>
          <w:rFonts w:ascii="Arial" w:hAnsi="Arial" w:cs="Arial"/>
          <w:i/>
          <w:iCs/>
          <w:color w:val="000000"/>
          <w:sz w:val="22"/>
        </w:rPr>
        <w:t xml:space="preserve">Proc Natl </w:t>
      </w:r>
      <w:proofErr w:type="spellStart"/>
      <w:r w:rsidRPr="003B7674">
        <w:rPr>
          <w:rFonts w:ascii="Arial" w:hAnsi="Arial" w:cs="Arial"/>
          <w:i/>
          <w:iCs/>
          <w:color w:val="000000"/>
          <w:sz w:val="22"/>
        </w:rPr>
        <w:t>Acad</w:t>
      </w:r>
      <w:proofErr w:type="spellEnd"/>
      <w:r w:rsidRPr="003B7674">
        <w:rPr>
          <w:rFonts w:ascii="Arial" w:hAnsi="Arial" w:cs="Arial"/>
          <w:i/>
          <w:iCs/>
          <w:color w:val="000000"/>
          <w:sz w:val="22"/>
        </w:rPr>
        <w:t xml:space="preserve"> Sci U S A</w:t>
      </w:r>
      <w:r w:rsidRPr="003B7674">
        <w:rPr>
          <w:rFonts w:ascii="Arial" w:hAnsi="Arial" w:cs="Arial"/>
          <w:color w:val="000000"/>
          <w:sz w:val="22"/>
        </w:rPr>
        <w:t>. 1999;96(18):10501-10506. doi:10.1073/pnas.96.18.10501</w:t>
      </w:r>
    </w:p>
    <w:p w14:paraId="276A80F6"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lastRenderedPageBreak/>
        <w:t xml:space="preserve">30. </w:t>
      </w:r>
      <w:r w:rsidRPr="003B7674">
        <w:rPr>
          <w:rFonts w:ascii="Arial" w:hAnsi="Arial" w:cs="Arial"/>
          <w:color w:val="000000"/>
          <w:sz w:val="22"/>
        </w:rPr>
        <w:tab/>
      </w:r>
      <w:proofErr w:type="spellStart"/>
      <w:r w:rsidRPr="003B7674">
        <w:rPr>
          <w:rFonts w:ascii="Arial" w:hAnsi="Arial" w:cs="Arial"/>
          <w:color w:val="000000"/>
          <w:sz w:val="22"/>
        </w:rPr>
        <w:t>Segi</w:t>
      </w:r>
      <w:proofErr w:type="spellEnd"/>
      <w:r w:rsidRPr="003B7674">
        <w:rPr>
          <w:rFonts w:ascii="Arial" w:hAnsi="Arial" w:cs="Arial"/>
          <w:color w:val="000000"/>
          <w:sz w:val="22"/>
        </w:rPr>
        <w:t xml:space="preserve"> E, Sugimoto Y, Yamasaki A, et al. Patent ductus arteriosus and neonatal death in prostaglandin receptor EP4-deficient mice. </w:t>
      </w:r>
      <w:proofErr w:type="spellStart"/>
      <w:r w:rsidRPr="003B7674">
        <w:rPr>
          <w:rFonts w:ascii="Arial" w:hAnsi="Arial" w:cs="Arial"/>
          <w:i/>
          <w:iCs/>
          <w:color w:val="000000"/>
          <w:sz w:val="22"/>
        </w:rPr>
        <w:t>Biochem</w:t>
      </w:r>
      <w:proofErr w:type="spellEnd"/>
      <w:r w:rsidRPr="003B7674">
        <w:rPr>
          <w:rFonts w:ascii="Arial" w:hAnsi="Arial" w:cs="Arial"/>
          <w:i/>
          <w:iCs/>
          <w:color w:val="000000"/>
          <w:sz w:val="22"/>
        </w:rPr>
        <w:t xml:space="preserve"> </w:t>
      </w:r>
      <w:proofErr w:type="spellStart"/>
      <w:r w:rsidRPr="003B7674">
        <w:rPr>
          <w:rFonts w:ascii="Arial" w:hAnsi="Arial" w:cs="Arial"/>
          <w:i/>
          <w:iCs/>
          <w:color w:val="000000"/>
          <w:sz w:val="22"/>
        </w:rPr>
        <w:t>Biophys</w:t>
      </w:r>
      <w:proofErr w:type="spellEnd"/>
      <w:r w:rsidRPr="003B7674">
        <w:rPr>
          <w:rFonts w:ascii="Arial" w:hAnsi="Arial" w:cs="Arial"/>
          <w:i/>
          <w:iCs/>
          <w:color w:val="000000"/>
          <w:sz w:val="22"/>
        </w:rPr>
        <w:t xml:space="preserve"> Res </w:t>
      </w:r>
      <w:proofErr w:type="spellStart"/>
      <w:r w:rsidRPr="003B7674">
        <w:rPr>
          <w:rFonts w:ascii="Arial" w:hAnsi="Arial" w:cs="Arial"/>
          <w:i/>
          <w:iCs/>
          <w:color w:val="000000"/>
          <w:sz w:val="22"/>
        </w:rPr>
        <w:t>Commun</w:t>
      </w:r>
      <w:proofErr w:type="spellEnd"/>
      <w:r w:rsidRPr="003B7674">
        <w:rPr>
          <w:rFonts w:ascii="Arial" w:hAnsi="Arial" w:cs="Arial"/>
          <w:color w:val="000000"/>
          <w:sz w:val="22"/>
        </w:rPr>
        <w:t>. 1998;246(1):7-12. doi:10.1006/bbrc.1998.8461</w:t>
      </w:r>
    </w:p>
    <w:p w14:paraId="3BE22214"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31. </w:t>
      </w:r>
      <w:r w:rsidRPr="003B7674">
        <w:rPr>
          <w:rFonts w:ascii="Arial" w:hAnsi="Arial" w:cs="Arial"/>
          <w:color w:val="000000"/>
          <w:sz w:val="22"/>
        </w:rPr>
        <w:tab/>
        <w:t xml:space="preserve">Schneider A, Guan Y, Zhang Y, et al. Generation of a conditional allele of the mouse prostaglandin EP4 receptor. </w:t>
      </w:r>
      <w:r w:rsidRPr="003B7674">
        <w:rPr>
          <w:rFonts w:ascii="Arial" w:hAnsi="Arial" w:cs="Arial"/>
          <w:i/>
          <w:iCs/>
          <w:color w:val="000000"/>
          <w:sz w:val="22"/>
        </w:rPr>
        <w:t>Genesis</w:t>
      </w:r>
      <w:r w:rsidRPr="003B7674">
        <w:rPr>
          <w:rFonts w:ascii="Arial" w:hAnsi="Arial" w:cs="Arial"/>
          <w:color w:val="000000"/>
          <w:sz w:val="22"/>
        </w:rPr>
        <w:t>. 2004;40(1):7-14. doi:10.1002/gene.20048</w:t>
      </w:r>
    </w:p>
    <w:p w14:paraId="6D422265"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32. </w:t>
      </w:r>
      <w:r w:rsidRPr="003B7674">
        <w:rPr>
          <w:rFonts w:ascii="Arial" w:hAnsi="Arial" w:cs="Arial"/>
          <w:color w:val="000000"/>
          <w:sz w:val="22"/>
        </w:rPr>
        <w:tab/>
      </w:r>
      <w:proofErr w:type="spellStart"/>
      <w:r w:rsidRPr="003B7674">
        <w:rPr>
          <w:rFonts w:ascii="Arial" w:hAnsi="Arial" w:cs="Arial"/>
          <w:color w:val="000000"/>
          <w:sz w:val="22"/>
        </w:rPr>
        <w:t>Stadtfeld</w:t>
      </w:r>
      <w:proofErr w:type="spellEnd"/>
      <w:r w:rsidRPr="003B7674">
        <w:rPr>
          <w:rFonts w:ascii="Arial" w:hAnsi="Arial" w:cs="Arial"/>
          <w:color w:val="000000"/>
          <w:sz w:val="22"/>
        </w:rPr>
        <w:t xml:space="preserve"> M, Graf T. Assessing the role of hematopoietic plasticity for endothelial and hepatocyte development by non-invasive lineage tracing. </w:t>
      </w:r>
      <w:r w:rsidRPr="003B7674">
        <w:rPr>
          <w:rFonts w:ascii="Arial" w:hAnsi="Arial" w:cs="Arial"/>
          <w:i/>
          <w:iCs/>
          <w:color w:val="000000"/>
          <w:sz w:val="22"/>
        </w:rPr>
        <w:t>Development</w:t>
      </w:r>
      <w:r w:rsidRPr="003B7674">
        <w:rPr>
          <w:rFonts w:ascii="Arial" w:hAnsi="Arial" w:cs="Arial"/>
          <w:color w:val="000000"/>
          <w:sz w:val="22"/>
        </w:rPr>
        <w:t>. 2005;132(1):203-213. doi:10.1242/dev.01558</w:t>
      </w:r>
    </w:p>
    <w:p w14:paraId="1D2E6153"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33. </w:t>
      </w:r>
      <w:r w:rsidRPr="003B7674">
        <w:rPr>
          <w:rFonts w:ascii="Arial" w:hAnsi="Arial" w:cs="Arial"/>
          <w:color w:val="000000"/>
          <w:sz w:val="22"/>
        </w:rPr>
        <w:tab/>
      </w:r>
      <w:proofErr w:type="spellStart"/>
      <w:r w:rsidRPr="003B7674">
        <w:rPr>
          <w:rFonts w:ascii="Arial" w:hAnsi="Arial" w:cs="Arial"/>
          <w:color w:val="000000"/>
          <w:sz w:val="22"/>
        </w:rPr>
        <w:t>Zonta</w:t>
      </w:r>
      <w:proofErr w:type="spellEnd"/>
      <w:r w:rsidRPr="003B7674">
        <w:rPr>
          <w:rFonts w:ascii="Arial" w:hAnsi="Arial" w:cs="Arial"/>
          <w:color w:val="000000"/>
          <w:sz w:val="22"/>
        </w:rPr>
        <w:t xml:space="preserve"> B, </w:t>
      </w:r>
      <w:proofErr w:type="spellStart"/>
      <w:r w:rsidRPr="003B7674">
        <w:rPr>
          <w:rFonts w:ascii="Arial" w:hAnsi="Arial" w:cs="Arial"/>
          <w:color w:val="000000"/>
          <w:sz w:val="22"/>
        </w:rPr>
        <w:t>Desmazieres</w:t>
      </w:r>
      <w:proofErr w:type="spellEnd"/>
      <w:r w:rsidRPr="003B7674">
        <w:rPr>
          <w:rFonts w:ascii="Arial" w:hAnsi="Arial" w:cs="Arial"/>
          <w:color w:val="000000"/>
          <w:sz w:val="22"/>
        </w:rPr>
        <w:t xml:space="preserve"> A, Rinaldi A, et al. A critical role for </w:t>
      </w:r>
      <w:proofErr w:type="spellStart"/>
      <w:r w:rsidRPr="003B7674">
        <w:rPr>
          <w:rFonts w:ascii="Arial" w:hAnsi="Arial" w:cs="Arial"/>
          <w:color w:val="000000"/>
          <w:sz w:val="22"/>
        </w:rPr>
        <w:t>Neurofascin</w:t>
      </w:r>
      <w:proofErr w:type="spellEnd"/>
      <w:r w:rsidRPr="003B7674">
        <w:rPr>
          <w:rFonts w:ascii="Arial" w:hAnsi="Arial" w:cs="Arial"/>
          <w:color w:val="000000"/>
          <w:sz w:val="22"/>
        </w:rPr>
        <w:t xml:space="preserve"> in regulating action potential initiation through maintenance of the axon initial segment. </w:t>
      </w:r>
      <w:r w:rsidRPr="003B7674">
        <w:rPr>
          <w:rFonts w:ascii="Arial" w:hAnsi="Arial" w:cs="Arial"/>
          <w:i/>
          <w:iCs/>
          <w:color w:val="000000"/>
          <w:sz w:val="22"/>
        </w:rPr>
        <w:t>Neuron</w:t>
      </w:r>
      <w:r w:rsidRPr="003B7674">
        <w:rPr>
          <w:rFonts w:ascii="Arial" w:hAnsi="Arial" w:cs="Arial"/>
          <w:color w:val="000000"/>
          <w:sz w:val="22"/>
        </w:rPr>
        <w:t xml:space="preserve">. 2011;69(5):945-956. </w:t>
      </w:r>
      <w:proofErr w:type="gramStart"/>
      <w:r w:rsidRPr="003B7674">
        <w:rPr>
          <w:rFonts w:ascii="Arial" w:hAnsi="Arial" w:cs="Arial"/>
          <w:color w:val="000000"/>
          <w:sz w:val="22"/>
        </w:rPr>
        <w:t>doi:10.1016/j.neuron</w:t>
      </w:r>
      <w:proofErr w:type="gramEnd"/>
      <w:r w:rsidRPr="003B7674">
        <w:rPr>
          <w:rFonts w:ascii="Arial" w:hAnsi="Arial" w:cs="Arial"/>
          <w:color w:val="000000"/>
          <w:sz w:val="22"/>
        </w:rPr>
        <w:t>.2011.02.021</w:t>
      </w:r>
    </w:p>
    <w:p w14:paraId="17585E88"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34. </w:t>
      </w:r>
      <w:r w:rsidRPr="003B7674">
        <w:rPr>
          <w:rFonts w:ascii="Arial" w:hAnsi="Arial" w:cs="Arial"/>
          <w:color w:val="000000"/>
          <w:sz w:val="22"/>
        </w:rPr>
        <w:tab/>
      </w:r>
      <w:proofErr w:type="spellStart"/>
      <w:r w:rsidRPr="003B7674">
        <w:rPr>
          <w:rFonts w:ascii="Arial" w:hAnsi="Arial" w:cs="Arial"/>
          <w:color w:val="000000"/>
          <w:sz w:val="22"/>
        </w:rPr>
        <w:t>Snelgrove</w:t>
      </w:r>
      <w:proofErr w:type="spellEnd"/>
      <w:r w:rsidRPr="003B7674">
        <w:rPr>
          <w:rFonts w:ascii="Arial" w:hAnsi="Arial" w:cs="Arial"/>
          <w:color w:val="000000"/>
          <w:sz w:val="22"/>
        </w:rPr>
        <w:t xml:space="preserve"> RJ, Gregory LG, </w:t>
      </w:r>
      <w:proofErr w:type="spellStart"/>
      <w:r w:rsidRPr="003B7674">
        <w:rPr>
          <w:rFonts w:ascii="Arial" w:hAnsi="Arial" w:cs="Arial"/>
          <w:color w:val="000000"/>
          <w:sz w:val="22"/>
        </w:rPr>
        <w:t>Peiró</w:t>
      </w:r>
      <w:proofErr w:type="spellEnd"/>
      <w:r w:rsidRPr="003B7674">
        <w:rPr>
          <w:rFonts w:ascii="Arial" w:hAnsi="Arial" w:cs="Arial"/>
          <w:color w:val="000000"/>
          <w:sz w:val="22"/>
        </w:rPr>
        <w:t xml:space="preserve"> T, et al. Alternaria-derived serine protease activity drives IL-33-mediated asthma exacerbations. </w:t>
      </w:r>
      <w:r w:rsidRPr="003B7674">
        <w:rPr>
          <w:rFonts w:ascii="Arial" w:hAnsi="Arial" w:cs="Arial"/>
          <w:i/>
          <w:iCs/>
          <w:color w:val="000000"/>
          <w:sz w:val="22"/>
        </w:rPr>
        <w:t>J Allergy Clin Immunol</w:t>
      </w:r>
      <w:r w:rsidRPr="003B7674">
        <w:rPr>
          <w:rFonts w:ascii="Arial" w:hAnsi="Arial" w:cs="Arial"/>
          <w:color w:val="000000"/>
          <w:sz w:val="22"/>
        </w:rPr>
        <w:t xml:space="preserve">. 2014;134(3):583-592.e6. </w:t>
      </w:r>
      <w:proofErr w:type="gramStart"/>
      <w:r w:rsidRPr="003B7674">
        <w:rPr>
          <w:rFonts w:ascii="Arial" w:hAnsi="Arial" w:cs="Arial"/>
          <w:color w:val="000000"/>
          <w:sz w:val="22"/>
        </w:rPr>
        <w:t>doi:10.1016/j.jaci</w:t>
      </w:r>
      <w:proofErr w:type="gramEnd"/>
      <w:r w:rsidRPr="003B7674">
        <w:rPr>
          <w:rFonts w:ascii="Arial" w:hAnsi="Arial" w:cs="Arial"/>
          <w:color w:val="000000"/>
          <w:sz w:val="22"/>
        </w:rPr>
        <w:t>.2014.02.002</w:t>
      </w:r>
    </w:p>
    <w:p w14:paraId="342F55C8"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35. </w:t>
      </w:r>
      <w:r w:rsidRPr="003B7674">
        <w:rPr>
          <w:rFonts w:ascii="Arial" w:hAnsi="Arial" w:cs="Arial"/>
          <w:color w:val="000000"/>
          <w:sz w:val="22"/>
        </w:rPr>
        <w:tab/>
        <w:t xml:space="preserve">Nagashima H, </w:t>
      </w:r>
      <w:proofErr w:type="spellStart"/>
      <w:r w:rsidRPr="003B7674">
        <w:rPr>
          <w:rFonts w:ascii="Arial" w:hAnsi="Arial" w:cs="Arial"/>
          <w:color w:val="000000"/>
          <w:sz w:val="22"/>
        </w:rPr>
        <w:t>Mahlakõiv</w:t>
      </w:r>
      <w:proofErr w:type="spellEnd"/>
      <w:r w:rsidRPr="003B7674">
        <w:rPr>
          <w:rFonts w:ascii="Arial" w:hAnsi="Arial" w:cs="Arial"/>
          <w:color w:val="000000"/>
          <w:sz w:val="22"/>
        </w:rPr>
        <w:t xml:space="preserve"> T, Shih HY, et al. Neuropeptide CGRP Limits Group 2 Innate Lymphoid Cell Responses and Constrains Type 2 Inflammation. </w:t>
      </w:r>
      <w:r w:rsidRPr="003B7674">
        <w:rPr>
          <w:rFonts w:ascii="Arial" w:hAnsi="Arial" w:cs="Arial"/>
          <w:i/>
          <w:iCs/>
          <w:color w:val="000000"/>
          <w:sz w:val="22"/>
        </w:rPr>
        <w:t>Immunity</w:t>
      </w:r>
      <w:r w:rsidRPr="003B7674">
        <w:rPr>
          <w:rFonts w:ascii="Arial" w:hAnsi="Arial" w:cs="Arial"/>
          <w:color w:val="000000"/>
          <w:sz w:val="22"/>
        </w:rPr>
        <w:t xml:space="preserve">. 2019;51(4):682-695.e6. </w:t>
      </w:r>
      <w:proofErr w:type="gramStart"/>
      <w:r w:rsidRPr="003B7674">
        <w:rPr>
          <w:rFonts w:ascii="Arial" w:hAnsi="Arial" w:cs="Arial"/>
          <w:color w:val="000000"/>
          <w:sz w:val="22"/>
        </w:rPr>
        <w:t>doi:10.1016/j.immuni</w:t>
      </w:r>
      <w:proofErr w:type="gramEnd"/>
      <w:r w:rsidRPr="003B7674">
        <w:rPr>
          <w:rFonts w:ascii="Arial" w:hAnsi="Arial" w:cs="Arial"/>
          <w:color w:val="000000"/>
          <w:sz w:val="22"/>
        </w:rPr>
        <w:t>.2019.06.009</w:t>
      </w:r>
    </w:p>
    <w:p w14:paraId="16FAB359"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36. </w:t>
      </w:r>
      <w:r w:rsidRPr="003B7674">
        <w:rPr>
          <w:rFonts w:ascii="Arial" w:hAnsi="Arial" w:cs="Arial"/>
          <w:color w:val="000000"/>
          <w:sz w:val="22"/>
        </w:rPr>
        <w:tab/>
      </w:r>
      <w:proofErr w:type="spellStart"/>
      <w:r w:rsidRPr="003B7674">
        <w:rPr>
          <w:rFonts w:ascii="Arial" w:hAnsi="Arial" w:cs="Arial"/>
          <w:color w:val="000000"/>
          <w:sz w:val="22"/>
        </w:rPr>
        <w:t>Villarino</w:t>
      </w:r>
      <w:proofErr w:type="spellEnd"/>
      <w:r w:rsidRPr="003B7674">
        <w:rPr>
          <w:rFonts w:ascii="Arial" w:hAnsi="Arial" w:cs="Arial"/>
          <w:color w:val="000000"/>
          <w:sz w:val="22"/>
        </w:rPr>
        <w:t xml:space="preserve"> AV, </w:t>
      </w:r>
      <w:proofErr w:type="spellStart"/>
      <w:r w:rsidRPr="003B7674">
        <w:rPr>
          <w:rFonts w:ascii="Arial" w:hAnsi="Arial" w:cs="Arial"/>
          <w:color w:val="000000"/>
          <w:sz w:val="22"/>
        </w:rPr>
        <w:t>Sciumè</w:t>
      </w:r>
      <w:proofErr w:type="spellEnd"/>
      <w:r w:rsidRPr="003B7674">
        <w:rPr>
          <w:rFonts w:ascii="Arial" w:hAnsi="Arial" w:cs="Arial"/>
          <w:color w:val="000000"/>
          <w:sz w:val="22"/>
        </w:rPr>
        <w:t xml:space="preserve"> G, Davis FP, et al. Subset- and tissue-defined STAT5 thresholds control homeostasis and function of innate lymphoid cells. </w:t>
      </w:r>
      <w:r w:rsidRPr="003B7674">
        <w:rPr>
          <w:rFonts w:ascii="Arial" w:hAnsi="Arial" w:cs="Arial"/>
          <w:i/>
          <w:iCs/>
          <w:color w:val="000000"/>
          <w:sz w:val="22"/>
        </w:rPr>
        <w:t>J Exp Med</w:t>
      </w:r>
      <w:r w:rsidRPr="003B7674">
        <w:rPr>
          <w:rFonts w:ascii="Arial" w:hAnsi="Arial" w:cs="Arial"/>
          <w:color w:val="000000"/>
          <w:sz w:val="22"/>
        </w:rPr>
        <w:t>. 2017;214(10):2999-3014. doi:10.1084/jem.20150907</w:t>
      </w:r>
    </w:p>
    <w:p w14:paraId="2ABF2112"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37. </w:t>
      </w:r>
      <w:r w:rsidRPr="003B7674">
        <w:rPr>
          <w:rFonts w:ascii="Arial" w:hAnsi="Arial" w:cs="Arial"/>
          <w:color w:val="000000"/>
          <w:sz w:val="22"/>
        </w:rPr>
        <w:tab/>
        <w:t xml:space="preserve">Yao C, Hirata T, </w:t>
      </w:r>
      <w:proofErr w:type="spellStart"/>
      <w:r w:rsidRPr="003B7674">
        <w:rPr>
          <w:rFonts w:ascii="Arial" w:hAnsi="Arial" w:cs="Arial"/>
          <w:color w:val="000000"/>
          <w:sz w:val="22"/>
        </w:rPr>
        <w:t>Soontrapa</w:t>
      </w:r>
      <w:proofErr w:type="spellEnd"/>
      <w:r w:rsidRPr="003B7674">
        <w:rPr>
          <w:rFonts w:ascii="Arial" w:hAnsi="Arial" w:cs="Arial"/>
          <w:color w:val="000000"/>
          <w:sz w:val="22"/>
        </w:rPr>
        <w:t xml:space="preserve"> K, Ma X, Takemori H, </w:t>
      </w:r>
      <w:proofErr w:type="spellStart"/>
      <w:r w:rsidRPr="003B7674">
        <w:rPr>
          <w:rFonts w:ascii="Arial" w:hAnsi="Arial" w:cs="Arial"/>
          <w:color w:val="000000"/>
          <w:sz w:val="22"/>
        </w:rPr>
        <w:t>Narumiya</w:t>
      </w:r>
      <w:proofErr w:type="spellEnd"/>
      <w:r w:rsidRPr="003B7674">
        <w:rPr>
          <w:rFonts w:ascii="Arial" w:hAnsi="Arial" w:cs="Arial"/>
          <w:color w:val="000000"/>
          <w:sz w:val="22"/>
        </w:rPr>
        <w:t xml:space="preserve"> S. Prostaglandin E</w:t>
      </w:r>
      <w:r w:rsidRPr="003B7674">
        <w:rPr>
          <w:rFonts w:ascii="Cambria Math" w:hAnsi="Cambria Math" w:cs="Cambria Math"/>
          <w:color w:val="000000"/>
          <w:sz w:val="22"/>
        </w:rPr>
        <w:t>₂</w:t>
      </w:r>
      <w:r w:rsidRPr="003B7674">
        <w:rPr>
          <w:rFonts w:ascii="Arial" w:hAnsi="Arial" w:cs="Arial"/>
          <w:color w:val="000000"/>
          <w:sz w:val="22"/>
        </w:rPr>
        <w:t xml:space="preserve"> promotes Th1 differentiation via synergistic amplification of IL-12 signalling by cAMP and PI3-kinase. </w:t>
      </w:r>
      <w:r w:rsidRPr="003B7674">
        <w:rPr>
          <w:rFonts w:ascii="Arial" w:hAnsi="Arial" w:cs="Arial"/>
          <w:i/>
          <w:iCs/>
          <w:color w:val="000000"/>
          <w:sz w:val="22"/>
        </w:rPr>
        <w:t xml:space="preserve">Nat </w:t>
      </w:r>
      <w:proofErr w:type="spellStart"/>
      <w:r w:rsidRPr="003B7674">
        <w:rPr>
          <w:rFonts w:ascii="Arial" w:hAnsi="Arial" w:cs="Arial"/>
          <w:i/>
          <w:iCs/>
          <w:color w:val="000000"/>
          <w:sz w:val="22"/>
        </w:rPr>
        <w:t>Commun</w:t>
      </w:r>
      <w:proofErr w:type="spellEnd"/>
      <w:r w:rsidRPr="003B7674">
        <w:rPr>
          <w:rFonts w:ascii="Arial" w:hAnsi="Arial" w:cs="Arial"/>
          <w:color w:val="000000"/>
          <w:sz w:val="22"/>
        </w:rPr>
        <w:t xml:space="preserve">. </w:t>
      </w:r>
      <w:proofErr w:type="gramStart"/>
      <w:r w:rsidRPr="003B7674">
        <w:rPr>
          <w:rFonts w:ascii="Arial" w:hAnsi="Arial" w:cs="Arial"/>
          <w:color w:val="000000"/>
          <w:sz w:val="22"/>
        </w:rPr>
        <w:t>2013;4:1685</w:t>
      </w:r>
      <w:proofErr w:type="gramEnd"/>
      <w:r w:rsidRPr="003B7674">
        <w:rPr>
          <w:rFonts w:ascii="Arial" w:hAnsi="Arial" w:cs="Arial"/>
          <w:color w:val="000000"/>
          <w:sz w:val="22"/>
        </w:rPr>
        <w:t>. doi:10.1038/ncomms2684</w:t>
      </w:r>
    </w:p>
    <w:p w14:paraId="01646AD0"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38. </w:t>
      </w:r>
      <w:r w:rsidRPr="003B7674">
        <w:rPr>
          <w:rFonts w:ascii="Arial" w:hAnsi="Arial" w:cs="Arial"/>
          <w:color w:val="000000"/>
          <w:sz w:val="22"/>
        </w:rPr>
        <w:tab/>
      </w:r>
      <w:proofErr w:type="spellStart"/>
      <w:r w:rsidRPr="003B7674">
        <w:rPr>
          <w:rFonts w:ascii="Arial" w:hAnsi="Arial" w:cs="Arial"/>
          <w:color w:val="000000"/>
          <w:sz w:val="22"/>
        </w:rPr>
        <w:t>Tei</w:t>
      </w:r>
      <w:proofErr w:type="spellEnd"/>
      <w:r w:rsidRPr="003B7674">
        <w:rPr>
          <w:rFonts w:ascii="Arial" w:hAnsi="Arial" w:cs="Arial"/>
          <w:color w:val="000000"/>
          <w:sz w:val="22"/>
        </w:rPr>
        <w:t xml:space="preserve"> R, </w:t>
      </w:r>
      <w:proofErr w:type="spellStart"/>
      <w:r w:rsidRPr="003B7674">
        <w:rPr>
          <w:rFonts w:ascii="Arial" w:hAnsi="Arial" w:cs="Arial"/>
          <w:color w:val="000000"/>
          <w:sz w:val="22"/>
        </w:rPr>
        <w:t>Iijima</w:t>
      </w:r>
      <w:proofErr w:type="spellEnd"/>
      <w:r w:rsidRPr="003B7674">
        <w:rPr>
          <w:rFonts w:ascii="Arial" w:hAnsi="Arial" w:cs="Arial"/>
          <w:color w:val="000000"/>
          <w:sz w:val="22"/>
        </w:rPr>
        <w:t xml:space="preserve"> K, Matsumoto K, et al. TLR3-driven IFN-β antagonizes STAT5-activating cytokines and suppresses innate type 2 response in the lung. </w:t>
      </w:r>
      <w:r w:rsidRPr="003B7674">
        <w:rPr>
          <w:rFonts w:ascii="Arial" w:hAnsi="Arial" w:cs="Arial"/>
          <w:i/>
          <w:iCs/>
          <w:color w:val="000000"/>
          <w:sz w:val="22"/>
        </w:rPr>
        <w:t>J Allergy Clin Immunol</w:t>
      </w:r>
      <w:r w:rsidRPr="003B7674">
        <w:rPr>
          <w:rFonts w:ascii="Arial" w:hAnsi="Arial" w:cs="Arial"/>
          <w:color w:val="000000"/>
          <w:sz w:val="22"/>
        </w:rPr>
        <w:t xml:space="preserve">. Published online August 21, </w:t>
      </w:r>
      <w:proofErr w:type="gramStart"/>
      <w:r w:rsidRPr="003B7674">
        <w:rPr>
          <w:rFonts w:ascii="Arial" w:hAnsi="Arial" w:cs="Arial"/>
          <w:color w:val="000000"/>
          <w:sz w:val="22"/>
        </w:rPr>
        <w:t>2021:S</w:t>
      </w:r>
      <w:proofErr w:type="gramEnd"/>
      <w:r w:rsidRPr="003B7674">
        <w:rPr>
          <w:rFonts w:ascii="Arial" w:hAnsi="Arial" w:cs="Arial"/>
          <w:color w:val="000000"/>
          <w:sz w:val="22"/>
        </w:rPr>
        <w:t xml:space="preserve">0091-6749(21)01296-3. </w:t>
      </w:r>
      <w:proofErr w:type="gramStart"/>
      <w:r w:rsidRPr="003B7674">
        <w:rPr>
          <w:rFonts w:ascii="Arial" w:hAnsi="Arial" w:cs="Arial"/>
          <w:color w:val="000000"/>
          <w:sz w:val="22"/>
        </w:rPr>
        <w:t>doi:10.1016/j.jaci</w:t>
      </w:r>
      <w:proofErr w:type="gramEnd"/>
      <w:r w:rsidRPr="003B7674">
        <w:rPr>
          <w:rFonts w:ascii="Arial" w:hAnsi="Arial" w:cs="Arial"/>
          <w:color w:val="000000"/>
          <w:sz w:val="22"/>
        </w:rPr>
        <w:t>.2021.07.041</w:t>
      </w:r>
    </w:p>
    <w:p w14:paraId="046254AE"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39. </w:t>
      </w:r>
      <w:r w:rsidRPr="003B7674">
        <w:rPr>
          <w:rFonts w:ascii="Arial" w:hAnsi="Arial" w:cs="Arial"/>
          <w:color w:val="000000"/>
          <w:sz w:val="22"/>
        </w:rPr>
        <w:tab/>
      </w:r>
      <w:proofErr w:type="spellStart"/>
      <w:r w:rsidRPr="003B7674">
        <w:rPr>
          <w:rFonts w:ascii="Arial" w:hAnsi="Arial" w:cs="Arial"/>
          <w:color w:val="000000"/>
          <w:sz w:val="22"/>
        </w:rPr>
        <w:t>Wingelhofer</w:t>
      </w:r>
      <w:proofErr w:type="spellEnd"/>
      <w:r w:rsidRPr="003B7674">
        <w:rPr>
          <w:rFonts w:ascii="Arial" w:hAnsi="Arial" w:cs="Arial"/>
          <w:color w:val="000000"/>
          <w:sz w:val="22"/>
        </w:rPr>
        <w:t xml:space="preserve"> B, Neubauer HA, Valent P, et al. Implications of STAT3 and STAT5 </w:t>
      </w:r>
      <w:proofErr w:type="spellStart"/>
      <w:r w:rsidRPr="003B7674">
        <w:rPr>
          <w:rFonts w:ascii="Arial" w:hAnsi="Arial" w:cs="Arial"/>
          <w:color w:val="000000"/>
          <w:sz w:val="22"/>
        </w:rPr>
        <w:t>signaling</w:t>
      </w:r>
      <w:proofErr w:type="spellEnd"/>
      <w:r w:rsidRPr="003B7674">
        <w:rPr>
          <w:rFonts w:ascii="Arial" w:hAnsi="Arial" w:cs="Arial"/>
          <w:color w:val="000000"/>
          <w:sz w:val="22"/>
        </w:rPr>
        <w:t xml:space="preserve"> on gene regulation and chromatin </w:t>
      </w:r>
      <w:proofErr w:type="spellStart"/>
      <w:r w:rsidRPr="003B7674">
        <w:rPr>
          <w:rFonts w:ascii="Arial" w:hAnsi="Arial" w:cs="Arial"/>
          <w:color w:val="000000"/>
          <w:sz w:val="22"/>
        </w:rPr>
        <w:t>remodeling</w:t>
      </w:r>
      <w:proofErr w:type="spellEnd"/>
      <w:r w:rsidRPr="003B7674">
        <w:rPr>
          <w:rFonts w:ascii="Arial" w:hAnsi="Arial" w:cs="Arial"/>
          <w:color w:val="000000"/>
          <w:sz w:val="22"/>
        </w:rPr>
        <w:t xml:space="preserve"> in hematopoietic cancer. </w:t>
      </w:r>
      <w:proofErr w:type="spellStart"/>
      <w:r w:rsidRPr="003B7674">
        <w:rPr>
          <w:rFonts w:ascii="Arial" w:hAnsi="Arial" w:cs="Arial"/>
          <w:i/>
          <w:iCs/>
          <w:color w:val="000000"/>
          <w:sz w:val="22"/>
        </w:rPr>
        <w:t>Leukemia</w:t>
      </w:r>
      <w:proofErr w:type="spellEnd"/>
      <w:r w:rsidRPr="003B7674">
        <w:rPr>
          <w:rFonts w:ascii="Arial" w:hAnsi="Arial" w:cs="Arial"/>
          <w:color w:val="000000"/>
          <w:sz w:val="22"/>
        </w:rPr>
        <w:t>. 2018;32(8):1713-1726. doi:10.1038/s41375-018-0117-x</w:t>
      </w:r>
    </w:p>
    <w:p w14:paraId="4B5743A5"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40. </w:t>
      </w:r>
      <w:r w:rsidRPr="003B7674">
        <w:rPr>
          <w:rFonts w:ascii="Arial" w:hAnsi="Arial" w:cs="Arial"/>
          <w:color w:val="000000"/>
          <w:sz w:val="22"/>
        </w:rPr>
        <w:tab/>
      </w:r>
      <w:proofErr w:type="spellStart"/>
      <w:r w:rsidRPr="003B7674">
        <w:rPr>
          <w:rFonts w:ascii="Arial" w:hAnsi="Arial" w:cs="Arial"/>
          <w:color w:val="000000"/>
          <w:sz w:val="22"/>
        </w:rPr>
        <w:t>Pinz</w:t>
      </w:r>
      <w:proofErr w:type="spellEnd"/>
      <w:r w:rsidRPr="003B7674">
        <w:rPr>
          <w:rFonts w:ascii="Arial" w:hAnsi="Arial" w:cs="Arial"/>
          <w:color w:val="000000"/>
          <w:sz w:val="22"/>
        </w:rPr>
        <w:t xml:space="preserve"> S, Unser S, </w:t>
      </w:r>
      <w:proofErr w:type="spellStart"/>
      <w:r w:rsidRPr="003B7674">
        <w:rPr>
          <w:rFonts w:ascii="Arial" w:hAnsi="Arial" w:cs="Arial"/>
          <w:color w:val="000000"/>
          <w:sz w:val="22"/>
        </w:rPr>
        <w:t>Rascle</w:t>
      </w:r>
      <w:proofErr w:type="spellEnd"/>
      <w:r w:rsidRPr="003B7674">
        <w:rPr>
          <w:rFonts w:ascii="Arial" w:hAnsi="Arial" w:cs="Arial"/>
          <w:color w:val="000000"/>
          <w:sz w:val="22"/>
        </w:rPr>
        <w:t xml:space="preserve"> A. Signal transducer and activator of transcription STAT5 is recruited to c-</w:t>
      </w:r>
      <w:proofErr w:type="spellStart"/>
      <w:r w:rsidRPr="003B7674">
        <w:rPr>
          <w:rFonts w:ascii="Arial" w:hAnsi="Arial" w:cs="Arial"/>
          <w:color w:val="000000"/>
          <w:sz w:val="22"/>
        </w:rPr>
        <w:t>Myc</w:t>
      </w:r>
      <w:proofErr w:type="spellEnd"/>
      <w:r w:rsidRPr="003B7674">
        <w:rPr>
          <w:rFonts w:ascii="Arial" w:hAnsi="Arial" w:cs="Arial"/>
          <w:color w:val="000000"/>
          <w:sz w:val="22"/>
        </w:rPr>
        <w:t xml:space="preserve"> super-enhancer. </w:t>
      </w:r>
      <w:r w:rsidRPr="003B7674">
        <w:rPr>
          <w:rFonts w:ascii="Arial" w:hAnsi="Arial" w:cs="Arial"/>
          <w:i/>
          <w:iCs/>
          <w:color w:val="000000"/>
          <w:sz w:val="22"/>
        </w:rPr>
        <w:t>BMC Mol Biol</w:t>
      </w:r>
      <w:r w:rsidRPr="003B7674">
        <w:rPr>
          <w:rFonts w:ascii="Arial" w:hAnsi="Arial" w:cs="Arial"/>
          <w:color w:val="000000"/>
          <w:sz w:val="22"/>
        </w:rPr>
        <w:t xml:space="preserve">. </w:t>
      </w:r>
      <w:proofErr w:type="gramStart"/>
      <w:r w:rsidRPr="003B7674">
        <w:rPr>
          <w:rFonts w:ascii="Arial" w:hAnsi="Arial" w:cs="Arial"/>
          <w:color w:val="000000"/>
          <w:sz w:val="22"/>
        </w:rPr>
        <w:t>2016;17:10</w:t>
      </w:r>
      <w:proofErr w:type="gramEnd"/>
      <w:r w:rsidRPr="003B7674">
        <w:rPr>
          <w:rFonts w:ascii="Arial" w:hAnsi="Arial" w:cs="Arial"/>
          <w:color w:val="000000"/>
          <w:sz w:val="22"/>
        </w:rPr>
        <w:t>. doi:10.1186/s12867-016-0063-y</w:t>
      </w:r>
    </w:p>
    <w:p w14:paraId="6DCAEB43"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41. </w:t>
      </w:r>
      <w:r w:rsidRPr="003B7674">
        <w:rPr>
          <w:rFonts w:ascii="Arial" w:hAnsi="Arial" w:cs="Arial"/>
          <w:color w:val="000000"/>
          <w:sz w:val="22"/>
        </w:rPr>
        <w:tab/>
        <w:t>Ye L, Pan J, Liang M, et al. A critical role for c-</w:t>
      </w:r>
      <w:proofErr w:type="spellStart"/>
      <w:r w:rsidRPr="003B7674">
        <w:rPr>
          <w:rFonts w:ascii="Arial" w:hAnsi="Arial" w:cs="Arial"/>
          <w:color w:val="000000"/>
          <w:sz w:val="22"/>
        </w:rPr>
        <w:t>Myc</w:t>
      </w:r>
      <w:proofErr w:type="spellEnd"/>
      <w:r w:rsidRPr="003B7674">
        <w:rPr>
          <w:rFonts w:ascii="Arial" w:hAnsi="Arial" w:cs="Arial"/>
          <w:color w:val="000000"/>
          <w:sz w:val="22"/>
        </w:rPr>
        <w:t xml:space="preserve"> in group 2 innate lymphoid cell activation. </w:t>
      </w:r>
      <w:r w:rsidRPr="003B7674">
        <w:rPr>
          <w:rFonts w:ascii="Arial" w:hAnsi="Arial" w:cs="Arial"/>
          <w:i/>
          <w:iCs/>
          <w:color w:val="000000"/>
          <w:sz w:val="22"/>
        </w:rPr>
        <w:t>Allergy</w:t>
      </w:r>
      <w:r w:rsidRPr="003B7674">
        <w:rPr>
          <w:rFonts w:ascii="Arial" w:hAnsi="Arial" w:cs="Arial"/>
          <w:color w:val="000000"/>
          <w:sz w:val="22"/>
        </w:rPr>
        <w:t>. 2020;75(4):841-852. doi:10.1111/all.14149</w:t>
      </w:r>
    </w:p>
    <w:p w14:paraId="1CB04D85"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42. </w:t>
      </w:r>
      <w:r w:rsidRPr="003B7674">
        <w:rPr>
          <w:rFonts w:ascii="Arial" w:hAnsi="Arial" w:cs="Arial"/>
          <w:color w:val="000000"/>
          <w:sz w:val="22"/>
        </w:rPr>
        <w:tab/>
        <w:t xml:space="preserve">Wilhelm C, Harrison OJ, Schmitt V, et al. Critical role of fatty acid metabolism in ILC2-mediated barrier protection during malnutrition and helminth infection. </w:t>
      </w:r>
      <w:r w:rsidRPr="003B7674">
        <w:rPr>
          <w:rFonts w:ascii="Arial" w:hAnsi="Arial" w:cs="Arial"/>
          <w:i/>
          <w:iCs/>
          <w:color w:val="000000"/>
          <w:sz w:val="22"/>
        </w:rPr>
        <w:t>J Exp Med</w:t>
      </w:r>
      <w:r w:rsidRPr="003B7674">
        <w:rPr>
          <w:rFonts w:ascii="Arial" w:hAnsi="Arial" w:cs="Arial"/>
          <w:color w:val="000000"/>
          <w:sz w:val="22"/>
        </w:rPr>
        <w:t>. 2016;213(8):1409-1418. doi:10.1084/jem.20151448</w:t>
      </w:r>
    </w:p>
    <w:p w14:paraId="329ABB9D"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43. </w:t>
      </w:r>
      <w:r w:rsidRPr="003B7674">
        <w:rPr>
          <w:rFonts w:ascii="Arial" w:hAnsi="Arial" w:cs="Arial"/>
          <w:color w:val="000000"/>
          <w:sz w:val="22"/>
        </w:rPr>
        <w:tab/>
      </w:r>
      <w:proofErr w:type="spellStart"/>
      <w:r w:rsidRPr="003B7674">
        <w:rPr>
          <w:rFonts w:ascii="Arial" w:hAnsi="Arial" w:cs="Arial"/>
          <w:color w:val="000000"/>
          <w:sz w:val="22"/>
        </w:rPr>
        <w:t>Helou</w:t>
      </w:r>
      <w:proofErr w:type="spellEnd"/>
      <w:r w:rsidRPr="003B7674">
        <w:rPr>
          <w:rFonts w:ascii="Arial" w:hAnsi="Arial" w:cs="Arial"/>
          <w:color w:val="000000"/>
          <w:sz w:val="22"/>
        </w:rPr>
        <w:t xml:space="preserve"> DG, </w:t>
      </w:r>
      <w:proofErr w:type="spellStart"/>
      <w:r w:rsidRPr="003B7674">
        <w:rPr>
          <w:rFonts w:ascii="Arial" w:hAnsi="Arial" w:cs="Arial"/>
          <w:color w:val="000000"/>
          <w:sz w:val="22"/>
        </w:rPr>
        <w:t>Shafiei-Jahani</w:t>
      </w:r>
      <w:proofErr w:type="spellEnd"/>
      <w:r w:rsidRPr="003B7674">
        <w:rPr>
          <w:rFonts w:ascii="Arial" w:hAnsi="Arial" w:cs="Arial"/>
          <w:color w:val="000000"/>
          <w:sz w:val="22"/>
        </w:rPr>
        <w:t xml:space="preserve"> P, Lo R, et al. PD-1 pathway regulates ILC2 metabolism and PD-1 agonist treatment ameliorates airway hyperreactivity. </w:t>
      </w:r>
      <w:r w:rsidRPr="003B7674">
        <w:rPr>
          <w:rFonts w:ascii="Arial" w:hAnsi="Arial" w:cs="Arial"/>
          <w:i/>
          <w:iCs/>
          <w:color w:val="000000"/>
          <w:sz w:val="22"/>
        </w:rPr>
        <w:t xml:space="preserve">Nat </w:t>
      </w:r>
      <w:proofErr w:type="spellStart"/>
      <w:r w:rsidRPr="003B7674">
        <w:rPr>
          <w:rFonts w:ascii="Arial" w:hAnsi="Arial" w:cs="Arial"/>
          <w:i/>
          <w:iCs/>
          <w:color w:val="000000"/>
          <w:sz w:val="22"/>
        </w:rPr>
        <w:t>Commun</w:t>
      </w:r>
      <w:proofErr w:type="spellEnd"/>
      <w:r w:rsidRPr="003B7674">
        <w:rPr>
          <w:rFonts w:ascii="Arial" w:hAnsi="Arial" w:cs="Arial"/>
          <w:color w:val="000000"/>
          <w:sz w:val="22"/>
        </w:rPr>
        <w:t>. 2020;11(1):3998. doi:10.1038/s41467-020-17813-1</w:t>
      </w:r>
    </w:p>
    <w:p w14:paraId="751C36C5"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44. </w:t>
      </w:r>
      <w:r w:rsidRPr="003B7674">
        <w:rPr>
          <w:rFonts w:ascii="Arial" w:hAnsi="Arial" w:cs="Arial"/>
          <w:color w:val="000000"/>
          <w:sz w:val="22"/>
        </w:rPr>
        <w:tab/>
        <w:t xml:space="preserve">Lee J, Aoki T, </w:t>
      </w:r>
      <w:proofErr w:type="spellStart"/>
      <w:r w:rsidRPr="003B7674">
        <w:rPr>
          <w:rFonts w:ascii="Arial" w:hAnsi="Arial" w:cs="Arial"/>
          <w:color w:val="000000"/>
          <w:sz w:val="22"/>
        </w:rPr>
        <w:t>Thumkeo</w:t>
      </w:r>
      <w:proofErr w:type="spellEnd"/>
      <w:r w:rsidRPr="003B7674">
        <w:rPr>
          <w:rFonts w:ascii="Arial" w:hAnsi="Arial" w:cs="Arial"/>
          <w:color w:val="000000"/>
          <w:sz w:val="22"/>
        </w:rPr>
        <w:t xml:space="preserve"> D, </w:t>
      </w:r>
      <w:proofErr w:type="spellStart"/>
      <w:r w:rsidRPr="003B7674">
        <w:rPr>
          <w:rFonts w:ascii="Arial" w:hAnsi="Arial" w:cs="Arial"/>
          <w:color w:val="000000"/>
          <w:sz w:val="22"/>
        </w:rPr>
        <w:t>Siriwach</w:t>
      </w:r>
      <w:proofErr w:type="spellEnd"/>
      <w:r w:rsidRPr="003B7674">
        <w:rPr>
          <w:rFonts w:ascii="Arial" w:hAnsi="Arial" w:cs="Arial"/>
          <w:color w:val="000000"/>
          <w:sz w:val="22"/>
        </w:rPr>
        <w:t xml:space="preserve"> R, Yao C, </w:t>
      </w:r>
      <w:proofErr w:type="spellStart"/>
      <w:r w:rsidRPr="003B7674">
        <w:rPr>
          <w:rFonts w:ascii="Arial" w:hAnsi="Arial" w:cs="Arial"/>
          <w:color w:val="000000"/>
          <w:sz w:val="22"/>
        </w:rPr>
        <w:t>Narumiya</w:t>
      </w:r>
      <w:proofErr w:type="spellEnd"/>
      <w:r w:rsidRPr="003B7674">
        <w:rPr>
          <w:rFonts w:ascii="Arial" w:hAnsi="Arial" w:cs="Arial"/>
          <w:color w:val="000000"/>
          <w:sz w:val="22"/>
        </w:rPr>
        <w:t xml:space="preserve"> S. T cell-intrinsic prostaglandin E2-EP2/EP4 </w:t>
      </w:r>
      <w:proofErr w:type="spellStart"/>
      <w:r w:rsidRPr="003B7674">
        <w:rPr>
          <w:rFonts w:ascii="Arial" w:hAnsi="Arial" w:cs="Arial"/>
          <w:color w:val="000000"/>
          <w:sz w:val="22"/>
        </w:rPr>
        <w:t>signaling</w:t>
      </w:r>
      <w:proofErr w:type="spellEnd"/>
      <w:r w:rsidRPr="003B7674">
        <w:rPr>
          <w:rFonts w:ascii="Arial" w:hAnsi="Arial" w:cs="Arial"/>
          <w:color w:val="000000"/>
          <w:sz w:val="22"/>
        </w:rPr>
        <w:t xml:space="preserve"> is critical in pathogenic TH17 cell-driven inflammation. </w:t>
      </w:r>
      <w:r w:rsidRPr="003B7674">
        <w:rPr>
          <w:rFonts w:ascii="Arial" w:hAnsi="Arial" w:cs="Arial"/>
          <w:i/>
          <w:iCs/>
          <w:color w:val="000000"/>
          <w:sz w:val="22"/>
        </w:rPr>
        <w:t>J Allergy Clin Immunol</w:t>
      </w:r>
      <w:r w:rsidRPr="003B7674">
        <w:rPr>
          <w:rFonts w:ascii="Arial" w:hAnsi="Arial" w:cs="Arial"/>
          <w:color w:val="000000"/>
          <w:sz w:val="22"/>
        </w:rPr>
        <w:t xml:space="preserve">. 2019;143(2):631-643. </w:t>
      </w:r>
      <w:proofErr w:type="gramStart"/>
      <w:r w:rsidRPr="003B7674">
        <w:rPr>
          <w:rFonts w:ascii="Arial" w:hAnsi="Arial" w:cs="Arial"/>
          <w:color w:val="000000"/>
          <w:sz w:val="22"/>
        </w:rPr>
        <w:t>doi:10.1016/j.jaci</w:t>
      </w:r>
      <w:proofErr w:type="gramEnd"/>
      <w:r w:rsidRPr="003B7674">
        <w:rPr>
          <w:rFonts w:ascii="Arial" w:hAnsi="Arial" w:cs="Arial"/>
          <w:color w:val="000000"/>
          <w:sz w:val="22"/>
        </w:rPr>
        <w:t>.2018.05.036</w:t>
      </w:r>
    </w:p>
    <w:p w14:paraId="566E215F"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lastRenderedPageBreak/>
        <w:t xml:space="preserve">45. </w:t>
      </w:r>
      <w:r w:rsidRPr="003B7674">
        <w:rPr>
          <w:rFonts w:ascii="Arial" w:hAnsi="Arial" w:cs="Arial"/>
          <w:color w:val="000000"/>
          <w:sz w:val="22"/>
        </w:rPr>
        <w:tab/>
        <w:t xml:space="preserve">Yao C, Sakata D, Esaki Y, et al. Prostaglandin E2-EP4 </w:t>
      </w:r>
      <w:proofErr w:type="spellStart"/>
      <w:r w:rsidRPr="003B7674">
        <w:rPr>
          <w:rFonts w:ascii="Arial" w:hAnsi="Arial" w:cs="Arial"/>
          <w:color w:val="000000"/>
          <w:sz w:val="22"/>
        </w:rPr>
        <w:t>signaling</w:t>
      </w:r>
      <w:proofErr w:type="spellEnd"/>
      <w:r w:rsidRPr="003B7674">
        <w:rPr>
          <w:rFonts w:ascii="Arial" w:hAnsi="Arial" w:cs="Arial"/>
          <w:color w:val="000000"/>
          <w:sz w:val="22"/>
        </w:rPr>
        <w:t xml:space="preserve"> promotes immune inflammation through Th1 cell differentiation and Th17 cell expansion. </w:t>
      </w:r>
      <w:r w:rsidRPr="003B7674">
        <w:rPr>
          <w:rFonts w:ascii="Arial" w:hAnsi="Arial" w:cs="Arial"/>
          <w:i/>
          <w:iCs/>
          <w:color w:val="000000"/>
          <w:sz w:val="22"/>
        </w:rPr>
        <w:t>Nat Med</w:t>
      </w:r>
      <w:r w:rsidRPr="003B7674">
        <w:rPr>
          <w:rFonts w:ascii="Arial" w:hAnsi="Arial" w:cs="Arial"/>
          <w:color w:val="000000"/>
          <w:sz w:val="22"/>
        </w:rPr>
        <w:t>. 2009;15(6):633-640. doi:10.1038/nm.1968</w:t>
      </w:r>
    </w:p>
    <w:p w14:paraId="5A031273"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46. </w:t>
      </w:r>
      <w:r w:rsidRPr="003B7674">
        <w:rPr>
          <w:rFonts w:ascii="Arial" w:hAnsi="Arial" w:cs="Arial"/>
          <w:color w:val="000000"/>
          <w:sz w:val="22"/>
        </w:rPr>
        <w:tab/>
        <w:t>Duffin R, O’Connor RA, Crittenden S, et al. Prostaglandin E</w:t>
      </w:r>
      <w:r w:rsidRPr="003B7674">
        <w:rPr>
          <w:rFonts w:ascii="Cambria Math" w:hAnsi="Cambria Math" w:cs="Cambria Math"/>
          <w:color w:val="000000"/>
          <w:sz w:val="22"/>
        </w:rPr>
        <w:t>₂</w:t>
      </w:r>
      <w:r w:rsidRPr="003B7674">
        <w:rPr>
          <w:rFonts w:ascii="Arial" w:hAnsi="Arial" w:cs="Arial"/>
          <w:color w:val="000000"/>
          <w:sz w:val="22"/>
        </w:rPr>
        <w:t xml:space="preserve"> constrains systemic inflammation through an innate lymphoid cell-IL-22 axis. </w:t>
      </w:r>
      <w:r w:rsidRPr="003B7674">
        <w:rPr>
          <w:rFonts w:ascii="Arial" w:hAnsi="Arial" w:cs="Arial"/>
          <w:i/>
          <w:iCs/>
          <w:color w:val="000000"/>
          <w:sz w:val="22"/>
        </w:rPr>
        <w:t>Science</w:t>
      </w:r>
      <w:r w:rsidRPr="003B7674">
        <w:rPr>
          <w:rFonts w:ascii="Arial" w:hAnsi="Arial" w:cs="Arial"/>
          <w:color w:val="000000"/>
          <w:sz w:val="22"/>
        </w:rPr>
        <w:t>. 2016;351(6279):1333-1338. doi:10.1126/</w:t>
      </w:r>
      <w:proofErr w:type="gramStart"/>
      <w:r w:rsidRPr="003B7674">
        <w:rPr>
          <w:rFonts w:ascii="Arial" w:hAnsi="Arial" w:cs="Arial"/>
          <w:color w:val="000000"/>
          <w:sz w:val="22"/>
        </w:rPr>
        <w:t>science.aad</w:t>
      </w:r>
      <w:proofErr w:type="gramEnd"/>
      <w:r w:rsidRPr="003B7674">
        <w:rPr>
          <w:rFonts w:ascii="Arial" w:hAnsi="Arial" w:cs="Arial"/>
          <w:color w:val="000000"/>
          <w:sz w:val="22"/>
        </w:rPr>
        <w:t>9903</w:t>
      </w:r>
    </w:p>
    <w:p w14:paraId="42E7B6EB"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47. </w:t>
      </w:r>
      <w:r w:rsidRPr="003B7674">
        <w:rPr>
          <w:rFonts w:ascii="Arial" w:hAnsi="Arial" w:cs="Arial"/>
          <w:color w:val="000000"/>
          <w:sz w:val="22"/>
        </w:rPr>
        <w:tab/>
        <w:t xml:space="preserve">Crittenden S, </w:t>
      </w:r>
      <w:proofErr w:type="spellStart"/>
      <w:r w:rsidRPr="003B7674">
        <w:rPr>
          <w:rFonts w:ascii="Arial" w:hAnsi="Arial" w:cs="Arial"/>
          <w:color w:val="000000"/>
          <w:sz w:val="22"/>
        </w:rPr>
        <w:t>Goepp</w:t>
      </w:r>
      <w:proofErr w:type="spellEnd"/>
      <w:r w:rsidRPr="003B7674">
        <w:rPr>
          <w:rFonts w:ascii="Arial" w:hAnsi="Arial" w:cs="Arial"/>
          <w:color w:val="000000"/>
          <w:sz w:val="22"/>
        </w:rPr>
        <w:t xml:space="preserve"> M, Pollock J, et al. Prostaglandin E2 promotes intestinal inflammation via inhibiting microbiota-dependent regulatory T cells. </w:t>
      </w:r>
      <w:r w:rsidRPr="003B7674">
        <w:rPr>
          <w:rFonts w:ascii="Arial" w:hAnsi="Arial" w:cs="Arial"/>
          <w:i/>
          <w:iCs/>
          <w:color w:val="000000"/>
          <w:sz w:val="22"/>
        </w:rPr>
        <w:t>Sci Adv</w:t>
      </w:r>
      <w:r w:rsidRPr="003B7674">
        <w:rPr>
          <w:rFonts w:ascii="Arial" w:hAnsi="Arial" w:cs="Arial"/>
          <w:color w:val="000000"/>
          <w:sz w:val="22"/>
        </w:rPr>
        <w:t>. 2021;7(7</w:t>
      </w:r>
      <w:proofErr w:type="gramStart"/>
      <w:r w:rsidRPr="003B7674">
        <w:rPr>
          <w:rFonts w:ascii="Arial" w:hAnsi="Arial" w:cs="Arial"/>
          <w:color w:val="000000"/>
          <w:sz w:val="22"/>
        </w:rPr>
        <w:t>):eabd</w:t>
      </w:r>
      <w:proofErr w:type="gramEnd"/>
      <w:r w:rsidRPr="003B7674">
        <w:rPr>
          <w:rFonts w:ascii="Arial" w:hAnsi="Arial" w:cs="Arial"/>
          <w:color w:val="000000"/>
          <w:sz w:val="22"/>
        </w:rPr>
        <w:t>7954. doi:10.1126/</w:t>
      </w:r>
      <w:proofErr w:type="gramStart"/>
      <w:r w:rsidRPr="003B7674">
        <w:rPr>
          <w:rFonts w:ascii="Arial" w:hAnsi="Arial" w:cs="Arial"/>
          <w:color w:val="000000"/>
          <w:sz w:val="22"/>
        </w:rPr>
        <w:t>sciadv.abd</w:t>
      </w:r>
      <w:proofErr w:type="gramEnd"/>
      <w:r w:rsidRPr="003B7674">
        <w:rPr>
          <w:rFonts w:ascii="Arial" w:hAnsi="Arial" w:cs="Arial"/>
          <w:color w:val="000000"/>
          <w:sz w:val="22"/>
        </w:rPr>
        <w:t>7954</w:t>
      </w:r>
    </w:p>
    <w:p w14:paraId="4E6139D9"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48. </w:t>
      </w:r>
      <w:r w:rsidRPr="003B7674">
        <w:rPr>
          <w:rFonts w:ascii="Arial" w:hAnsi="Arial" w:cs="Arial"/>
          <w:color w:val="000000"/>
          <w:sz w:val="22"/>
        </w:rPr>
        <w:tab/>
        <w:t xml:space="preserve">Moriyama S, </w:t>
      </w:r>
      <w:proofErr w:type="spellStart"/>
      <w:r w:rsidRPr="003B7674">
        <w:rPr>
          <w:rFonts w:ascii="Arial" w:hAnsi="Arial" w:cs="Arial"/>
          <w:color w:val="000000"/>
          <w:sz w:val="22"/>
        </w:rPr>
        <w:t>Brestoff</w:t>
      </w:r>
      <w:proofErr w:type="spellEnd"/>
      <w:r w:rsidRPr="003B7674">
        <w:rPr>
          <w:rFonts w:ascii="Arial" w:hAnsi="Arial" w:cs="Arial"/>
          <w:color w:val="000000"/>
          <w:sz w:val="22"/>
        </w:rPr>
        <w:t xml:space="preserve"> JR, </w:t>
      </w:r>
      <w:proofErr w:type="spellStart"/>
      <w:r w:rsidRPr="003B7674">
        <w:rPr>
          <w:rFonts w:ascii="Arial" w:hAnsi="Arial" w:cs="Arial"/>
          <w:color w:val="000000"/>
          <w:sz w:val="22"/>
        </w:rPr>
        <w:t>Flamar</w:t>
      </w:r>
      <w:proofErr w:type="spellEnd"/>
      <w:r w:rsidRPr="003B7674">
        <w:rPr>
          <w:rFonts w:ascii="Arial" w:hAnsi="Arial" w:cs="Arial"/>
          <w:color w:val="000000"/>
          <w:sz w:val="22"/>
        </w:rPr>
        <w:t xml:space="preserve"> AL, et al. β2-adrenergic receptor-mediated negative regulation of group 2 innate lymphoid cell responses. </w:t>
      </w:r>
      <w:r w:rsidRPr="003B7674">
        <w:rPr>
          <w:rFonts w:ascii="Arial" w:hAnsi="Arial" w:cs="Arial"/>
          <w:i/>
          <w:iCs/>
          <w:color w:val="000000"/>
          <w:sz w:val="22"/>
        </w:rPr>
        <w:t>Science</w:t>
      </w:r>
      <w:r w:rsidRPr="003B7674">
        <w:rPr>
          <w:rFonts w:ascii="Arial" w:hAnsi="Arial" w:cs="Arial"/>
          <w:color w:val="000000"/>
          <w:sz w:val="22"/>
        </w:rPr>
        <w:t>. 2018;359(6379):1056-1061. doi:10.1126/</w:t>
      </w:r>
      <w:proofErr w:type="gramStart"/>
      <w:r w:rsidRPr="003B7674">
        <w:rPr>
          <w:rFonts w:ascii="Arial" w:hAnsi="Arial" w:cs="Arial"/>
          <w:color w:val="000000"/>
          <w:sz w:val="22"/>
        </w:rPr>
        <w:t>science.aan</w:t>
      </w:r>
      <w:proofErr w:type="gramEnd"/>
      <w:r w:rsidRPr="003B7674">
        <w:rPr>
          <w:rFonts w:ascii="Arial" w:hAnsi="Arial" w:cs="Arial"/>
          <w:color w:val="000000"/>
          <w:sz w:val="22"/>
        </w:rPr>
        <w:t>4829</w:t>
      </w:r>
    </w:p>
    <w:p w14:paraId="02F529EE"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49. </w:t>
      </w:r>
      <w:r w:rsidRPr="003B7674">
        <w:rPr>
          <w:rFonts w:ascii="Arial" w:hAnsi="Arial" w:cs="Arial"/>
          <w:color w:val="000000"/>
          <w:sz w:val="22"/>
        </w:rPr>
        <w:tab/>
        <w:t xml:space="preserve">Xu H, Ding J, Porter CBM, et al. Transcriptional Atlas of Intestinal Immune Cells Reveals that Neuropeptide α-CGRP Modulates Group 2 Innate Lymphoid Cell Responses. </w:t>
      </w:r>
      <w:r w:rsidRPr="003B7674">
        <w:rPr>
          <w:rFonts w:ascii="Arial" w:hAnsi="Arial" w:cs="Arial"/>
          <w:i/>
          <w:iCs/>
          <w:color w:val="000000"/>
          <w:sz w:val="22"/>
        </w:rPr>
        <w:t>Immunity</w:t>
      </w:r>
      <w:r w:rsidRPr="003B7674">
        <w:rPr>
          <w:rFonts w:ascii="Arial" w:hAnsi="Arial" w:cs="Arial"/>
          <w:color w:val="000000"/>
          <w:sz w:val="22"/>
        </w:rPr>
        <w:t xml:space="preserve">. 2019;51(4):696-708.e9. </w:t>
      </w:r>
      <w:proofErr w:type="gramStart"/>
      <w:r w:rsidRPr="003B7674">
        <w:rPr>
          <w:rFonts w:ascii="Arial" w:hAnsi="Arial" w:cs="Arial"/>
          <w:color w:val="000000"/>
          <w:sz w:val="22"/>
        </w:rPr>
        <w:t>doi:10.1016/j.immuni</w:t>
      </w:r>
      <w:proofErr w:type="gramEnd"/>
      <w:r w:rsidRPr="003B7674">
        <w:rPr>
          <w:rFonts w:ascii="Arial" w:hAnsi="Arial" w:cs="Arial"/>
          <w:color w:val="000000"/>
          <w:sz w:val="22"/>
        </w:rPr>
        <w:t>.2019.09.004</w:t>
      </w:r>
    </w:p>
    <w:p w14:paraId="125638C0"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50. </w:t>
      </w:r>
      <w:r w:rsidRPr="003B7674">
        <w:rPr>
          <w:rFonts w:ascii="Arial" w:hAnsi="Arial" w:cs="Arial"/>
          <w:color w:val="000000"/>
          <w:sz w:val="22"/>
        </w:rPr>
        <w:tab/>
      </w:r>
      <w:proofErr w:type="spellStart"/>
      <w:r w:rsidRPr="003B7674">
        <w:rPr>
          <w:rFonts w:ascii="Arial" w:hAnsi="Arial" w:cs="Arial"/>
          <w:color w:val="000000"/>
          <w:sz w:val="22"/>
        </w:rPr>
        <w:t>Wallrapp</w:t>
      </w:r>
      <w:proofErr w:type="spellEnd"/>
      <w:r w:rsidRPr="003B7674">
        <w:rPr>
          <w:rFonts w:ascii="Arial" w:hAnsi="Arial" w:cs="Arial"/>
          <w:color w:val="000000"/>
          <w:sz w:val="22"/>
        </w:rPr>
        <w:t xml:space="preserve"> A, Burkett PR, </w:t>
      </w:r>
      <w:proofErr w:type="spellStart"/>
      <w:r w:rsidRPr="003B7674">
        <w:rPr>
          <w:rFonts w:ascii="Arial" w:hAnsi="Arial" w:cs="Arial"/>
          <w:color w:val="000000"/>
          <w:sz w:val="22"/>
        </w:rPr>
        <w:t>Riesenfeld</w:t>
      </w:r>
      <w:proofErr w:type="spellEnd"/>
      <w:r w:rsidRPr="003B7674">
        <w:rPr>
          <w:rFonts w:ascii="Arial" w:hAnsi="Arial" w:cs="Arial"/>
          <w:color w:val="000000"/>
          <w:sz w:val="22"/>
        </w:rPr>
        <w:t xml:space="preserve"> SJ, et al. Calcitonin Gene-Related Peptide Negatively Regulates Alarmin-Driven Type 2 Innate Lymphoid Cell Responses. </w:t>
      </w:r>
      <w:r w:rsidRPr="003B7674">
        <w:rPr>
          <w:rFonts w:ascii="Arial" w:hAnsi="Arial" w:cs="Arial"/>
          <w:i/>
          <w:iCs/>
          <w:color w:val="000000"/>
          <w:sz w:val="22"/>
        </w:rPr>
        <w:t>Immunity</w:t>
      </w:r>
      <w:r w:rsidRPr="003B7674">
        <w:rPr>
          <w:rFonts w:ascii="Arial" w:hAnsi="Arial" w:cs="Arial"/>
          <w:color w:val="000000"/>
          <w:sz w:val="22"/>
        </w:rPr>
        <w:t xml:space="preserve">. 2019;51(4):709-723.e6. </w:t>
      </w:r>
      <w:proofErr w:type="gramStart"/>
      <w:r w:rsidRPr="003B7674">
        <w:rPr>
          <w:rFonts w:ascii="Arial" w:hAnsi="Arial" w:cs="Arial"/>
          <w:color w:val="000000"/>
          <w:sz w:val="22"/>
        </w:rPr>
        <w:t>doi:10.1016/j.immuni</w:t>
      </w:r>
      <w:proofErr w:type="gramEnd"/>
      <w:r w:rsidRPr="003B7674">
        <w:rPr>
          <w:rFonts w:ascii="Arial" w:hAnsi="Arial" w:cs="Arial"/>
          <w:color w:val="000000"/>
          <w:sz w:val="22"/>
        </w:rPr>
        <w:t>.2019.09.005</w:t>
      </w:r>
    </w:p>
    <w:p w14:paraId="10CBD474"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51. </w:t>
      </w:r>
      <w:r w:rsidRPr="003B7674">
        <w:rPr>
          <w:rFonts w:ascii="Arial" w:hAnsi="Arial" w:cs="Arial"/>
          <w:color w:val="000000"/>
          <w:sz w:val="22"/>
        </w:rPr>
        <w:tab/>
        <w:t xml:space="preserve">Nussbaum JC, Van </w:t>
      </w:r>
      <w:proofErr w:type="spellStart"/>
      <w:r w:rsidRPr="003B7674">
        <w:rPr>
          <w:rFonts w:ascii="Arial" w:hAnsi="Arial" w:cs="Arial"/>
          <w:color w:val="000000"/>
          <w:sz w:val="22"/>
        </w:rPr>
        <w:t>Dyken</w:t>
      </w:r>
      <w:proofErr w:type="spellEnd"/>
      <w:r w:rsidRPr="003B7674">
        <w:rPr>
          <w:rFonts w:ascii="Arial" w:hAnsi="Arial" w:cs="Arial"/>
          <w:color w:val="000000"/>
          <w:sz w:val="22"/>
        </w:rPr>
        <w:t xml:space="preserve"> SJ, von Moltke J, et al. Type 2 innate lymphoid cells control eosinophil homeostasis. </w:t>
      </w:r>
      <w:r w:rsidRPr="003B7674">
        <w:rPr>
          <w:rFonts w:ascii="Arial" w:hAnsi="Arial" w:cs="Arial"/>
          <w:i/>
          <w:iCs/>
          <w:color w:val="000000"/>
          <w:sz w:val="22"/>
        </w:rPr>
        <w:t>Nature</w:t>
      </w:r>
      <w:r w:rsidRPr="003B7674">
        <w:rPr>
          <w:rFonts w:ascii="Arial" w:hAnsi="Arial" w:cs="Arial"/>
          <w:color w:val="000000"/>
          <w:sz w:val="22"/>
        </w:rPr>
        <w:t>. 2013;502(7470):245-248. doi:10.1038/nature12526</w:t>
      </w:r>
    </w:p>
    <w:p w14:paraId="76A2212E"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52. </w:t>
      </w:r>
      <w:r w:rsidRPr="003B7674">
        <w:rPr>
          <w:rFonts w:ascii="Arial" w:hAnsi="Arial" w:cs="Arial"/>
          <w:color w:val="000000"/>
          <w:sz w:val="22"/>
        </w:rPr>
        <w:tab/>
      </w:r>
      <w:proofErr w:type="spellStart"/>
      <w:r w:rsidRPr="003B7674">
        <w:rPr>
          <w:rFonts w:ascii="Arial" w:hAnsi="Arial" w:cs="Arial"/>
          <w:color w:val="000000"/>
          <w:sz w:val="22"/>
        </w:rPr>
        <w:t>Zuo</w:t>
      </w:r>
      <w:proofErr w:type="spellEnd"/>
      <w:r w:rsidRPr="003B7674">
        <w:rPr>
          <w:rFonts w:ascii="Arial" w:hAnsi="Arial" w:cs="Arial"/>
          <w:color w:val="000000"/>
          <w:sz w:val="22"/>
        </w:rPr>
        <w:t xml:space="preserve"> H, </w:t>
      </w:r>
      <w:proofErr w:type="spellStart"/>
      <w:r w:rsidRPr="003B7674">
        <w:rPr>
          <w:rFonts w:ascii="Arial" w:hAnsi="Arial" w:cs="Arial"/>
          <w:color w:val="000000"/>
          <w:sz w:val="22"/>
        </w:rPr>
        <w:t>Cattani</w:t>
      </w:r>
      <w:proofErr w:type="spellEnd"/>
      <w:r w:rsidRPr="003B7674">
        <w:rPr>
          <w:rFonts w:ascii="Arial" w:hAnsi="Arial" w:cs="Arial"/>
          <w:color w:val="000000"/>
          <w:sz w:val="22"/>
        </w:rPr>
        <w:t xml:space="preserve">-Cavalieri I, </w:t>
      </w:r>
      <w:proofErr w:type="spellStart"/>
      <w:r w:rsidRPr="003B7674">
        <w:rPr>
          <w:rFonts w:ascii="Arial" w:hAnsi="Arial" w:cs="Arial"/>
          <w:color w:val="000000"/>
          <w:sz w:val="22"/>
        </w:rPr>
        <w:t>Musheshe</w:t>
      </w:r>
      <w:proofErr w:type="spellEnd"/>
      <w:r w:rsidRPr="003B7674">
        <w:rPr>
          <w:rFonts w:ascii="Arial" w:hAnsi="Arial" w:cs="Arial"/>
          <w:color w:val="000000"/>
          <w:sz w:val="22"/>
        </w:rPr>
        <w:t xml:space="preserve"> N, Nikolaev VO, Schmidt M. </w:t>
      </w:r>
      <w:proofErr w:type="spellStart"/>
      <w:r w:rsidRPr="003B7674">
        <w:rPr>
          <w:rFonts w:ascii="Arial" w:hAnsi="Arial" w:cs="Arial"/>
          <w:color w:val="000000"/>
          <w:sz w:val="22"/>
        </w:rPr>
        <w:t>Phosphodiesterases</w:t>
      </w:r>
      <w:proofErr w:type="spellEnd"/>
      <w:r w:rsidRPr="003B7674">
        <w:rPr>
          <w:rFonts w:ascii="Arial" w:hAnsi="Arial" w:cs="Arial"/>
          <w:color w:val="000000"/>
          <w:sz w:val="22"/>
        </w:rPr>
        <w:t xml:space="preserve"> as therapeutic targets for respiratory diseases. </w:t>
      </w:r>
      <w:proofErr w:type="spellStart"/>
      <w:r w:rsidRPr="003B7674">
        <w:rPr>
          <w:rFonts w:ascii="Arial" w:hAnsi="Arial" w:cs="Arial"/>
          <w:i/>
          <w:iCs/>
          <w:color w:val="000000"/>
          <w:sz w:val="22"/>
        </w:rPr>
        <w:t>Pharmacol</w:t>
      </w:r>
      <w:proofErr w:type="spellEnd"/>
      <w:r w:rsidRPr="003B7674">
        <w:rPr>
          <w:rFonts w:ascii="Arial" w:hAnsi="Arial" w:cs="Arial"/>
          <w:i/>
          <w:iCs/>
          <w:color w:val="000000"/>
          <w:sz w:val="22"/>
        </w:rPr>
        <w:t xml:space="preserve"> </w:t>
      </w:r>
      <w:proofErr w:type="spellStart"/>
      <w:r w:rsidRPr="003B7674">
        <w:rPr>
          <w:rFonts w:ascii="Arial" w:hAnsi="Arial" w:cs="Arial"/>
          <w:i/>
          <w:iCs/>
          <w:color w:val="000000"/>
          <w:sz w:val="22"/>
        </w:rPr>
        <w:t>Ther</w:t>
      </w:r>
      <w:proofErr w:type="spellEnd"/>
      <w:r w:rsidRPr="003B7674">
        <w:rPr>
          <w:rFonts w:ascii="Arial" w:hAnsi="Arial" w:cs="Arial"/>
          <w:color w:val="000000"/>
          <w:sz w:val="22"/>
        </w:rPr>
        <w:t xml:space="preserve">. </w:t>
      </w:r>
      <w:proofErr w:type="gramStart"/>
      <w:r w:rsidRPr="003B7674">
        <w:rPr>
          <w:rFonts w:ascii="Arial" w:hAnsi="Arial" w:cs="Arial"/>
          <w:color w:val="000000"/>
          <w:sz w:val="22"/>
        </w:rPr>
        <w:t>2019;197:225</w:t>
      </w:r>
      <w:proofErr w:type="gramEnd"/>
      <w:r w:rsidRPr="003B7674">
        <w:rPr>
          <w:rFonts w:ascii="Arial" w:hAnsi="Arial" w:cs="Arial"/>
          <w:color w:val="000000"/>
          <w:sz w:val="22"/>
        </w:rPr>
        <w:t xml:space="preserve">-242. </w:t>
      </w:r>
      <w:proofErr w:type="gramStart"/>
      <w:r w:rsidRPr="003B7674">
        <w:rPr>
          <w:rFonts w:ascii="Arial" w:hAnsi="Arial" w:cs="Arial"/>
          <w:color w:val="000000"/>
          <w:sz w:val="22"/>
        </w:rPr>
        <w:t>doi:10.1016/j.pharmthera</w:t>
      </w:r>
      <w:proofErr w:type="gramEnd"/>
      <w:r w:rsidRPr="003B7674">
        <w:rPr>
          <w:rFonts w:ascii="Arial" w:hAnsi="Arial" w:cs="Arial"/>
          <w:color w:val="000000"/>
          <w:sz w:val="22"/>
        </w:rPr>
        <w:t>.2019.02.002</w:t>
      </w:r>
    </w:p>
    <w:p w14:paraId="44DFE702"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53. </w:t>
      </w:r>
      <w:r w:rsidRPr="003B7674">
        <w:rPr>
          <w:rFonts w:ascii="Arial" w:hAnsi="Arial" w:cs="Arial"/>
          <w:color w:val="000000"/>
          <w:sz w:val="22"/>
        </w:rPr>
        <w:tab/>
      </w:r>
      <w:proofErr w:type="spellStart"/>
      <w:r w:rsidRPr="003B7674">
        <w:rPr>
          <w:rFonts w:ascii="Arial" w:hAnsi="Arial" w:cs="Arial"/>
          <w:color w:val="000000"/>
          <w:sz w:val="22"/>
        </w:rPr>
        <w:t>Lipworth</w:t>
      </w:r>
      <w:proofErr w:type="spellEnd"/>
      <w:r w:rsidRPr="003B7674">
        <w:rPr>
          <w:rFonts w:ascii="Arial" w:hAnsi="Arial" w:cs="Arial"/>
          <w:color w:val="000000"/>
          <w:sz w:val="22"/>
        </w:rPr>
        <w:t xml:space="preserve"> BJ. Phosphodiesterase-4 inhibitors for asthma and chronic obstructive pulmonary disease. </w:t>
      </w:r>
      <w:r w:rsidRPr="003B7674">
        <w:rPr>
          <w:rFonts w:ascii="Arial" w:hAnsi="Arial" w:cs="Arial"/>
          <w:i/>
          <w:iCs/>
          <w:color w:val="000000"/>
          <w:sz w:val="22"/>
        </w:rPr>
        <w:t>Lancet</w:t>
      </w:r>
      <w:r w:rsidRPr="003B7674">
        <w:rPr>
          <w:rFonts w:ascii="Arial" w:hAnsi="Arial" w:cs="Arial"/>
          <w:color w:val="000000"/>
          <w:sz w:val="22"/>
        </w:rPr>
        <w:t>. 2005;365(9454):167-175. doi:10.1016/S0140-6736(05)17708-3</w:t>
      </w:r>
    </w:p>
    <w:p w14:paraId="5CAE16F6"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54. </w:t>
      </w:r>
      <w:r w:rsidRPr="003B7674">
        <w:rPr>
          <w:rFonts w:ascii="Arial" w:hAnsi="Arial" w:cs="Arial"/>
          <w:color w:val="000000"/>
          <w:sz w:val="22"/>
        </w:rPr>
        <w:tab/>
      </w:r>
      <w:proofErr w:type="spellStart"/>
      <w:r w:rsidRPr="003B7674">
        <w:rPr>
          <w:rFonts w:ascii="Arial" w:hAnsi="Arial" w:cs="Arial"/>
          <w:color w:val="000000"/>
          <w:sz w:val="22"/>
        </w:rPr>
        <w:t>Dobin</w:t>
      </w:r>
      <w:proofErr w:type="spellEnd"/>
      <w:r w:rsidRPr="003B7674">
        <w:rPr>
          <w:rFonts w:ascii="Arial" w:hAnsi="Arial" w:cs="Arial"/>
          <w:color w:val="000000"/>
          <w:sz w:val="22"/>
        </w:rPr>
        <w:t xml:space="preserve"> A, Davis CA, Schlesinger F, et al. STAR: ultrafast universal RNA-</w:t>
      </w:r>
      <w:proofErr w:type="spellStart"/>
      <w:r w:rsidRPr="003B7674">
        <w:rPr>
          <w:rFonts w:ascii="Arial" w:hAnsi="Arial" w:cs="Arial"/>
          <w:color w:val="000000"/>
          <w:sz w:val="22"/>
        </w:rPr>
        <w:t>seq</w:t>
      </w:r>
      <w:proofErr w:type="spellEnd"/>
      <w:r w:rsidRPr="003B7674">
        <w:rPr>
          <w:rFonts w:ascii="Arial" w:hAnsi="Arial" w:cs="Arial"/>
          <w:color w:val="000000"/>
          <w:sz w:val="22"/>
        </w:rPr>
        <w:t xml:space="preserve"> aligner. </w:t>
      </w:r>
      <w:r w:rsidRPr="003B7674">
        <w:rPr>
          <w:rFonts w:ascii="Arial" w:hAnsi="Arial" w:cs="Arial"/>
          <w:i/>
          <w:iCs/>
          <w:color w:val="000000"/>
          <w:sz w:val="22"/>
        </w:rPr>
        <w:t>Bioinformatics</w:t>
      </w:r>
      <w:r w:rsidRPr="003B7674">
        <w:rPr>
          <w:rFonts w:ascii="Arial" w:hAnsi="Arial" w:cs="Arial"/>
          <w:color w:val="000000"/>
          <w:sz w:val="22"/>
        </w:rPr>
        <w:t>. 2013;29(1):15-21. doi:10.1093/bioinformatics/bts635</w:t>
      </w:r>
    </w:p>
    <w:p w14:paraId="1DB3B00A"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55. </w:t>
      </w:r>
      <w:r w:rsidRPr="003B7674">
        <w:rPr>
          <w:rFonts w:ascii="Arial" w:hAnsi="Arial" w:cs="Arial"/>
          <w:color w:val="000000"/>
          <w:sz w:val="22"/>
        </w:rPr>
        <w:tab/>
      </w:r>
      <w:proofErr w:type="spellStart"/>
      <w:r w:rsidRPr="003B7674">
        <w:rPr>
          <w:rFonts w:ascii="Arial" w:hAnsi="Arial" w:cs="Arial"/>
          <w:color w:val="000000"/>
          <w:sz w:val="22"/>
        </w:rPr>
        <w:t>Okonechnikov</w:t>
      </w:r>
      <w:proofErr w:type="spellEnd"/>
      <w:r w:rsidRPr="003B7674">
        <w:rPr>
          <w:rFonts w:ascii="Arial" w:hAnsi="Arial" w:cs="Arial"/>
          <w:color w:val="000000"/>
          <w:sz w:val="22"/>
        </w:rPr>
        <w:t xml:space="preserve"> K, Conesa A, García-Alcalde F. </w:t>
      </w:r>
      <w:proofErr w:type="spellStart"/>
      <w:r w:rsidRPr="003B7674">
        <w:rPr>
          <w:rFonts w:ascii="Arial" w:hAnsi="Arial" w:cs="Arial"/>
          <w:color w:val="000000"/>
          <w:sz w:val="22"/>
        </w:rPr>
        <w:t>Qualimap</w:t>
      </w:r>
      <w:proofErr w:type="spellEnd"/>
      <w:r w:rsidRPr="003B7674">
        <w:rPr>
          <w:rFonts w:ascii="Arial" w:hAnsi="Arial" w:cs="Arial"/>
          <w:color w:val="000000"/>
          <w:sz w:val="22"/>
        </w:rPr>
        <w:t xml:space="preserve"> 2: advanced multi-sample quality control for high-throughput sequencing data. </w:t>
      </w:r>
      <w:r w:rsidRPr="003B7674">
        <w:rPr>
          <w:rFonts w:ascii="Arial" w:hAnsi="Arial" w:cs="Arial"/>
          <w:i/>
          <w:iCs/>
          <w:color w:val="000000"/>
          <w:sz w:val="22"/>
        </w:rPr>
        <w:t>Bioinformatics</w:t>
      </w:r>
      <w:r w:rsidRPr="003B7674">
        <w:rPr>
          <w:rFonts w:ascii="Arial" w:hAnsi="Arial" w:cs="Arial"/>
          <w:color w:val="000000"/>
          <w:sz w:val="22"/>
        </w:rPr>
        <w:t>. 2016;32(2):292-294. doi:10.1093/bioinformatics/btv566</w:t>
      </w:r>
    </w:p>
    <w:p w14:paraId="11752CDA"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56. </w:t>
      </w:r>
      <w:r w:rsidRPr="003B7674">
        <w:rPr>
          <w:rFonts w:ascii="Arial" w:hAnsi="Arial" w:cs="Arial"/>
          <w:color w:val="000000"/>
          <w:sz w:val="22"/>
        </w:rPr>
        <w:tab/>
        <w:t xml:space="preserve">Love MI, Huber W, Anders S. Moderated estimation of fold change </w:t>
      </w:r>
      <w:proofErr w:type="gramStart"/>
      <w:r w:rsidRPr="003B7674">
        <w:rPr>
          <w:rFonts w:ascii="Arial" w:hAnsi="Arial" w:cs="Arial"/>
          <w:color w:val="000000"/>
          <w:sz w:val="22"/>
        </w:rPr>
        <w:t>and  dispersion</w:t>
      </w:r>
      <w:proofErr w:type="gramEnd"/>
      <w:r w:rsidRPr="003B7674">
        <w:rPr>
          <w:rFonts w:ascii="Arial" w:hAnsi="Arial" w:cs="Arial"/>
          <w:color w:val="000000"/>
          <w:sz w:val="22"/>
        </w:rPr>
        <w:t xml:space="preserve"> for RNA-</w:t>
      </w:r>
      <w:proofErr w:type="spellStart"/>
      <w:r w:rsidRPr="003B7674">
        <w:rPr>
          <w:rFonts w:ascii="Arial" w:hAnsi="Arial" w:cs="Arial"/>
          <w:color w:val="000000"/>
          <w:sz w:val="22"/>
        </w:rPr>
        <w:t>seq</w:t>
      </w:r>
      <w:proofErr w:type="spellEnd"/>
      <w:r w:rsidRPr="003B7674">
        <w:rPr>
          <w:rFonts w:ascii="Arial" w:hAnsi="Arial" w:cs="Arial"/>
          <w:color w:val="000000"/>
          <w:sz w:val="22"/>
        </w:rPr>
        <w:t xml:space="preserve"> data with DESeq2. </w:t>
      </w:r>
      <w:r w:rsidRPr="003B7674">
        <w:rPr>
          <w:rFonts w:ascii="Arial" w:hAnsi="Arial" w:cs="Arial"/>
          <w:i/>
          <w:iCs/>
          <w:color w:val="000000"/>
          <w:sz w:val="22"/>
        </w:rPr>
        <w:t>Genome Biol</w:t>
      </w:r>
      <w:r w:rsidRPr="003B7674">
        <w:rPr>
          <w:rFonts w:ascii="Arial" w:hAnsi="Arial" w:cs="Arial"/>
          <w:color w:val="000000"/>
          <w:sz w:val="22"/>
        </w:rPr>
        <w:t>. 2014;15(12):550. doi:10.1186/s13059-014-0550-8</w:t>
      </w:r>
    </w:p>
    <w:p w14:paraId="57466A08" w14:textId="77777777" w:rsidR="003B7674" w:rsidRPr="003B7674" w:rsidRDefault="003B7674" w:rsidP="003B7674">
      <w:pPr>
        <w:pStyle w:val="Bibliography"/>
        <w:rPr>
          <w:rFonts w:ascii="Arial" w:hAnsi="Arial" w:cs="Arial"/>
          <w:color w:val="000000"/>
          <w:sz w:val="22"/>
        </w:rPr>
      </w:pPr>
      <w:r w:rsidRPr="003B7674">
        <w:rPr>
          <w:rFonts w:ascii="Arial" w:hAnsi="Arial" w:cs="Arial"/>
          <w:color w:val="000000"/>
          <w:sz w:val="22"/>
        </w:rPr>
        <w:t xml:space="preserve">57. </w:t>
      </w:r>
      <w:r w:rsidRPr="003B7674">
        <w:rPr>
          <w:rFonts w:ascii="Arial" w:hAnsi="Arial" w:cs="Arial"/>
          <w:color w:val="000000"/>
          <w:sz w:val="22"/>
        </w:rPr>
        <w:tab/>
        <w:t xml:space="preserve">Subramanian A, Tamayo P, </w:t>
      </w:r>
      <w:proofErr w:type="spellStart"/>
      <w:r w:rsidRPr="003B7674">
        <w:rPr>
          <w:rFonts w:ascii="Arial" w:hAnsi="Arial" w:cs="Arial"/>
          <w:color w:val="000000"/>
          <w:sz w:val="22"/>
        </w:rPr>
        <w:t>Mootha</w:t>
      </w:r>
      <w:proofErr w:type="spellEnd"/>
      <w:r w:rsidRPr="003B7674">
        <w:rPr>
          <w:rFonts w:ascii="Arial" w:hAnsi="Arial" w:cs="Arial"/>
          <w:color w:val="000000"/>
          <w:sz w:val="22"/>
        </w:rPr>
        <w:t xml:space="preserve"> VK, et al. Gene set enrichment analysis: a knowledge-based approach for interpreting genome-wide expression profiles. </w:t>
      </w:r>
      <w:r w:rsidRPr="003B7674">
        <w:rPr>
          <w:rFonts w:ascii="Arial" w:hAnsi="Arial" w:cs="Arial"/>
          <w:i/>
          <w:iCs/>
          <w:color w:val="000000"/>
          <w:sz w:val="22"/>
        </w:rPr>
        <w:t xml:space="preserve">Proc Natl </w:t>
      </w:r>
      <w:proofErr w:type="spellStart"/>
      <w:r w:rsidRPr="003B7674">
        <w:rPr>
          <w:rFonts w:ascii="Arial" w:hAnsi="Arial" w:cs="Arial"/>
          <w:i/>
          <w:iCs/>
          <w:color w:val="000000"/>
          <w:sz w:val="22"/>
        </w:rPr>
        <w:t>Acad</w:t>
      </w:r>
      <w:proofErr w:type="spellEnd"/>
      <w:r w:rsidRPr="003B7674">
        <w:rPr>
          <w:rFonts w:ascii="Arial" w:hAnsi="Arial" w:cs="Arial"/>
          <w:i/>
          <w:iCs/>
          <w:color w:val="000000"/>
          <w:sz w:val="22"/>
        </w:rPr>
        <w:t xml:space="preserve"> Sci U S A</w:t>
      </w:r>
      <w:r w:rsidRPr="003B7674">
        <w:rPr>
          <w:rFonts w:ascii="Arial" w:hAnsi="Arial" w:cs="Arial"/>
          <w:color w:val="000000"/>
          <w:sz w:val="22"/>
        </w:rPr>
        <w:t>. 2005;102(43):15545-15550. doi:10.1073/pnas.0506580102</w:t>
      </w:r>
    </w:p>
    <w:p w14:paraId="3FDDF571" w14:textId="165782B6" w:rsidR="009B59E8" w:rsidRPr="00726423" w:rsidRDefault="003B7674" w:rsidP="00977790">
      <w:pPr>
        <w:spacing w:line="480" w:lineRule="auto"/>
        <w:jc w:val="both"/>
        <w:rPr>
          <w:rFonts w:ascii="Arial" w:hAnsi="Arial" w:cs="Arial"/>
          <w:b/>
          <w:bCs/>
          <w:color w:val="000000" w:themeColor="text1"/>
          <w:sz w:val="22"/>
          <w:szCs w:val="22"/>
        </w:rPr>
      </w:pPr>
      <w:r>
        <w:rPr>
          <w:rFonts w:ascii="Arial" w:hAnsi="Arial" w:cs="Arial"/>
          <w:b/>
          <w:bCs/>
          <w:color w:val="000000" w:themeColor="text1"/>
          <w:sz w:val="22"/>
          <w:szCs w:val="22"/>
        </w:rPr>
        <w:fldChar w:fldCharType="end"/>
      </w:r>
    </w:p>
    <w:p w14:paraId="09298A31" w14:textId="5C02F52A" w:rsidR="009041CE" w:rsidRPr="00726423" w:rsidRDefault="00B20C2B" w:rsidP="00977790">
      <w:pPr>
        <w:spacing w:before="120" w:line="480" w:lineRule="auto"/>
        <w:jc w:val="both"/>
        <w:rPr>
          <w:rFonts w:ascii="Arial" w:hAnsi="Arial" w:cs="Arial"/>
          <w:b/>
          <w:bCs/>
          <w:color w:val="000000" w:themeColor="text1"/>
          <w:sz w:val="22"/>
          <w:szCs w:val="22"/>
        </w:rPr>
      </w:pPr>
      <w:r>
        <w:rPr>
          <w:color w:val="000000" w:themeColor="text1"/>
        </w:rPr>
        <w:t xml:space="preserve"> </w:t>
      </w:r>
      <w:r w:rsidR="009041CE" w:rsidRPr="00726423">
        <w:rPr>
          <w:rFonts w:ascii="Arial" w:hAnsi="Arial" w:cs="Arial"/>
          <w:color w:val="000000" w:themeColor="text1"/>
          <w:sz w:val="22"/>
          <w:szCs w:val="22"/>
        </w:rPr>
        <w:br w:type="page"/>
      </w:r>
    </w:p>
    <w:p w14:paraId="075807C9" w14:textId="6C9CC88C" w:rsidR="00CF71D7" w:rsidRPr="00726423" w:rsidRDefault="00A25336" w:rsidP="00413629">
      <w:pPr>
        <w:spacing w:line="276" w:lineRule="auto"/>
        <w:jc w:val="center"/>
        <w:rPr>
          <w:rFonts w:ascii="Arial" w:hAnsi="Arial" w:cs="Arial"/>
          <w:color w:val="000000" w:themeColor="text1"/>
          <w:sz w:val="22"/>
          <w:szCs w:val="22"/>
        </w:rPr>
      </w:pPr>
      <w:r w:rsidRPr="00726423">
        <w:rPr>
          <w:rFonts w:ascii="Arial" w:hAnsi="Arial" w:cs="Arial"/>
          <w:noProof/>
          <w:color w:val="000000" w:themeColor="text1"/>
          <w:sz w:val="22"/>
          <w:szCs w:val="22"/>
        </w:rPr>
        <w:lastRenderedPageBreak/>
        <w:drawing>
          <wp:inline distT="0" distB="0" distL="0" distR="0" wp14:anchorId="55C69B1E" wp14:editId="41CE01DA">
            <wp:extent cx="5905500" cy="7024624"/>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rotWithShape="1">
                    <a:blip r:embed="rId9" cstate="print">
                      <a:extLst>
                        <a:ext uri="{28A0092B-C50C-407E-A947-70E740481C1C}">
                          <a14:useLocalDpi xmlns:a14="http://schemas.microsoft.com/office/drawing/2010/main" val="0"/>
                        </a:ext>
                      </a:extLst>
                    </a:blip>
                    <a:srcRect t="6568"/>
                    <a:stretch/>
                  </pic:blipFill>
                  <pic:spPr bwMode="auto">
                    <a:xfrm>
                      <a:off x="0" y="0"/>
                      <a:ext cx="5905500" cy="7024624"/>
                    </a:xfrm>
                    <a:prstGeom prst="rect">
                      <a:avLst/>
                    </a:prstGeom>
                    <a:ln>
                      <a:noFill/>
                    </a:ln>
                    <a:extLst>
                      <a:ext uri="{53640926-AAD7-44D8-BBD7-CCE9431645EC}">
                        <a14:shadowObscured xmlns:a14="http://schemas.microsoft.com/office/drawing/2010/main"/>
                      </a:ext>
                    </a:extLst>
                  </pic:spPr>
                </pic:pic>
              </a:graphicData>
            </a:graphic>
          </wp:inline>
        </w:drawing>
      </w:r>
    </w:p>
    <w:p w14:paraId="780CFC7C" w14:textId="56126A93" w:rsidR="00B82D35" w:rsidRPr="00726423" w:rsidRDefault="009D1F3B" w:rsidP="00516F04">
      <w:pPr>
        <w:jc w:val="both"/>
        <w:rPr>
          <w:rFonts w:ascii="Arial" w:hAnsi="Arial" w:cs="Arial"/>
          <w:color w:val="000000" w:themeColor="text1"/>
          <w:sz w:val="22"/>
          <w:szCs w:val="22"/>
        </w:rPr>
      </w:pPr>
      <w:r w:rsidRPr="00726423">
        <w:rPr>
          <w:rFonts w:ascii="Arial" w:hAnsi="Arial" w:cs="Arial"/>
          <w:b/>
          <w:bCs/>
          <w:color w:val="000000" w:themeColor="text1"/>
          <w:sz w:val="22"/>
          <w:szCs w:val="22"/>
        </w:rPr>
        <w:t xml:space="preserve">Figure </w:t>
      </w:r>
      <w:r w:rsidR="00236E78" w:rsidRPr="00726423">
        <w:rPr>
          <w:rFonts w:ascii="Arial" w:hAnsi="Arial" w:cs="Arial"/>
          <w:b/>
          <w:bCs/>
          <w:color w:val="000000" w:themeColor="text1"/>
          <w:sz w:val="22"/>
          <w:szCs w:val="22"/>
        </w:rPr>
        <w:t>1</w:t>
      </w:r>
      <w:r w:rsidRPr="00726423">
        <w:rPr>
          <w:rFonts w:ascii="Arial" w:hAnsi="Arial" w:cs="Arial"/>
          <w:b/>
          <w:bCs/>
          <w:color w:val="000000" w:themeColor="text1"/>
          <w:sz w:val="22"/>
          <w:szCs w:val="22"/>
        </w:rPr>
        <w:t xml:space="preserve">. </w:t>
      </w:r>
      <w:r w:rsidR="00CF4DBC" w:rsidRPr="00726423">
        <w:rPr>
          <w:rFonts w:ascii="Arial" w:hAnsi="Arial" w:cs="Arial"/>
          <w:b/>
          <w:bCs/>
          <w:color w:val="000000" w:themeColor="text1"/>
          <w:sz w:val="22"/>
          <w:szCs w:val="22"/>
        </w:rPr>
        <w:t>EP2 deficiency augments IL-33-induced</w:t>
      </w:r>
      <w:r w:rsidR="00DB1DE8" w:rsidRPr="00726423">
        <w:rPr>
          <w:rFonts w:ascii="Arial" w:hAnsi="Arial" w:cs="Arial"/>
          <w:b/>
          <w:bCs/>
          <w:color w:val="000000" w:themeColor="text1"/>
          <w:sz w:val="22"/>
          <w:szCs w:val="22"/>
        </w:rPr>
        <w:t xml:space="preserve"> </w:t>
      </w:r>
      <w:r w:rsidRPr="00726423">
        <w:rPr>
          <w:rFonts w:ascii="Arial" w:hAnsi="Arial" w:cs="Arial"/>
          <w:b/>
          <w:bCs/>
          <w:color w:val="000000" w:themeColor="text1"/>
          <w:sz w:val="22"/>
          <w:szCs w:val="22"/>
        </w:rPr>
        <w:t>lung ILC2 responses.</w:t>
      </w:r>
      <w:r w:rsidRPr="00726423">
        <w:rPr>
          <w:rFonts w:ascii="Arial" w:hAnsi="Arial" w:cs="Arial"/>
          <w:color w:val="000000" w:themeColor="text1"/>
          <w:sz w:val="22"/>
          <w:szCs w:val="22"/>
        </w:rPr>
        <w:t xml:space="preserve"> </w:t>
      </w:r>
      <w:r w:rsidR="007F4F29" w:rsidRPr="00726423">
        <w:rPr>
          <w:rFonts w:ascii="Arial" w:hAnsi="Arial" w:cs="Arial"/>
          <w:b/>
          <w:bCs/>
          <w:color w:val="000000" w:themeColor="text1"/>
          <w:sz w:val="22"/>
          <w:szCs w:val="22"/>
        </w:rPr>
        <w:t>(</w:t>
      </w:r>
      <w:r w:rsidRPr="00726423">
        <w:rPr>
          <w:rFonts w:ascii="Arial" w:hAnsi="Arial" w:cs="Arial"/>
          <w:b/>
          <w:bCs/>
          <w:color w:val="000000" w:themeColor="text1"/>
          <w:sz w:val="22"/>
          <w:szCs w:val="22"/>
        </w:rPr>
        <w:t>A</w:t>
      </w:r>
      <w:r w:rsidR="007F4F29" w:rsidRPr="00726423">
        <w:rPr>
          <w:rFonts w:ascii="Arial" w:hAnsi="Arial" w:cs="Arial"/>
          <w:b/>
          <w:bCs/>
          <w:color w:val="000000" w:themeColor="text1"/>
          <w:sz w:val="22"/>
          <w:szCs w:val="22"/>
        </w:rPr>
        <w:t xml:space="preserve"> and </w:t>
      </w:r>
      <w:r w:rsidR="00DB1DE8" w:rsidRPr="00726423">
        <w:rPr>
          <w:rFonts w:ascii="Arial" w:hAnsi="Arial" w:cs="Arial"/>
          <w:b/>
          <w:bCs/>
          <w:color w:val="000000" w:themeColor="text1"/>
          <w:sz w:val="22"/>
          <w:szCs w:val="22"/>
        </w:rPr>
        <w:t>B</w:t>
      </w:r>
      <w:r w:rsidR="007F4F29" w:rsidRPr="00726423">
        <w:rPr>
          <w:rFonts w:ascii="Arial" w:hAnsi="Arial" w:cs="Arial"/>
          <w:b/>
          <w:bCs/>
          <w:color w:val="000000" w:themeColor="text1"/>
          <w:sz w:val="22"/>
          <w:szCs w:val="22"/>
        </w:rPr>
        <w:t>)</w:t>
      </w:r>
      <w:r w:rsidRPr="00726423">
        <w:rPr>
          <w:rFonts w:ascii="Arial" w:hAnsi="Arial" w:cs="Arial"/>
          <w:b/>
          <w:bCs/>
          <w:color w:val="000000" w:themeColor="text1"/>
          <w:sz w:val="22"/>
          <w:szCs w:val="22"/>
        </w:rPr>
        <w:t xml:space="preserve"> </w:t>
      </w:r>
      <w:r w:rsidRPr="00726423">
        <w:rPr>
          <w:rFonts w:ascii="Arial" w:hAnsi="Arial" w:cs="Arial"/>
          <w:color w:val="000000" w:themeColor="text1"/>
          <w:sz w:val="22"/>
          <w:szCs w:val="22"/>
        </w:rPr>
        <w:t xml:space="preserve">Representative flow cytometric dot plots </w:t>
      </w:r>
      <w:r w:rsidRPr="00726423">
        <w:rPr>
          <w:rFonts w:ascii="Arial" w:hAnsi="Arial" w:cs="Arial"/>
          <w:b/>
          <w:bCs/>
          <w:color w:val="000000" w:themeColor="text1"/>
          <w:sz w:val="22"/>
          <w:szCs w:val="22"/>
        </w:rPr>
        <w:t>(</w:t>
      </w:r>
      <w:r w:rsidR="00DB1DE8" w:rsidRPr="00726423">
        <w:rPr>
          <w:rFonts w:ascii="Arial" w:hAnsi="Arial" w:cs="Arial"/>
          <w:b/>
          <w:bCs/>
          <w:color w:val="000000" w:themeColor="text1"/>
          <w:sz w:val="22"/>
          <w:szCs w:val="22"/>
        </w:rPr>
        <w:t>A</w:t>
      </w:r>
      <w:r w:rsidRPr="00726423">
        <w:rPr>
          <w:rFonts w:ascii="Arial" w:hAnsi="Arial" w:cs="Arial"/>
          <w:b/>
          <w:bCs/>
          <w:color w:val="000000" w:themeColor="text1"/>
          <w:sz w:val="22"/>
          <w:szCs w:val="22"/>
        </w:rPr>
        <w:t>)</w:t>
      </w:r>
      <w:r w:rsidRPr="00726423">
        <w:rPr>
          <w:rFonts w:ascii="Arial" w:hAnsi="Arial" w:cs="Arial"/>
          <w:color w:val="000000" w:themeColor="text1"/>
          <w:sz w:val="22"/>
          <w:szCs w:val="22"/>
        </w:rPr>
        <w:t xml:space="preserve"> and collective percentages </w:t>
      </w:r>
      <w:r w:rsidRPr="00726423">
        <w:rPr>
          <w:rFonts w:ascii="Arial" w:hAnsi="Arial" w:cs="Arial"/>
          <w:b/>
          <w:bCs/>
          <w:color w:val="000000" w:themeColor="text1"/>
          <w:sz w:val="22"/>
          <w:szCs w:val="22"/>
        </w:rPr>
        <w:t>(</w:t>
      </w:r>
      <w:r w:rsidR="00DB1DE8" w:rsidRPr="00726423">
        <w:rPr>
          <w:rFonts w:ascii="Arial" w:hAnsi="Arial" w:cs="Arial"/>
          <w:b/>
          <w:bCs/>
          <w:color w:val="000000" w:themeColor="text1"/>
          <w:sz w:val="22"/>
          <w:szCs w:val="22"/>
        </w:rPr>
        <w:t>B</w:t>
      </w:r>
      <w:r w:rsidRPr="00726423">
        <w:rPr>
          <w:rFonts w:ascii="Arial" w:hAnsi="Arial" w:cs="Arial"/>
          <w:b/>
          <w:bCs/>
          <w:color w:val="000000" w:themeColor="text1"/>
          <w:sz w:val="22"/>
          <w:szCs w:val="22"/>
        </w:rPr>
        <w:t>)</w:t>
      </w:r>
      <w:r w:rsidRPr="00726423">
        <w:rPr>
          <w:rFonts w:ascii="Arial" w:hAnsi="Arial" w:cs="Arial"/>
          <w:color w:val="000000" w:themeColor="text1"/>
          <w:sz w:val="22"/>
          <w:szCs w:val="22"/>
        </w:rPr>
        <w:t xml:space="preserve"> </w:t>
      </w:r>
      <w:r w:rsidR="000F4730" w:rsidRPr="00726423">
        <w:rPr>
          <w:rFonts w:ascii="Arial" w:hAnsi="Arial" w:cs="Arial"/>
          <w:color w:val="000000" w:themeColor="text1"/>
          <w:sz w:val="22"/>
          <w:szCs w:val="22"/>
        </w:rPr>
        <w:t xml:space="preserve">of lung ILC2s </w:t>
      </w:r>
      <w:r w:rsidRPr="00726423">
        <w:rPr>
          <w:rFonts w:ascii="Arial" w:hAnsi="Arial" w:cs="Arial"/>
          <w:color w:val="000000" w:themeColor="text1"/>
          <w:sz w:val="22"/>
          <w:szCs w:val="22"/>
        </w:rPr>
        <w:t xml:space="preserve">in C57BL/6 mice administered intratracheally </w:t>
      </w:r>
      <w:r w:rsidR="007F4F29" w:rsidRPr="00726423">
        <w:rPr>
          <w:rFonts w:ascii="Arial" w:hAnsi="Arial" w:cs="Arial"/>
          <w:color w:val="000000" w:themeColor="text1"/>
          <w:sz w:val="22"/>
          <w:szCs w:val="22"/>
        </w:rPr>
        <w:t>with PBS (n=11),</w:t>
      </w:r>
      <w:r w:rsidRPr="00726423">
        <w:rPr>
          <w:rFonts w:ascii="Arial" w:hAnsi="Arial" w:cs="Arial"/>
          <w:color w:val="000000" w:themeColor="text1"/>
          <w:sz w:val="22"/>
          <w:szCs w:val="22"/>
        </w:rPr>
        <w:t xml:space="preserve"> IL-33 with </w:t>
      </w:r>
      <w:r w:rsidR="007F4F29" w:rsidRPr="00726423">
        <w:rPr>
          <w:rFonts w:ascii="Arial" w:hAnsi="Arial" w:cs="Arial"/>
          <w:color w:val="000000" w:themeColor="text1"/>
          <w:sz w:val="22"/>
          <w:szCs w:val="22"/>
        </w:rPr>
        <w:t>vehicle (n=11) or</w:t>
      </w:r>
      <w:r w:rsidR="003B4A67" w:rsidRPr="00726423">
        <w:rPr>
          <w:rFonts w:ascii="Arial" w:hAnsi="Arial" w:cs="Arial"/>
          <w:color w:val="000000" w:themeColor="text1"/>
          <w:sz w:val="22"/>
          <w:szCs w:val="22"/>
        </w:rPr>
        <w:t xml:space="preserve"> </w:t>
      </w:r>
      <w:r w:rsidR="00DB1DE8" w:rsidRPr="00726423">
        <w:rPr>
          <w:rFonts w:ascii="Arial" w:hAnsi="Arial" w:cs="Arial"/>
          <w:color w:val="000000" w:themeColor="text1"/>
          <w:sz w:val="22"/>
          <w:szCs w:val="22"/>
        </w:rPr>
        <w:t>indomethacin</w:t>
      </w:r>
      <w:r w:rsidR="007F4F29" w:rsidRPr="00726423">
        <w:rPr>
          <w:rFonts w:ascii="Arial" w:hAnsi="Arial" w:cs="Arial"/>
          <w:color w:val="000000" w:themeColor="text1"/>
          <w:sz w:val="22"/>
          <w:szCs w:val="22"/>
        </w:rPr>
        <w:t xml:space="preserve"> (n=12)</w:t>
      </w:r>
      <w:r w:rsidRPr="00726423">
        <w:rPr>
          <w:rFonts w:ascii="Arial" w:hAnsi="Arial" w:cs="Arial"/>
          <w:color w:val="000000" w:themeColor="text1"/>
          <w:sz w:val="22"/>
          <w:szCs w:val="22"/>
        </w:rPr>
        <w:t xml:space="preserve"> for 3 consecutive days.</w:t>
      </w:r>
      <w:r w:rsidR="003B4A67" w:rsidRPr="00726423">
        <w:rPr>
          <w:rFonts w:ascii="Arial" w:hAnsi="Arial" w:cs="Arial"/>
          <w:color w:val="000000" w:themeColor="text1"/>
          <w:sz w:val="22"/>
          <w:szCs w:val="22"/>
        </w:rPr>
        <w:t xml:space="preserve"> Cells in </w:t>
      </w:r>
      <w:r w:rsidR="003B4A67" w:rsidRPr="00726423">
        <w:rPr>
          <w:rFonts w:ascii="Arial" w:hAnsi="Arial" w:cs="Arial"/>
          <w:b/>
          <w:bCs/>
          <w:color w:val="000000" w:themeColor="text1"/>
          <w:sz w:val="22"/>
          <w:szCs w:val="22"/>
        </w:rPr>
        <w:t>(A)</w:t>
      </w:r>
      <w:r w:rsidR="003B4A67" w:rsidRPr="00726423">
        <w:rPr>
          <w:rFonts w:ascii="Arial" w:hAnsi="Arial" w:cs="Arial"/>
          <w:color w:val="000000" w:themeColor="text1"/>
          <w:sz w:val="22"/>
          <w:szCs w:val="22"/>
        </w:rPr>
        <w:t xml:space="preserve"> were pre-gated on live CD45</w:t>
      </w:r>
      <w:r w:rsidR="003B4A67" w:rsidRPr="00726423">
        <w:rPr>
          <w:rFonts w:ascii="Arial" w:hAnsi="Arial" w:cs="Arial"/>
          <w:color w:val="000000" w:themeColor="text1"/>
          <w:sz w:val="22"/>
          <w:szCs w:val="22"/>
          <w:vertAlign w:val="superscript"/>
        </w:rPr>
        <w:t>+</w:t>
      </w:r>
      <w:r w:rsidR="003B4A67" w:rsidRPr="00726423">
        <w:rPr>
          <w:rFonts w:ascii="Arial" w:hAnsi="Arial" w:cs="Arial"/>
          <w:color w:val="000000" w:themeColor="text1"/>
          <w:sz w:val="22"/>
          <w:szCs w:val="22"/>
        </w:rPr>
        <w:t>CD19</w:t>
      </w:r>
      <w:r w:rsidR="003B4A67" w:rsidRPr="00726423">
        <w:rPr>
          <w:rFonts w:ascii="Arial" w:hAnsi="Arial" w:cs="Arial"/>
          <w:color w:val="000000" w:themeColor="text1"/>
          <w:sz w:val="22"/>
          <w:szCs w:val="22"/>
          <w:vertAlign w:val="superscript"/>
        </w:rPr>
        <w:t>–</w:t>
      </w:r>
      <w:r w:rsidR="003B4A67" w:rsidRPr="00726423">
        <w:rPr>
          <w:rFonts w:ascii="Arial" w:hAnsi="Arial" w:cs="Arial"/>
          <w:color w:val="000000" w:themeColor="text1"/>
          <w:sz w:val="22"/>
          <w:szCs w:val="22"/>
        </w:rPr>
        <w:t xml:space="preserve"> </w:t>
      </w:r>
      <w:r w:rsidR="008468CE" w:rsidRPr="00726423">
        <w:rPr>
          <w:rFonts w:ascii="Arial" w:hAnsi="Arial" w:cs="Arial"/>
          <w:color w:val="000000" w:themeColor="text1"/>
          <w:sz w:val="22"/>
          <w:szCs w:val="22"/>
        </w:rPr>
        <w:t>immune cells</w:t>
      </w:r>
      <w:r w:rsidR="003B4A67" w:rsidRPr="00726423">
        <w:rPr>
          <w:rFonts w:ascii="Arial" w:hAnsi="Arial" w:cs="Arial"/>
          <w:color w:val="000000" w:themeColor="text1"/>
          <w:sz w:val="22"/>
          <w:szCs w:val="22"/>
        </w:rPr>
        <w:t xml:space="preserve">. </w:t>
      </w:r>
      <w:r w:rsidR="009D46FA" w:rsidRPr="00726423">
        <w:rPr>
          <w:rFonts w:ascii="Arial" w:hAnsi="Arial" w:cs="Arial"/>
          <w:b/>
          <w:bCs/>
          <w:color w:val="000000" w:themeColor="text1"/>
          <w:sz w:val="22"/>
          <w:szCs w:val="22"/>
        </w:rPr>
        <w:t>(</w:t>
      </w:r>
      <w:r w:rsidR="003B4A67" w:rsidRPr="00726423">
        <w:rPr>
          <w:rFonts w:ascii="Arial" w:hAnsi="Arial" w:cs="Arial"/>
          <w:b/>
          <w:bCs/>
          <w:color w:val="000000" w:themeColor="text1"/>
          <w:sz w:val="22"/>
          <w:szCs w:val="22"/>
        </w:rPr>
        <w:t>C</w:t>
      </w:r>
      <w:r w:rsidR="009D46FA" w:rsidRPr="00726423">
        <w:rPr>
          <w:rFonts w:ascii="Arial" w:hAnsi="Arial" w:cs="Arial"/>
          <w:b/>
          <w:bCs/>
          <w:color w:val="000000" w:themeColor="text1"/>
          <w:sz w:val="22"/>
          <w:szCs w:val="22"/>
        </w:rPr>
        <w:t>)</w:t>
      </w:r>
      <w:r w:rsidR="003B4A67" w:rsidRPr="00726423">
        <w:rPr>
          <w:rFonts w:ascii="Arial" w:hAnsi="Arial" w:cs="Arial"/>
          <w:color w:val="000000" w:themeColor="text1"/>
          <w:sz w:val="22"/>
          <w:szCs w:val="22"/>
        </w:rPr>
        <w:t xml:space="preserve"> Representative flow cytometric dot plots of </w:t>
      </w:r>
      <w:proofErr w:type="gramStart"/>
      <w:r w:rsidR="005C3B55" w:rsidRPr="00726423">
        <w:rPr>
          <w:rFonts w:ascii="Arial" w:hAnsi="Arial" w:cs="Arial"/>
          <w:color w:val="000000" w:themeColor="text1"/>
          <w:sz w:val="22"/>
          <w:szCs w:val="22"/>
        </w:rPr>
        <w:t>lineage(</w:t>
      </w:r>
      <w:proofErr w:type="gramEnd"/>
      <w:r w:rsidR="005C3B55" w:rsidRPr="00726423">
        <w:rPr>
          <w:rFonts w:ascii="Arial" w:hAnsi="Arial" w:cs="Arial"/>
          <w:color w:val="000000" w:themeColor="text1"/>
          <w:sz w:val="22"/>
          <w:szCs w:val="22"/>
        </w:rPr>
        <w:t>CD3/CD19/CD11b/CD11c/NK1.1)</w:t>
      </w:r>
      <w:r w:rsidR="005C3B55" w:rsidRPr="00726423">
        <w:rPr>
          <w:rFonts w:ascii="Arial" w:hAnsi="Arial" w:cs="Arial"/>
          <w:color w:val="000000" w:themeColor="text1"/>
          <w:sz w:val="22"/>
          <w:szCs w:val="22"/>
          <w:vertAlign w:val="superscript"/>
        </w:rPr>
        <w:t>–</w:t>
      </w:r>
      <w:r w:rsidR="005C3B55" w:rsidRPr="00726423">
        <w:rPr>
          <w:rFonts w:ascii="Arial" w:hAnsi="Arial" w:cs="Arial"/>
          <w:color w:val="000000" w:themeColor="text1"/>
          <w:sz w:val="22"/>
          <w:szCs w:val="22"/>
        </w:rPr>
        <w:t>CD19</w:t>
      </w:r>
      <w:r w:rsidR="005C3B55" w:rsidRPr="00726423">
        <w:rPr>
          <w:rFonts w:ascii="Arial" w:hAnsi="Arial" w:cs="Arial"/>
          <w:color w:val="000000" w:themeColor="text1"/>
          <w:sz w:val="22"/>
          <w:szCs w:val="22"/>
          <w:vertAlign w:val="superscript"/>
        </w:rPr>
        <w:t>–</w:t>
      </w:r>
      <w:r w:rsidR="005C3B55" w:rsidRPr="00726423">
        <w:rPr>
          <w:rFonts w:ascii="Arial" w:hAnsi="Arial" w:cs="Arial"/>
          <w:color w:val="000000" w:themeColor="text1"/>
          <w:sz w:val="22"/>
          <w:szCs w:val="22"/>
        </w:rPr>
        <w:t>CD90.2</w:t>
      </w:r>
      <w:r w:rsidR="005C3B55" w:rsidRPr="00726423">
        <w:rPr>
          <w:rFonts w:ascii="Arial" w:hAnsi="Arial" w:cs="Arial"/>
          <w:color w:val="000000" w:themeColor="text1"/>
          <w:sz w:val="22"/>
          <w:szCs w:val="22"/>
          <w:vertAlign w:val="superscript"/>
        </w:rPr>
        <w:t>+</w:t>
      </w:r>
      <w:r w:rsidR="005C3B55" w:rsidRPr="00726423">
        <w:rPr>
          <w:rFonts w:ascii="Arial" w:hAnsi="Arial" w:cs="Arial"/>
          <w:color w:val="000000" w:themeColor="text1"/>
          <w:sz w:val="22"/>
          <w:szCs w:val="22"/>
        </w:rPr>
        <w:t>ST2</w:t>
      </w:r>
      <w:r w:rsidR="005C3B55" w:rsidRPr="00726423">
        <w:rPr>
          <w:rFonts w:ascii="Arial" w:hAnsi="Arial" w:cs="Arial"/>
          <w:color w:val="000000" w:themeColor="text1"/>
          <w:sz w:val="22"/>
          <w:szCs w:val="22"/>
          <w:vertAlign w:val="superscript"/>
        </w:rPr>
        <w:t>–</w:t>
      </w:r>
      <w:r w:rsidR="005C3B55" w:rsidRPr="00726423">
        <w:rPr>
          <w:rFonts w:ascii="Arial" w:hAnsi="Arial" w:cs="Arial"/>
          <w:color w:val="000000" w:themeColor="text1"/>
          <w:sz w:val="22"/>
          <w:szCs w:val="22"/>
        </w:rPr>
        <w:t xml:space="preserve"> ILC2s and </w:t>
      </w:r>
      <w:r w:rsidR="00413629" w:rsidRPr="00726423">
        <w:rPr>
          <w:rFonts w:ascii="Arial" w:hAnsi="Arial" w:cs="Arial"/>
          <w:color w:val="000000" w:themeColor="text1"/>
          <w:sz w:val="22"/>
          <w:szCs w:val="22"/>
        </w:rPr>
        <w:t>l</w:t>
      </w:r>
      <w:r w:rsidR="003B4A67" w:rsidRPr="00726423">
        <w:rPr>
          <w:rFonts w:ascii="Arial" w:hAnsi="Arial" w:cs="Arial"/>
          <w:color w:val="000000" w:themeColor="text1"/>
          <w:sz w:val="22"/>
          <w:szCs w:val="22"/>
        </w:rPr>
        <w:t>ineage</w:t>
      </w:r>
      <w:r w:rsidR="008468CE" w:rsidRPr="00726423">
        <w:rPr>
          <w:rFonts w:ascii="Arial" w:hAnsi="Arial" w:cs="Arial"/>
          <w:color w:val="000000" w:themeColor="text1"/>
          <w:sz w:val="22"/>
          <w:szCs w:val="22"/>
          <w:vertAlign w:val="superscript"/>
        </w:rPr>
        <w:t>+</w:t>
      </w:r>
      <w:r w:rsidR="008468CE" w:rsidRPr="00726423">
        <w:rPr>
          <w:rFonts w:ascii="Arial" w:hAnsi="Arial" w:cs="Arial"/>
          <w:color w:val="000000" w:themeColor="text1"/>
          <w:sz w:val="22"/>
          <w:szCs w:val="22"/>
        </w:rPr>
        <w:t>CD90.2</w:t>
      </w:r>
      <w:r w:rsidR="008468CE" w:rsidRPr="00726423">
        <w:rPr>
          <w:rFonts w:ascii="Arial" w:hAnsi="Arial" w:cs="Arial"/>
          <w:color w:val="000000" w:themeColor="text1"/>
          <w:sz w:val="22"/>
          <w:szCs w:val="22"/>
          <w:vertAlign w:val="superscript"/>
        </w:rPr>
        <w:t>+</w:t>
      </w:r>
      <w:r w:rsidR="008468CE" w:rsidRPr="00726423">
        <w:rPr>
          <w:rFonts w:ascii="Arial" w:hAnsi="Arial" w:cs="Arial"/>
          <w:color w:val="000000" w:themeColor="text1"/>
          <w:sz w:val="22"/>
          <w:szCs w:val="22"/>
        </w:rPr>
        <w:t>ST2</w:t>
      </w:r>
      <w:r w:rsidR="008468CE" w:rsidRPr="00726423">
        <w:rPr>
          <w:rFonts w:ascii="Arial" w:hAnsi="Arial" w:cs="Arial"/>
          <w:color w:val="000000" w:themeColor="text1"/>
          <w:sz w:val="22"/>
          <w:szCs w:val="22"/>
          <w:vertAlign w:val="superscript"/>
        </w:rPr>
        <w:t>+</w:t>
      </w:r>
      <w:r w:rsidR="008468CE" w:rsidRPr="00726423">
        <w:rPr>
          <w:rFonts w:ascii="Arial" w:hAnsi="Arial" w:cs="Arial"/>
          <w:color w:val="000000" w:themeColor="text1"/>
          <w:sz w:val="22"/>
          <w:szCs w:val="22"/>
        </w:rPr>
        <w:t xml:space="preserve"> Th2 cells and IL-5 versus IL-13 expression</w:t>
      </w:r>
      <w:r w:rsidR="0067273B" w:rsidRPr="00726423">
        <w:rPr>
          <w:rFonts w:ascii="Arial" w:hAnsi="Arial" w:cs="Arial"/>
          <w:color w:val="000000" w:themeColor="text1"/>
          <w:sz w:val="22"/>
          <w:szCs w:val="22"/>
        </w:rPr>
        <w:t xml:space="preserve"> in the lungs of EP2</w:t>
      </w:r>
      <w:r w:rsidR="0067273B" w:rsidRPr="00726423">
        <w:rPr>
          <w:rFonts w:ascii="Arial" w:hAnsi="Arial" w:cs="Arial"/>
          <w:color w:val="000000" w:themeColor="text1"/>
          <w:sz w:val="22"/>
          <w:szCs w:val="22"/>
          <w:vertAlign w:val="superscript"/>
        </w:rPr>
        <w:t>+/+</w:t>
      </w:r>
      <w:r w:rsidR="009D46FA" w:rsidRPr="00726423">
        <w:rPr>
          <w:rFonts w:ascii="Arial" w:hAnsi="Arial" w:cs="Arial"/>
          <w:color w:val="000000" w:themeColor="text1"/>
          <w:sz w:val="22"/>
          <w:szCs w:val="22"/>
        </w:rPr>
        <w:t xml:space="preserve"> (n=8)</w:t>
      </w:r>
      <w:r w:rsidR="0067273B" w:rsidRPr="00726423">
        <w:rPr>
          <w:rFonts w:ascii="Arial" w:hAnsi="Arial" w:cs="Arial"/>
          <w:color w:val="000000" w:themeColor="text1"/>
          <w:sz w:val="22"/>
          <w:szCs w:val="22"/>
        </w:rPr>
        <w:t>, EP2</w:t>
      </w:r>
      <w:r w:rsidR="0067273B" w:rsidRPr="00726423">
        <w:rPr>
          <w:rFonts w:ascii="Arial" w:hAnsi="Arial" w:cs="Arial"/>
          <w:color w:val="000000" w:themeColor="text1"/>
          <w:sz w:val="22"/>
          <w:szCs w:val="22"/>
          <w:vertAlign w:val="superscript"/>
        </w:rPr>
        <w:t>+/–</w:t>
      </w:r>
      <w:r w:rsidR="0067273B" w:rsidRPr="00726423">
        <w:rPr>
          <w:rFonts w:ascii="Arial" w:hAnsi="Arial" w:cs="Arial"/>
          <w:color w:val="000000" w:themeColor="text1"/>
          <w:sz w:val="22"/>
          <w:szCs w:val="22"/>
        </w:rPr>
        <w:t xml:space="preserve"> </w:t>
      </w:r>
      <w:r w:rsidR="009D46FA" w:rsidRPr="00726423">
        <w:rPr>
          <w:rFonts w:ascii="Arial" w:hAnsi="Arial" w:cs="Arial"/>
          <w:color w:val="000000" w:themeColor="text1"/>
          <w:sz w:val="22"/>
          <w:szCs w:val="22"/>
        </w:rPr>
        <w:t xml:space="preserve">(n=5) </w:t>
      </w:r>
      <w:r w:rsidR="0067273B" w:rsidRPr="00726423">
        <w:rPr>
          <w:rFonts w:ascii="Arial" w:hAnsi="Arial" w:cs="Arial"/>
          <w:color w:val="000000" w:themeColor="text1"/>
          <w:sz w:val="22"/>
          <w:szCs w:val="22"/>
        </w:rPr>
        <w:t>or EP2</w:t>
      </w:r>
      <w:r w:rsidR="0067273B" w:rsidRPr="00726423">
        <w:rPr>
          <w:rFonts w:ascii="Arial" w:hAnsi="Arial" w:cs="Arial"/>
          <w:color w:val="000000" w:themeColor="text1"/>
          <w:sz w:val="22"/>
          <w:szCs w:val="22"/>
          <w:vertAlign w:val="superscript"/>
        </w:rPr>
        <w:t>–/–</w:t>
      </w:r>
      <w:r w:rsidR="0067273B" w:rsidRPr="00726423">
        <w:rPr>
          <w:rFonts w:ascii="Arial" w:hAnsi="Arial" w:cs="Arial"/>
          <w:color w:val="000000" w:themeColor="text1"/>
          <w:sz w:val="22"/>
          <w:szCs w:val="22"/>
        </w:rPr>
        <w:t xml:space="preserve"> </w:t>
      </w:r>
      <w:r w:rsidR="009D46FA" w:rsidRPr="00726423">
        <w:rPr>
          <w:rFonts w:ascii="Arial" w:hAnsi="Arial" w:cs="Arial"/>
          <w:color w:val="000000" w:themeColor="text1"/>
          <w:sz w:val="22"/>
          <w:szCs w:val="22"/>
        </w:rPr>
        <w:t xml:space="preserve">(n=5) </w:t>
      </w:r>
      <w:r w:rsidR="0067273B" w:rsidRPr="00726423">
        <w:rPr>
          <w:rFonts w:ascii="Arial" w:hAnsi="Arial" w:cs="Arial"/>
          <w:color w:val="000000" w:themeColor="text1"/>
          <w:sz w:val="22"/>
          <w:szCs w:val="22"/>
        </w:rPr>
        <w:t xml:space="preserve">mice that were administered intratracheally </w:t>
      </w:r>
      <w:r w:rsidR="005C3B55" w:rsidRPr="00726423">
        <w:rPr>
          <w:rFonts w:ascii="Arial" w:hAnsi="Arial" w:cs="Arial"/>
          <w:color w:val="000000" w:themeColor="text1"/>
          <w:sz w:val="22"/>
          <w:szCs w:val="22"/>
        </w:rPr>
        <w:t>with</w:t>
      </w:r>
      <w:r w:rsidR="0067273B" w:rsidRPr="00726423">
        <w:rPr>
          <w:rFonts w:ascii="Arial" w:hAnsi="Arial" w:cs="Arial"/>
          <w:color w:val="000000" w:themeColor="text1"/>
          <w:sz w:val="22"/>
          <w:szCs w:val="22"/>
        </w:rPr>
        <w:t xml:space="preserve"> IL-33 for 3 consecutive days</w:t>
      </w:r>
      <w:r w:rsidR="008468CE" w:rsidRPr="00726423">
        <w:rPr>
          <w:rFonts w:ascii="Arial" w:hAnsi="Arial" w:cs="Arial"/>
          <w:color w:val="000000" w:themeColor="text1"/>
          <w:sz w:val="22"/>
          <w:szCs w:val="22"/>
        </w:rPr>
        <w:t>. Cells were pre-gated on live CD45</w:t>
      </w:r>
      <w:r w:rsidR="008468CE" w:rsidRPr="00726423">
        <w:rPr>
          <w:rFonts w:ascii="Arial" w:hAnsi="Arial" w:cs="Arial"/>
          <w:color w:val="000000" w:themeColor="text1"/>
          <w:sz w:val="22"/>
          <w:szCs w:val="22"/>
          <w:vertAlign w:val="superscript"/>
        </w:rPr>
        <w:t>+</w:t>
      </w:r>
      <w:r w:rsidR="008468CE" w:rsidRPr="00726423">
        <w:rPr>
          <w:rFonts w:ascii="Arial" w:hAnsi="Arial" w:cs="Arial"/>
          <w:color w:val="000000" w:themeColor="text1"/>
          <w:sz w:val="22"/>
          <w:szCs w:val="22"/>
        </w:rPr>
        <w:t xml:space="preserve"> immune cells.</w:t>
      </w:r>
      <w:r w:rsidR="004527BD" w:rsidRPr="00726423">
        <w:rPr>
          <w:rFonts w:ascii="Arial" w:hAnsi="Arial" w:cs="Arial"/>
          <w:color w:val="000000" w:themeColor="text1"/>
          <w:sz w:val="22"/>
          <w:szCs w:val="22"/>
        </w:rPr>
        <w:t xml:space="preserve"> </w:t>
      </w:r>
      <w:r w:rsidR="009D46FA" w:rsidRPr="00726423">
        <w:rPr>
          <w:rFonts w:ascii="Arial" w:hAnsi="Arial" w:cs="Arial"/>
          <w:b/>
          <w:bCs/>
          <w:color w:val="000000" w:themeColor="text1"/>
          <w:sz w:val="22"/>
          <w:szCs w:val="22"/>
        </w:rPr>
        <w:t xml:space="preserve">(D and </w:t>
      </w:r>
      <w:r w:rsidR="004527BD" w:rsidRPr="00726423">
        <w:rPr>
          <w:rFonts w:ascii="Arial" w:hAnsi="Arial" w:cs="Arial"/>
          <w:b/>
          <w:bCs/>
          <w:color w:val="000000" w:themeColor="text1"/>
          <w:sz w:val="22"/>
          <w:szCs w:val="22"/>
        </w:rPr>
        <w:t>E</w:t>
      </w:r>
      <w:r w:rsidR="009D46FA" w:rsidRPr="00726423">
        <w:rPr>
          <w:rFonts w:ascii="Arial" w:hAnsi="Arial" w:cs="Arial"/>
          <w:b/>
          <w:bCs/>
          <w:color w:val="000000" w:themeColor="text1"/>
          <w:sz w:val="22"/>
          <w:szCs w:val="22"/>
        </w:rPr>
        <w:t>)</w:t>
      </w:r>
      <w:r w:rsidR="004527BD" w:rsidRPr="00726423">
        <w:rPr>
          <w:rFonts w:ascii="Arial" w:hAnsi="Arial" w:cs="Arial"/>
          <w:color w:val="000000" w:themeColor="text1"/>
          <w:sz w:val="22"/>
          <w:szCs w:val="22"/>
        </w:rPr>
        <w:t xml:space="preserve"> </w:t>
      </w:r>
      <w:r w:rsidR="0067273B" w:rsidRPr="00726423">
        <w:rPr>
          <w:rFonts w:ascii="Arial" w:hAnsi="Arial" w:cs="Arial"/>
          <w:color w:val="000000" w:themeColor="text1"/>
          <w:sz w:val="22"/>
          <w:szCs w:val="22"/>
        </w:rPr>
        <w:t xml:space="preserve">Number of </w:t>
      </w:r>
      <w:r w:rsidR="004527BD" w:rsidRPr="00726423">
        <w:rPr>
          <w:rFonts w:ascii="Arial" w:hAnsi="Arial" w:cs="Arial"/>
          <w:color w:val="000000" w:themeColor="text1"/>
          <w:sz w:val="22"/>
          <w:szCs w:val="22"/>
        </w:rPr>
        <w:t>ST2</w:t>
      </w:r>
      <w:r w:rsidR="004527BD" w:rsidRPr="00726423">
        <w:rPr>
          <w:rFonts w:ascii="Arial" w:hAnsi="Arial" w:cs="Arial"/>
          <w:color w:val="000000" w:themeColor="text1"/>
          <w:sz w:val="22"/>
          <w:szCs w:val="22"/>
          <w:vertAlign w:val="superscript"/>
        </w:rPr>
        <w:t>+</w:t>
      </w:r>
      <w:r w:rsidR="004527BD" w:rsidRPr="00726423">
        <w:rPr>
          <w:rFonts w:ascii="Arial" w:hAnsi="Arial" w:cs="Arial"/>
          <w:color w:val="000000" w:themeColor="text1"/>
          <w:sz w:val="22"/>
          <w:szCs w:val="22"/>
        </w:rPr>
        <w:t xml:space="preserve"> total</w:t>
      </w:r>
      <w:r w:rsidR="0067273B" w:rsidRPr="00726423">
        <w:rPr>
          <w:rFonts w:ascii="Arial" w:hAnsi="Arial" w:cs="Arial"/>
          <w:color w:val="000000" w:themeColor="text1"/>
          <w:sz w:val="22"/>
          <w:szCs w:val="22"/>
        </w:rPr>
        <w:t xml:space="preserve"> ILC2s</w:t>
      </w:r>
      <w:r w:rsidR="004527BD" w:rsidRPr="00726423">
        <w:rPr>
          <w:rFonts w:ascii="Arial" w:hAnsi="Arial" w:cs="Arial"/>
          <w:color w:val="000000" w:themeColor="text1"/>
          <w:sz w:val="22"/>
          <w:szCs w:val="22"/>
        </w:rPr>
        <w:t>, IL-5</w:t>
      </w:r>
      <w:r w:rsidR="004527BD" w:rsidRPr="00726423">
        <w:rPr>
          <w:rFonts w:ascii="Arial" w:hAnsi="Arial" w:cs="Arial"/>
          <w:color w:val="000000" w:themeColor="text1"/>
          <w:sz w:val="22"/>
          <w:szCs w:val="22"/>
          <w:vertAlign w:val="superscript"/>
        </w:rPr>
        <w:t>+</w:t>
      </w:r>
      <w:r w:rsidR="004527BD" w:rsidRPr="00726423">
        <w:rPr>
          <w:rFonts w:ascii="Arial" w:hAnsi="Arial" w:cs="Arial"/>
          <w:color w:val="000000" w:themeColor="text1"/>
          <w:sz w:val="22"/>
          <w:szCs w:val="22"/>
        </w:rPr>
        <w:t xml:space="preserve"> </w:t>
      </w:r>
      <w:r w:rsidR="0067273B" w:rsidRPr="00726423">
        <w:rPr>
          <w:rFonts w:ascii="Arial" w:hAnsi="Arial" w:cs="Arial"/>
          <w:color w:val="000000" w:themeColor="text1"/>
          <w:sz w:val="22"/>
          <w:szCs w:val="22"/>
        </w:rPr>
        <w:t>ILC2s,</w:t>
      </w:r>
      <w:r w:rsidR="004527BD" w:rsidRPr="00726423">
        <w:rPr>
          <w:rFonts w:ascii="Arial" w:hAnsi="Arial" w:cs="Arial"/>
          <w:color w:val="000000" w:themeColor="text1"/>
          <w:sz w:val="22"/>
          <w:szCs w:val="22"/>
        </w:rPr>
        <w:t xml:space="preserve"> IL-13</w:t>
      </w:r>
      <w:r w:rsidR="004527BD" w:rsidRPr="00726423">
        <w:rPr>
          <w:rFonts w:ascii="Arial" w:hAnsi="Arial" w:cs="Arial"/>
          <w:color w:val="000000" w:themeColor="text1"/>
          <w:sz w:val="22"/>
          <w:szCs w:val="22"/>
          <w:vertAlign w:val="superscript"/>
        </w:rPr>
        <w:t>+</w:t>
      </w:r>
      <w:r w:rsidR="004527BD" w:rsidRPr="00726423">
        <w:rPr>
          <w:rFonts w:ascii="Arial" w:hAnsi="Arial" w:cs="Arial"/>
          <w:color w:val="000000" w:themeColor="text1"/>
          <w:sz w:val="22"/>
          <w:szCs w:val="22"/>
        </w:rPr>
        <w:t xml:space="preserve"> ILC2s </w:t>
      </w:r>
      <w:r w:rsidR="0067273B" w:rsidRPr="00726423">
        <w:rPr>
          <w:rFonts w:ascii="Arial" w:hAnsi="Arial" w:cs="Arial"/>
          <w:color w:val="000000" w:themeColor="text1"/>
          <w:sz w:val="22"/>
          <w:szCs w:val="22"/>
        </w:rPr>
        <w:t>and eosinophils in the lung. Data were normalised by sexes and present</w:t>
      </w:r>
      <w:r w:rsidR="0041035D" w:rsidRPr="00726423">
        <w:rPr>
          <w:rFonts w:ascii="Arial" w:hAnsi="Arial" w:cs="Arial"/>
          <w:color w:val="000000" w:themeColor="text1"/>
          <w:sz w:val="22"/>
          <w:szCs w:val="22"/>
        </w:rPr>
        <w:t>ed as fold change to the EP2</w:t>
      </w:r>
      <w:r w:rsidR="0041035D" w:rsidRPr="00726423">
        <w:rPr>
          <w:rFonts w:ascii="Arial" w:hAnsi="Arial" w:cs="Arial"/>
          <w:color w:val="000000" w:themeColor="text1"/>
          <w:sz w:val="22"/>
          <w:szCs w:val="22"/>
          <w:vertAlign w:val="superscript"/>
        </w:rPr>
        <w:t>+/+</w:t>
      </w:r>
      <w:r w:rsidR="0041035D" w:rsidRPr="00726423">
        <w:rPr>
          <w:rFonts w:ascii="Arial" w:hAnsi="Arial" w:cs="Arial"/>
          <w:color w:val="000000" w:themeColor="text1"/>
          <w:sz w:val="22"/>
          <w:szCs w:val="22"/>
        </w:rPr>
        <w:t xml:space="preserve"> group. Data shown as means ± SDs were pooled from three independent experiments. Each dot in the bar graphs represents one mouse. *</w:t>
      </w:r>
      <w:r w:rsidR="0041035D" w:rsidRPr="00726423">
        <w:rPr>
          <w:rFonts w:ascii="Arial" w:hAnsi="Arial" w:cs="Arial"/>
          <w:i/>
          <w:iCs/>
          <w:color w:val="000000" w:themeColor="text1"/>
          <w:sz w:val="22"/>
          <w:szCs w:val="22"/>
        </w:rPr>
        <w:t>P</w:t>
      </w:r>
      <w:r w:rsidR="0041035D" w:rsidRPr="00726423">
        <w:rPr>
          <w:rFonts w:ascii="Arial" w:hAnsi="Arial" w:cs="Arial"/>
          <w:color w:val="000000" w:themeColor="text1"/>
          <w:sz w:val="22"/>
          <w:szCs w:val="22"/>
        </w:rPr>
        <w:t>&lt;0.05, **</w:t>
      </w:r>
      <w:r w:rsidR="0041035D" w:rsidRPr="00726423">
        <w:rPr>
          <w:rFonts w:ascii="Arial" w:hAnsi="Arial" w:cs="Arial"/>
          <w:i/>
          <w:iCs/>
          <w:color w:val="000000" w:themeColor="text1"/>
          <w:sz w:val="22"/>
          <w:szCs w:val="22"/>
        </w:rPr>
        <w:t>P</w:t>
      </w:r>
      <w:r w:rsidR="0041035D" w:rsidRPr="00726423">
        <w:rPr>
          <w:rFonts w:ascii="Arial" w:hAnsi="Arial" w:cs="Arial"/>
          <w:color w:val="000000" w:themeColor="text1"/>
          <w:sz w:val="22"/>
          <w:szCs w:val="22"/>
        </w:rPr>
        <w:t>&lt;0.01, ***</w:t>
      </w:r>
      <w:r w:rsidR="0041035D" w:rsidRPr="00726423">
        <w:rPr>
          <w:rFonts w:ascii="Arial" w:hAnsi="Arial" w:cs="Arial"/>
          <w:i/>
          <w:iCs/>
          <w:color w:val="000000" w:themeColor="text1"/>
          <w:sz w:val="22"/>
          <w:szCs w:val="22"/>
        </w:rPr>
        <w:t>P</w:t>
      </w:r>
      <w:r w:rsidR="0041035D" w:rsidRPr="00726423">
        <w:rPr>
          <w:rFonts w:ascii="Arial" w:hAnsi="Arial" w:cs="Arial"/>
          <w:color w:val="000000" w:themeColor="text1"/>
          <w:sz w:val="22"/>
          <w:szCs w:val="22"/>
        </w:rPr>
        <w:t>&lt;0.001, ****</w:t>
      </w:r>
      <w:r w:rsidR="0041035D" w:rsidRPr="00726423">
        <w:rPr>
          <w:rFonts w:ascii="Arial" w:hAnsi="Arial" w:cs="Arial"/>
          <w:i/>
          <w:iCs/>
          <w:color w:val="000000" w:themeColor="text1"/>
          <w:sz w:val="22"/>
          <w:szCs w:val="22"/>
        </w:rPr>
        <w:t>P</w:t>
      </w:r>
      <w:r w:rsidR="0041035D" w:rsidRPr="00726423">
        <w:rPr>
          <w:rFonts w:ascii="Arial" w:hAnsi="Arial" w:cs="Arial"/>
          <w:color w:val="000000" w:themeColor="text1"/>
          <w:sz w:val="22"/>
          <w:szCs w:val="22"/>
        </w:rPr>
        <w:t xml:space="preserve">&lt;0.0001 by </w:t>
      </w:r>
      <w:r w:rsidR="00DE0B1B" w:rsidRPr="00726423">
        <w:rPr>
          <w:rFonts w:ascii="Arial" w:hAnsi="Arial" w:cs="Arial"/>
          <w:color w:val="000000" w:themeColor="text1"/>
          <w:sz w:val="22"/>
          <w:szCs w:val="22"/>
        </w:rPr>
        <w:t xml:space="preserve">one-way </w:t>
      </w:r>
      <w:r w:rsidR="0041035D" w:rsidRPr="00726423">
        <w:rPr>
          <w:rFonts w:ascii="Arial" w:hAnsi="Arial" w:cs="Arial"/>
          <w:color w:val="000000" w:themeColor="text1"/>
          <w:sz w:val="22"/>
          <w:szCs w:val="22"/>
        </w:rPr>
        <w:t xml:space="preserve">ANOVA with post-hoc </w:t>
      </w:r>
      <w:r w:rsidR="007A6773" w:rsidRPr="00726423">
        <w:rPr>
          <w:rFonts w:ascii="Arial" w:hAnsi="Arial" w:cs="Arial"/>
          <w:color w:val="000000" w:themeColor="text1"/>
          <w:sz w:val="22"/>
          <w:szCs w:val="22"/>
        </w:rPr>
        <w:t>Holm-</w:t>
      </w:r>
      <w:proofErr w:type="spellStart"/>
      <w:r w:rsidR="007A6773" w:rsidRPr="00726423">
        <w:rPr>
          <w:rFonts w:ascii="Arial" w:hAnsi="Arial" w:cs="Arial"/>
          <w:color w:val="000000" w:themeColor="text1"/>
          <w:sz w:val="22"/>
          <w:szCs w:val="22"/>
        </w:rPr>
        <w:t>Sidak's</w:t>
      </w:r>
      <w:proofErr w:type="spellEnd"/>
      <w:r w:rsidR="0041035D" w:rsidRPr="00726423">
        <w:rPr>
          <w:rFonts w:ascii="Arial" w:hAnsi="Arial" w:cs="Arial"/>
          <w:color w:val="000000" w:themeColor="text1"/>
          <w:sz w:val="22"/>
          <w:szCs w:val="22"/>
        </w:rPr>
        <w:t xml:space="preserve"> multiple comparisons tests. </w:t>
      </w:r>
      <w:r w:rsidR="0093495B" w:rsidRPr="00726423">
        <w:rPr>
          <w:rFonts w:ascii="Arial" w:hAnsi="Arial" w:cs="Arial"/>
          <w:color w:val="000000" w:themeColor="text1"/>
          <w:sz w:val="22"/>
          <w:szCs w:val="22"/>
        </w:rPr>
        <w:t>n</w:t>
      </w:r>
      <w:r w:rsidR="0041035D" w:rsidRPr="00726423">
        <w:rPr>
          <w:rFonts w:ascii="Arial" w:hAnsi="Arial" w:cs="Arial"/>
          <w:color w:val="000000" w:themeColor="text1"/>
          <w:sz w:val="22"/>
          <w:szCs w:val="22"/>
        </w:rPr>
        <w:t>s</w:t>
      </w:r>
      <w:r w:rsidR="0093495B" w:rsidRPr="00726423">
        <w:rPr>
          <w:rFonts w:ascii="Arial" w:hAnsi="Arial" w:cs="Arial"/>
          <w:color w:val="000000" w:themeColor="text1"/>
          <w:sz w:val="22"/>
          <w:szCs w:val="22"/>
        </w:rPr>
        <w:t xml:space="preserve">, </w:t>
      </w:r>
      <w:r w:rsidR="0041035D" w:rsidRPr="00726423">
        <w:rPr>
          <w:rFonts w:ascii="Arial" w:hAnsi="Arial" w:cs="Arial"/>
          <w:color w:val="000000" w:themeColor="text1"/>
          <w:sz w:val="22"/>
          <w:szCs w:val="22"/>
        </w:rPr>
        <w:t xml:space="preserve">not significant. </w:t>
      </w:r>
      <w:r w:rsidR="00B82D35" w:rsidRPr="00726423">
        <w:rPr>
          <w:rFonts w:ascii="Arial" w:hAnsi="Arial" w:cs="Arial"/>
          <w:color w:val="000000" w:themeColor="text1"/>
          <w:sz w:val="22"/>
          <w:szCs w:val="22"/>
        </w:rPr>
        <w:br w:type="page"/>
      </w:r>
    </w:p>
    <w:p w14:paraId="77D40423" w14:textId="501D7B8C" w:rsidR="003B4A67" w:rsidRPr="00726423" w:rsidRDefault="00E81978" w:rsidP="00CF71D7">
      <w:pPr>
        <w:spacing w:line="360" w:lineRule="auto"/>
        <w:jc w:val="both"/>
        <w:rPr>
          <w:rFonts w:ascii="Arial" w:hAnsi="Arial" w:cs="Arial"/>
          <w:color w:val="000000" w:themeColor="text1"/>
          <w:sz w:val="22"/>
          <w:szCs w:val="22"/>
        </w:rPr>
      </w:pPr>
      <w:r w:rsidRPr="00726423">
        <w:rPr>
          <w:rFonts w:ascii="Arial" w:hAnsi="Arial" w:cs="Arial"/>
          <w:noProof/>
          <w:color w:val="000000" w:themeColor="text1"/>
          <w:sz w:val="22"/>
          <w:szCs w:val="22"/>
        </w:rPr>
        <w:lastRenderedPageBreak/>
        <w:drawing>
          <wp:inline distT="0" distB="0" distL="0" distR="0" wp14:anchorId="16198340" wp14:editId="1714E57E">
            <wp:extent cx="6116320" cy="3824394"/>
            <wp:effectExtent l="0" t="0" r="508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rotWithShape="1">
                    <a:blip r:embed="rId10" cstate="print">
                      <a:extLst>
                        <a:ext uri="{28A0092B-C50C-407E-A947-70E740481C1C}">
                          <a14:useLocalDpi xmlns:a14="http://schemas.microsoft.com/office/drawing/2010/main" val="0"/>
                        </a:ext>
                      </a:extLst>
                    </a:blip>
                    <a:srcRect t="15365"/>
                    <a:stretch/>
                  </pic:blipFill>
                  <pic:spPr bwMode="auto">
                    <a:xfrm>
                      <a:off x="0" y="0"/>
                      <a:ext cx="6116320" cy="3824394"/>
                    </a:xfrm>
                    <a:prstGeom prst="rect">
                      <a:avLst/>
                    </a:prstGeom>
                    <a:ln>
                      <a:noFill/>
                    </a:ln>
                    <a:extLst>
                      <a:ext uri="{53640926-AAD7-44D8-BBD7-CCE9431645EC}">
                        <a14:shadowObscured xmlns:a14="http://schemas.microsoft.com/office/drawing/2010/main"/>
                      </a:ext>
                    </a:extLst>
                  </pic:spPr>
                </pic:pic>
              </a:graphicData>
            </a:graphic>
          </wp:inline>
        </w:drawing>
      </w:r>
    </w:p>
    <w:p w14:paraId="7E8FEC96" w14:textId="1F20256B" w:rsidR="003B4A67" w:rsidRPr="00726423" w:rsidRDefault="003B4A67" w:rsidP="00CF71D7">
      <w:pPr>
        <w:spacing w:line="360" w:lineRule="auto"/>
        <w:jc w:val="both"/>
        <w:rPr>
          <w:rFonts w:ascii="Arial" w:hAnsi="Arial" w:cs="Arial"/>
          <w:color w:val="000000" w:themeColor="text1"/>
          <w:sz w:val="22"/>
          <w:szCs w:val="22"/>
        </w:rPr>
      </w:pPr>
    </w:p>
    <w:p w14:paraId="472E3BB1" w14:textId="47C2827B" w:rsidR="004C4192" w:rsidRPr="00726423" w:rsidRDefault="004C4192" w:rsidP="00413629">
      <w:pPr>
        <w:jc w:val="both"/>
        <w:rPr>
          <w:rFonts w:ascii="Arial" w:hAnsi="Arial" w:cs="Arial"/>
          <w:color w:val="000000" w:themeColor="text1"/>
          <w:sz w:val="22"/>
          <w:szCs w:val="22"/>
        </w:rPr>
      </w:pPr>
      <w:r w:rsidRPr="00726423">
        <w:rPr>
          <w:rFonts w:ascii="Arial" w:hAnsi="Arial" w:cs="Arial"/>
          <w:b/>
          <w:bCs/>
          <w:color w:val="000000" w:themeColor="text1"/>
          <w:sz w:val="22"/>
          <w:szCs w:val="22"/>
        </w:rPr>
        <w:t xml:space="preserve">Figure </w:t>
      </w:r>
      <w:r w:rsidR="00236E78" w:rsidRPr="00726423">
        <w:rPr>
          <w:rFonts w:ascii="Arial" w:hAnsi="Arial" w:cs="Arial"/>
          <w:b/>
          <w:bCs/>
          <w:color w:val="000000" w:themeColor="text1"/>
          <w:sz w:val="22"/>
          <w:szCs w:val="22"/>
        </w:rPr>
        <w:t>2</w:t>
      </w:r>
      <w:r w:rsidRPr="00726423">
        <w:rPr>
          <w:rFonts w:ascii="Arial" w:hAnsi="Arial" w:cs="Arial"/>
          <w:b/>
          <w:bCs/>
          <w:color w:val="000000" w:themeColor="text1"/>
          <w:sz w:val="22"/>
          <w:szCs w:val="22"/>
        </w:rPr>
        <w:t xml:space="preserve">. </w:t>
      </w:r>
      <w:r w:rsidR="00546BF9" w:rsidRPr="00726423">
        <w:rPr>
          <w:rFonts w:ascii="Arial" w:hAnsi="Arial" w:cs="Arial"/>
          <w:b/>
          <w:bCs/>
          <w:color w:val="000000" w:themeColor="text1"/>
          <w:sz w:val="22"/>
          <w:szCs w:val="22"/>
        </w:rPr>
        <w:t xml:space="preserve">Endogenous </w:t>
      </w:r>
      <w:r w:rsidRPr="00726423">
        <w:rPr>
          <w:rFonts w:ascii="Arial" w:hAnsi="Arial" w:cs="Arial"/>
          <w:b/>
          <w:bCs/>
          <w:color w:val="000000" w:themeColor="text1"/>
          <w:sz w:val="22"/>
          <w:szCs w:val="22"/>
        </w:rPr>
        <w:t xml:space="preserve">EP4 </w:t>
      </w:r>
      <w:proofErr w:type="spellStart"/>
      <w:r w:rsidR="00134A78" w:rsidRPr="00726423">
        <w:rPr>
          <w:rFonts w:ascii="Arial" w:hAnsi="Arial" w:cs="Arial"/>
          <w:b/>
          <w:bCs/>
          <w:color w:val="000000" w:themeColor="text1"/>
          <w:sz w:val="22"/>
          <w:szCs w:val="22"/>
        </w:rPr>
        <w:t>signaling</w:t>
      </w:r>
      <w:proofErr w:type="spellEnd"/>
      <w:r w:rsidR="00546BF9" w:rsidRPr="00726423">
        <w:rPr>
          <w:rFonts w:ascii="Arial" w:hAnsi="Arial" w:cs="Arial"/>
          <w:b/>
          <w:bCs/>
          <w:color w:val="000000" w:themeColor="text1"/>
          <w:sz w:val="22"/>
          <w:szCs w:val="22"/>
        </w:rPr>
        <w:t xml:space="preserve"> is dispensable for</w:t>
      </w:r>
      <w:r w:rsidRPr="00726423">
        <w:rPr>
          <w:rFonts w:ascii="Arial" w:hAnsi="Arial" w:cs="Arial"/>
          <w:b/>
          <w:bCs/>
          <w:color w:val="000000" w:themeColor="text1"/>
          <w:sz w:val="22"/>
          <w:szCs w:val="22"/>
        </w:rPr>
        <w:t xml:space="preserve"> </w:t>
      </w:r>
      <w:r w:rsidR="00E04866" w:rsidRPr="00726423">
        <w:rPr>
          <w:rFonts w:ascii="Arial" w:hAnsi="Arial" w:cs="Arial"/>
          <w:b/>
          <w:bCs/>
          <w:color w:val="000000" w:themeColor="text1"/>
          <w:sz w:val="22"/>
          <w:szCs w:val="22"/>
        </w:rPr>
        <w:t>the control of</w:t>
      </w:r>
      <w:r w:rsidRPr="00726423">
        <w:rPr>
          <w:rFonts w:ascii="Arial" w:hAnsi="Arial" w:cs="Arial"/>
          <w:b/>
          <w:bCs/>
          <w:color w:val="000000" w:themeColor="text1"/>
          <w:sz w:val="22"/>
          <w:szCs w:val="22"/>
        </w:rPr>
        <w:t xml:space="preserve"> IL-33-induced lung ILC2 responses.</w:t>
      </w:r>
      <w:r w:rsidRPr="00726423">
        <w:rPr>
          <w:rFonts w:ascii="Arial" w:hAnsi="Arial" w:cs="Arial"/>
          <w:color w:val="000000" w:themeColor="text1"/>
          <w:sz w:val="22"/>
          <w:szCs w:val="22"/>
        </w:rPr>
        <w:t xml:space="preserve"> </w:t>
      </w:r>
      <w:r w:rsidR="00C142C9" w:rsidRPr="00726423">
        <w:rPr>
          <w:rFonts w:ascii="Arial" w:hAnsi="Arial" w:cs="Arial"/>
          <w:b/>
          <w:bCs/>
          <w:color w:val="000000" w:themeColor="text1"/>
          <w:sz w:val="22"/>
          <w:szCs w:val="22"/>
        </w:rPr>
        <w:t>(</w:t>
      </w:r>
      <w:r w:rsidRPr="00726423">
        <w:rPr>
          <w:rFonts w:ascii="Arial" w:hAnsi="Arial" w:cs="Arial"/>
          <w:b/>
          <w:bCs/>
          <w:color w:val="000000" w:themeColor="text1"/>
          <w:sz w:val="22"/>
          <w:szCs w:val="22"/>
        </w:rPr>
        <w:t>A</w:t>
      </w:r>
      <w:r w:rsidR="00C142C9" w:rsidRPr="00726423">
        <w:rPr>
          <w:rFonts w:ascii="Arial" w:hAnsi="Arial" w:cs="Arial"/>
          <w:b/>
          <w:bCs/>
          <w:color w:val="000000" w:themeColor="text1"/>
          <w:sz w:val="22"/>
          <w:szCs w:val="22"/>
        </w:rPr>
        <w:t xml:space="preserve"> to </w:t>
      </w:r>
      <w:r w:rsidRPr="00726423">
        <w:rPr>
          <w:rFonts w:ascii="Arial" w:hAnsi="Arial" w:cs="Arial"/>
          <w:b/>
          <w:bCs/>
          <w:color w:val="000000" w:themeColor="text1"/>
          <w:sz w:val="22"/>
          <w:szCs w:val="22"/>
        </w:rPr>
        <w:t>C</w:t>
      </w:r>
      <w:r w:rsidR="00C142C9" w:rsidRPr="00726423">
        <w:rPr>
          <w:rFonts w:ascii="Arial" w:hAnsi="Arial" w:cs="Arial"/>
          <w:b/>
          <w:bCs/>
          <w:color w:val="000000" w:themeColor="text1"/>
          <w:sz w:val="22"/>
          <w:szCs w:val="22"/>
        </w:rPr>
        <w:t>)</w:t>
      </w:r>
      <w:r w:rsidRPr="00726423">
        <w:rPr>
          <w:rFonts w:ascii="Arial" w:hAnsi="Arial" w:cs="Arial"/>
          <w:b/>
          <w:bCs/>
          <w:color w:val="000000" w:themeColor="text1"/>
          <w:sz w:val="22"/>
          <w:szCs w:val="22"/>
        </w:rPr>
        <w:t xml:space="preserve"> </w:t>
      </w:r>
      <w:r w:rsidRPr="00726423">
        <w:rPr>
          <w:rFonts w:ascii="Arial" w:hAnsi="Arial" w:cs="Arial"/>
          <w:color w:val="000000" w:themeColor="text1"/>
          <w:sz w:val="22"/>
          <w:szCs w:val="22"/>
        </w:rPr>
        <w:t xml:space="preserve">Number of </w:t>
      </w:r>
      <w:r w:rsidR="00BD6C43" w:rsidRPr="00726423">
        <w:rPr>
          <w:rFonts w:ascii="Arial" w:hAnsi="Arial" w:cs="Arial"/>
          <w:color w:val="000000" w:themeColor="text1"/>
          <w:sz w:val="22"/>
          <w:szCs w:val="22"/>
        </w:rPr>
        <w:t xml:space="preserve">lung </w:t>
      </w:r>
      <w:r w:rsidRPr="00726423">
        <w:rPr>
          <w:rFonts w:ascii="Arial" w:hAnsi="Arial" w:cs="Arial"/>
          <w:color w:val="000000" w:themeColor="text1"/>
          <w:sz w:val="22"/>
          <w:szCs w:val="22"/>
        </w:rPr>
        <w:t>ST2</w:t>
      </w:r>
      <w:r w:rsidRPr="00726423">
        <w:rPr>
          <w:rFonts w:ascii="Arial" w:hAnsi="Arial" w:cs="Arial"/>
          <w:color w:val="000000" w:themeColor="text1"/>
          <w:sz w:val="22"/>
          <w:szCs w:val="22"/>
          <w:vertAlign w:val="superscript"/>
        </w:rPr>
        <w:t>+</w:t>
      </w:r>
      <w:r w:rsidRPr="00726423">
        <w:rPr>
          <w:rFonts w:ascii="Arial" w:hAnsi="Arial" w:cs="Arial"/>
          <w:color w:val="000000" w:themeColor="text1"/>
          <w:sz w:val="22"/>
          <w:szCs w:val="22"/>
        </w:rPr>
        <w:t xml:space="preserve"> total ILC2s, IL-5</w:t>
      </w:r>
      <w:r w:rsidRPr="00726423">
        <w:rPr>
          <w:rFonts w:ascii="Arial" w:hAnsi="Arial" w:cs="Arial"/>
          <w:color w:val="000000" w:themeColor="text1"/>
          <w:sz w:val="22"/>
          <w:szCs w:val="22"/>
          <w:vertAlign w:val="superscript"/>
        </w:rPr>
        <w:t>+</w:t>
      </w:r>
      <w:r w:rsidRPr="00726423">
        <w:rPr>
          <w:rFonts w:ascii="Arial" w:hAnsi="Arial" w:cs="Arial"/>
          <w:color w:val="000000" w:themeColor="text1"/>
          <w:sz w:val="22"/>
          <w:szCs w:val="22"/>
        </w:rPr>
        <w:t xml:space="preserve"> ILC2s</w:t>
      </w:r>
      <w:r w:rsidR="00BD6C43" w:rsidRPr="00726423">
        <w:rPr>
          <w:rFonts w:ascii="Arial" w:hAnsi="Arial" w:cs="Arial"/>
          <w:color w:val="000000" w:themeColor="text1"/>
          <w:sz w:val="22"/>
          <w:szCs w:val="22"/>
        </w:rPr>
        <w:t xml:space="preserve"> and</w:t>
      </w:r>
      <w:r w:rsidRPr="00726423">
        <w:rPr>
          <w:rFonts w:ascii="Arial" w:hAnsi="Arial" w:cs="Arial"/>
          <w:color w:val="000000" w:themeColor="text1"/>
          <w:sz w:val="22"/>
          <w:szCs w:val="22"/>
        </w:rPr>
        <w:t xml:space="preserve"> IL-13</w:t>
      </w:r>
      <w:r w:rsidRPr="00726423">
        <w:rPr>
          <w:rFonts w:ascii="Arial" w:hAnsi="Arial" w:cs="Arial"/>
          <w:color w:val="000000" w:themeColor="text1"/>
          <w:sz w:val="22"/>
          <w:szCs w:val="22"/>
          <w:vertAlign w:val="superscript"/>
        </w:rPr>
        <w:t>+</w:t>
      </w:r>
      <w:r w:rsidRPr="00726423">
        <w:rPr>
          <w:rFonts w:ascii="Arial" w:hAnsi="Arial" w:cs="Arial"/>
          <w:color w:val="000000" w:themeColor="text1"/>
          <w:sz w:val="22"/>
          <w:szCs w:val="22"/>
        </w:rPr>
        <w:t xml:space="preserve"> ILC2s</w:t>
      </w:r>
      <w:r w:rsidR="00BD6C43" w:rsidRPr="00726423">
        <w:rPr>
          <w:rFonts w:ascii="Arial" w:hAnsi="Arial" w:cs="Arial"/>
          <w:color w:val="000000" w:themeColor="text1"/>
          <w:sz w:val="22"/>
          <w:szCs w:val="22"/>
        </w:rPr>
        <w:t xml:space="preserve"> (A), BAL ST2</w:t>
      </w:r>
      <w:r w:rsidR="00BD6C43" w:rsidRPr="00726423">
        <w:rPr>
          <w:rFonts w:ascii="Arial" w:hAnsi="Arial" w:cs="Arial"/>
          <w:color w:val="000000" w:themeColor="text1"/>
          <w:sz w:val="22"/>
          <w:szCs w:val="22"/>
          <w:vertAlign w:val="superscript"/>
        </w:rPr>
        <w:t>+</w:t>
      </w:r>
      <w:r w:rsidR="00BD6C43" w:rsidRPr="00726423">
        <w:rPr>
          <w:rFonts w:ascii="Arial" w:hAnsi="Arial" w:cs="Arial"/>
          <w:color w:val="000000" w:themeColor="text1"/>
          <w:sz w:val="22"/>
          <w:szCs w:val="22"/>
        </w:rPr>
        <w:t xml:space="preserve"> ILC2s </w:t>
      </w:r>
      <w:r w:rsidR="00BD6C43" w:rsidRPr="00726423">
        <w:rPr>
          <w:rFonts w:ascii="Arial" w:hAnsi="Arial" w:cs="Arial"/>
          <w:b/>
          <w:bCs/>
          <w:color w:val="000000" w:themeColor="text1"/>
          <w:sz w:val="22"/>
          <w:szCs w:val="22"/>
        </w:rPr>
        <w:t>(B)</w:t>
      </w:r>
      <w:r w:rsidR="00BD6C43" w:rsidRPr="00726423">
        <w:rPr>
          <w:rFonts w:ascii="Arial" w:hAnsi="Arial" w:cs="Arial"/>
          <w:color w:val="000000" w:themeColor="text1"/>
          <w:sz w:val="22"/>
          <w:szCs w:val="22"/>
        </w:rPr>
        <w:t xml:space="preserve"> and eosinophils </w:t>
      </w:r>
      <w:r w:rsidR="00BD6C43" w:rsidRPr="00726423">
        <w:rPr>
          <w:rFonts w:ascii="Arial" w:hAnsi="Arial" w:cs="Arial"/>
          <w:b/>
          <w:bCs/>
          <w:color w:val="000000" w:themeColor="text1"/>
          <w:sz w:val="22"/>
          <w:szCs w:val="22"/>
        </w:rPr>
        <w:t>(C)</w:t>
      </w:r>
      <w:r w:rsidR="00BD6C43" w:rsidRPr="00726423">
        <w:rPr>
          <w:rFonts w:ascii="Arial" w:hAnsi="Arial" w:cs="Arial"/>
          <w:color w:val="000000" w:themeColor="text1"/>
          <w:sz w:val="22"/>
          <w:szCs w:val="22"/>
        </w:rPr>
        <w:t xml:space="preserve"> in EP4</w:t>
      </w:r>
      <w:r w:rsidR="00BD6C43" w:rsidRPr="00726423">
        <w:rPr>
          <w:rFonts w:ascii="Arial" w:hAnsi="Arial" w:cs="Arial"/>
          <w:color w:val="000000" w:themeColor="text1"/>
          <w:sz w:val="22"/>
          <w:szCs w:val="22"/>
          <w:vertAlign w:val="superscript"/>
        </w:rPr>
        <w:t>+/+</w:t>
      </w:r>
      <w:r w:rsidR="00C142C9" w:rsidRPr="00726423">
        <w:rPr>
          <w:rFonts w:ascii="Arial" w:hAnsi="Arial" w:cs="Arial"/>
          <w:color w:val="000000" w:themeColor="text1"/>
          <w:sz w:val="22"/>
          <w:szCs w:val="22"/>
        </w:rPr>
        <w:t xml:space="preserve"> (n=7)</w:t>
      </w:r>
      <w:r w:rsidR="00BD6C43" w:rsidRPr="00726423">
        <w:rPr>
          <w:rFonts w:ascii="Arial" w:hAnsi="Arial" w:cs="Arial"/>
          <w:color w:val="000000" w:themeColor="text1"/>
          <w:sz w:val="22"/>
          <w:szCs w:val="22"/>
        </w:rPr>
        <w:t>, EP4</w:t>
      </w:r>
      <w:r w:rsidR="00BD6C43" w:rsidRPr="00726423">
        <w:rPr>
          <w:rFonts w:ascii="Arial" w:hAnsi="Arial" w:cs="Arial"/>
          <w:color w:val="000000" w:themeColor="text1"/>
          <w:sz w:val="22"/>
          <w:szCs w:val="22"/>
          <w:vertAlign w:val="superscript"/>
        </w:rPr>
        <w:t>+/–</w:t>
      </w:r>
      <w:r w:rsidR="00BD6C43" w:rsidRPr="00726423">
        <w:rPr>
          <w:rFonts w:ascii="Arial" w:hAnsi="Arial" w:cs="Arial"/>
          <w:color w:val="000000" w:themeColor="text1"/>
          <w:sz w:val="22"/>
          <w:szCs w:val="22"/>
        </w:rPr>
        <w:t xml:space="preserve"> </w:t>
      </w:r>
      <w:r w:rsidR="00C142C9" w:rsidRPr="00726423">
        <w:rPr>
          <w:rFonts w:ascii="Arial" w:hAnsi="Arial" w:cs="Arial"/>
          <w:color w:val="000000" w:themeColor="text1"/>
          <w:sz w:val="22"/>
          <w:szCs w:val="22"/>
        </w:rPr>
        <w:t xml:space="preserve">(n=14) </w:t>
      </w:r>
      <w:r w:rsidR="00BD6C43" w:rsidRPr="00726423">
        <w:rPr>
          <w:rFonts w:ascii="Arial" w:hAnsi="Arial" w:cs="Arial"/>
          <w:color w:val="000000" w:themeColor="text1"/>
          <w:sz w:val="22"/>
          <w:szCs w:val="22"/>
        </w:rPr>
        <w:t>or EP4</w:t>
      </w:r>
      <w:r w:rsidR="00BD6C43" w:rsidRPr="00726423">
        <w:rPr>
          <w:rFonts w:ascii="Arial" w:hAnsi="Arial" w:cs="Arial"/>
          <w:color w:val="000000" w:themeColor="text1"/>
          <w:sz w:val="22"/>
          <w:szCs w:val="22"/>
          <w:vertAlign w:val="superscript"/>
        </w:rPr>
        <w:t>–/–</w:t>
      </w:r>
      <w:r w:rsidR="00BD6C43" w:rsidRPr="00726423">
        <w:rPr>
          <w:rFonts w:ascii="Arial" w:hAnsi="Arial" w:cs="Arial"/>
          <w:color w:val="000000" w:themeColor="text1"/>
          <w:sz w:val="22"/>
          <w:szCs w:val="22"/>
        </w:rPr>
        <w:t xml:space="preserve"> </w:t>
      </w:r>
      <w:r w:rsidR="00C142C9" w:rsidRPr="00726423">
        <w:rPr>
          <w:rFonts w:ascii="Arial" w:hAnsi="Arial" w:cs="Arial"/>
          <w:color w:val="000000" w:themeColor="text1"/>
          <w:sz w:val="22"/>
          <w:szCs w:val="22"/>
        </w:rPr>
        <w:t xml:space="preserve">(n=6) </w:t>
      </w:r>
      <w:r w:rsidR="00BD6C43" w:rsidRPr="00726423">
        <w:rPr>
          <w:rFonts w:ascii="Arial" w:hAnsi="Arial" w:cs="Arial"/>
          <w:color w:val="000000" w:themeColor="text1"/>
          <w:sz w:val="22"/>
          <w:szCs w:val="22"/>
        </w:rPr>
        <w:t xml:space="preserve">mice that were administered intratracheally </w:t>
      </w:r>
      <w:r w:rsidR="00097EF1" w:rsidRPr="00726423">
        <w:rPr>
          <w:rFonts w:ascii="Arial" w:hAnsi="Arial" w:cs="Arial"/>
          <w:color w:val="000000" w:themeColor="text1"/>
          <w:sz w:val="22"/>
          <w:szCs w:val="22"/>
        </w:rPr>
        <w:t>with</w:t>
      </w:r>
      <w:r w:rsidR="00BD6C43" w:rsidRPr="00726423">
        <w:rPr>
          <w:rFonts w:ascii="Arial" w:hAnsi="Arial" w:cs="Arial"/>
          <w:color w:val="000000" w:themeColor="text1"/>
          <w:sz w:val="22"/>
          <w:szCs w:val="22"/>
        </w:rPr>
        <w:t xml:space="preserve"> IL-33 for 3 consecutive days</w:t>
      </w:r>
      <w:r w:rsidRPr="00726423">
        <w:rPr>
          <w:rFonts w:ascii="Arial" w:hAnsi="Arial" w:cs="Arial"/>
          <w:color w:val="000000" w:themeColor="text1"/>
          <w:sz w:val="22"/>
          <w:szCs w:val="22"/>
        </w:rPr>
        <w:t xml:space="preserve">. </w:t>
      </w:r>
      <w:r w:rsidR="00C142C9" w:rsidRPr="00726423">
        <w:rPr>
          <w:rFonts w:ascii="Arial" w:hAnsi="Arial" w:cs="Arial"/>
          <w:b/>
          <w:bCs/>
          <w:color w:val="000000" w:themeColor="text1"/>
          <w:sz w:val="22"/>
          <w:szCs w:val="22"/>
        </w:rPr>
        <w:t>(</w:t>
      </w:r>
      <w:r w:rsidR="00BD6C43" w:rsidRPr="00726423">
        <w:rPr>
          <w:rFonts w:ascii="Arial" w:hAnsi="Arial" w:cs="Arial"/>
          <w:b/>
          <w:bCs/>
          <w:color w:val="000000" w:themeColor="text1"/>
          <w:sz w:val="22"/>
          <w:szCs w:val="22"/>
        </w:rPr>
        <w:t>D</w:t>
      </w:r>
      <w:r w:rsidR="00C142C9" w:rsidRPr="00726423">
        <w:rPr>
          <w:rFonts w:ascii="Arial" w:hAnsi="Arial" w:cs="Arial"/>
          <w:b/>
          <w:bCs/>
          <w:color w:val="000000" w:themeColor="text1"/>
          <w:sz w:val="22"/>
          <w:szCs w:val="22"/>
        </w:rPr>
        <w:t xml:space="preserve"> to </w:t>
      </w:r>
      <w:r w:rsidR="00BD6C43" w:rsidRPr="00726423">
        <w:rPr>
          <w:rFonts w:ascii="Arial" w:hAnsi="Arial" w:cs="Arial"/>
          <w:b/>
          <w:bCs/>
          <w:color w:val="000000" w:themeColor="text1"/>
          <w:sz w:val="22"/>
          <w:szCs w:val="22"/>
        </w:rPr>
        <w:t>F</w:t>
      </w:r>
      <w:r w:rsidR="00C142C9" w:rsidRPr="00726423">
        <w:rPr>
          <w:rFonts w:ascii="Arial" w:hAnsi="Arial" w:cs="Arial"/>
          <w:b/>
          <w:bCs/>
          <w:color w:val="000000" w:themeColor="text1"/>
          <w:sz w:val="22"/>
          <w:szCs w:val="22"/>
        </w:rPr>
        <w:t>)</w:t>
      </w:r>
      <w:r w:rsidR="00BD6C43" w:rsidRPr="00726423">
        <w:rPr>
          <w:rFonts w:ascii="Arial" w:hAnsi="Arial" w:cs="Arial"/>
          <w:b/>
          <w:bCs/>
          <w:color w:val="000000" w:themeColor="text1"/>
          <w:sz w:val="22"/>
          <w:szCs w:val="22"/>
        </w:rPr>
        <w:t xml:space="preserve"> </w:t>
      </w:r>
      <w:r w:rsidR="00BD6C43" w:rsidRPr="00726423">
        <w:rPr>
          <w:rFonts w:ascii="Arial" w:hAnsi="Arial" w:cs="Arial"/>
          <w:color w:val="000000" w:themeColor="text1"/>
          <w:sz w:val="22"/>
          <w:szCs w:val="22"/>
        </w:rPr>
        <w:t>Number of lung ST2</w:t>
      </w:r>
      <w:r w:rsidR="00BD6C43" w:rsidRPr="00726423">
        <w:rPr>
          <w:rFonts w:ascii="Arial" w:hAnsi="Arial" w:cs="Arial"/>
          <w:color w:val="000000" w:themeColor="text1"/>
          <w:sz w:val="22"/>
          <w:szCs w:val="22"/>
          <w:vertAlign w:val="superscript"/>
        </w:rPr>
        <w:t>+</w:t>
      </w:r>
      <w:r w:rsidR="00BD6C43" w:rsidRPr="00726423">
        <w:rPr>
          <w:rFonts w:ascii="Arial" w:hAnsi="Arial" w:cs="Arial"/>
          <w:color w:val="000000" w:themeColor="text1"/>
          <w:sz w:val="22"/>
          <w:szCs w:val="22"/>
        </w:rPr>
        <w:t xml:space="preserve"> total ILC2s, IL-5</w:t>
      </w:r>
      <w:r w:rsidR="00BD6C43" w:rsidRPr="00726423">
        <w:rPr>
          <w:rFonts w:ascii="Arial" w:hAnsi="Arial" w:cs="Arial"/>
          <w:color w:val="000000" w:themeColor="text1"/>
          <w:sz w:val="22"/>
          <w:szCs w:val="22"/>
          <w:vertAlign w:val="superscript"/>
        </w:rPr>
        <w:t>+</w:t>
      </w:r>
      <w:r w:rsidR="00BD6C43" w:rsidRPr="00726423">
        <w:rPr>
          <w:rFonts w:ascii="Arial" w:hAnsi="Arial" w:cs="Arial"/>
          <w:color w:val="000000" w:themeColor="text1"/>
          <w:sz w:val="22"/>
          <w:szCs w:val="22"/>
        </w:rPr>
        <w:t xml:space="preserve"> ILC2s and IL-13</w:t>
      </w:r>
      <w:r w:rsidR="00BD6C43" w:rsidRPr="00726423">
        <w:rPr>
          <w:rFonts w:ascii="Arial" w:hAnsi="Arial" w:cs="Arial"/>
          <w:color w:val="000000" w:themeColor="text1"/>
          <w:sz w:val="22"/>
          <w:szCs w:val="22"/>
          <w:vertAlign w:val="superscript"/>
        </w:rPr>
        <w:t>+</w:t>
      </w:r>
      <w:r w:rsidR="00BD6C43" w:rsidRPr="00726423">
        <w:rPr>
          <w:rFonts w:ascii="Arial" w:hAnsi="Arial" w:cs="Arial"/>
          <w:color w:val="000000" w:themeColor="text1"/>
          <w:sz w:val="22"/>
          <w:szCs w:val="22"/>
        </w:rPr>
        <w:t xml:space="preserve"> ILC2s </w:t>
      </w:r>
      <w:r w:rsidR="00BD6C43" w:rsidRPr="00726423">
        <w:rPr>
          <w:rFonts w:ascii="Arial" w:hAnsi="Arial" w:cs="Arial"/>
          <w:b/>
          <w:bCs/>
          <w:color w:val="000000" w:themeColor="text1"/>
          <w:sz w:val="22"/>
          <w:szCs w:val="22"/>
        </w:rPr>
        <w:t>(D),</w:t>
      </w:r>
      <w:r w:rsidR="00BD6C43" w:rsidRPr="00726423">
        <w:rPr>
          <w:rFonts w:ascii="Arial" w:hAnsi="Arial" w:cs="Arial"/>
          <w:color w:val="000000" w:themeColor="text1"/>
          <w:sz w:val="22"/>
          <w:szCs w:val="22"/>
        </w:rPr>
        <w:t xml:space="preserve"> BAL ST2</w:t>
      </w:r>
      <w:r w:rsidR="00BD6C43" w:rsidRPr="00726423">
        <w:rPr>
          <w:rFonts w:ascii="Arial" w:hAnsi="Arial" w:cs="Arial"/>
          <w:color w:val="000000" w:themeColor="text1"/>
          <w:sz w:val="22"/>
          <w:szCs w:val="22"/>
          <w:vertAlign w:val="superscript"/>
        </w:rPr>
        <w:t>+</w:t>
      </w:r>
      <w:r w:rsidR="00BD6C43" w:rsidRPr="00726423">
        <w:rPr>
          <w:rFonts w:ascii="Arial" w:hAnsi="Arial" w:cs="Arial"/>
          <w:color w:val="000000" w:themeColor="text1"/>
          <w:sz w:val="22"/>
          <w:szCs w:val="22"/>
        </w:rPr>
        <w:t xml:space="preserve"> ILC2s </w:t>
      </w:r>
      <w:r w:rsidR="00BD6C43" w:rsidRPr="00726423">
        <w:rPr>
          <w:rFonts w:ascii="Arial" w:hAnsi="Arial" w:cs="Arial"/>
          <w:b/>
          <w:bCs/>
          <w:color w:val="000000" w:themeColor="text1"/>
          <w:sz w:val="22"/>
          <w:szCs w:val="22"/>
        </w:rPr>
        <w:t>(E)</w:t>
      </w:r>
      <w:r w:rsidR="00BD6C43" w:rsidRPr="00726423">
        <w:rPr>
          <w:rFonts w:ascii="Arial" w:hAnsi="Arial" w:cs="Arial"/>
          <w:color w:val="000000" w:themeColor="text1"/>
          <w:sz w:val="22"/>
          <w:szCs w:val="22"/>
        </w:rPr>
        <w:t xml:space="preserve"> and eosinophils </w:t>
      </w:r>
      <w:r w:rsidR="00BD6C43" w:rsidRPr="00726423">
        <w:rPr>
          <w:rFonts w:ascii="Arial" w:hAnsi="Arial" w:cs="Arial"/>
          <w:b/>
          <w:bCs/>
          <w:color w:val="000000" w:themeColor="text1"/>
          <w:sz w:val="22"/>
          <w:szCs w:val="22"/>
        </w:rPr>
        <w:t>(F)</w:t>
      </w:r>
      <w:r w:rsidR="00BD6C43" w:rsidRPr="00726423">
        <w:rPr>
          <w:rFonts w:ascii="Arial" w:hAnsi="Arial" w:cs="Arial"/>
          <w:color w:val="000000" w:themeColor="text1"/>
          <w:sz w:val="22"/>
          <w:szCs w:val="22"/>
        </w:rPr>
        <w:t xml:space="preserve"> in control (EP4</w:t>
      </w:r>
      <w:r w:rsidR="00BD6C43" w:rsidRPr="00726423">
        <w:rPr>
          <w:rFonts w:ascii="Arial" w:hAnsi="Arial" w:cs="Arial"/>
          <w:color w:val="000000" w:themeColor="text1"/>
          <w:sz w:val="22"/>
          <w:szCs w:val="22"/>
          <w:vertAlign w:val="superscript"/>
        </w:rPr>
        <w:t>fl/</w:t>
      </w:r>
      <w:proofErr w:type="spellStart"/>
      <w:r w:rsidR="00BD6C43" w:rsidRPr="00726423">
        <w:rPr>
          <w:rFonts w:ascii="Arial" w:hAnsi="Arial" w:cs="Arial"/>
          <w:color w:val="000000" w:themeColor="text1"/>
          <w:sz w:val="22"/>
          <w:szCs w:val="22"/>
          <w:vertAlign w:val="superscript"/>
        </w:rPr>
        <w:t>fl</w:t>
      </w:r>
      <w:proofErr w:type="spellEnd"/>
      <w:r w:rsidR="00BD6C43" w:rsidRPr="00726423">
        <w:rPr>
          <w:rFonts w:ascii="Arial" w:hAnsi="Arial" w:cs="Arial"/>
          <w:color w:val="000000" w:themeColor="text1"/>
          <w:sz w:val="22"/>
          <w:szCs w:val="22"/>
        </w:rPr>
        <w:t xml:space="preserve"> or EP4</w:t>
      </w:r>
      <w:r w:rsidR="00BD6C43" w:rsidRPr="00726423">
        <w:rPr>
          <w:rFonts w:ascii="Arial" w:hAnsi="Arial" w:cs="Arial"/>
          <w:color w:val="000000" w:themeColor="text1"/>
          <w:sz w:val="22"/>
          <w:szCs w:val="22"/>
          <w:vertAlign w:val="superscript"/>
        </w:rPr>
        <w:t>fl/+</w:t>
      </w:r>
      <w:r w:rsidR="00C142C9" w:rsidRPr="00726423">
        <w:rPr>
          <w:rFonts w:ascii="Arial" w:hAnsi="Arial" w:cs="Arial"/>
          <w:color w:val="000000" w:themeColor="text1"/>
          <w:sz w:val="22"/>
          <w:szCs w:val="22"/>
        </w:rPr>
        <w:t>, n=14</w:t>
      </w:r>
      <w:r w:rsidR="00BD6C43" w:rsidRPr="00726423">
        <w:rPr>
          <w:rFonts w:ascii="Arial" w:hAnsi="Arial" w:cs="Arial"/>
          <w:color w:val="000000" w:themeColor="text1"/>
          <w:sz w:val="22"/>
          <w:szCs w:val="22"/>
        </w:rPr>
        <w:t>)</w:t>
      </w:r>
      <w:r w:rsidR="008F347E" w:rsidRPr="00726423">
        <w:rPr>
          <w:rFonts w:ascii="Arial" w:hAnsi="Arial" w:cs="Arial"/>
          <w:color w:val="000000" w:themeColor="text1"/>
          <w:sz w:val="22"/>
          <w:szCs w:val="22"/>
        </w:rPr>
        <w:t>, Vav</w:t>
      </w:r>
      <w:r w:rsidR="008F347E" w:rsidRPr="00726423">
        <w:rPr>
          <w:rFonts w:ascii="Arial" w:hAnsi="Arial" w:cs="Arial"/>
          <w:color w:val="000000" w:themeColor="text1"/>
          <w:sz w:val="22"/>
          <w:szCs w:val="22"/>
          <w:vertAlign w:val="superscript"/>
        </w:rPr>
        <w:t>Cre</w:t>
      </w:r>
      <w:r w:rsidR="00BD6C43" w:rsidRPr="00726423">
        <w:rPr>
          <w:rFonts w:ascii="Arial" w:hAnsi="Arial" w:cs="Arial"/>
          <w:color w:val="000000" w:themeColor="text1"/>
          <w:sz w:val="22"/>
          <w:szCs w:val="22"/>
        </w:rPr>
        <w:t>EP4</w:t>
      </w:r>
      <w:r w:rsidR="008F347E" w:rsidRPr="00726423">
        <w:rPr>
          <w:rFonts w:ascii="Arial" w:hAnsi="Arial" w:cs="Arial"/>
          <w:color w:val="000000" w:themeColor="text1"/>
          <w:sz w:val="22"/>
          <w:szCs w:val="22"/>
          <w:vertAlign w:val="superscript"/>
        </w:rPr>
        <w:t>fl</w:t>
      </w:r>
      <w:r w:rsidR="00BD6C43" w:rsidRPr="00726423">
        <w:rPr>
          <w:rFonts w:ascii="Arial" w:hAnsi="Arial" w:cs="Arial"/>
          <w:color w:val="000000" w:themeColor="text1"/>
          <w:sz w:val="22"/>
          <w:szCs w:val="22"/>
          <w:vertAlign w:val="superscript"/>
        </w:rPr>
        <w:t>/+</w:t>
      </w:r>
      <w:r w:rsidR="00C142C9" w:rsidRPr="00726423">
        <w:rPr>
          <w:rFonts w:ascii="Arial" w:hAnsi="Arial" w:cs="Arial"/>
          <w:color w:val="000000" w:themeColor="text1"/>
          <w:sz w:val="22"/>
          <w:szCs w:val="22"/>
        </w:rPr>
        <w:t xml:space="preserve"> (n=10)</w:t>
      </w:r>
      <w:r w:rsidR="00BD6C43" w:rsidRPr="00726423">
        <w:rPr>
          <w:rFonts w:ascii="Arial" w:hAnsi="Arial" w:cs="Arial"/>
          <w:color w:val="000000" w:themeColor="text1"/>
          <w:sz w:val="22"/>
          <w:szCs w:val="22"/>
        </w:rPr>
        <w:t xml:space="preserve">, or </w:t>
      </w:r>
      <w:r w:rsidR="008F347E" w:rsidRPr="00726423">
        <w:rPr>
          <w:rFonts w:ascii="Arial" w:hAnsi="Arial" w:cs="Arial"/>
          <w:color w:val="000000" w:themeColor="text1"/>
          <w:sz w:val="22"/>
          <w:szCs w:val="22"/>
        </w:rPr>
        <w:t>Vav</w:t>
      </w:r>
      <w:r w:rsidR="008F347E" w:rsidRPr="00726423">
        <w:rPr>
          <w:rFonts w:ascii="Arial" w:hAnsi="Arial" w:cs="Arial"/>
          <w:color w:val="000000" w:themeColor="text1"/>
          <w:sz w:val="22"/>
          <w:szCs w:val="22"/>
          <w:vertAlign w:val="superscript"/>
        </w:rPr>
        <w:t>Cre</w:t>
      </w:r>
      <w:r w:rsidR="00BD6C43" w:rsidRPr="00726423">
        <w:rPr>
          <w:rFonts w:ascii="Arial" w:hAnsi="Arial" w:cs="Arial"/>
          <w:color w:val="000000" w:themeColor="text1"/>
          <w:sz w:val="22"/>
          <w:szCs w:val="22"/>
        </w:rPr>
        <w:t>EP4</w:t>
      </w:r>
      <w:r w:rsidR="008F347E" w:rsidRPr="00726423">
        <w:rPr>
          <w:rFonts w:ascii="Arial" w:hAnsi="Arial" w:cs="Arial"/>
          <w:color w:val="000000" w:themeColor="text1"/>
          <w:sz w:val="22"/>
          <w:szCs w:val="22"/>
          <w:vertAlign w:val="superscript"/>
        </w:rPr>
        <w:t>fl</w:t>
      </w:r>
      <w:r w:rsidR="00BD6C43" w:rsidRPr="00726423">
        <w:rPr>
          <w:rFonts w:ascii="Arial" w:hAnsi="Arial" w:cs="Arial"/>
          <w:color w:val="000000" w:themeColor="text1"/>
          <w:sz w:val="22"/>
          <w:szCs w:val="22"/>
          <w:vertAlign w:val="superscript"/>
        </w:rPr>
        <w:t>/</w:t>
      </w:r>
      <w:proofErr w:type="spellStart"/>
      <w:r w:rsidR="008F347E" w:rsidRPr="00726423">
        <w:rPr>
          <w:rFonts w:ascii="Arial" w:hAnsi="Arial" w:cs="Arial"/>
          <w:color w:val="000000" w:themeColor="text1"/>
          <w:sz w:val="22"/>
          <w:szCs w:val="22"/>
          <w:vertAlign w:val="superscript"/>
        </w:rPr>
        <w:t>fl</w:t>
      </w:r>
      <w:proofErr w:type="spellEnd"/>
      <w:r w:rsidR="00BD6C43" w:rsidRPr="00726423">
        <w:rPr>
          <w:rFonts w:ascii="Arial" w:hAnsi="Arial" w:cs="Arial"/>
          <w:color w:val="000000" w:themeColor="text1"/>
          <w:sz w:val="22"/>
          <w:szCs w:val="22"/>
        </w:rPr>
        <w:t xml:space="preserve"> </w:t>
      </w:r>
      <w:r w:rsidR="00C142C9" w:rsidRPr="00726423">
        <w:rPr>
          <w:rFonts w:ascii="Arial" w:hAnsi="Arial" w:cs="Arial"/>
          <w:color w:val="000000" w:themeColor="text1"/>
          <w:sz w:val="22"/>
          <w:szCs w:val="22"/>
        </w:rPr>
        <w:t xml:space="preserve">(n=7) </w:t>
      </w:r>
      <w:r w:rsidR="00BD6C43" w:rsidRPr="00726423">
        <w:rPr>
          <w:rFonts w:ascii="Arial" w:hAnsi="Arial" w:cs="Arial"/>
          <w:color w:val="000000" w:themeColor="text1"/>
          <w:sz w:val="22"/>
          <w:szCs w:val="22"/>
        </w:rPr>
        <w:t xml:space="preserve">mice that were administered intratracheally </w:t>
      </w:r>
      <w:r w:rsidR="00097EF1" w:rsidRPr="00726423">
        <w:rPr>
          <w:rFonts w:ascii="Arial" w:hAnsi="Arial" w:cs="Arial"/>
          <w:color w:val="000000" w:themeColor="text1"/>
          <w:sz w:val="22"/>
          <w:szCs w:val="22"/>
        </w:rPr>
        <w:t>with</w:t>
      </w:r>
      <w:r w:rsidR="00BD6C43" w:rsidRPr="00726423">
        <w:rPr>
          <w:rFonts w:ascii="Arial" w:hAnsi="Arial" w:cs="Arial"/>
          <w:color w:val="000000" w:themeColor="text1"/>
          <w:sz w:val="22"/>
          <w:szCs w:val="22"/>
        </w:rPr>
        <w:t xml:space="preserve"> IL-33 for 3 consecutive days.</w:t>
      </w:r>
      <w:r w:rsidR="008F347E" w:rsidRPr="00726423">
        <w:rPr>
          <w:rFonts w:ascii="Arial" w:hAnsi="Arial" w:cs="Arial"/>
          <w:color w:val="000000" w:themeColor="text1"/>
          <w:sz w:val="22"/>
          <w:szCs w:val="22"/>
        </w:rPr>
        <w:t xml:space="preserve"> </w:t>
      </w:r>
      <w:r w:rsidR="00C142C9" w:rsidRPr="00726423">
        <w:rPr>
          <w:rFonts w:ascii="Arial" w:hAnsi="Arial" w:cs="Arial"/>
          <w:b/>
          <w:bCs/>
          <w:color w:val="000000" w:themeColor="text1"/>
          <w:sz w:val="22"/>
          <w:szCs w:val="22"/>
        </w:rPr>
        <w:t xml:space="preserve">(G to </w:t>
      </w:r>
      <w:r w:rsidR="008F347E" w:rsidRPr="00726423">
        <w:rPr>
          <w:rFonts w:ascii="Arial" w:hAnsi="Arial" w:cs="Arial"/>
          <w:b/>
          <w:bCs/>
          <w:color w:val="000000" w:themeColor="text1"/>
          <w:sz w:val="22"/>
          <w:szCs w:val="22"/>
        </w:rPr>
        <w:t>I</w:t>
      </w:r>
      <w:r w:rsidR="00C142C9" w:rsidRPr="00726423">
        <w:rPr>
          <w:rFonts w:ascii="Arial" w:hAnsi="Arial" w:cs="Arial"/>
          <w:b/>
          <w:bCs/>
          <w:color w:val="000000" w:themeColor="text1"/>
          <w:sz w:val="22"/>
          <w:szCs w:val="22"/>
        </w:rPr>
        <w:t>)</w:t>
      </w:r>
      <w:r w:rsidR="008F347E" w:rsidRPr="00726423">
        <w:rPr>
          <w:rFonts w:ascii="Arial" w:hAnsi="Arial" w:cs="Arial"/>
          <w:b/>
          <w:bCs/>
          <w:color w:val="000000" w:themeColor="text1"/>
          <w:sz w:val="22"/>
          <w:szCs w:val="22"/>
        </w:rPr>
        <w:t xml:space="preserve"> </w:t>
      </w:r>
      <w:r w:rsidR="008F347E" w:rsidRPr="00726423">
        <w:rPr>
          <w:rFonts w:ascii="Arial" w:hAnsi="Arial" w:cs="Arial"/>
          <w:color w:val="000000" w:themeColor="text1"/>
          <w:sz w:val="22"/>
          <w:szCs w:val="22"/>
        </w:rPr>
        <w:t>Number of lung ST2</w:t>
      </w:r>
      <w:r w:rsidR="008F347E" w:rsidRPr="00726423">
        <w:rPr>
          <w:rFonts w:ascii="Arial" w:hAnsi="Arial" w:cs="Arial"/>
          <w:color w:val="000000" w:themeColor="text1"/>
          <w:sz w:val="22"/>
          <w:szCs w:val="22"/>
          <w:vertAlign w:val="superscript"/>
        </w:rPr>
        <w:t>+</w:t>
      </w:r>
      <w:r w:rsidR="008F347E" w:rsidRPr="00726423">
        <w:rPr>
          <w:rFonts w:ascii="Arial" w:hAnsi="Arial" w:cs="Arial"/>
          <w:color w:val="000000" w:themeColor="text1"/>
          <w:sz w:val="22"/>
          <w:szCs w:val="22"/>
        </w:rPr>
        <w:t xml:space="preserve"> total ILC2s, IL-5</w:t>
      </w:r>
      <w:r w:rsidR="008F347E" w:rsidRPr="00726423">
        <w:rPr>
          <w:rFonts w:ascii="Arial" w:hAnsi="Arial" w:cs="Arial"/>
          <w:color w:val="000000" w:themeColor="text1"/>
          <w:sz w:val="22"/>
          <w:szCs w:val="22"/>
          <w:vertAlign w:val="superscript"/>
        </w:rPr>
        <w:t>+</w:t>
      </w:r>
      <w:r w:rsidR="008F347E" w:rsidRPr="00726423">
        <w:rPr>
          <w:rFonts w:ascii="Arial" w:hAnsi="Arial" w:cs="Arial"/>
          <w:color w:val="000000" w:themeColor="text1"/>
          <w:sz w:val="22"/>
          <w:szCs w:val="22"/>
        </w:rPr>
        <w:t xml:space="preserve"> ILC2s and IL-13</w:t>
      </w:r>
      <w:r w:rsidR="008F347E" w:rsidRPr="00726423">
        <w:rPr>
          <w:rFonts w:ascii="Arial" w:hAnsi="Arial" w:cs="Arial"/>
          <w:color w:val="000000" w:themeColor="text1"/>
          <w:sz w:val="22"/>
          <w:szCs w:val="22"/>
          <w:vertAlign w:val="superscript"/>
        </w:rPr>
        <w:t>+</w:t>
      </w:r>
      <w:r w:rsidR="008F347E" w:rsidRPr="00726423">
        <w:rPr>
          <w:rFonts w:ascii="Arial" w:hAnsi="Arial" w:cs="Arial"/>
          <w:color w:val="000000" w:themeColor="text1"/>
          <w:sz w:val="22"/>
          <w:szCs w:val="22"/>
        </w:rPr>
        <w:t xml:space="preserve"> ILC2s </w:t>
      </w:r>
      <w:r w:rsidR="008F347E" w:rsidRPr="00726423">
        <w:rPr>
          <w:rFonts w:ascii="Arial" w:hAnsi="Arial" w:cs="Arial"/>
          <w:b/>
          <w:bCs/>
          <w:color w:val="000000" w:themeColor="text1"/>
          <w:sz w:val="22"/>
          <w:szCs w:val="22"/>
        </w:rPr>
        <w:t>(G),</w:t>
      </w:r>
      <w:r w:rsidR="008F347E" w:rsidRPr="00726423">
        <w:rPr>
          <w:rFonts w:ascii="Arial" w:hAnsi="Arial" w:cs="Arial"/>
          <w:color w:val="000000" w:themeColor="text1"/>
          <w:sz w:val="22"/>
          <w:szCs w:val="22"/>
        </w:rPr>
        <w:t xml:space="preserve"> BAL ST2</w:t>
      </w:r>
      <w:r w:rsidR="008F347E" w:rsidRPr="00726423">
        <w:rPr>
          <w:rFonts w:ascii="Arial" w:hAnsi="Arial" w:cs="Arial"/>
          <w:color w:val="000000" w:themeColor="text1"/>
          <w:sz w:val="22"/>
          <w:szCs w:val="22"/>
          <w:vertAlign w:val="superscript"/>
        </w:rPr>
        <w:t>+</w:t>
      </w:r>
      <w:r w:rsidR="008F347E" w:rsidRPr="00726423">
        <w:rPr>
          <w:rFonts w:ascii="Arial" w:hAnsi="Arial" w:cs="Arial"/>
          <w:color w:val="000000" w:themeColor="text1"/>
          <w:sz w:val="22"/>
          <w:szCs w:val="22"/>
        </w:rPr>
        <w:t xml:space="preserve"> ILC2s </w:t>
      </w:r>
      <w:r w:rsidR="008F347E" w:rsidRPr="00726423">
        <w:rPr>
          <w:rFonts w:ascii="Arial" w:hAnsi="Arial" w:cs="Arial"/>
          <w:b/>
          <w:bCs/>
          <w:color w:val="000000" w:themeColor="text1"/>
          <w:sz w:val="22"/>
          <w:szCs w:val="22"/>
        </w:rPr>
        <w:t>(H)</w:t>
      </w:r>
      <w:r w:rsidR="008F347E" w:rsidRPr="00726423">
        <w:rPr>
          <w:rFonts w:ascii="Arial" w:hAnsi="Arial" w:cs="Arial"/>
          <w:color w:val="000000" w:themeColor="text1"/>
          <w:sz w:val="22"/>
          <w:szCs w:val="22"/>
        </w:rPr>
        <w:t xml:space="preserve"> and eosinophils </w:t>
      </w:r>
      <w:r w:rsidR="008F347E" w:rsidRPr="00726423">
        <w:rPr>
          <w:rFonts w:ascii="Arial" w:hAnsi="Arial" w:cs="Arial"/>
          <w:b/>
          <w:bCs/>
          <w:color w:val="000000" w:themeColor="text1"/>
          <w:sz w:val="22"/>
          <w:szCs w:val="22"/>
        </w:rPr>
        <w:t>(I)</w:t>
      </w:r>
      <w:r w:rsidR="008F347E" w:rsidRPr="00726423">
        <w:rPr>
          <w:rFonts w:ascii="Arial" w:hAnsi="Arial" w:cs="Arial"/>
          <w:color w:val="000000" w:themeColor="text1"/>
          <w:sz w:val="22"/>
          <w:szCs w:val="22"/>
        </w:rPr>
        <w:t xml:space="preserve"> in control (EP4</w:t>
      </w:r>
      <w:r w:rsidR="008F347E" w:rsidRPr="00726423">
        <w:rPr>
          <w:rFonts w:ascii="Arial" w:hAnsi="Arial" w:cs="Arial"/>
          <w:color w:val="000000" w:themeColor="text1"/>
          <w:sz w:val="22"/>
          <w:szCs w:val="22"/>
          <w:vertAlign w:val="superscript"/>
        </w:rPr>
        <w:t>fl/</w:t>
      </w:r>
      <w:proofErr w:type="spellStart"/>
      <w:r w:rsidR="008F347E" w:rsidRPr="00726423">
        <w:rPr>
          <w:rFonts w:ascii="Arial" w:hAnsi="Arial" w:cs="Arial"/>
          <w:color w:val="000000" w:themeColor="text1"/>
          <w:sz w:val="22"/>
          <w:szCs w:val="22"/>
          <w:vertAlign w:val="superscript"/>
        </w:rPr>
        <w:t>fl</w:t>
      </w:r>
      <w:proofErr w:type="spellEnd"/>
      <w:r w:rsidR="008F347E" w:rsidRPr="00726423">
        <w:rPr>
          <w:rFonts w:ascii="Arial" w:hAnsi="Arial" w:cs="Arial"/>
          <w:color w:val="000000" w:themeColor="text1"/>
          <w:sz w:val="22"/>
          <w:szCs w:val="22"/>
        </w:rPr>
        <w:t xml:space="preserve"> or EP4</w:t>
      </w:r>
      <w:r w:rsidR="008F347E" w:rsidRPr="00726423">
        <w:rPr>
          <w:rFonts w:ascii="Arial" w:hAnsi="Arial" w:cs="Arial"/>
          <w:color w:val="000000" w:themeColor="text1"/>
          <w:sz w:val="22"/>
          <w:szCs w:val="22"/>
          <w:vertAlign w:val="superscript"/>
        </w:rPr>
        <w:t>fl/+</w:t>
      </w:r>
      <w:r w:rsidR="00C142C9" w:rsidRPr="00726423">
        <w:rPr>
          <w:rFonts w:ascii="Arial" w:hAnsi="Arial" w:cs="Arial"/>
          <w:color w:val="000000" w:themeColor="text1"/>
          <w:sz w:val="22"/>
          <w:szCs w:val="22"/>
        </w:rPr>
        <w:t>, n=1</w:t>
      </w:r>
      <w:r w:rsidR="004915BA" w:rsidRPr="00726423">
        <w:rPr>
          <w:rFonts w:ascii="Arial" w:hAnsi="Arial" w:cs="Arial"/>
          <w:color w:val="000000" w:themeColor="text1"/>
          <w:sz w:val="22"/>
          <w:szCs w:val="22"/>
        </w:rPr>
        <w:t>0</w:t>
      </w:r>
      <w:r w:rsidR="008F347E" w:rsidRPr="00726423">
        <w:rPr>
          <w:rFonts w:ascii="Arial" w:hAnsi="Arial" w:cs="Arial"/>
          <w:color w:val="000000" w:themeColor="text1"/>
          <w:sz w:val="22"/>
          <w:szCs w:val="22"/>
        </w:rPr>
        <w:t>)</w:t>
      </w:r>
      <w:r w:rsidR="004915BA" w:rsidRPr="00726423">
        <w:rPr>
          <w:rFonts w:ascii="Arial" w:hAnsi="Arial" w:cs="Arial"/>
          <w:color w:val="000000" w:themeColor="text1"/>
          <w:sz w:val="22"/>
          <w:szCs w:val="22"/>
        </w:rPr>
        <w:t xml:space="preserve"> or</w:t>
      </w:r>
      <w:r w:rsidR="008F347E" w:rsidRPr="00726423">
        <w:rPr>
          <w:rFonts w:ascii="Arial" w:hAnsi="Arial" w:cs="Arial"/>
          <w:color w:val="000000" w:themeColor="text1"/>
          <w:sz w:val="22"/>
          <w:szCs w:val="22"/>
        </w:rPr>
        <w:t xml:space="preserve"> Thy1.2</w:t>
      </w:r>
      <w:r w:rsidR="008F347E" w:rsidRPr="00726423">
        <w:rPr>
          <w:rFonts w:ascii="Arial" w:hAnsi="Arial" w:cs="Arial"/>
          <w:color w:val="000000" w:themeColor="text1"/>
          <w:sz w:val="22"/>
          <w:szCs w:val="22"/>
          <w:vertAlign w:val="superscript"/>
        </w:rPr>
        <w:t>iCre</w:t>
      </w:r>
      <w:r w:rsidR="008F347E" w:rsidRPr="00726423">
        <w:rPr>
          <w:rFonts w:ascii="Arial" w:hAnsi="Arial" w:cs="Arial"/>
          <w:color w:val="000000" w:themeColor="text1"/>
          <w:sz w:val="22"/>
          <w:szCs w:val="22"/>
        </w:rPr>
        <w:t>EP4</w:t>
      </w:r>
      <w:r w:rsidR="008F347E" w:rsidRPr="00726423">
        <w:rPr>
          <w:rFonts w:ascii="Arial" w:hAnsi="Arial" w:cs="Arial"/>
          <w:color w:val="000000" w:themeColor="text1"/>
          <w:sz w:val="22"/>
          <w:szCs w:val="22"/>
          <w:vertAlign w:val="superscript"/>
        </w:rPr>
        <w:t>fl/</w:t>
      </w:r>
      <w:proofErr w:type="spellStart"/>
      <w:r w:rsidR="008F347E" w:rsidRPr="00726423">
        <w:rPr>
          <w:rFonts w:ascii="Arial" w:hAnsi="Arial" w:cs="Arial"/>
          <w:color w:val="000000" w:themeColor="text1"/>
          <w:sz w:val="22"/>
          <w:szCs w:val="22"/>
          <w:vertAlign w:val="superscript"/>
        </w:rPr>
        <w:t>fl</w:t>
      </w:r>
      <w:proofErr w:type="spellEnd"/>
      <w:r w:rsidR="008F347E" w:rsidRPr="00726423">
        <w:rPr>
          <w:rFonts w:ascii="Arial" w:hAnsi="Arial" w:cs="Arial"/>
          <w:color w:val="000000" w:themeColor="text1"/>
          <w:sz w:val="22"/>
          <w:szCs w:val="22"/>
        </w:rPr>
        <w:t xml:space="preserve"> </w:t>
      </w:r>
      <w:r w:rsidR="004915BA" w:rsidRPr="00726423">
        <w:rPr>
          <w:rFonts w:ascii="Arial" w:hAnsi="Arial" w:cs="Arial"/>
          <w:color w:val="000000" w:themeColor="text1"/>
          <w:sz w:val="22"/>
          <w:szCs w:val="22"/>
        </w:rPr>
        <w:t xml:space="preserve">(n=14) </w:t>
      </w:r>
      <w:r w:rsidR="008F347E" w:rsidRPr="00726423">
        <w:rPr>
          <w:rFonts w:ascii="Arial" w:hAnsi="Arial" w:cs="Arial"/>
          <w:color w:val="000000" w:themeColor="text1"/>
          <w:sz w:val="22"/>
          <w:szCs w:val="22"/>
        </w:rPr>
        <w:t xml:space="preserve">mice that were administered intratracheally </w:t>
      </w:r>
      <w:r w:rsidR="00097EF1" w:rsidRPr="00726423">
        <w:rPr>
          <w:rFonts w:ascii="Arial" w:hAnsi="Arial" w:cs="Arial"/>
          <w:color w:val="000000" w:themeColor="text1"/>
          <w:sz w:val="22"/>
          <w:szCs w:val="22"/>
        </w:rPr>
        <w:t>with</w:t>
      </w:r>
      <w:r w:rsidR="008F347E" w:rsidRPr="00726423">
        <w:rPr>
          <w:rFonts w:ascii="Arial" w:hAnsi="Arial" w:cs="Arial"/>
          <w:color w:val="000000" w:themeColor="text1"/>
          <w:sz w:val="22"/>
          <w:szCs w:val="22"/>
        </w:rPr>
        <w:t xml:space="preserve"> IL-33 for 3 consecutive days. </w:t>
      </w:r>
      <w:r w:rsidRPr="00726423">
        <w:rPr>
          <w:rFonts w:ascii="Arial" w:hAnsi="Arial" w:cs="Arial"/>
          <w:color w:val="000000" w:themeColor="text1"/>
          <w:sz w:val="22"/>
          <w:szCs w:val="22"/>
        </w:rPr>
        <w:t>Data were normalised by sexes and presented as fold change</w:t>
      </w:r>
      <w:r w:rsidR="00BD6C43" w:rsidRPr="00726423">
        <w:rPr>
          <w:rFonts w:ascii="Arial" w:hAnsi="Arial" w:cs="Arial"/>
          <w:color w:val="000000" w:themeColor="text1"/>
          <w:sz w:val="22"/>
          <w:szCs w:val="22"/>
        </w:rPr>
        <w:t>s</w:t>
      </w:r>
      <w:r w:rsidRPr="00726423">
        <w:rPr>
          <w:rFonts w:ascii="Arial" w:hAnsi="Arial" w:cs="Arial"/>
          <w:color w:val="000000" w:themeColor="text1"/>
          <w:sz w:val="22"/>
          <w:szCs w:val="22"/>
        </w:rPr>
        <w:t xml:space="preserve"> to the EP</w:t>
      </w:r>
      <w:r w:rsidR="00BD6C43" w:rsidRPr="00726423">
        <w:rPr>
          <w:rFonts w:ascii="Arial" w:hAnsi="Arial" w:cs="Arial"/>
          <w:color w:val="000000" w:themeColor="text1"/>
          <w:sz w:val="22"/>
          <w:szCs w:val="22"/>
        </w:rPr>
        <w:t>4</w:t>
      </w:r>
      <w:r w:rsidRPr="00726423">
        <w:rPr>
          <w:rFonts w:ascii="Arial" w:hAnsi="Arial" w:cs="Arial"/>
          <w:color w:val="000000" w:themeColor="text1"/>
          <w:sz w:val="22"/>
          <w:szCs w:val="22"/>
          <w:vertAlign w:val="superscript"/>
        </w:rPr>
        <w:t>+/</w:t>
      </w:r>
      <w:r w:rsidR="00BD6C43" w:rsidRPr="00726423">
        <w:rPr>
          <w:rFonts w:ascii="Arial" w:hAnsi="Arial" w:cs="Arial"/>
          <w:color w:val="000000" w:themeColor="text1"/>
          <w:sz w:val="22"/>
          <w:szCs w:val="22"/>
          <w:vertAlign w:val="superscript"/>
        </w:rPr>
        <w:t>–</w:t>
      </w:r>
      <w:r w:rsidRPr="00726423">
        <w:rPr>
          <w:rFonts w:ascii="Arial" w:hAnsi="Arial" w:cs="Arial"/>
          <w:color w:val="000000" w:themeColor="text1"/>
          <w:sz w:val="22"/>
          <w:szCs w:val="22"/>
        </w:rPr>
        <w:t xml:space="preserve"> </w:t>
      </w:r>
      <w:r w:rsidR="008F347E" w:rsidRPr="00726423">
        <w:rPr>
          <w:rFonts w:ascii="Arial" w:hAnsi="Arial" w:cs="Arial"/>
          <w:b/>
          <w:bCs/>
          <w:color w:val="000000" w:themeColor="text1"/>
          <w:sz w:val="22"/>
          <w:szCs w:val="22"/>
        </w:rPr>
        <w:t>(A</w:t>
      </w:r>
      <w:r w:rsidR="004915BA" w:rsidRPr="00726423">
        <w:rPr>
          <w:rFonts w:ascii="Arial" w:hAnsi="Arial" w:cs="Arial"/>
          <w:b/>
          <w:bCs/>
          <w:color w:val="000000" w:themeColor="text1"/>
          <w:sz w:val="22"/>
          <w:szCs w:val="22"/>
        </w:rPr>
        <w:t xml:space="preserve"> to </w:t>
      </w:r>
      <w:r w:rsidR="008F347E" w:rsidRPr="00726423">
        <w:rPr>
          <w:rFonts w:ascii="Arial" w:hAnsi="Arial" w:cs="Arial"/>
          <w:b/>
          <w:bCs/>
          <w:color w:val="000000" w:themeColor="text1"/>
          <w:sz w:val="22"/>
          <w:szCs w:val="22"/>
        </w:rPr>
        <w:t xml:space="preserve">C) </w:t>
      </w:r>
      <w:r w:rsidR="008F347E" w:rsidRPr="00726423">
        <w:rPr>
          <w:rFonts w:ascii="Arial" w:hAnsi="Arial" w:cs="Arial"/>
          <w:color w:val="000000" w:themeColor="text1"/>
          <w:sz w:val="22"/>
          <w:szCs w:val="22"/>
        </w:rPr>
        <w:t xml:space="preserve">or control </w:t>
      </w:r>
      <w:r w:rsidR="008F347E" w:rsidRPr="00726423">
        <w:rPr>
          <w:rFonts w:ascii="Arial" w:hAnsi="Arial" w:cs="Arial"/>
          <w:b/>
          <w:bCs/>
          <w:color w:val="000000" w:themeColor="text1"/>
          <w:sz w:val="22"/>
          <w:szCs w:val="22"/>
        </w:rPr>
        <w:t>(D</w:t>
      </w:r>
      <w:r w:rsidR="004915BA" w:rsidRPr="00726423">
        <w:rPr>
          <w:rFonts w:ascii="Arial" w:hAnsi="Arial" w:cs="Arial"/>
          <w:b/>
          <w:bCs/>
          <w:color w:val="000000" w:themeColor="text1"/>
          <w:sz w:val="22"/>
          <w:szCs w:val="22"/>
        </w:rPr>
        <w:t xml:space="preserve"> to </w:t>
      </w:r>
      <w:r w:rsidR="008F347E" w:rsidRPr="00726423">
        <w:rPr>
          <w:rFonts w:ascii="Arial" w:hAnsi="Arial" w:cs="Arial"/>
          <w:b/>
          <w:bCs/>
          <w:color w:val="000000" w:themeColor="text1"/>
          <w:sz w:val="22"/>
          <w:szCs w:val="22"/>
        </w:rPr>
        <w:t>I)</w:t>
      </w:r>
      <w:r w:rsidR="008F347E" w:rsidRPr="00726423">
        <w:rPr>
          <w:rFonts w:ascii="Arial" w:hAnsi="Arial" w:cs="Arial"/>
          <w:color w:val="000000" w:themeColor="text1"/>
          <w:sz w:val="22"/>
          <w:szCs w:val="22"/>
        </w:rPr>
        <w:t xml:space="preserve"> </w:t>
      </w:r>
      <w:r w:rsidRPr="00726423">
        <w:rPr>
          <w:rFonts w:ascii="Arial" w:hAnsi="Arial" w:cs="Arial"/>
          <w:color w:val="000000" w:themeColor="text1"/>
          <w:sz w:val="22"/>
          <w:szCs w:val="22"/>
        </w:rPr>
        <w:t>group</w:t>
      </w:r>
      <w:r w:rsidR="008F347E" w:rsidRPr="00726423">
        <w:rPr>
          <w:rFonts w:ascii="Arial" w:hAnsi="Arial" w:cs="Arial"/>
          <w:color w:val="000000" w:themeColor="text1"/>
          <w:sz w:val="22"/>
          <w:szCs w:val="22"/>
        </w:rPr>
        <w:t>s, respectively</w:t>
      </w:r>
      <w:r w:rsidRPr="00726423">
        <w:rPr>
          <w:rFonts w:ascii="Arial" w:hAnsi="Arial" w:cs="Arial"/>
          <w:color w:val="000000" w:themeColor="text1"/>
          <w:sz w:val="22"/>
          <w:szCs w:val="22"/>
        </w:rPr>
        <w:t>. Data shown as means ± SDs were pooled from three independent experiments. Each dot in the bar graphs represents one mouse. *</w:t>
      </w:r>
      <w:r w:rsidRPr="00726423">
        <w:rPr>
          <w:rFonts w:ascii="Arial" w:hAnsi="Arial" w:cs="Arial"/>
          <w:i/>
          <w:iCs/>
          <w:color w:val="000000" w:themeColor="text1"/>
          <w:sz w:val="22"/>
          <w:szCs w:val="22"/>
        </w:rPr>
        <w:t>P</w:t>
      </w:r>
      <w:r w:rsidRPr="00726423">
        <w:rPr>
          <w:rFonts w:ascii="Arial" w:hAnsi="Arial" w:cs="Arial"/>
          <w:color w:val="000000" w:themeColor="text1"/>
          <w:sz w:val="22"/>
          <w:szCs w:val="22"/>
        </w:rPr>
        <w:t>&lt;0.05, **</w:t>
      </w:r>
      <w:r w:rsidRPr="00726423">
        <w:rPr>
          <w:rFonts w:ascii="Arial" w:hAnsi="Arial" w:cs="Arial"/>
          <w:i/>
          <w:iCs/>
          <w:color w:val="000000" w:themeColor="text1"/>
          <w:sz w:val="22"/>
          <w:szCs w:val="22"/>
        </w:rPr>
        <w:t>P</w:t>
      </w:r>
      <w:r w:rsidRPr="00726423">
        <w:rPr>
          <w:rFonts w:ascii="Arial" w:hAnsi="Arial" w:cs="Arial"/>
          <w:color w:val="000000" w:themeColor="text1"/>
          <w:sz w:val="22"/>
          <w:szCs w:val="22"/>
        </w:rPr>
        <w:t xml:space="preserve">&lt;0.01 by </w:t>
      </w:r>
      <w:r w:rsidR="00F6375B" w:rsidRPr="00726423">
        <w:rPr>
          <w:rFonts w:ascii="Arial" w:hAnsi="Arial" w:cs="Arial"/>
          <w:color w:val="000000" w:themeColor="text1"/>
          <w:sz w:val="22"/>
          <w:szCs w:val="22"/>
        </w:rPr>
        <w:t xml:space="preserve">one-way </w:t>
      </w:r>
      <w:r w:rsidRPr="00726423">
        <w:rPr>
          <w:rFonts w:ascii="Arial" w:hAnsi="Arial" w:cs="Arial"/>
          <w:color w:val="000000" w:themeColor="text1"/>
          <w:sz w:val="22"/>
          <w:szCs w:val="22"/>
        </w:rPr>
        <w:t xml:space="preserve">ANOVA with </w:t>
      </w:r>
      <w:r w:rsidRPr="00726423">
        <w:rPr>
          <w:rFonts w:ascii="Arial" w:hAnsi="Arial" w:cs="Arial"/>
          <w:i/>
          <w:iCs/>
          <w:color w:val="000000" w:themeColor="text1"/>
          <w:sz w:val="22"/>
          <w:szCs w:val="22"/>
        </w:rPr>
        <w:t>post-hoc</w:t>
      </w:r>
      <w:r w:rsidRPr="00726423">
        <w:rPr>
          <w:rFonts w:ascii="Arial" w:hAnsi="Arial" w:cs="Arial"/>
          <w:color w:val="000000" w:themeColor="text1"/>
          <w:sz w:val="22"/>
          <w:szCs w:val="22"/>
        </w:rPr>
        <w:t xml:space="preserve"> Holm-</w:t>
      </w:r>
      <w:proofErr w:type="spellStart"/>
      <w:r w:rsidRPr="00726423">
        <w:rPr>
          <w:rFonts w:ascii="Arial" w:hAnsi="Arial" w:cs="Arial"/>
          <w:color w:val="000000" w:themeColor="text1"/>
          <w:sz w:val="22"/>
          <w:szCs w:val="22"/>
        </w:rPr>
        <w:t>Sidak's</w:t>
      </w:r>
      <w:proofErr w:type="spellEnd"/>
      <w:r w:rsidRPr="00726423">
        <w:rPr>
          <w:rFonts w:ascii="Arial" w:hAnsi="Arial" w:cs="Arial"/>
          <w:color w:val="000000" w:themeColor="text1"/>
          <w:sz w:val="22"/>
          <w:szCs w:val="22"/>
        </w:rPr>
        <w:t xml:space="preserve"> multiple comparisons tests</w:t>
      </w:r>
      <w:r w:rsidR="00F6375B" w:rsidRPr="00726423">
        <w:rPr>
          <w:rFonts w:ascii="Arial" w:hAnsi="Arial" w:cs="Arial"/>
          <w:color w:val="000000" w:themeColor="text1"/>
          <w:sz w:val="22"/>
          <w:szCs w:val="22"/>
        </w:rPr>
        <w:t xml:space="preserve"> </w:t>
      </w:r>
      <w:r w:rsidR="00F6375B" w:rsidRPr="00726423">
        <w:rPr>
          <w:rFonts w:ascii="Arial" w:hAnsi="Arial" w:cs="Arial"/>
          <w:b/>
          <w:bCs/>
          <w:color w:val="000000" w:themeColor="text1"/>
          <w:sz w:val="22"/>
          <w:szCs w:val="22"/>
        </w:rPr>
        <w:t xml:space="preserve">(A to F) </w:t>
      </w:r>
      <w:r w:rsidR="00F6375B" w:rsidRPr="00726423">
        <w:rPr>
          <w:rFonts w:ascii="Arial" w:hAnsi="Arial" w:cs="Arial"/>
          <w:color w:val="000000" w:themeColor="text1"/>
          <w:sz w:val="22"/>
          <w:szCs w:val="22"/>
        </w:rPr>
        <w:t xml:space="preserve">or unpaired, 2-tailed Student’s t-test </w:t>
      </w:r>
      <w:r w:rsidR="00F6375B" w:rsidRPr="00726423">
        <w:rPr>
          <w:rFonts w:ascii="Arial" w:hAnsi="Arial" w:cs="Arial"/>
          <w:b/>
          <w:bCs/>
          <w:color w:val="000000" w:themeColor="text1"/>
          <w:sz w:val="22"/>
          <w:szCs w:val="22"/>
        </w:rPr>
        <w:t>(G to I)</w:t>
      </w:r>
      <w:r w:rsidRPr="00726423">
        <w:rPr>
          <w:rFonts w:ascii="Arial" w:hAnsi="Arial" w:cs="Arial"/>
          <w:color w:val="000000" w:themeColor="text1"/>
          <w:sz w:val="22"/>
          <w:szCs w:val="22"/>
        </w:rPr>
        <w:t>. ns</w:t>
      </w:r>
      <w:r w:rsidR="004915BA" w:rsidRPr="00726423">
        <w:rPr>
          <w:rFonts w:ascii="Arial" w:hAnsi="Arial" w:cs="Arial"/>
          <w:color w:val="000000" w:themeColor="text1"/>
          <w:sz w:val="22"/>
          <w:szCs w:val="22"/>
        </w:rPr>
        <w:t xml:space="preserve">, </w:t>
      </w:r>
      <w:r w:rsidRPr="00726423">
        <w:rPr>
          <w:rFonts w:ascii="Arial" w:hAnsi="Arial" w:cs="Arial"/>
          <w:color w:val="000000" w:themeColor="text1"/>
          <w:sz w:val="22"/>
          <w:szCs w:val="22"/>
        </w:rPr>
        <w:t xml:space="preserve">not significant. </w:t>
      </w:r>
    </w:p>
    <w:p w14:paraId="1A99F9C1" w14:textId="77777777" w:rsidR="00236E78" w:rsidRPr="00726423" w:rsidRDefault="00236E78" w:rsidP="00236E78">
      <w:pPr>
        <w:spacing w:line="276" w:lineRule="auto"/>
        <w:rPr>
          <w:rFonts w:ascii="Arial" w:hAnsi="Arial" w:cs="Arial"/>
          <w:color w:val="000000" w:themeColor="text1"/>
          <w:sz w:val="22"/>
          <w:szCs w:val="22"/>
        </w:rPr>
      </w:pPr>
    </w:p>
    <w:p w14:paraId="7FF9FAFA" w14:textId="341E4D25" w:rsidR="00236E78" w:rsidRPr="00726423" w:rsidRDefault="00236E78">
      <w:pPr>
        <w:rPr>
          <w:rFonts w:ascii="Arial" w:hAnsi="Arial" w:cs="Arial"/>
          <w:color w:val="000000" w:themeColor="text1"/>
          <w:sz w:val="22"/>
          <w:szCs w:val="22"/>
        </w:rPr>
      </w:pPr>
      <w:r w:rsidRPr="00726423">
        <w:rPr>
          <w:rFonts w:ascii="Arial" w:hAnsi="Arial" w:cs="Arial"/>
          <w:color w:val="000000" w:themeColor="text1"/>
          <w:sz w:val="22"/>
          <w:szCs w:val="22"/>
        </w:rPr>
        <w:br w:type="page"/>
      </w:r>
    </w:p>
    <w:p w14:paraId="49FE2E92" w14:textId="6825D04F" w:rsidR="00236E78" w:rsidRPr="00726423" w:rsidRDefault="00236E78" w:rsidP="00236E78">
      <w:pPr>
        <w:spacing w:line="276" w:lineRule="auto"/>
        <w:jc w:val="center"/>
        <w:rPr>
          <w:rFonts w:ascii="Arial" w:hAnsi="Arial" w:cs="Arial"/>
          <w:color w:val="000000" w:themeColor="text1"/>
          <w:sz w:val="22"/>
          <w:szCs w:val="22"/>
        </w:rPr>
      </w:pPr>
      <w:r w:rsidRPr="00726423">
        <w:rPr>
          <w:rFonts w:ascii="Arial" w:hAnsi="Arial" w:cs="Arial"/>
          <w:noProof/>
          <w:color w:val="000000" w:themeColor="text1"/>
          <w:sz w:val="22"/>
          <w:szCs w:val="22"/>
        </w:rPr>
        <w:lastRenderedPageBreak/>
        <w:drawing>
          <wp:inline distT="0" distB="0" distL="0" distR="0" wp14:anchorId="0E8AB517" wp14:editId="7A51FC8F">
            <wp:extent cx="5700545" cy="7128000"/>
            <wp:effectExtent l="0" t="0" r="190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11" cstate="print">
                      <a:extLst>
                        <a:ext uri="{28A0092B-C50C-407E-A947-70E740481C1C}">
                          <a14:useLocalDpi xmlns:a14="http://schemas.microsoft.com/office/drawing/2010/main" val="0"/>
                        </a:ext>
                      </a:extLst>
                    </a:blip>
                    <a:srcRect t="4956"/>
                    <a:stretch/>
                  </pic:blipFill>
                  <pic:spPr bwMode="auto">
                    <a:xfrm>
                      <a:off x="0" y="0"/>
                      <a:ext cx="5700545" cy="7128000"/>
                    </a:xfrm>
                    <a:prstGeom prst="rect">
                      <a:avLst/>
                    </a:prstGeom>
                    <a:ln>
                      <a:noFill/>
                    </a:ln>
                    <a:extLst>
                      <a:ext uri="{53640926-AAD7-44D8-BBD7-CCE9431645EC}">
                        <a14:shadowObscured xmlns:a14="http://schemas.microsoft.com/office/drawing/2010/main"/>
                      </a:ext>
                    </a:extLst>
                  </pic:spPr>
                </pic:pic>
              </a:graphicData>
            </a:graphic>
          </wp:inline>
        </w:drawing>
      </w:r>
    </w:p>
    <w:p w14:paraId="374D66FD" w14:textId="77777777" w:rsidR="00236E78" w:rsidRPr="00726423" w:rsidRDefault="00236E78" w:rsidP="00236E78">
      <w:pPr>
        <w:jc w:val="both"/>
        <w:rPr>
          <w:rFonts w:ascii="Arial" w:hAnsi="Arial" w:cs="Arial"/>
          <w:color w:val="000000" w:themeColor="text1"/>
          <w:sz w:val="22"/>
          <w:szCs w:val="22"/>
        </w:rPr>
      </w:pPr>
      <w:r w:rsidRPr="00726423">
        <w:rPr>
          <w:rFonts w:ascii="Arial" w:hAnsi="Arial" w:cs="Arial"/>
          <w:b/>
          <w:bCs/>
          <w:color w:val="000000" w:themeColor="text1"/>
          <w:sz w:val="22"/>
          <w:szCs w:val="22"/>
        </w:rPr>
        <w:t xml:space="preserve">Figure 3. EP4 agonism inhibits the alarmin IL-33-activated lung ILC2 responses. </w:t>
      </w:r>
      <w:r w:rsidRPr="00726423">
        <w:rPr>
          <w:rFonts w:ascii="Arial" w:hAnsi="Arial" w:cs="Arial"/>
          <w:color w:val="000000" w:themeColor="text1"/>
          <w:sz w:val="22"/>
          <w:szCs w:val="22"/>
        </w:rPr>
        <w:t>C57BL/6 mice were administered intratracheally with PBS (n=12) or IL-33 with vehicle (n=13), EP2 agonist (</w:t>
      </w:r>
      <w:proofErr w:type="spellStart"/>
      <w:r w:rsidRPr="00726423">
        <w:rPr>
          <w:rFonts w:ascii="Arial" w:hAnsi="Arial" w:cs="Arial"/>
          <w:color w:val="000000" w:themeColor="text1"/>
          <w:sz w:val="22"/>
          <w:szCs w:val="22"/>
        </w:rPr>
        <w:t>butaprost</w:t>
      </w:r>
      <w:proofErr w:type="spellEnd"/>
      <w:r w:rsidRPr="00726423">
        <w:rPr>
          <w:rFonts w:ascii="Arial" w:hAnsi="Arial" w:cs="Arial"/>
          <w:color w:val="000000" w:themeColor="text1"/>
          <w:sz w:val="22"/>
          <w:szCs w:val="22"/>
        </w:rPr>
        <w:t xml:space="preserve">, n=12), EP4 agonist (L-902,688, n=12), or both EP2 and EP4 agonists (n=11) for 3 consecutive days. </w:t>
      </w:r>
      <w:r w:rsidRPr="00726423">
        <w:rPr>
          <w:rFonts w:ascii="Arial" w:hAnsi="Arial" w:cs="Arial"/>
          <w:b/>
          <w:bCs/>
          <w:color w:val="000000" w:themeColor="text1"/>
          <w:sz w:val="22"/>
          <w:szCs w:val="22"/>
        </w:rPr>
        <w:t xml:space="preserve">(A to C) </w:t>
      </w:r>
      <w:r w:rsidRPr="00726423">
        <w:rPr>
          <w:rFonts w:ascii="Arial" w:hAnsi="Arial" w:cs="Arial"/>
          <w:color w:val="000000" w:themeColor="text1"/>
          <w:sz w:val="22"/>
          <w:szCs w:val="22"/>
        </w:rPr>
        <w:t xml:space="preserve">Eosinophils and neutrophils in the lungs and the bronchoalveolar lavages (BAL) fluids. </w:t>
      </w:r>
      <w:r w:rsidRPr="00726423">
        <w:rPr>
          <w:rFonts w:ascii="Arial" w:hAnsi="Arial" w:cs="Arial"/>
          <w:b/>
          <w:bCs/>
          <w:color w:val="000000" w:themeColor="text1"/>
          <w:sz w:val="22"/>
          <w:szCs w:val="22"/>
        </w:rPr>
        <w:t xml:space="preserve">(D to E) </w:t>
      </w:r>
      <w:r w:rsidRPr="00726423">
        <w:rPr>
          <w:rFonts w:ascii="Arial" w:hAnsi="Arial" w:cs="Arial"/>
          <w:color w:val="000000" w:themeColor="text1"/>
          <w:sz w:val="22"/>
          <w:szCs w:val="22"/>
        </w:rPr>
        <w:t xml:space="preserve">Representative flow cytometric dot plots and collective numbers of </w:t>
      </w:r>
      <w:proofErr w:type="gramStart"/>
      <w:r w:rsidRPr="00726423">
        <w:rPr>
          <w:rFonts w:ascii="Arial" w:hAnsi="Arial" w:cs="Arial"/>
          <w:color w:val="000000" w:themeColor="text1"/>
          <w:sz w:val="22"/>
          <w:szCs w:val="22"/>
        </w:rPr>
        <w:t>lineage(</w:t>
      </w:r>
      <w:proofErr w:type="gramEnd"/>
      <w:r w:rsidRPr="00726423">
        <w:rPr>
          <w:rFonts w:ascii="Arial" w:hAnsi="Arial" w:cs="Arial"/>
          <w:color w:val="000000" w:themeColor="text1"/>
          <w:sz w:val="22"/>
          <w:szCs w:val="22"/>
        </w:rPr>
        <w:t>CD3/CD19/CD11c/CD11b/NK1.1)</w:t>
      </w:r>
      <w:r w:rsidRPr="00726423">
        <w:rPr>
          <w:rFonts w:ascii="Arial" w:hAnsi="Arial" w:cs="Arial"/>
          <w:color w:val="000000" w:themeColor="text1"/>
          <w:sz w:val="22"/>
          <w:szCs w:val="22"/>
          <w:vertAlign w:val="superscript"/>
        </w:rPr>
        <w:t>–</w:t>
      </w:r>
      <w:r w:rsidRPr="00726423">
        <w:rPr>
          <w:rFonts w:ascii="Arial" w:hAnsi="Arial" w:cs="Arial"/>
          <w:color w:val="000000" w:themeColor="text1"/>
          <w:sz w:val="22"/>
          <w:szCs w:val="22"/>
        </w:rPr>
        <w:t>ST2</w:t>
      </w:r>
      <w:r w:rsidRPr="00726423">
        <w:rPr>
          <w:rFonts w:ascii="Arial" w:hAnsi="Arial" w:cs="Arial"/>
          <w:color w:val="000000" w:themeColor="text1"/>
          <w:sz w:val="22"/>
          <w:szCs w:val="22"/>
          <w:vertAlign w:val="superscript"/>
        </w:rPr>
        <w:t>+</w:t>
      </w:r>
      <w:r w:rsidRPr="00726423">
        <w:rPr>
          <w:rFonts w:ascii="Arial" w:hAnsi="Arial" w:cs="Arial"/>
          <w:color w:val="000000" w:themeColor="text1"/>
          <w:sz w:val="22"/>
          <w:szCs w:val="22"/>
        </w:rPr>
        <w:t xml:space="preserve"> ILC2s in the BAL fluid. Cells in </w:t>
      </w:r>
      <w:r w:rsidRPr="00726423">
        <w:rPr>
          <w:rFonts w:ascii="Arial" w:hAnsi="Arial" w:cs="Arial"/>
          <w:b/>
          <w:bCs/>
          <w:color w:val="000000" w:themeColor="text1"/>
          <w:sz w:val="22"/>
          <w:szCs w:val="22"/>
        </w:rPr>
        <w:t>(D)</w:t>
      </w:r>
      <w:r w:rsidRPr="00726423">
        <w:rPr>
          <w:rFonts w:ascii="Arial" w:hAnsi="Arial" w:cs="Arial"/>
          <w:color w:val="000000" w:themeColor="text1"/>
          <w:sz w:val="22"/>
          <w:szCs w:val="22"/>
        </w:rPr>
        <w:t xml:space="preserve"> were pre-gated on the live CD45</w:t>
      </w:r>
      <w:r w:rsidRPr="00726423">
        <w:rPr>
          <w:rFonts w:ascii="Arial" w:hAnsi="Arial" w:cs="Arial"/>
          <w:color w:val="000000" w:themeColor="text1"/>
          <w:sz w:val="22"/>
          <w:szCs w:val="22"/>
          <w:vertAlign w:val="superscript"/>
        </w:rPr>
        <w:t>+</w:t>
      </w:r>
      <w:r w:rsidRPr="00726423">
        <w:rPr>
          <w:rFonts w:ascii="Arial" w:hAnsi="Arial" w:cs="Arial"/>
          <w:color w:val="000000" w:themeColor="text1"/>
          <w:sz w:val="22"/>
          <w:szCs w:val="22"/>
        </w:rPr>
        <w:t xml:space="preserve"> immune cells. </w:t>
      </w:r>
      <w:r w:rsidRPr="00726423">
        <w:rPr>
          <w:rFonts w:ascii="Arial" w:hAnsi="Arial" w:cs="Arial"/>
          <w:b/>
          <w:bCs/>
          <w:color w:val="000000" w:themeColor="text1"/>
          <w:sz w:val="22"/>
          <w:szCs w:val="22"/>
        </w:rPr>
        <w:t>(F)</w:t>
      </w:r>
      <w:r w:rsidRPr="00726423">
        <w:rPr>
          <w:rFonts w:ascii="Arial" w:hAnsi="Arial" w:cs="Arial"/>
          <w:color w:val="000000" w:themeColor="text1"/>
          <w:sz w:val="22"/>
          <w:szCs w:val="22"/>
        </w:rPr>
        <w:t xml:space="preserve"> Representative flow cytometric dot plots of </w:t>
      </w:r>
      <w:proofErr w:type="gramStart"/>
      <w:r w:rsidRPr="00726423">
        <w:rPr>
          <w:rFonts w:ascii="Arial" w:hAnsi="Arial" w:cs="Arial"/>
          <w:color w:val="000000" w:themeColor="text1"/>
          <w:sz w:val="22"/>
          <w:szCs w:val="22"/>
        </w:rPr>
        <w:t>lineage(</w:t>
      </w:r>
      <w:proofErr w:type="gramEnd"/>
      <w:r w:rsidRPr="00726423">
        <w:rPr>
          <w:rFonts w:ascii="Arial" w:hAnsi="Arial" w:cs="Arial"/>
          <w:color w:val="000000" w:themeColor="text1"/>
          <w:sz w:val="22"/>
          <w:szCs w:val="22"/>
        </w:rPr>
        <w:t>CD3/CD11c/CD11b/NK1.1)</w:t>
      </w:r>
      <w:r w:rsidRPr="00726423">
        <w:rPr>
          <w:rFonts w:ascii="Arial" w:hAnsi="Arial" w:cs="Arial"/>
          <w:color w:val="000000" w:themeColor="text1"/>
          <w:sz w:val="22"/>
          <w:szCs w:val="22"/>
          <w:vertAlign w:val="superscript"/>
        </w:rPr>
        <w:t>–</w:t>
      </w:r>
      <w:r w:rsidRPr="00726423">
        <w:rPr>
          <w:rFonts w:ascii="Arial" w:hAnsi="Arial" w:cs="Arial"/>
          <w:color w:val="000000" w:themeColor="text1"/>
          <w:sz w:val="22"/>
          <w:szCs w:val="22"/>
        </w:rPr>
        <w:t>CD19</w:t>
      </w:r>
      <w:r w:rsidRPr="00726423">
        <w:rPr>
          <w:rFonts w:ascii="Arial" w:hAnsi="Arial" w:cs="Arial"/>
          <w:color w:val="000000" w:themeColor="text1"/>
          <w:sz w:val="22"/>
          <w:szCs w:val="22"/>
          <w:vertAlign w:val="superscript"/>
        </w:rPr>
        <w:t>–</w:t>
      </w:r>
      <w:r w:rsidRPr="00726423">
        <w:rPr>
          <w:rFonts w:ascii="Arial" w:hAnsi="Arial" w:cs="Arial"/>
          <w:color w:val="000000" w:themeColor="text1"/>
          <w:sz w:val="22"/>
          <w:szCs w:val="22"/>
        </w:rPr>
        <w:t>, ST2</w:t>
      </w:r>
      <w:r w:rsidRPr="00726423">
        <w:rPr>
          <w:rFonts w:ascii="Arial" w:hAnsi="Arial" w:cs="Arial"/>
          <w:color w:val="000000" w:themeColor="text1"/>
          <w:sz w:val="22"/>
          <w:szCs w:val="22"/>
          <w:vertAlign w:val="superscript"/>
        </w:rPr>
        <w:t>+</w:t>
      </w:r>
      <w:r w:rsidRPr="00726423">
        <w:rPr>
          <w:rFonts w:ascii="Arial" w:hAnsi="Arial" w:cs="Arial"/>
          <w:color w:val="000000" w:themeColor="text1"/>
          <w:sz w:val="22"/>
          <w:szCs w:val="22"/>
        </w:rPr>
        <w:t xml:space="preserve"> ILC2s, and IL-5- versus IL-13-expressing ILC2s in the lungs. Cells were pre-gated on the live CD45</w:t>
      </w:r>
      <w:r w:rsidRPr="00726423">
        <w:rPr>
          <w:rFonts w:ascii="Arial" w:hAnsi="Arial" w:cs="Arial"/>
          <w:color w:val="000000" w:themeColor="text1"/>
          <w:sz w:val="22"/>
          <w:szCs w:val="22"/>
          <w:vertAlign w:val="superscript"/>
        </w:rPr>
        <w:t>+</w:t>
      </w:r>
      <w:r w:rsidRPr="00726423">
        <w:rPr>
          <w:rFonts w:ascii="Arial" w:hAnsi="Arial" w:cs="Arial"/>
          <w:color w:val="000000" w:themeColor="text1"/>
          <w:sz w:val="22"/>
          <w:szCs w:val="22"/>
        </w:rPr>
        <w:t xml:space="preserve"> immune cells. </w:t>
      </w:r>
      <w:r w:rsidRPr="00726423">
        <w:rPr>
          <w:rFonts w:ascii="Arial" w:hAnsi="Arial" w:cs="Arial"/>
          <w:b/>
          <w:bCs/>
          <w:color w:val="000000" w:themeColor="text1"/>
          <w:sz w:val="22"/>
          <w:szCs w:val="22"/>
        </w:rPr>
        <w:t>(G to I</w:t>
      </w:r>
      <w:r w:rsidRPr="00726423">
        <w:rPr>
          <w:rFonts w:ascii="Arial" w:hAnsi="Arial" w:cs="Arial"/>
          <w:color w:val="000000" w:themeColor="text1"/>
          <w:sz w:val="22"/>
          <w:szCs w:val="22"/>
        </w:rPr>
        <w:t>) Collective percentages and numbers of ST2</w:t>
      </w:r>
      <w:r w:rsidRPr="00726423">
        <w:rPr>
          <w:rFonts w:ascii="Arial" w:hAnsi="Arial" w:cs="Arial"/>
          <w:color w:val="000000" w:themeColor="text1"/>
          <w:sz w:val="22"/>
          <w:szCs w:val="22"/>
          <w:vertAlign w:val="superscript"/>
        </w:rPr>
        <w:t>+</w:t>
      </w:r>
      <w:r w:rsidRPr="00726423">
        <w:rPr>
          <w:rFonts w:ascii="Arial" w:hAnsi="Arial" w:cs="Arial"/>
          <w:color w:val="000000" w:themeColor="text1"/>
          <w:sz w:val="22"/>
          <w:szCs w:val="22"/>
        </w:rPr>
        <w:t xml:space="preserve"> total ILC2s and IL-5- or IL-13-expressing ILC2s in the lungs. Data shown as means ± SDs were pooled from 2-3 independent experiments. Each dot in the bar graphs represents one mouse. *</w:t>
      </w:r>
      <w:r w:rsidRPr="00726423">
        <w:rPr>
          <w:rFonts w:ascii="Arial" w:hAnsi="Arial" w:cs="Arial"/>
          <w:i/>
          <w:iCs/>
          <w:color w:val="000000" w:themeColor="text1"/>
          <w:sz w:val="22"/>
          <w:szCs w:val="22"/>
        </w:rPr>
        <w:t>P</w:t>
      </w:r>
      <w:r w:rsidRPr="00726423">
        <w:rPr>
          <w:rFonts w:ascii="Arial" w:hAnsi="Arial" w:cs="Arial"/>
          <w:color w:val="000000" w:themeColor="text1"/>
          <w:sz w:val="22"/>
          <w:szCs w:val="22"/>
        </w:rPr>
        <w:t>&lt;0.05, **</w:t>
      </w:r>
      <w:r w:rsidRPr="00726423">
        <w:rPr>
          <w:rFonts w:ascii="Arial" w:hAnsi="Arial" w:cs="Arial"/>
          <w:i/>
          <w:iCs/>
          <w:color w:val="000000" w:themeColor="text1"/>
          <w:sz w:val="22"/>
          <w:szCs w:val="22"/>
        </w:rPr>
        <w:t>P</w:t>
      </w:r>
      <w:r w:rsidRPr="00726423">
        <w:rPr>
          <w:rFonts w:ascii="Arial" w:hAnsi="Arial" w:cs="Arial"/>
          <w:color w:val="000000" w:themeColor="text1"/>
          <w:sz w:val="22"/>
          <w:szCs w:val="22"/>
        </w:rPr>
        <w:t>&lt;0.01, ***</w:t>
      </w:r>
      <w:r w:rsidRPr="00726423">
        <w:rPr>
          <w:rFonts w:ascii="Arial" w:hAnsi="Arial" w:cs="Arial"/>
          <w:i/>
          <w:iCs/>
          <w:color w:val="000000" w:themeColor="text1"/>
          <w:sz w:val="22"/>
          <w:szCs w:val="22"/>
        </w:rPr>
        <w:t>P</w:t>
      </w:r>
      <w:r w:rsidRPr="00726423">
        <w:rPr>
          <w:rFonts w:ascii="Arial" w:hAnsi="Arial" w:cs="Arial"/>
          <w:color w:val="000000" w:themeColor="text1"/>
          <w:sz w:val="22"/>
          <w:szCs w:val="22"/>
        </w:rPr>
        <w:t>&lt;0.001, ****</w:t>
      </w:r>
      <w:r w:rsidRPr="00726423">
        <w:rPr>
          <w:rFonts w:ascii="Arial" w:hAnsi="Arial" w:cs="Arial"/>
          <w:i/>
          <w:iCs/>
          <w:color w:val="000000" w:themeColor="text1"/>
          <w:sz w:val="22"/>
          <w:szCs w:val="22"/>
        </w:rPr>
        <w:t>P</w:t>
      </w:r>
      <w:r w:rsidRPr="00726423">
        <w:rPr>
          <w:rFonts w:ascii="Arial" w:hAnsi="Arial" w:cs="Arial"/>
          <w:color w:val="000000" w:themeColor="text1"/>
          <w:sz w:val="22"/>
          <w:szCs w:val="22"/>
        </w:rPr>
        <w:t xml:space="preserve">&lt;0.0001 by one-way ANOVA with </w:t>
      </w:r>
      <w:r w:rsidRPr="00726423">
        <w:rPr>
          <w:rFonts w:ascii="Arial" w:hAnsi="Arial" w:cs="Arial"/>
          <w:i/>
          <w:iCs/>
          <w:color w:val="000000" w:themeColor="text1"/>
          <w:sz w:val="22"/>
          <w:szCs w:val="22"/>
        </w:rPr>
        <w:t>post-hoc</w:t>
      </w:r>
      <w:r w:rsidRPr="00726423">
        <w:rPr>
          <w:rFonts w:ascii="Arial" w:hAnsi="Arial" w:cs="Arial"/>
          <w:color w:val="000000" w:themeColor="text1"/>
          <w:sz w:val="22"/>
          <w:szCs w:val="22"/>
        </w:rPr>
        <w:t xml:space="preserve"> Holm-</w:t>
      </w:r>
      <w:proofErr w:type="spellStart"/>
      <w:r w:rsidRPr="00726423">
        <w:rPr>
          <w:rFonts w:ascii="Arial" w:hAnsi="Arial" w:cs="Arial"/>
          <w:color w:val="000000" w:themeColor="text1"/>
          <w:sz w:val="22"/>
          <w:szCs w:val="22"/>
        </w:rPr>
        <w:t>Sidak's</w:t>
      </w:r>
      <w:proofErr w:type="spellEnd"/>
      <w:r w:rsidRPr="00726423">
        <w:rPr>
          <w:rFonts w:ascii="Arial" w:hAnsi="Arial" w:cs="Arial"/>
          <w:color w:val="000000" w:themeColor="text1"/>
          <w:sz w:val="22"/>
          <w:szCs w:val="22"/>
        </w:rPr>
        <w:t xml:space="preserve"> multiple comparisons tests. ns, not significant. </w:t>
      </w:r>
      <w:r w:rsidRPr="00726423">
        <w:rPr>
          <w:rFonts w:ascii="Arial" w:hAnsi="Arial" w:cs="Arial"/>
          <w:color w:val="000000" w:themeColor="text1"/>
          <w:sz w:val="22"/>
          <w:szCs w:val="22"/>
        </w:rPr>
        <w:br w:type="page"/>
      </w:r>
    </w:p>
    <w:p w14:paraId="2F74CA7C" w14:textId="77777777" w:rsidR="00236E78" w:rsidRPr="00726423" w:rsidRDefault="00236E78" w:rsidP="00236E78">
      <w:pPr>
        <w:spacing w:line="360" w:lineRule="auto"/>
        <w:jc w:val="center"/>
        <w:rPr>
          <w:rFonts w:ascii="Arial" w:hAnsi="Arial" w:cs="Arial"/>
          <w:color w:val="000000" w:themeColor="text1"/>
          <w:sz w:val="22"/>
          <w:szCs w:val="22"/>
        </w:rPr>
      </w:pPr>
      <w:r w:rsidRPr="00726423">
        <w:rPr>
          <w:rFonts w:ascii="Arial" w:hAnsi="Arial" w:cs="Arial"/>
          <w:noProof/>
          <w:color w:val="000000" w:themeColor="text1"/>
          <w:sz w:val="22"/>
          <w:szCs w:val="22"/>
        </w:rPr>
        <w:lastRenderedPageBreak/>
        <w:drawing>
          <wp:inline distT="0" distB="0" distL="0" distR="0" wp14:anchorId="3652E58C" wp14:editId="253CFF68">
            <wp:extent cx="5549900" cy="5008124"/>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rotWithShape="1">
                    <a:blip r:embed="rId12" cstate="print">
                      <a:extLst>
                        <a:ext uri="{28A0092B-C50C-407E-A947-70E740481C1C}">
                          <a14:useLocalDpi xmlns:a14="http://schemas.microsoft.com/office/drawing/2010/main" val="0"/>
                        </a:ext>
                      </a:extLst>
                    </a:blip>
                    <a:srcRect t="9968"/>
                    <a:stretch/>
                  </pic:blipFill>
                  <pic:spPr bwMode="auto">
                    <a:xfrm>
                      <a:off x="0" y="0"/>
                      <a:ext cx="5549900" cy="5008124"/>
                    </a:xfrm>
                    <a:prstGeom prst="rect">
                      <a:avLst/>
                    </a:prstGeom>
                    <a:ln>
                      <a:noFill/>
                    </a:ln>
                    <a:extLst>
                      <a:ext uri="{53640926-AAD7-44D8-BBD7-CCE9431645EC}">
                        <a14:shadowObscured xmlns:a14="http://schemas.microsoft.com/office/drawing/2010/main"/>
                      </a:ext>
                    </a:extLst>
                  </pic:spPr>
                </pic:pic>
              </a:graphicData>
            </a:graphic>
          </wp:inline>
        </w:drawing>
      </w:r>
    </w:p>
    <w:p w14:paraId="2E88B0F8" w14:textId="77777777" w:rsidR="00236E78" w:rsidRPr="00726423" w:rsidRDefault="00236E78" w:rsidP="00236E78">
      <w:pPr>
        <w:spacing w:line="360" w:lineRule="auto"/>
        <w:jc w:val="both"/>
        <w:rPr>
          <w:rFonts w:ascii="Arial" w:hAnsi="Arial" w:cs="Arial"/>
          <w:color w:val="000000" w:themeColor="text1"/>
          <w:sz w:val="22"/>
          <w:szCs w:val="22"/>
        </w:rPr>
      </w:pPr>
    </w:p>
    <w:p w14:paraId="4CF9DD3B" w14:textId="78CE96B4" w:rsidR="00236E78" w:rsidRPr="00726423" w:rsidRDefault="00236E78" w:rsidP="00236E78">
      <w:pPr>
        <w:jc w:val="both"/>
        <w:rPr>
          <w:rFonts w:ascii="Arial" w:hAnsi="Arial" w:cs="Arial"/>
          <w:color w:val="000000" w:themeColor="text1"/>
          <w:sz w:val="22"/>
          <w:szCs w:val="22"/>
        </w:rPr>
      </w:pPr>
      <w:r w:rsidRPr="00726423">
        <w:rPr>
          <w:rFonts w:ascii="Arial" w:hAnsi="Arial" w:cs="Arial"/>
          <w:b/>
          <w:bCs/>
          <w:color w:val="000000" w:themeColor="text1"/>
          <w:sz w:val="22"/>
          <w:szCs w:val="22"/>
        </w:rPr>
        <w:t xml:space="preserve">Figure 4. Exogenous activation of EP4 inhibits </w:t>
      </w:r>
      <w:r w:rsidRPr="00726423">
        <w:rPr>
          <w:rFonts w:ascii="Arial" w:hAnsi="Arial" w:cs="Arial"/>
          <w:b/>
          <w:bCs/>
          <w:i/>
          <w:iCs/>
          <w:color w:val="000000" w:themeColor="text1"/>
          <w:sz w:val="22"/>
          <w:szCs w:val="22"/>
        </w:rPr>
        <w:t xml:space="preserve">Alternaria </w:t>
      </w:r>
      <w:proofErr w:type="spellStart"/>
      <w:r w:rsidRPr="00726423">
        <w:rPr>
          <w:rFonts w:ascii="Arial" w:hAnsi="Arial" w:cs="Arial"/>
          <w:b/>
          <w:bCs/>
          <w:i/>
          <w:iCs/>
          <w:color w:val="000000" w:themeColor="text1"/>
          <w:sz w:val="22"/>
          <w:szCs w:val="22"/>
        </w:rPr>
        <w:t>alternata</w:t>
      </w:r>
      <w:proofErr w:type="spellEnd"/>
      <w:r w:rsidRPr="00726423">
        <w:rPr>
          <w:rFonts w:ascii="Arial" w:hAnsi="Arial" w:cs="Arial"/>
          <w:b/>
          <w:bCs/>
          <w:color w:val="000000" w:themeColor="text1"/>
          <w:sz w:val="22"/>
          <w:szCs w:val="22"/>
        </w:rPr>
        <w:t xml:space="preserve"> induced lung ILC2 responses. </w:t>
      </w:r>
      <w:r w:rsidRPr="00726423">
        <w:rPr>
          <w:rFonts w:ascii="Arial" w:hAnsi="Arial" w:cs="Arial"/>
          <w:color w:val="000000" w:themeColor="text1"/>
          <w:sz w:val="22"/>
          <w:szCs w:val="22"/>
        </w:rPr>
        <w:t xml:space="preserve">C57BL/6 mice were administered intratracheally with </w:t>
      </w:r>
      <w:r w:rsidRPr="00726423">
        <w:rPr>
          <w:rFonts w:ascii="Arial" w:hAnsi="Arial" w:cs="Arial"/>
          <w:i/>
          <w:iCs/>
          <w:color w:val="000000" w:themeColor="text1"/>
          <w:sz w:val="22"/>
          <w:szCs w:val="22"/>
        </w:rPr>
        <w:t xml:space="preserve">Alternaria </w:t>
      </w:r>
      <w:proofErr w:type="spellStart"/>
      <w:r w:rsidRPr="00726423">
        <w:rPr>
          <w:rFonts w:ascii="Arial" w:hAnsi="Arial" w:cs="Arial"/>
          <w:i/>
          <w:iCs/>
          <w:color w:val="000000" w:themeColor="text1"/>
          <w:sz w:val="22"/>
          <w:szCs w:val="22"/>
        </w:rPr>
        <w:t>alternata</w:t>
      </w:r>
      <w:proofErr w:type="spellEnd"/>
      <w:r w:rsidRPr="00726423">
        <w:rPr>
          <w:rFonts w:ascii="Arial" w:hAnsi="Arial" w:cs="Arial"/>
          <w:color w:val="000000" w:themeColor="text1"/>
          <w:sz w:val="22"/>
          <w:szCs w:val="22"/>
        </w:rPr>
        <w:t xml:space="preserve"> allergen (A.A.) with vehicle (n=5), EP2 agonist (</w:t>
      </w:r>
      <w:proofErr w:type="spellStart"/>
      <w:r w:rsidRPr="00726423">
        <w:rPr>
          <w:rFonts w:ascii="Arial" w:hAnsi="Arial" w:cs="Arial"/>
          <w:color w:val="000000" w:themeColor="text1"/>
          <w:sz w:val="22"/>
          <w:szCs w:val="22"/>
        </w:rPr>
        <w:t>butaprost</w:t>
      </w:r>
      <w:proofErr w:type="spellEnd"/>
      <w:r w:rsidRPr="00726423">
        <w:rPr>
          <w:rFonts w:ascii="Arial" w:hAnsi="Arial" w:cs="Arial"/>
          <w:color w:val="000000" w:themeColor="text1"/>
          <w:sz w:val="22"/>
          <w:szCs w:val="22"/>
        </w:rPr>
        <w:t>, n=5), EP4 agonist (L-902,688, n=5), or both EP2 and EP4 agonists (n=5) for 24 h.</w:t>
      </w:r>
      <w:r w:rsidRPr="00726423">
        <w:rPr>
          <w:rFonts w:ascii="Arial" w:hAnsi="Arial" w:cs="Arial"/>
          <w:b/>
          <w:bCs/>
          <w:color w:val="000000" w:themeColor="text1"/>
          <w:sz w:val="22"/>
          <w:szCs w:val="22"/>
        </w:rPr>
        <w:t xml:space="preserve"> (A) </w:t>
      </w:r>
      <w:r w:rsidRPr="00726423">
        <w:rPr>
          <w:rFonts w:ascii="Arial" w:hAnsi="Arial" w:cs="Arial"/>
          <w:color w:val="000000" w:themeColor="text1"/>
          <w:sz w:val="22"/>
          <w:szCs w:val="22"/>
        </w:rPr>
        <w:t>Representative flow cytometric dot plots of IL-5- versus IL-13-expressing ILC2s in the lungs. Cells were pre-gated on the live CD45</w:t>
      </w:r>
      <w:r w:rsidRPr="00726423">
        <w:rPr>
          <w:rFonts w:ascii="Arial" w:hAnsi="Arial" w:cs="Arial"/>
          <w:color w:val="000000" w:themeColor="text1"/>
          <w:sz w:val="22"/>
          <w:szCs w:val="22"/>
          <w:vertAlign w:val="superscript"/>
        </w:rPr>
        <w:t>+</w:t>
      </w:r>
      <w:proofErr w:type="gramStart"/>
      <w:r w:rsidRPr="00726423">
        <w:rPr>
          <w:rFonts w:ascii="Arial" w:hAnsi="Arial" w:cs="Arial"/>
          <w:color w:val="000000" w:themeColor="text1"/>
          <w:sz w:val="22"/>
          <w:szCs w:val="22"/>
        </w:rPr>
        <w:t>lineage(</w:t>
      </w:r>
      <w:proofErr w:type="gramEnd"/>
      <w:r w:rsidRPr="00726423">
        <w:rPr>
          <w:rFonts w:ascii="Arial" w:hAnsi="Arial" w:cs="Arial"/>
          <w:color w:val="000000" w:themeColor="text1"/>
          <w:sz w:val="22"/>
          <w:szCs w:val="22"/>
        </w:rPr>
        <w:t>CD3/CD19/CD11b/CD11c</w:t>
      </w:r>
      <w:r w:rsidR="00F66949" w:rsidRPr="00726423">
        <w:rPr>
          <w:rFonts w:ascii="Arial" w:hAnsi="Arial" w:cs="Arial"/>
          <w:color w:val="000000" w:themeColor="text1"/>
          <w:sz w:val="22"/>
          <w:szCs w:val="22"/>
        </w:rPr>
        <w:t>/NK1.1</w:t>
      </w:r>
      <w:r w:rsidRPr="00726423">
        <w:rPr>
          <w:rFonts w:ascii="Arial" w:hAnsi="Arial" w:cs="Arial"/>
          <w:color w:val="000000" w:themeColor="text1"/>
          <w:sz w:val="22"/>
          <w:szCs w:val="22"/>
        </w:rPr>
        <w:t>)</w:t>
      </w:r>
      <w:r w:rsidRPr="00726423">
        <w:rPr>
          <w:rFonts w:ascii="Arial" w:hAnsi="Arial" w:cs="Arial"/>
          <w:color w:val="000000" w:themeColor="text1"/>
          <w:sz w:val="22"/>
          <w:szCs w:val="22"/>
          <w:vertAlign w:val="superscript"/>
        </w:rPr>
        <w:t>–</w:t>
      </w:r>
      <w:r w:rsidRPr="00726423">
        <w:rPr>
          <w:rFonts w:ascii="Arial" w:hAnsi="Arial" w:cs="Arial"/>
          <w:color w:val="000000" w:themeColor="text1"/>
          <w:sz w:val="22"/>
          <w:szCs w:val="22"/>
        </w:rPr>
        <w:t>ST2</w:t>
      </w:r>
      <w:r w:rsidRPr="00726423">
        <w:rPr>
          <w:rFonts w:ascii="Arial" w:hAnsi="Arial" w:cs="Arial"/>
          <w:color w:val="000000" w:themeColor="text1"/>
          <w:sz w:val="22"/>
          <w:szCs w:val="22"/>
          <w:vertAlign w:val="superscript"/>
        </w:rPr>
        <w:t>+</w:t>
      </w:r>
      <w:r w:rsidRPr="00726423">
        <w:rPr>
          <w:rFonts w:ascii="Arial" w:hAnsi="Arial" w:cs="Arial"/>
          <w:color w:val="000000" w:themeColor="text1"/>
          <w:sz w:val="22"/>
          <w:szCs w:val="22"/>
        </w:rPr>
        <w:t xml:space="preserve"> ILC2s. </w:t>
      </w:r>
      <w:r w:rsidRPr="00726423">
        <w:rPr>
          <w:rFonts w:ascii="Arial" w:hAnsi="Arial" w:cs="Arial"/>
          <w:b/>
          <w:bCs/>
          <w:color w:val="000000" w:themeColor="text1"/>
          <w:sz w:val="22"/>
          <w:szCs w:val="22"/>
        </w:rPr>
        <w:t>(B and C)</w:t>
      </w:r>
      <w:r w:rsidRPr="00726423">
        <w:rPr>
          <w:rFonts w:ascii="Arial" w:hAnsi="Arial" w:cs="Arial"/>
          <w:color w:val="000000" w:themeColor="text1"/>
          <w:sz w:val="22"/>
          <w:szCs w:val="22"/>
        </w:rPr>
        <w:t xml:space="preserve"> Collective percentages and numbers of IL-5</w:t>
      </w:r>
      <w:r w:rsidRPr="00726423">
        <w:rPr>
          <w:rFonts w:ascii="Arial" w:hAnsi="Arial" w:cs="Arial"/>
          <w:color w:val="000000" w:themeColor="text1"/>
          <w:sz w:val="22"/>
          <w:szCs w:val="22"/>
          <w:vertAlign w:val="superscript"/>
        </w:rPr>
        <w:t>+</w:t>
      </w:r>
      <w:r w:rsidRPr="00726423">
        <w:rPr>
          <w:rFonts w:ascii="Arial" w:hAnsi="Arial" w:cs="Arial"/>
          <w:color w:val="000000" w:themeColor="text1"/>
          <w:sz w:val="22"/>
          <w:szCs w:val="22"/>
        </w:rPr>
        <w:t xml:space="preserve"> or IL-13</w:t>
      </w:r>
      <w:r w:rsidRPr="00726423">
        <w:rPr>
          <w:rFonts w:ascii="Arial" w:hAnsi="Arial" w:cs="Arial"/>
          <w:color w:val="000000" w:themeColor="text1"/>
          <w:sz w:val="22"/>
          <w:szCs w:val="22"/>
          <w:vertAlign w:val="superscript"/>
        </w:rPr>
        <w:t>+</w:t>
      </w:r>
      <w:r w:rsidRPr="00726423">
        <w:rPr>
          <w:rFonts w:ascii="Arial" w:hAnsi="Arial" w:cs="Arial"/>
          <w:color w:val="000000" w:themeColor="text1"/>
          <w:sz w:val="22"/>
          <w:szCs w:val="22"/>
        </w:rPr>
        <w:t xml:space="preserve"> ILC2s in the lungs. </w:t>
      </w:r>
      <w:r w:rsidRPr="00726423">
        <w:rPr>
          <w:rFonts w:ascii="Arial" w:hAnsi="Arial" w:cs="Arial"/>
          <w:b/>
          <w:bCs/>
          <w:color w:val="000000" w:themeColor="text1"/>
          <w:sz w:val="22"/>
          <w:szCs w:val="22"/>
        </w:rPr>
        <w:t>(D)</w:t>
      </w:r>
      <w:r w:rsidRPr="00726423">
        <w:rPr>
          <w:rFonts w:ascii="Arial" w:hAnsi="Arial" w:cs="Arial"/>
          <w:color w:val="000000" w:themeColor="text1"/>
          <w:sz w:val="22"/>
          <w:szCs w:val="22"/>
        </w:rPr>
        <w:t xml:space="preserve"> Geometric median fluorescence intensity (</w:t>
      </w:r>
      <w:proofErr w:type="spellStart"/>
      <w:r w:rsidRPr="00726423">
        <w:rPr>
          <w:rFonts w:ascii="Arial" w:hAnsi="Arial" w:cs="Arial"/>
          <w:color w:val="000000" w:themeColor="text1"/>
          <w:sz w:val="22"/>
          <w:szCs w:val="22"/>
        </w:rPr>
        <w:t>gMFI</w:t>
      </w:r>
      <w:proofErr w:type="spellEnd"/>
      <w:r w:rsidRPr="00726423">
        <w:rPr>
          <w:rFonts w:ascii="Arial" w:hAnsi="Arial" w:cs="Arial"/>
          <w:color w:val="000000" w:themeColor="text1"/>
          <w:sz w:val="22"/>
          <w:szCs w:val="22"/>
        </w:rPr>
        <w:t xml:space="preserve">) of IL-5 and IL-13. </w:t>
      </w:r>
      <w:r w:rsidRPr="00726423">
        <w:rPr>
          <w:rFonts w:ascii="Arial" w:hAnsi="Arial" w:cs="Arial"/>
          <w:b/>
          <w:bCs/>
          <w:color w:val="000000" w:themeColor="text1"/>
          <w:sz w:val="22"/>
          <w:szCs w:val="22"/>
        </w:rPr>
        <w:t>(E)</w:t>
      </w:r>
      <w:r w:rsidRPr="00726423">
        <w:rPr>
          <w:rFonts w:ascii="Arial" w:hAnsi="Arial" w:cs="Arial"/>
          <w:color w:val="000000" w:themeColor="text1"/>
          <w:sz w:val="22"/>
          <w:szCs w:val="22"/>
        </w:rPr>
        <w:t xml:space="preserve"> Numbers of eosinophils in the lungs. Data were shown as means ± SDs. Each dot in the bar graphs represents one mouse. *</w:t>
      </w:r>
      <w:r w:rsidRPr="00726423">
        <w:rPr>
          <w:rFonts w:ascii="Arial" w:hAnsi="Arial" w:cs="Arial"/>
          <w:i/>
          <w:iCs/>
          <w:color w:val="000000" w:themeColor="text1"/>
          <w:sz w:val="22"/>
          <w:szCs w:val="22"/>
        </w:rPr>
        <w:t>P</w:t>
      </w:r>
      <w:r w:rsidRPr="00726423">
        <w:rPr>
          <w:rFonts w:ascii="Arial" w:hAnsi="Arial" w:cs="Arial"/>
          <w:color w:val="000000" w:themeColor="text1"/>
          <w:sz w:val="22"/>
          <w:szCs w:val="22"/>
        </w:rPr>
        <w:t>&lt;0.05, **</w:t>
      </w:r>
      <w:r w:rsidRPr="00726423">
        <w:rPr>
          <w:rFonts w:ascii="Arial" w:hAnsi="Arial" w:cs="Arial"/>
          <w:i/>
          <w:iCs/>
          <w:color w:val="000000" w:themeColor="text1"/>
          <w:sz w:val="22"/>
          <w:szCs w:val="22"/>
        </w:rPr>
        <w:t>P</w:t>
      </w:r>
      <w:r w:rsidRPr="00726423">
        <w:rPr>
          <w:rFonts w:ascii="Arial" w:hAnsi="Arial" w:cs="Arial"/>
          <w:color w:val="000000" w:themeColor="text1"/>
          <w:sz w:val="22"/>
          <w:szCs w:val="22"/>
        </w:rPr>
        <w:t>&lt;0.01, ***</w:t>
      </w:r>
      <w:r w:rsidRPr="00726423">
        <w:rPr>
          <w:rFonts w:ascii="Arial" w:hAnsi="Arial" w:cs="Arial"/>
          <w:i/>
          <w:iCs/>
          <w:color w:val="000000" w:themeColor="text1"/>
          <w:sz w:val="22"/>
          <w:szCs w:val="22"/>
        </w:rPr>
        <w:t>P</w:t>
      </w:r>
      <w:r w:rsidRPr="00726423">
        <w:rPr>
          <w:rFonts w:ascii="Arial" w:hAnsi="Arial" w:cs="Arial"/>
          <w:color w:val="000000" w:themeColor="text1"/>
          <w:sz w:val="22"/>
          <w:szCs w:val="22"/>
        </w:rPr>
        <w:t>&lt;0.001, ****</w:t>
      </w:r>
      <w:r w:rsidRPr="00726423">
        <w:rPr>
          <w:rFonts w:ascii="Arial" w:hAnsi="Arial" w:cs="Arial"/>
          <w:i/>
          <w:iCs/>
          <w:color w:val="000000" w:themeColor="text1"/>
          <w:sz w:val="22"/>
          <w:szCs w:val="22"/>
        </w:rPr>
        <w:t>P</w:t>
      </w:r>
      <w:r w:rsidRPr="00726423">
        <w:rPr>
          <w:rFonts w:ascii="Arial" w:hAnsi="Arial" w:cs="Arial"/>
          <w:color w:val="000000" w:themeColor="text1"/>
          <w:sz w:val="22"/>
          <w:szCs w:val="22"/>
        </w:rPr>
        <w:t>&lt;0.0001 by one-way ANOVA with post-hoc Holm-</w:t>
      </w:r>
      <w:proofErr w:type="spellStart"/>
      <w:r w:rsidRPr="00726423">
        <w:rPr>
          <w:rFonts w:ascii="Arial" w:hAnsi="Arial" w:cs="Arial"/>
          <w:color w:val="000000" w:themeColor="text1"/>
          <w:sz w:val="22"/>
          <w:szCs w:val="22"/>
        </w:rPr>
        <w:t>Sidak's</w:t>
      </w:r>
      <w:proofErr w:type="spellEnd"/>
      <w:r w:rsidRPr="00726423">
        <w:rPr>
          <w:rFonts w:ascii="Arial" w:hAnsi="Arial" w:cs="Arial"/>
          <w:color w:val="000000" w:themeColor="text1"/>
          <w:sz w:val="22"/>
          <w:szCs w:val="22"/>
        </w:rPr>
        <w:t xml:space="preserve"> multiple comparisons tests. ns, not significant. </w:t>
      </w:r>
    </w:p>
    <w:p w14:paraId="28A8F0AF" w14:textId="77777777" w:rsidR="00236E78" w:rsidRPr="00726423" w:rsidRDefault="00236E78" w:rsidP="00236E78">
      <w:pPr>
        <w:spacing w:line="276" w:lineRule="auto"/>
        <w:jc w:val="both"/>
        <w:rPr>
          <w:rFonts w:ascii="Arial" w:hAnsi="Arial" w:cs="Arial"/>
          <w:color w:val="000000" w:themeColor="text1"/>
          <w:sz w:val="22"/>
          <w:szCs w:val="22"/>
        </w:rPr>
      </w:pPr>
    </w:p>
    <w:p w14:paraId="742631A7" w14:textId="77777777" w:rsidR="00236E78" w:rsidRPr="00726423" w:rsidRDefault="00236E78" w:rsidP="00236E78">
      <w:pPr>
        <w:rPr>
          <w:rFonts w:ascii="Arial" w:hAnsi="Arial" w:cs="Arial"/>
          <w:color w:val="000000" w:themeColor="text1"/>
          <w:sz w:val="22"/>
          <w:szCs w:val="22"/>
        </w:rPr>
      </w:pPr>
      <w:r w:rsidRPr="00726423">
        <w:rPr>
          <w:rFonts w:ascii="Arial" w:hAnsi="Arial" w:cs="Arial"/>
          <w:color w:val="000000" w:themeColor="text1"/>
          <w:sz w:val="22"/>
          <w:szCs w:val="22"/>
        </w:rPr>
        <w:br w:type="page"/>
      </w:r>
    </w:p>
    <w:p w14:paraId="28131AF5" w14:textId="784BC9D4" w:rsidR="007E4D00" w:rsidRPr="00726423" w:rsidRDefault="007E4D00">
      <w:pPr>
        <w:rPr>
          <w:rFonts w:ascii="Arial" w:hAnsi="Arial" w:cs="Arial"/>
          <w:color w:val="000000" w:themeColor="text1"/>
          <w:sz w:val="22"/>
          <w:szCs w:val="22"/>
        </w:rPr>
      </w:pPr>
    </w:p>
    <w:p w14:paraId="4B0874F2" w14:textId="45592096" w:rsidR="007E4D00" w:rsidRPr="00726423" w:rsidRDefault="00867334" w:rsidP="00F40042">
      <w:pPr>
        <w:spacing w:line="276" w:lineRule="auto"/>
        <w:jc w:val="center"/>
        <w:rPr>
          <w:rFonts w:ascii="Arial" w:hAnsi="Arial" w:cs="Arial"/>
          <w:color w:val="000000" w:themeColor="text1"/>
          <w:sz w:val="22"/>
          <w:szCs w:val="22"/>
        </w:rPr>
      </w:pPr>
      <w:r w:rsidRPr="00726423">
        <w:rPr>
          <w:rFonts w:ascii="Arial" w:hAnsi="Arial" w:cs="Arial"/>
          <w:noProof/>
          <w:color w:val="000000" w:themeColor="text1"/>
          <w:sz w:val="22"/>
          <w:szCs w:val="22"/>
        </w:rPr>
        <w:drawing>
          <wp:inline distT="0" distB="0" distL="0" distR="0" wp14:anchorId="0743F66F" wp14:editId="62913220">
            <wp:extent cx="6116320" cy="5036847"/>
            <wp:effectExtent l="0" t="0" r="508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3" cstate="print">
                      <a:extLst>
                        <a:ext uri="{28A0092B-C50C-407E-A947-70E740481C1C}">
                          <a14:useLocalDpi xmlns:a14="http://schemas.microsoft.com/office/drawing/2010/main" val="0"/>
                        </a:ext>
                      </a:extLst>
                    </a:blip>
                    <a:srcRect t="8806"/>
                    <a:stretch/>
                  </pic:blipFill>
                  <pic:spPr bwMode="auto">
                    <a:xfrm>
                      <a:off x="0" y="0"/>
                      <a:ext cx="6116320" cy="5036847"/>
                    </a:xfrm>
                    <a:prstGeom prst="rect">
                      <a:avLst/>
                    </a:prstGeom>
                    <a:ln>
                      <a:noFill/>
                    </a:ln>
                    <a:extLst>
                      <a:ext uri="{53640926-AAD7-44D8-BBD7-CCE9431645EC}">
                        <a14:shadowObscured xmlns:a14="http://schemas.microsoft.com/office/drawing/2010/main"/>
                      </a:ext>
                    </a:extLst>
                  </pic:spPr>
                </pic:pic>
              </a:graphicData>
            </a:graphic>
          </wp:inline>
        </w:drawing>
      </w:r>
    </w:p>
    <w:p w14:paraId="04FFC555" w14:textId="77777777" w:rsidR="00FD707C" w:rsidRPr="00726423" w:rsidRDefault="00FD707C" w:rsidP="00FD707C">
      <w:pPr>
        <w:spacing w:line="360" w:lineRule="auto"/>
        <w:jc w:val="both"/>
        <w:rPr>
          <w:rFonts w:ascii="Arial" w:hAnsi="Arial" w:cs="Arial"/>
          <w:b/>
          <w:bCs/>
          <w:color w:val="000000" w:themeColor="text1"/>
          <w:sz w:val="22"/>
          <w:szCs w:val="22"/>
        </w:rPr>
      </w:pPr>
    </w:p>
    <w:p w14:paraId="620730E2" w14:textId="0BEB48D1" w:rsidR="00FD707C" w:rsidRPr="00726423" w:rsidRDefault="000F4730" w:rsidP="00413629">
      <w:pPr>
        <w:jc w:val="both"/>
        <w:rPr>
          <w:rFonts w:ascii="Arial" w:hAnsi="Arial" w:cs="Arial"/>
          <w:color w:val="000000" w:themeColor="text1"/>
          <w:sz w:val="22"/>
          <w:szCs w:val="22"/>
        </w:rPr>
      </w:pPr>
      <w:r w:rsidRPr="00726423">
        <w:rPr>
          <w:rFonts w:ascii="Arial" w:hAnsi="Arial" w:cs="Arial"/>
          <w:b/>
          <w:bCs/>
          <w:color w:val="000000" w:themeColor="text1"/>
          <w:sz w:val="22"/>
          <w:szCs w:val="22"/>
        </w:rPr>
        <w:t xml:space="preserve">Figure </w:t>
      </w:r>
      <w:r w:rsidR="00E03843" w:rsidRPr="00726423">
        <w:rPr>
          <w:rFonts w:ascii="Arial" w:hAnsi="Arial" w:cs="Arial"/>
          <w:b/>
          <w:bCs/>
          <w:color w:val="000000" w:themeColor="text1"/>
          <w:sz w:val="22"/>
          <w:szCs w:val="22"/>
        </w:rPr>
        <w:t>5</w:t>
      </w:r>
      <w:r w:rsidRPr="00726423">
        <w:rPr>
          <w:rFonts w:ascii="Arial" w:hAnsi="Arial" w:cs="Arial"/>
          <w:b/>
          <w:bCs/>
          <w:color w:val="000000" w:themeColor="text1"/>
          <w:sz w:val="22"/>
          <w:szCs w:val="22"/>
        </w:rPr>
        <w:t>. PGE</w:t>
      </w:r>
      <w:r w:rsidRPr="00726423">
        <w:rPr>
          <w:rFonts w:ascii="Arial" w:hAnsi="Arial" w:cs="Arial"/>
          <w:b/>
          <w:bCs/>
          <w:color w:val="000000" w:themeColor="text1"/>
          <w:sz w:val="22"/>
          <w:szCs w:val="22"/>
          <w:vertAlign w:val="subscript"/>
        </w:rPr>
        <w:t>2</w:t>
      </w:r>
      <w:r w:rsidR="00AF58D5" w:rsidRPr="00726423">
        <w:rPr>
          <w:rFonts w:ascii="Arial" w:hAnsi="Arial" w:cs="Arial"/>
          <w:b/>
          <w:bCs/>
          <w:color w:val="000000" w:themeColor="text1"/>
          <w:sz w:val="22"/>
          <w:szCs w:val="22"/>
        </w:rPr>
        <w:t xml:space="preserve">-cAMP </w:t>
      </w:r>
      <w:proofErr w:type="spellStart"/>
      <w:r w:rsidR="00134A78" w:rsidRPr="00726423">
        <w:rPr>
          <w:rFonts w:ascii="Arial" w:hAnsi="Arial" w:cs="Arial"/>
          <w:b/>
          <w:bCs/>
          <w:color w:val="000000" w:themeColor="text1"/>
          <w:sz w:val="22"/>
          <w:szCs w:val="22"/>
        </w:rPr>
        <w:t>signaling</w:t>
      </w:r>
      <w:proofErr w:type="spellEnd"/>
      <w:r w:rsidR="00AF58D5" w:rsidRPr="00726423">
        <w:rPr>
          <w:rFonts w:ascii="Arial" w:hAnsi="Arial" w:cs="Arial"/>
          <w:b/>
          <w:bCs/>
          <w:color w:val="000000" w:themeColor="text1"/>
          <w:sz w:val="22"/>
          <w:szCs w:val="22"/>
        </w:rPr>
        <w:t xml:space="preserve"> </w:t>
      </w:r>
      <w:r w:rsidR="00E03843" w:rsidRPr="00726423">
        <w:rPr>
          <w:rFonts w:ascii="Arial" w:hAnsi="Arial" w:cs="Arial"/>
          <w:b/>
          <w:bCs/>
          <w:color w:val="000000" w:themeColor="text1"/>
          <w:sz w:val="22"/>
          <w:szCs w:val="22"/>
        </w:rPr>
        <w:t>directly inhibits</w:t>
      </w:r>
      <w:r w:rsidRPr="00726423">
        <w:rPr>
          <w:rFonts w:ascii="Arial" w:hAnsi="Arial" w:cs="Arial"/>
          <w:b/>
          <w:bCs/>
          <w:color w:val="000000" w:themeColor="text1"/>
          <w:sz w:val="22"/>
          <w:szCs w:val="22"/>
        </w:rPr>
        <w:t xml:space="preserve"> ILC2 </w:t>
      </w:r>
      <w:r w:rsidR="00E03843" w:rsidRPr="00726423">
        <w:rPr>
          <w:rFonts w:ascii="Arial" w:hAnsi="Arial" w:cs="Arial"/>
          <w:b/>
          <w:bCs/>
          <w:color w:val="000000" w:themeColor="text1"/>
          <w:sz w:val="22"/>
          <w:szCs w:val="22"/>
        </w:rPr>
        <w:t xml:space="preserve">activation </w:t>
      </w:r>
      <w:r w:rsidR="00AF58D5" w:rsidRPr="00726423">
        <w:rPr>
          <w:rFonts w:ascii="Arial" w:hAnsi="Arial" w:cs="Arial"/>
          <w:b/>
          <w:bCs/>
          <w:color w:val="000000" w:themeColor="text1"/>
          <w:sz w:val="22"/>
          <w:szCs w:val="22"/>
        </w:rPr>
        <w:t xml:space="preserve">and </w:t>
      </w:r>
      <w:r w:rsidR="002B12A5" w:rsidRPr="00726423">
        <w:rPr>
          <w:rFonts w:ascii="Arial" w:hAnsi="Arial" w:cs="Arial"/>
          <w:b/>
          <w:bCs/>
          <w:color w:val="000000" w:themeColor="text1"/>
          <w:sz w:val="22"/>
          <w:szCs w:val="22"/>
        </w:rPr>
        <w:t>alter</w:t>
      </w:r>
      <w:r w:rsidR="00AF58D5" w:rsidRPr="00726423">
        <w:rPr>
          <w:rFonts w:ascii="Arial" w:hAnsi="Arial" w:cs="Arial"/>
          <w:b/>
          <w:bCs/>
          <w:color w:val="000000" w:themeColor="text1"/>
          <w:sz w:val="22"/>
          <w:szCs w:val="22"/>
        </w:rPr>
        <w:t>s</w:t>
      </w:r>
      <w:r w:rsidR="00E03843" w:rsidRPr="00726423">
        <w:rPr>
          <w:rFonts w:ascii="Arial" w:hAnsi="Arial" w:cs="Arial"/>
          <w:b/>
          <w:bCs/>
          <w:color w:val="000000" w:themeColor="text1"/>
          <w:sz w:val="22"/>
          <w:szCs w:val="22"/>
        </w:rPr>
        <w:t xml:space="preserve"> </w:t>
      </w:r>
      <w:r w:rsidR="0043309F" w:rsidRPr="00726423">
        <w:rPr>
          <w:rFonts w:ascii="Arial" w:hAnsi="Arial" w:cs="Arial"/>
          <w:b/>
          <w:bCs/>
          <w:color w:val="000000" w:themeColor="text1"/>
          <w:sz w:val="22"/>
          <w:szCs w:val="22"/>
        </w:rPr>
        <w:t xml:space="preserve">ILC2 </w:t>
      </w:r>
      <w:r w:rsidR="00AF58D5" w:rsidRPr="00726423">
        <w:rPr>
          <w:rFonts w:ascii="Arial" w:hAnsi="Arial" w:cs="Arial"/>
          <w:b/>
          <w:bCs/>
          <w:color w:val="000000" w:themeColor="text1"/>
          <w:sz w:val="22"/>
          <w:szCs w:val="22"/>
        </w:rPr>
        <w:t>gene expression</w:t>
      </w:r>
      <w:r w:rsidR="0043309F" w:rsidRPr="00726423">
        <w:rPr>
          <w:rFonts w:ascii="Arial" w:hAnsi="Arial" w:cs="Arial"/>
          <w:b/>
          <w:bCs/>
          <w:color w:val="000000" w:themeColor="text1"/>
          <w:sz w:val="22"/>
          <w:szCs w:val="22"/>
        </w:rPr>
        <w:t xml:space="preserve"> associated with cellular metabolic pathways</w:t>
      </w:r>
      <w:r w:rsidRPr="00726423">
        <w:rPr>
          <w:rFonts w:ascii="Arial" w:hAnsi="Arial" w:cs="Arial"/>
          <w:b/>
          <w:bCs/>
          <w:color w:val="000000" w:themeColor="text1"/>
          <w:sz w:val="22"/>
          <w:szCs w:val="22"/>
        </w:rPr>
        <w:t>.</w:t>
      </w:r>
      <w:r w:rsidRPr="00726423">
        <w:rPr>
          <w:rFonts w:ascii="Arial" w:hAnsi="Arial" w:cs="Arial"/>
          <w:color w:val="000000" w:themeColor="text1"/>
          <w:sz w:val="22"/>
          <w:szCs w:val="22"/>
        </w:rPr>
        <w:t xml:space="preserve"> </w:t>
      </w:r>
      <w:r w:rsidR="00BD6FA8" w:rsidRPr="00726423">
        <w:rPr>
          <w:rFonts w:ascii="Arial" w:hAnsi="Arial" w:cs="Arial"/>
          <w:color w:val="000000" w:themeColor="text1"/>
          <w:sz w:val="22"/>
          <w:szCs w:val="22"/>
        </w:rPr>
        <w:t>(</w:t>
      </w:r>
      <w:r w:rsidR="00E03843" w:rsidRPr="00726423">
        <w:rPr>
          <w:rFonts w:ascii="Arial" w:hAnsi="Arial" w:cs="Arial"/>
          <w:b/>
          <w:bCs/>
          <w:color w:val="000000" w:themeColor="text1"/>
          <w:sz w:val="22"/>
          <w:szCs w:val="22"/>
        </w:rPr>
        <w:t>A</w:t>
      </w:r>
      <w:r w:rsidR="00BD6FA8" w:rsidRPr="00726423">
        <w:rPr>
          <w:rFonts w:ascii="Arial" w:hAnsi="Arial" w:cs="Arial"/>
          <w:b/>
          <w:bCs/>
          <w:color w:val="000000" w:themeColor="text1"/>
          <w:sz w:val="22"/>
          <w:szCs w:val="22"/>
        </w:rPr>
        <w:t xml:space="preserve"> and </w:t>
      </w:r>
      <w:r w:rsidR="00E03843" w:rsidRPr="00726423">
        <w:rPr>
          <w:rFonts w:ascii="Arial" w:hAnsi="Arial" w:cs="Arial"/>
          <w:b/>
          <w:bCs/>
          <w:color w:val="000000" w:themeColor="text1"/>
          <w:sz w:val="22"/>
          <w:szCs w:val="22"/>
        </w:rPr>
        <w:t>B</w:t>
      </w:r>
      <w:r w:rsidR="00BD6FA8" w:rsidRPr="00726423">
        <w:rPr>
          <w:rFonts w:ascii="Arial" w:hAnsi="Arial" w:cs="Arial"/>
          <w:b/>
          <w:bCs/>
          <w:color w:val="000000" w:themeColor="text1"/>
          <w:sz w:val="22"/>
          <w:szCs w:val="22"/>
        </w:rPr>
        <w:t>)</w:t>
      </w:r>
      <w:r w:rsidR="00E03843" w:rsidRPr="00726423">
        <w:rPr>
          <w:rFonts w:ascii="Arial" w:hAnsi="Arial" w:cs="Arial"/>
          <w:color w:val="000000" w:themeColor="text1"/>
          <w:sz w:val="22"/>
          <w:szCs w:val="22"/>
        </w:rPr>
        <w:t xml:space="preserve"> IL-5 and IL-13 production from whole lung </w:t>
      </w:r>
      <w:r w:rsidR="00E03843" w:rsidRPr="00726423">
        <w:rPr>
          <w:rFonts w:ascii="Arial" w:hAnsi="Arial" w:cs="Arial"/>
          <w:b/>
          <w:bCs/>
          <w:color w:val="000000" w:themeColor="text1"/>
          <w:sz w:val="22"/>
          <w:szCs w:val="22"/>
        </w:rPr>
        <w:t>(A)</w:t>
      </w:r>
      <w:r w:rsidR="00E03843" w:rsidRPr="00726423">
        <w:rPr>
          <w:rFonts w:ascii="Arial" w:hAnsi="Arial" w:cs="Arial"/>
          <w:color w:val="000000" w:themeColor="text1"/>
          <w:sz w:val="22"/>
          <w:szCs w:val="22"/>
        </w:rPr>
        <w:t xml:space="preserve"> or bone marrow </w:t>
      </w:r>
      <w:r w:rsidR="00E03843" w:rsidRPr="00726423">
        <w:rPr>
          <w:rFonts w:ascii="Arial" w:hAnsi="Arial" w:cs="Arial"/>
          <w:b/>
          <w:bCs/>
          <w:color w:val="000000" w:themeColor="text1"/>
          <w:sz w:val="22"/>
          <w:szCs w:val="22"/>
        </w:rPr>
        <w:t>(B)</w:t>
      </w:r>
      <w:r w:rsidR="00E03843" w:rsidRPr="00726423">
        <w:rPr>
          <w:rFonts w:ascii="Arial" w:hAnsi="Arial" w:cs="Arial"/>
          <w:color w:val="000000" w:themeColor="text1"/>
          <w:sz w:val="22"/>
          <w:szCs w:val="22"/>
        </w:rPr>
        <w:t xml:space="preserve"> cells from Rag2</w:t>
      </w:r>
      <w:r w:rsidR="00E03843" w:rsidRPr="00726423">
        <w:rPr>
          <w:rFonts w:ascii="Arial" w:hAnsi="Arial" w:cs="Arial"/>
          <w:color w:val="000000" w:themeColor="text1"/>
          <w:sz w:val="22"/>
          <w:szCs w:val="22"/>
          <w:vertAlign w:val="superscript"/>
        </w:rPr>
        <w:t>–/–</w:t>
      </w:r>
      <w:r w:rsidR="00E03843" w:rsidRPr="00726423">
        <w:rPr>
          <w:rFonts w:ascii="Arial" w:hAnsi="Arial" w:cs="Arial"/>
          <w:color w:val="000000" w:themeColor="text1"/>
          <w:sz w:val="22"/>
          <w:szCs w:val="22"/>
        </w:rPr>
        <w:t xml:space="preserve"> mice that were cultured </w:t>
      </w:r>
      <w:r w:rsidR="00E03843" w:rsidRPr="00726423">
        <w:rPr>
          <w:rFonts w:ascii="Arial" w:hAnsi="Arial" w:cs="Arial"/>
          <w:i/>
          <w:iCs/>
          <w:color w:val="000000" w:themeColor="text1"/>
          <w:sz w:val="22"/>
          <w:szCs w:val="22"/>
        </w:rPr>
        <w:t>in vitro</w:t>
      </w:r>
      <w:r w:rsidR="00E03843" w:rsidRPr="00726423">
        <w:rPr>
          <w:rFonts w:ascii="Arial" w:hAnsi="Arial" w:cs="Arial"/>
          <w:color w:val="000000" w:themeColor="text1"/>
          <w:sz w:val="22"/>
          <w:szCs w:val="22"/>
        </w:rPr>
        <w:t xml:space="preserve"> with IL-2, IL-7 and IL-33 in the presence or absence of indicated </w:t>
      </w:r>
      <w:r w:rsidR="00E477BC" w:rsidRPr="00726423">
        <w:rPr>
          <w:rFonts w:ascii="Arial" w:hAnsi="Arial" w:cs="Arial"/>
          <w:color w:val="000000" w:themeColor="text1"/>
          <w:sz w:val="22"/>
          <w:szCs w:val="22"/>
        </w:rPr>
        <w:t>reagents.</w:t>
      </w:r>
      <w:r w:rsidR="00757E23" w:rsidRPr="00726423">
        <w:rPr>
          <w:rFonts w:ascii="Arial" w:hAnsi="Arial" w:cs="Arial"/>
          <w:color w:val="000000" w:themeColor="text1"/>
          <w:sz w:val="22"/>
          <w:szCs w:val="22"/>
        </w:rPr>
        <w:t xml:space="preserve"> Data shown </w:t>
      </w:r>
      <w:r w:rsidR="00BD6FA8" w:rsidRPr="00726423">
        <w:rPr>
          <w:rFonts w:ascii="Arial" w:hAnsi="Arial" w:cs="Arial"/>
          <w:color w:val="000000" w:themeColor="text1"/>
          <w:sz w:val="22"/>
          <w:szCs w:val="22"/>
        </w:rPr>
        <w:t xml:space="preserve">as </w:t>
      </w:r>
      <w:r w:rsidR="00757E23" w:rsidRPr="00726423">
        <w:rPr>
          <w:rFonts w:ascii="Arial" w:hAnsi="Arial" w:cs="Arial"/>
          <w:color w:val="000000" w:themeColor="text1"/>
          <w:sz w:val="22"/>
          <w:szCs w:val="22"/>
        </w:rPr>
        <w:t>means ± SEMs are from one of two independent experiments.</w:t>
      </w:r>
      <w:r w:rsidR="00E477BC" w:rsidRPr="00726423">
        <w:rPr>
          <w:rFonts w:ascii="Arial" w:hAnsi="Arial" w:cs="Arial"/>
          <w:color w:val="000000" w:themeColor="text1"/>
          <w:sz w:val="22"/>
          <w:szCs w:val="22"/>
        </w:rPr>
        <w:t xml:space="preserve"> </w:t>
      </w:r>
      <w:r w:rsidR="00757E23" w:rsidRPr="00726423">
        <w:rPr>
          <w:rFonts w:ascii="Arial" w:hAnsi="Arial" w:cs="Arial"/>
          <w:color w:val="000000" w:themeColor="text1"/>
          <w:sz w:val="22"/>
          <w:szCs w:val="22"/>
        </w:rPr>
        <w:t>*</w:t>
      </w:r>
      <w:r w:rsidR="00757E23" w:rsidRPr="00726423">
        <w:rPr>
          <w:rFonts w:ascii="Arial" w:hAnsi="Arial" w:cs="Arial"/>
          <w:i/>
          <w:iCs/>
          <w:color w:val="000000" w:themeColor="text1"/>
          <w:sz w:val="22"/>
          <w:szCs w:val="22"/>
        </w:rPr>
        <w:t>P</w:t>
      </w:r>
      <w:r w:rsidR="00757E23" w:rsidRPr="00726423">
        <w:rPr>
          <w:rFonts w:ascii="Arial" w:hAnsi="Arial" w:cs="Arial"/>
          <w:color w:val="000000" w:themeColor="text1"/>
          <w:sz w:val="22"/>
          <w:szCs w:val="22"/>
        </w:rPr>
        <w:t>&lt;0.05, **</w:t>
      </w:r>
      <w:r w:rsidR="00757E23" w:rsidRPr="00726423">
        <w:rPr>
          <w:rFonts w:ascii="Arial" w:hAnsi="Arial" w:cs="Arial"/>
          <w:i/>
          <w:iCs/>
          <w:color w:val="000000" w:themeColor="text1"/>
          <w:sz w:val="22"/>
          <w:szCs w:val="22"/>
        </w:rPr>
        <w:t>P</w:t>
      </w:r>
      <w:r w:rsidR="00757E23" w:rsidRPr="00726423">
        <w:rPr>
          <w:rFonts w:ascii="Arial" w:hAnsi="Arial" w:cs="Arial"/>
          <w:color w:val="000000" w:themeColor="text1"/>
          <w:sz w:val="22"/>
          <w:szCs w:val="22"/>
        </w:rPr>
        <w:t>&lt;0.01, ***</w:t>
      </w:r>
      <w:r w:rsidR="00757E23" w:rsidRPr="00726423">
        <w:rPr>
          <w:rFonts w:ascii="Arial" w:hAnsi="Arial" w:cs="Arial"/>
          <w:i/>
          <w:iCs/>
          <w:color w:val="000000" w:themeColor="text1"/>
          <w:sz w:val="22"/>
          <w:szCs w:val="22"/>
        </w:rPr>
        <w:t>P</w:t>
      </w:r>
      <w:r w:rsidR="00757E23" w:rsidRPr="00726423">
        <w:rPr>
          <w:rFonts w:ascii="Arial" w:hAnsi="Arial" w:cs="Arial"/>
          <w:color w:val="000000" w:themeColor="text1"/>
          <w:sz w:val="22"/>
          <w:szCs w:val="22"/>
        </w:rPr>
        <w:t>&lt;0.001, ****</w:t>
      </w:r>
      <w:r w:rsidR="00757E23" w:rsidRPr="00726423">
        <w:rPr>
          <w:rFonts w:ascii="Arial" w:hAnsi="Arial" w:cs="Arial"/>
          <w:i/>
          <w:iCs/>
          <w:color w:val="000000" w:themeColor="text1"/>
          <w:sz w:val="22"/>
          <w:szCs w:val="22"/>
        </w:rPr>
        <w:t>P</w:t>
      </w:r>
      <w:r w:rsidR="00757E23" w:rsidRPr="00726423">
        <w:rPr>
          <w:rFonts w:ascii="Arial" w:hAnsi="Arial" w:cs="Arial"/>
          <w:color w:val="000000" w:themeColor="text1"/>
          <w:sz w:val="22"/>
          <w:szCs w:val="22"/>
        </w:rPr>
        <w:t xml:space="preserve">&lt;0.0001 by </w:t>
      </w:r>
      <w:r w:rsidR="00F6375B" w:rsidRPr="00726423">
        <w:rPr>
          <w:rFonts w:ascii="Arial" w:hAnsi="Arial" w:cs="Arial"/>
          <w:color w:val="000000" w:themeColor="text1"/>
          <w:sz w:val="22"/>
          <w:szCs w:val="22"/>
        </w:rPr>
        <w:t xml:space="preserve">one-way </w:t>
      </w:r>
      <w:r w:rsidR="00757E23" w:rsidRPr="00726423">
        <w:rPr>
          <w:rFonts w:ascii="Arial" w:hAnsi="Arial" w:cs="Arial"/>
          <w:color w:val="000000" w:themeColor="text1"/>
          <w:sz w:val="22"/>
          <w:szCs w:val="22"/>
        </w:rPr>
        <w:t>ANOVA with post-hoc Holm-</w:t>
      </w:r>
      <w:proofErr w:type="spellStart"/>
      <w:r w:rsidR="00757E23" w:rsidRPr="00726423">
        <w:rPr>
          <w:rFonts w:ascii="Arial" w:hAnsi="Arial" w:cs="Arial"/>
          <w:color w:val="000000" w:themeColor="text1"/>
          <w:sz w:val="22"/>
          <w:szCs w:val="22"/>
        </w:rPr>
        <w:t>Sidak's</w:t>
      </w:r>
      <w:proofErr w:type="spellEnd"/>
      <w:r w:rsidR="00757E23" w:rsidRPr="00726423">
        <w:rPr>
          <w:rFonts w:ascii="Arial" w:hAnsi="Arial" w:cs="Arial"/>
          <w:color w:val="000000" w:themeColor="text1"/>
          <w:sz w:val="22"/>
          <w:szCs w:val="22"/>
        </w:rPr>
        <w:t xml:space="preserve"> multiple comparisons tests. </w:t>
      </w:r>
      <w:r w:rsidR="00BD6FA8" w:rsidRPr="00726423">
        <w:rPr>
          <w:rFonts w:ascii="Arial" w:hAnsi="Arial" w:cs="Arial"/>
          <w:b/>
          <w:bCs/>
          <w:color w:val="000000" w:themeColor="text1"/>
          <w:sz w:val="22"/>
          <w:szCs w:val="22"/>
        </w:rPr>
        <w:t xml:space="preserve">(C to </w:t>
      </w:r>
      <w:r w:rsidR="00E477BC" w:rsidRPr="00726423">
        <w:rPr>
          <w:rFonts w:ascii="Arial" w:hAnsi="Arial" w:cs="Arial"/>
          <w:b/>
          <w:bCs/>
          <w:color w:val="000000" w:themeColor="text1"/>
          <w:sz w:val="22"/>
          <w:szCs w:val="22"/>
        </w:rPr>
        <w:t>F</w:t>
      </w:r>
      <w:r w:rsidR="00BD6FA8" w:rsidRPr="00726423">
        <w:rPr>
          <w:rFonts w:ascii="Arial" w:hAnsi="Arial" w:cs="Arial"/>
          <w:b/>
          <w:bCs/>
          <w:color w:val="000000" w:themeColor="text1"/>
          <w:sz w:val="22"/>
          <w:szCs w:val="22"/>
        </w:rPr>
        <w:t>)</w:t>
      </w:r>
      <w:r w:rsidRPr="00726423">
        <w:rPr>
          <w:rFonts w:ascii="Arial" w:hAnsi="Arial" w:cs="Arial"/>
          <w:b/>
          <w:bCs/>
          <w:color w:val="000000" w:themeColor="text1"/>
          <w:sz w:val="22"/>
          <w:szCs w:val="22"/>
        </w:rPr>
        <w:t xml:space="preserve"> </w:t>
      </w:r>
      <w:r w:rsidRPr="00726423">
        <w:rPr>
          <w:rFonts w:ascii="Arial" w:hAnsi="Arial" w:cs="Arial"/>
          <w:color w:val="000000" w:themeColor="text1"/>
          <w:sz w:val="22"/>
          <w:szCs w:val="22"/>
        </w:rPr>
        <w:t xml:space="preserve">Representative flow cytometric dot plots </w:t>
      </w:r>
      <w:r w:rsidRPr="00726423">
        <w:rPr>
          <w:rFonts w:ascii="Arial" w:hAnsi="Arial" w:cs="Arial"/>
          <w:b/>
          <w:bCs/>
          <w:color w:val="000000" w:themeColor="text1"/>
          <w:sz w:val="22"/>
          <w:szCs w:val="22"/>
        </w:rPr>
        <w:t>(</w:t>
      </w:r>
      <w:r w:rsidR="00E477BC" w:rsidRPr="00726423">
        <w:rPr>
          <w:rFonts w:ascii="Arial" w:hAnsi="Arial" w:cs="Arial"/>
          <w:b/>
          <w:bCs/>
          <w:color w:val="000000" w:themeColor="text1"/>
          <w:sz w:val="22"/>
          <w:szCs w:val="22"/>
        </w:rPr>
        <w:t>C</w:t>
      </w:r>
      <w:r w:rsidRPr="00726423">
        <w:rPr>
          <w:rFonts w:ascii="Arial" w:hAnsi="Arial" w:cs="Arial"/>
          <w:b/>
          <w:bCs/>
          <w:color w:val="000000" w:themeColor="text1"/>
          <w:sz w:val="22"/>
          <w:szCs w:val="22"/>
        </w:rPr>
        <w:t>)</w:t>
      </w:r>
      <w:r w:rsidR="00E477BC" w:rsidRPr="00726423">
        <w:rPr>
          <w:rFonts w:ascii="Arial" w:hAnsi="Arial" w:cs="Arial"/>
          <w:color w:val="000000" w:themeColor="text1"/>
          <w:sz w:val="22"/>
          <w:szCs w:val="22"/>
        </w:rPr>
        <w:t xml:space="preserve">, cell viability and size (FSC-A) </w:t>
      </w:r>
      <w:r w:rsidR="00E477BC" w:rsidRPr="00726423">
        <w:rPr>
          <w:rFonts w:ascii="Arial" w:hAnsi="Arial" w:cs="Arial"/>
          <w:b/>
          <w:bCs/>
          <w:color w:val="000000" w:themeColor="text1"/>
          <w:sz w:val="22"/>
          <w:szCs w:val="22"/>
        </w:rPr>
        <w:t>(D)</w:t>
      </w:r>
      <w:r w:rsidR="00E477BC" w:rsidRPr="00726423">
        <w:rPr>
          <w:rFonts w:ascii="Arial" w:hAnsi="Arial" w:cs="Arial"/>
          <w:color w:val="000000" w:themeColor="text1"/>
          <w:sz w:val="22"/>
          <w:szCs w:val="22"/>
        </w:rPr>
        <w:t>,</w:t>
      </w:r>
      <w:r w:rsidRPr="00726423">
        <w:rPr>
          <w:rFonts w:ascii="Arial" w:hAnsi="Arial" w:cs="Arial"/>
          <w:color w:val="000000" w:themeColor="text1"/>
          <w:sz w:val="22"/>
          <w:szCs w:val="22"/>
        </w:rPr>
        <w:t xml:space="preserve"> collective percentages</w:t>
      </w:r>
      <w:r w:rsidR="00E477BC" w:rsidRPr="00726423">
        <w:rPr>
          <w:rFonts w:ascii="Arial" w:hAnsi="Arial" w:cs="Arial"/>
          <w:color w:val="000000" w:themeColor="text1"/>
          <w:sz w:val="22"/>
          <w:szCs w:val="22"/>
        </w:rPr>
        <w:t xml:space="preserve"> of live IL-5</w:t>
      </w:r>
      <w:r w:rsidR="00E477BC" w:rsidRPr="00726423">
        <w:rPr>
          <w:rFonts w:ascii="Arial" w:hAnsi="Arial" w:cs="Arial"/>
          <w:color w:val="000000" w:themeColor="text1"/>
          <w:sz w:val="22"/>
          <w:szCs w:val="22"/>
          <w:vertAlign w:val="superscript"/>
        </w:rPr>
        <w:t>+</w:t>
      </w:r>
      <w:r w:rsidR="00E477BC" w:rsidRPr="00726423">
        <w:rPr>
          <w:rFonts w:ascii="Arial" w:hAnsi="Arial" w:cs="Arial"/>
          <w:color w:val="000000" w:themeColor="text1"/>
          <w:sz w:val="22"/>
          <w:szCs w:val="22"/>
        </w:rPr>
        <w:t>IL-13</w:t>
      </w:r>
      <w:r w:rsidR="00E477BC" w:rsidRPr="00726423">
        <w:rPr>
          <w:rFonts w:ascii="Arial" w:hAnsi="Arial" w:cs="Arial"/>
          <w:color w:val="000000" w:themeColor="text1"/>
          <w:sz w:val="22"/>
          <w:szCs w:val="22"/>
          <w:vertAlign w:val="superscript"/>
        </w:rPr>
        <w:t>+</w:t>
      </w:r>
      <w:r w:rsidR="00E477BC" w:rsidRPr="00726423">
        <w:rPr>
          <w:rFonts w:ascii="Arial" w:hAnsi="Arial" w:cs="Arial"/>
          <w:color w:val="000000" w:themeColor="text1"/>
          <w:sz w:val="22"/>
          <w:szCs w:val="22"/>
        </w:rPr>
        <w:t xml:space="preserve"> ILC2s and </w:t>
      </w:r>
      <w:r w:rsidR="00D97599" w:rsidRPr="00726423">
        <w:rPr>
          <w:rFonts w:ascii="Arial" w:hAnsi="Arial" w:cs="Arial"/>
          <w:color w:val="000000" w:themeColor="text1"/>
          <w:sz w:val="22"/>
          <w:szCs w:val="22"/>
        </w:rPr>
        <w:t>geometric</w:t>
      </w:r>
      <w:r w:rsidR="001F2365" w:rsidRPr="00726423">
        <w:rPr>
          <w:rFonts w:ascii="Arial" w:hAnsi="Arial" w:cs="Arial"/>
          <w:color w:val="000000" w:themeColor="text1"/>
          <w:sz w:val="22"/>
          <w:szCs w:val="22"/>
        </w:rPr>
        <w:t xml:space="preserve"> fluorescence intensity (</w:t>
      </w:r>
      <w:proofErr w:type="spellStart"/>
      <w:r w:rsidR="001F2365" w:rsidRPr="00726423">
        <w:rPr>
          <w:rFonts w:ascii="Arial" w:hAnsi="Arial" w:cs="Arial"/>
          <w:color w:val="000000" w:themeColor="text1"/>
          <w:sz w:val="22"/>
          <w:szCs w:val="22"/>
        </w:rPr>
        <w:t>gMFI</w:t>
      </w:r>
      <w:proofErr w:type="spellEnd"/>
      <w:r w:rsidR="001F2365" w:rsidRPr="00726423">
        <w:rPr>
          <w:rFonts w:ascii="Arial" w:hAnsi="Arial" w:cs="Arial"/>
          <w:color w:val="000000" w:themeColor="text1"/>
          <w:sz w:val="22"/>
          <w:szCs w:val="22"/>
        </w:rPr>
        <w:t>)</w:t>
      </w:r>
      <w:r w:rsidR="00E477BC" w:rsidRPr="00726423">
        <w:rPr>
          <w:rFonts w:ascii="Arial" w:hAnsi="Arial" w:cs="Arial"/>
          <w:color w:val="000000" w:themeColor="text1"/>
          <w:sz w:val="22"/>
          <w:szCs w:val="22"/>
        </w:rPr>
        <w:t xml:space="preserve"> of IL-5 and IL-13 </w:t>
      </w:r>
      <w:r w:rsidRPr="00726423">
        <w:rPr>
          <w:rFonts w:ascii="Arial" w:hAnsi="Arial" w:cs="Arial"/>
          <w:color w:val="000000" w:themeColor="text1"/>
          <w:sz w:val="22"/>
          <w:szCs w:val="22"/>
        </w:rPr>
        <w:t>(</w:t>
      </w:r>
      <w:r w:rsidR="00E477BC" w:rsidRPr="00726423">
        <w:rPr>
          <w:rFonts w:ascii="Arial" w:hAnsi="Arial" w:cs="Arial"/>
          <w:color w:val="000000" w:themeColor="text1"/>
          <w:sz w:val="22"/>
          <w:szCs w:val="22"/>
        </w:rPr>
        <w:t>F</w:t>
      </w:r>
      <w:r w:rsidRPr="00726423">
        <w:rPr>
          <w:rFonts w:ascii="Arial" w:hAnsi="Arial" w:cs="Arial"/>
          <w:color w:val="000000" w:themeColor="text1"/>
          <w:sz w:val="22"/>
          <w:szCs w:val="22"/>
        </w:rPr>
        <w:t>)</w:t>
      </w:r>
      <w:r w:rsidR="00E477BC" w:rsidRPr="00726423">
        <w:rPr>
          <w:rFonts w:ascii="Arial" w:hAnsi="Arial" w:cs="Arial"/>
          <w:color w:val="000000" w:themeColor="text1"/>
          <w:sz w:val="22"/>
          <w:szCs w:val="22"/>
        </w:rPr>
        <w:t>,</w:t>
      </w:r>
      <w:r w:rsidRPr="00726423">
        <w:rPr>
          <w:rFonts w:ascii="Arial" w:hAnsi="Arial" w:cs="Arial"/>
          <w:color w:val="000000" w:themeColor="text1"/>
          <w:sz w:val="22"/>
          <w:szCs w:val="22"/>
        </w:rPr>
        <w:t xml:space="preserve"> and cytokine secretion</w:t>
      </w:r>
      <w:r w:rsidR="00E477BC" w:rsidRPr="00726423">
        <w:rPr>
          <w:rFonts w:ascii="Arial" w:hAnsi="Arial" w:cs="Arial"/>
          <w:color w:val="000000" w:themeColor="text1"/>
          <w:sz w:val="22"/>
          <w:szCs w:val="22"/>
        </w:rPr>
        <w:t xml:space="preserve"> in the supernatants</w:t>
      </w:r>
      <w:r w:rsidRPr="00726423">
        <w:rPr>
          <w:rFonts w:ascii="Arial" w:hAnsi="Arial" w:cs="Arial"/>
          <w:color w:val="000000" w:themeColor="text1"/>
          <w:sz w:val="22"/>
          <w:szCs w:val="22"/>
        </w:rPr>
        <w:t xml:space="preserve"> </w:t>
      </w:r>
      <w:r w:rsidRPr="00726423">
        <w:rPr>
          <w:rFonts w:ascii="Arial" w:hAnsi="Arial" w:cs="Arial"/>
          <w:b/>
          <w:bCs/>
          <w:color w:val="000000" w:themeColor="text1"/>
          <w:sz w:val="22"/>
          <w:szCs w:val="22"/>
        </w:rPr>
        <w:t>(</w:t>
      </w:r>
      <w:r w:rsidR="00E477BC" w:rsidRPr="00726423">
        <w:rPr>
          <w:rFonts w:ascii="Arial" w:hAnsi="Arial" w:cs="Arial"/>
          <w:b/>
          <w:bCs/>
          <w:color w:val="000000" w:themeColor="text1"/>
          <w:sz w:val="22"/>
          <w:szCs w:val="22"/>
        </w:rPr>
        <w:t>F</w:t>
      </w:r>
      <w:r w:rsidRPr="00726423">
        <w:rPr>
          <w:rFonts w:ascii="Arial" w:hAnsi="Arial" w:cs="Arial"/>
          <w:b/>
          <w:bCs/>
          <w:color w:val="000000" w:themeColor="text1"/>
          <w:sz w:val="22"/>
          <w:szCs w:val="22"/>
        </w:rPr>
        <w:t>)</w:t>
      </w:r>
      <w:r w:rsidRPr="00726423">
        <w:rPr>
          <w:rFonts w:ascii="Arial" w:hAnsi="Arial" w:cs="Arial"/>
          <w:color w:val="000000" w:themeColor="text1"/>
          <w:sz w:val="22"/>
          <w:szCs w:val="22"/>
        </w:rPr>
        <w:t xml:space="preserve"> of ILC2s </w:t>
      </w:r>
      <w:r w:rsidR="00E477BC" w:rsidRPr="00726423">
        <w:rPr>
          <w:rFonts w:ascii="Arial" w:hAnsi="Arial" w:cs="Arial"/>
          <w:color w:val="000000" w:themeColor="text1"/>
          <w:sz w:val="22"/>
          <w:szCs w:val="22"/>
        </w:rPr>
        <w:t>sorted from Rag2</w:t>
      </w:r>
      <w:r w:rsidR="00E477BC" w:rsidRPr="00726423">
        <w:rPr>
          <w:rFonts w:ascii="Arial" w:hAnsi="Arial" w:cs="Arial"/>
          <w:color w:val="000000" w:themeColor="text1"/>
          <w:sz w:val="22"/>
          <w:szCs w:val="22"/>
          <w:vertAlign w:val="superscript"/>
        </w:rPr>
        <w:t>–/–</w:t>
      </w:r>
      <w:r w:rsidR="00E477BC" w:rsidRPr="00726423">
        <w:rPr>
          <w:rFonts w:ascii="Arial" w:hAnsi="Arial" w:cs="Arial"/>
          <w:color w:val="000000" w:themeColor="text1"/>
          <w:sz w:val="22"/>
          <w:szCs w:val="22"/>
        </w:rPr>
        <w:t xml:space="preserve"> lungs and then </w:t>
      </w:r>
      <w:r w:rsidRPr="00726423">
        <w:rPr>
          <w:rFonts w:ascii="Arial" w:hAnsi="Arial" w:cs="Arial"/>
          <w:color w:val="000000" w:themeColor="text1"/>
          <w:sz w:val="22"/>
          <w:szCs w:val="22"/>
        </w:rPr>
        <w:t xml:space="preserve">cultured </w:t>
      </w:r>
      <w:r w:rsidRPr="00726423">
        <w:rPr>
          <w:rFonts w:ascii="Arial" w:hAnsi="Arial" w:cs="Arial"/>
          <w:i/>
          <w:iCs/>
          <w:color w:val="000000" w:themeColor="text1"/>
          <w:sz w:val="22"/>
          <w:szCs w:val="22"/>
        </w:rPr>
        <w:t>in vitro</w:t>
      </w:r>
      <w:r w:rsidRPr="00726423">
        <w:rPr>
          <w:rFonts w:ascii="Arial" w:hAnsi="Arial" w:cs="Arial"/>
          <w:color w:val="000000" w:themeColor="text1"/>
          <w:sz w:val="22"/>
          <w:szCs w:val="22"/>
        </w:rPr>
        <w:t xml:space="preserve"> with IL-33, IL-2 and IL-7 for 3 days</w:t>
      </w:r>
      <w:r w:rsidR="00E477BC" w:rsidRPr="00726423">
        <w:rPr>
          <w:rFonts w:ascii="Arial" w:hAnsi="Arial" w:cs="Arial"/>
          <w:color w:val="000000" w:themeColor="text1"/>
          <w:sz w:val="22"/>
          <w:szCs w:val="22"/>
        </w:rPr>
        <w:t xml:space="preserve"> in the presence or absence of PGE</w:t>
      </w:r>
      <w:r w:rsidR="00E477BC" w:rsidRPr="00726423">
        <w:rPr>
          <w:rFonts w:ascii="Arial" w:hAnsi="Arial" w:cs="Arial"/>
          <w:color w:val="000000" w:themeColor="text1"/>
          <w:sz w:val="22"/>
          <w:szCs w:val="22"/>
          <w:vertAlign w:val="subscript"/>
        </w:rPr>
        <w:t>2</w:t>
      </w:r>
      <w:r w:rsidRPr="00726423">
        <w:rPr>
          <w:rFonts w:ascii="Arial" w:hAnsi="Arial" w:cs="Arial"/>
          <w:color w:val="000000" w:themeColor="text1"/>
          <w:sz w:val="22"/>
          <w:szCs w:val="22"/>
        </w:rPr>
        <w:t xml:space="preserve">. </w:t>
      </w:r>
      <w:r w:rsidR="004F0865" w:rsidRPr="00726423">
        <w:rPr>
          <w:rFonts w:ascii="Arial" w:hAnsi="Arial" w:cs="Arial"/>
          <w:color w:val="000000" w:themeColor="text1"/>
          <w:sz w:val="22"/>
          <w:szCs w:val="22"/>
        </w:rPr>
        <w:t xml:space="preserve">Data shown </w:t>
      </w:r>
      <w:r w:rsidR="001F2365" w:rsidRPr="00726423">
        <w:rPr>
          <w:rFonts w:ascii="Arial" w:hAnsi="Arial" w:cs="Arial"/>
          <w:color w:val="000000" w:themeColor="text1"/>
          <w:sz w:val="22"/>
          <w:szCs w:val="22"/>
        </w:rPr>
        <w:t xml:space="preserve">as </w:t>
      </w:r>
      <w:r w:rsidR="004F0865" w:rsidRPr="00726423">
        <w:rPr>
          <w:rFonts w:ascii="Arial" w:hAnsi="Arial" w:cs="Arial"/>
          <w:color w:val="000000" w:themeColor="text1"/>
          <w:sz w:val="22"/>
          <w:szCs w:val="22"/>
        </w:rPr>
        <w:t xml:space="preserve">means </w:t>
      </w:r>
      <w:r w:rsidR="007B77D1" w:rsidRPr="00726423">
        <w:rPr>
          <w:rFonts w:ascii="Arial" w:hAnsi="Arial" w:cs="Arial"/>
          <w:color w:val="000000" w:themeColor="text1"/>
          <w:sz w:val="22"/>
          <w:szCs w:val="22"/>
        </w:rPr>
        <w:t>±</w:t>
      </w:r>
      <w:r w:rsidR="004F0865" w:rsidRPr="00726423">
        <w:rPr>
          <w:rFonts w:ascii="Arial" w:hAnsi="Arial" w:cs="Arial"/>
          <w:color w:val="000000" w:themeColor="text1"/>
          <w:sz w:val="22"/>
          <w:szCs w:val="22"/>
        </w:rPr>
        <w:t xml:space="preserve"> SEMs are from one of two independent experiments. **</w:t>
      </w:r>
      <w:r w:rsidR="004F0865" w:rsidRPr="00726423">
        <w:rPr>
          <w:rFonts w:ascii="Arial" w:hAnsi="Arial" w:cs="Arial"/>
          <w:i/>
          <w:iCs/>
          <w:color w:val="000000" w:themeColor="text1"/>
          <w:sz w:val="22"/>
          <w:szCs w:val="22"/>
        </w:rPr>
        <w:t>P</w:t>
      </w:r>
      <w:r w:rsidR="004F0865" w:rsidRPr="00726423">
        <w:rPr>
          <w:rFonts w:ascii="Arial" w:hAnsi="Arial" w:cs="Arial"/>
          <w:color w:val="000000" w:themeColor="text1"/>
          <w:sz w:val="22"/>
          <w:szCs w:val="22"/>
        </w:rPr>
        <w:t>&lt;0.01, ***</w:t>
      </w:r>
      <w:r w:rsidR="004F0865" w:rsidRPr="00726423">
        <w:rPr>
          <w:rFonts w:ascii="Arial" w:hAnsi="Arial" w:cs="Arial"/>
          <w:i/>
          <w:iCs/>
          <w:color w:val="000000" w:themeColor="text1"/>
          <w:sz w:val="22"/>
          <w:szCs w:val="22"/>
        </w:rPr>
        <w:t>P</w:t>
      </w:r>
      <w:r w:rsidR="004F0865" w:rsidRPr="00726423">
        <w:rPr>
          <w:rFonts w:ascii="Arial" w:hAnsi="Arial" w:cs="Arial"/>
          <w:color w:val="000000" w:themeColor="text1"/>
          <w:sz w:val="22"/>
          <w:szCs w:val="22"/>
        </w:rPr>
        <w:t xml:space="preserve">&lt;0.001 by </w:t>
      </w:r>
      <w:r w:rsidR="00F6375B" w:rsidRPr="00726423">
        <w:rPr>
          <w:rFonts w:ascii="Arial" w:hAnsi="Arial" w:cs="Arial"/>
          <w:color w:val="000000" w:themeColor="text1"/>
          <w:sz w:val="22"/>
          <w:szCs w:val="22"/>
        </w:rPr>
        <w:t xml:space="preserve">unpaired, 2-tailed </w:t>
      </w:r>
      <w:r w:rsidR="004F0865" w:rsidRPr="00726423">
        <w:rPr>
          <w:rFonts w:ascii="Arial" w:hAnsi="Arial" w:cs="Arial"/>
          <w:color w:val="000000" w:themeColor="text1"/>
          <w:sz w:val="22"/>
          <w:szCs w:val="22"/>
        </w:rPr>
        <w:t>Student</w:t>
      </w:r>
      <w:r w:rsidR="00F6375B" w:rsidRPr="00726423">
        <w:rPr>
          <w:rFonts w:ascii="Arial" w:hAnsi="Arial" w:cs="Arial"/>
          <w:color w:val="000000" w:themeColor="text1"/>
          <w:sz w:val="22"/>
          <w:szCs w:val="22"/>
        </w:rPr>
        <w:t>’s</w:t>
      </w:r>
      <w:r w:rsidR="004F0865" w:rsidRPr="00726423">
        <w:rPr>
          <w:rFonts w:ascii="Arial" w:hAnsi="Arial" w:cs="Arial"/>
          <w:color w:val="000000" w:themeColor="text1"/>
          <w:sz w:val="22"/>
          <w:szCs w:val="22"/>
        </w:rPr>
        <w:t xml:space="preserve"> </w:t>
      </w:r>
      <w:r w:rsidR="004F0865" w:rsidRPr="00726423">
        <w:rPr>
          <w:rFonts w:ascii="Arial" w:hAnsi="Arial" w:cs="Arial"/>
          <w:i/>
          <w:iCs/>
          <w:color w:val="000000" w:themeColor="text1"/>
          <w:sz w:val="22"/>
          <w:szCs w:val="22"/>
        </w:rPr>
        <w:t>t</w:t>
      </w:r>
      <w:r w:rsidR="004F0865" w:rsidRPr="00726423">
        <w:rPr>
          <w:rFonts w:ascii="Arial" w:hAnsi="Arial" w:cs="Arial"/>
          <w:color w:val="000000" w:themeColor="text1"/>
          <w:sz w:val="22"/>
          <w:szCs w:val="22"/>
        </w:rPr>
        <w:t xml:space="preserve">-test. </w:t>
      </w:r>
      <w:proofErr w:type="spellStart"/>
      <w:r w:rsidR="004F0865" w:rsidRPr="00726423">
        <w:rPr>
          <w:rFonts w:ascii="Arial" w:hAnsi="Arial" w:cs="Arial"/>
          <w:color w:val="000000" w:themeColor="text1"/>
          <w:sz w:val="22"/>
          <w:szCs w:val="22"/>
        </w:rPr>
        <w:t>Veh</w:t>
      </w:r>
      <w:proofErr w:type="spellEnd"/>
      <w:r w:rsidR="004F0865" w:rsidRPr="00726423">
        <w:rPr>
          <w:rFonts w:ascii="Arial" w:hAnsi="Arial" w:cs="Arial"/>
          <w:color w:val="000000" w:themeColor="text1"/>
          <w:sz w:val="22"/>
          <w:szCs w:val="22"/>
        </w:rPr>
        <w:t>, vehicle</w:t>
      </w:r>
      <w:r w:rsidR="00097FA1" w:rsidRPr="00726423">
        <w:rPr>
          <w:rFonts w:ascii="Arial" w:hAnsi="Arial" w:cs="Arial"/>
          <w:color w:val="000000" w:themeColor="text1"/>
          <w:sz w:val="22"/>
          <w:szCs w:val="22"/>
        </w:rPr>
        <w:t>; FSC-A, forward scatter area.</w:t>
      </w:r>
      <w:r w:rsidR="004F0865" w:rsidRPr="00726423">
        <w:rPr>
          <w:rFonts w:ascii="Arial" w:hAnsi="Arial" w:cs="Arial"/>
          <w:color w:val="000000" w:themeColor="text1"/>
          <w:sz w:val="22"/>
          <w:szCs w:val="22"/>
        </w:rPr>
        <w:t xml:space="preserve"> </w:t>
      </w:r>
      <w:r w:rsidR="009F0310" w:rsidRPr="00726423">
        <w:rPr>
          <w:rFonts w:ascii="Arial" w:hAnsi="Arial" w:cs="Arial"/>
          <w:b/>
          <w:bCs/>
          <w:color w:val="000000" w:themeColor="text1"/>
          <w:sz w:val="22"/>
          <w:szCs w:val="22"/>
        </w:rPr>
        <w:t xml:space="preserve">(G to </w:t>
      </w:r>
      <w:r w:rsidR="0099341E" w:rsidRPr="00726423">
        <w:rPr>
          <w:rFonts w:ascii="Arial" w:hAnsi="Arial" w:cs="Arial"/>
          <w:b/>
          <w:bCs/>
          <w:color w:val="000000" w:themeColor="text1"/>
          <w:sz w:val="22"/>
          <w:szCs w:val="22"/>
        </w:rPr>
        <w:t>H</w:t>
      </w:r>
      <w:r w:rsidR="009F0310" w:rsidRPr="00726423">
        <w:rPr>
          <w:rFonts w:ascii="Arial" w:hAnsi="Arial" w:cs="Arial"/>
          <w:b/>
          <w:bCs/>
          <w:color w:val="000000" w:themeColor="text1"/>
          <w:sz w:val="22"/>
          <w:szCs w:val="22"/>
        </w:rPr>
        <w:t>)</w:t>
      </w:r>
      <w:r w:rsidRPr="00726423">
        <w:rPr>
          <w:rFonts w:ascii="Arial" w:hAnsi="Arial" w:cs="Arial"/>
          <w:color w:val="000000" w:themeColor="text1"/>
          <w:sz w:val="22"/>
          <w:szCs w:val="22"/>
        </w:rPr>
        <w:t xml:space="preserve"> </w:t>
      </w:r>
      <w:r w:rsidR="003E5D77" w:rsidRPr="00726423">
        <w:rPr>
          <w:rFonts w:ascii="Arial" w:hAnsi="Arial" w:cs="Arial"/>
          <w:color w:val="000000" w:themeColor="text1"/>
          <w:sz w:val="22"/>
          <w:szCs w:val="22"/>
        </w:rPr>
        <w:t>Gene</w:t>
      </w:r>
      <w:r w:rsidR="004F0865" w:rsidRPr="00726423">
        <w:rPr>
          <w:rFonts w:ascii="Arial" w:hAnsi="Arial" w:cs="Arial"/>
          <w:color w:val="000000" w:themeColor="text1"/>
          <w:sz w:val="22"/>
          <w:szCs w:val="22"/>
        </w:rPr>
        <w:t xml:space="preserve"> </w:t>
      </w:r>
      <w:r w:rsidR="0099341E" w:rsidRPr="00726423">
        <w:rPr>
          <w:rFonts w:ascii="Arial" w:hAnsi="Arial" w:cs="Arial"/>
          <w:color w:val="000000" w:themeColor="text1"/>
          <w:sz w:val="22"/>
          <w:szCs w:val="22"/>
        </w:rPr>
        <w:t>enrichment a</w:t>
      </w:r>
      <w:r w:rsidR="009F0310" w:rsidRPr="00726423">
        <w:rPr>
          <w:rFonts w:ascii="Arial" w:hAnsi="Arial" w:cs="Arial"/>
          <w:color w:val="000000" w:themeColor="text1"/>
          <w:sz w:val="22"/>
          <w:szCs w:val="22"/>
        </w:rPr>
        <w:t>ssays</w:t>
      </w:r>
      <w:r w:rsidR="0099341E" w:rsidRPr="00726423">
        <w:rPr>
          <w:rFonts w:ascii="Arial" w:hAnsi="Arial" w:cs="Arial"/>
          <w:color w:val="000000" w:themeColor="text1"/>
          <w:sz w:val="22"/>
          <w:szCs w:val="22"/>
        </w:rPr>
        <w:t xml:space="preserve"> </w:t>
      </w:r>
      <w:r w:rsidRPr="00726423">
        <w:rPr>
          <w:rFonts w:ascii="Arial" w:hAnsi="Arial" w:cs="Arial"/>
          <w:b/>
          <w:bCs/>
          <w:color w:val="000000" w:themeColor="text1"/>
          <w:sz w:val="22"/>
          <w:szCs w:val="22"/>
        </w:rPr>
        <w:t>(</w:t>
      </w:r>
      <w:r w:rsidR="0099341E" w:rsidRPr="00726423">
        <w:rPr>
          <w:rFonts w:ascii="Arial" w:hAnsi="Arial" w:cs="Arial"/>
          <w:b/>
          <w:bCs/>
          <w:color w:val="000000" w:themeColor="text1"/>
          <w:sz w:val="22"/>
          <w:szCs w:val="22"/>
        </w:rPr>
        <w:t>G</w:t>
      </w:r>
      <w:r w:rsidRPr="00726423">
        <w:rPr>
          <w:rFonts w:ascii="Arial" w:hAnsi="Arial" w:cs="Arial"/>
          <w:b/>
          <w:bCs/>
          <w:color w:val="000000" w:themeColor="text1"/>
          <w:sz w:val="22"/>
          <w:szCs w:val="22"/>
        </w:rPr>
        <w:t>)</w:t>
      </w:r>
      <w:r w:rsidRPr="00726423">
        <w:rPr>
          <w:rFonts w:ascii="Arial" w:hAnsi="Arial" w:cs="Arial"/>
          <w:color w:val="000000" w:themeColor="text1"/>
          <w:sz w:val="22"/>
          <w:szCs w:val="22"/>
        </w:rPr>
        <w:t xml:space="preserve"> and </w:t>
      </w:r>
      <w:r w:rsidR="0099341E" w:rsidRPr="00726423">
        <w:rPr>
          <w:rFonts w:ascii="Arial" w:hAnsi="Arial" w:cs="Arial"/>
          <w:color w:val="000000" w:themeColor="text1"/>
          <w:sz w:val="22"/>
          <w:szCs w:val="22"/>
        </w:rPr>
        <w:t xml:space="preserve">changes of </w:t>
      </w:r>
      <w:r w:rsidR="0008794A" w:rsidRPr="00726423">
        <w:rPr>
          <w:rFonts w:ascii="Arial" w:hAnsi="Arial" w:cs="Arial"/>
          <w:color w:val="000000" w:themeColor="text1"/>
          <w:sz w:val="22"/>
          <w:szCs w:val="22"/>
        </w:rPr>
        <w:t xml:space="preserve">gene </w:t>
      </w:r>
      <w:r w:rsidRPr="00726423">
        <w:rPr>
          <w:rFonts w:ascii="Arial" w:hAnsi="Arial" w:cs="Arial"/>
          <w:color w:val="000000" w:themeColor="text1"/>
          <w:sz w:val="22"/>
          <w:szCs w:val="22"/>
        </w:rPr>
        <w:t xml:space="preserve">expression of pathways </w:t>
      </w:r>
      <w:r w:rsidR="00D97599" w:rsidRPr="00726423">
        <w:rPr>
          <w:rFonts w:ascii="Arial" w:hAnsi="Arial" w:cs="Arial"/>
          <w:color w:val="000000" w:themeColor="text1"/>
          <w:sz w:val="22"/>
          <w:szCs w:val="22"/>
        </w:rPr>
        <w:t xml:space="preserve">of interest </w:t>
      </w:r>
      <w:r w:rsidRPr="00726423">
        <w:rPr>
          <w:rFonts w:ascii="Arial" w:hAnsi="Arial" w:cs="Arial"/>
          <w:b/>
          <w:bCs/>
          <w:color w:val="000000" w:themeColor="text1"/>
          <w:sz w:val="22"/>
          <w:szCs w:val="22"/>
        </w:rPr>
        <w:t>(</w:t>
      </w:r>
      <w:r w:rsidR="0099341E" w:rsidRPr="00726423">
        <w:rPr>
          <w:rFonts w:ascii="Arial" w:hAnsi="Arial" w:cs="Arial"/>
          <w:b/>
          <w:bCs/>
          <w:color w:val="000000" w:themeColor="text1"/>
          <w:sz w:val="22"/>
          <w:szCs w:val="22"/>
        </w:rPr>
        <w:t>H</w:t>
      </w:r>
      <w:r w:rsidRPr="00726423">
        <w:rPr>
          <w:rFonts w:ascii="Arial" w:hAnsi="Arial" w:cs="Arial"/>
          <w:b/>
          <w:bCs/>
          <w:color w:val="000000" w:themeColor="text1"/>
          <w:sz w:val="22"/>
          <w:szCs w:val="22"/>
        </w:rPr>
        <w:t>)</w:t>
      </w:r>
      <w:r w:rsidRPr="00726423">
        <w:rPr>
          <w:rFonts w:ascii="Arial" w:hAnsi="Arial" w:cs="Arial"/>
          <w:color w:val="000000" w:themeColor="text1"/>
          <w:sz w:val="22"/>
          <w:szCs w:val="22"/>
        </w:rPr>
        <w:t xml:space="preserve"> in ILC2s cultured with IL-33 and/or cAMP for 4 h. </w:t>
      </w:r>
      <w:r w:rsidR="0008794A" w:rsidRPr="00726423">
        <w:rPr>
          <w:rFonts w:ascii="Arial" w:hAnsi="Arial" w:cs="Arial"/>
          <w:color w:val="000000" w:themeColor="text1"/>
          <w:sz w:val="22"/>
          <w:szCs w:val="22"/>
        </w:rPr>
        <w:t xml:space="preserve">Raw </w:t>
      </w:r>
      <w:proofErr w:type="spellStart"/>
      <w:r w:rsidR="0008794A" w:rsidRPr="00726423">
        <w:rPr>
          <w:rFonts w:ascii="Arial" w:hAnsi="Arial" w:cs="Arial"/>
          <w:color w:val="000000" w:themeColor="text1"/>
          <w:sz w:val="22"/>
          <w:szCs w:val="22"/>
        </w:rPr>
        <w:t>RNAseq</w:t>
      </w:r>
      <w:proofErr w:type="spellEnd"/>
      <w:r w:rsidR="0008794A" w:rsidRPr="00726423">
        <w:rPr>
          <w:rFonts w:ascii="Arial" w:hAnsi="Arial" w:cs="Arial"/>
          <w:color w:val="000000" w:themeColor="text1"/>
          <w:sz w:val="22"/>
          <w:szCs w:val="22"/>
        </w:rPr>
        <w:t xml:space="preserve"> data were </w:t>
      </w:r>
      <w:r w:rsidR="007D64C3" w:rsidRPr="00726423">
        <w:rPr>
          <w:rFonts w:ascii="Arial" w:hAnsi="Arial" w:cs="Arial"/>
          <w:color w:val="000000" w:themeColor="text1"/>
          <w:sz w:val="22"/>
          <w:szCs w:val="22"/>
        </w:rPr>
        <w:t xml:space="preserve">retrieved </w:t>
      </w:r>
      <w:r w:rsidR="0008794A" w:rsidRPr="00726423">
        <w:rPr>
          <w:rFonts w:ascii="Arial" w:hAnsi="Arial" w:cs="Arial"/>
          <w:color w:val="000000" w:themeColor="text1"/>
          <w:sz w:val="22"/>
          <w:szCs w:val="22"/>
        </w:rPr>
        <w:t>from Gene Expression Omnibus GSE131996</w:t>
      </w:r>
      <w:r w:rsidR="007D64C3" w:rsidRPr="00726423">
        <w:rPr>
          <w:rFonts w:ascii="Arial" w:hAnsi="Arial" w:cs="Arial"/>
          <w:color w:val="000000" w:themeColor="text1"/>
          <w:sz w:val="22"/>
          <w:szCs w:val="22"/>
        </w:rPr>
        <w:t xml:space="preserve">, reanalysed </w:t>
      </w:r>
      <w:r w:rsidR="0008794A" w:rsidRPr="00726423">
        <w:rPr>
          <w:rFonts w:ascii="Arial" w:hAnsi="Arial" w:cs="Arial"/>
          <w:color w:val="000000" w:themeColor="text1"/>
          <w:sz w:val="22"/>
          <w:szCs w:val="22"/>
        </w:rPr>
        <w:t>and transformed to Z-score</w:t>
      </w:r>
      <w:r w:rsidR="00E812BF" w:rsidRPr="00726423">
        <w:rPr>
          <w:rFonts w:ascii="Arial" w:hAnsi="Arial" w:cs="Arial"/>
          <w:color w:val="000000" w:themeColor="text1"/>
          <w:sz w:val="22"/>
          <w:szCs w:val="22"/>
        </w:rPr>
        <w:t>s</w:t>
      </w:r>
      <w:r w:rsidR="0008794A" w:rsidRPr="00726423">
        <w:rPr>
          <w:rFonts w:ascii="Arial" w:hAnsi="Arial" w:cs="Arial"/>
          <w:color w:val="000000" w:themeColor="text1"/>
          <w:sz w:val="22"/>
          <w:szCs w:val="22"/>
        </w:rPr>
        <w:t xml:space="preserve">. </w:t>
      </w:r>
      <w:r w:rsidR="004F0865" w:rsidRPr="00726423">
        <w:rPr>
          <w:rFonts w:ascii="Arial" w:hAnsi="Arial" w:cs="Arial"/>
          <w:color w:val="000000" w:themeColor="text1"/>
          <w:sz w:val="22"/>
          <w:szCs w:val="22"/>
        </w:rPr>
        <w:t>NES, normalized enrichment score.</w:t>
      </w:r>
      <w:r w:rsidR="00056CD9" w:rsidRPr="00726423">
        <w:rPr>
          <w:rFonts w:ascii="Arial" w:hAnsi="Arial" w:cs="Arial"/>
          <w:color w:val="000000" w:themeColor="text1"/>
          <w:sz w:val="22"/>
          <w:szCs w:val="22"/>
        </w:rPr>
        <w:t xml:space="preserve"> </w:t>
      </w:r>
      <w:r w:rsidR="00FD707C" w:rsidRPr="00726423">
        <w:rPr>
          <w:rFonts w:ascii="Arial" w:hAnsi="Arial" w:cs="Arial"/>
          <w:color w:val="000000" w:themeColor="text1"/>
          <w:sz w:val="22"/>
          <w:szCs w:val="22"/>
        </w:rPr>
        <w:br w:type="page"/>
      </w:r>
    </w:p>
    <w:p w14:paraId="76886E3C" w14:textId="613FDD77" w:rsidR="00FD707C" w:rsidRPr="00726423" w:rsidRDefault="0092778B" w:rsidP="002958D7">
      <w:pPr>
        <w:spacing w:line="276" w:lineRule="auto"/>
        <w:jc w:val="center"/>
        <w:rPr>
          <w:rFonts w:ascii="Arial" w:hAnsi="Arial" w:cs="Arial"/>
          <w:color w:val="000000" w:themeColor="text1"/>
          <w:sz w:val="22"/>
          <w:szCs w:val="22"/>
        </w:rPr>
      </w:pPr>
      <w:r w:rsidRPr="00726423">
        <w:rPr>
          <w:rFonts w:ascii="Arial" w:hAnsi="Arial" w:cs="Arial"/>
          <w:noProof/>
          <w:color w:val="000000" w:themeColor="text1"/>
          <w:sz w:val="22"/>
          <w:szCs w:val="22"/>
        </w:rPr>
        <w:lastRenderedPageBreak/>
        <w:drawing>
          <wp:inline distT="0" distB="0" distL="0" distR="0" wp14:anchorId="6A200B79" wp14:editId="47F907F7">
            <wp:extent cx="6116320" cy="5764794"/>
            <wp:effectExtent l="0" t="0" r="508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rotWithShape="1">
                    <a:blip r:embed="rId14" cstate="print">
                      <a:extLst>
                        <a:ext uri="{28A0092B-C50C-407E-A947-70E740481C1C}">
                          <a14:useLocalDpi xmlns:a14="http://schemas.microsoft.com/office/drawing/2010/main" val="0"/>
                        </a:ext>
                      </a:extLst>
                    </a:blip>
                    <a:srcRect t="6601"/>
                    <a:stretch/>
                  </pic:blipFill>
                  <pic:spPr bwMode="auto">
                    <a:xfrm>
                      <a:off x="0" y="0"/>
                      <a:ext cx="6116320" cy="5764794"/>
                    </a:xfrm>
                    <a:prstGeom prst="rect">
                      <a:avLst/>
                    </a:prstGeom>
                    <a:ln>
                      <a:noFill/>
                    </a:ln>
                    <a:extLst>
                      <a:ext uri="{53640926-AAD7-44D8-BBD7-CCE9431645EC}">
                        <a14:shadowObscured xmlns:a14="http://schemas.microsoft.com/office/drawing/2010/main"/>
                      </a:ext>
                    </a:extLst>
                  </pic:spPr>
                </pic:pic>
              </a:graphicData>
            </a:graphic>
          </wp:inline>
        </w:drawing>
      </w:r>
    </w:p>
    <w:p w14:paraId="04C757A1" w14:textId="77777777" w:rsidR="00B937FF" w:rsidRPr="00726423" w:rsidRDefault="00B937FF" w:rsidP="00B937FF">
      <w:pPr>
        <w:spacing w:line="276" w:lineRule="auto"/>
        <w:rPr>
          <w:rFonts w:ascii="Arial" w:hAnsi="Arial" w:cs="Arial"/>
          <w:color w:val="000000" w:themeColor="text1"/>
          <w:sz w:val="22"/>
          <w:szCs w:val="22"/>
        </w:rPr>
      </w:pPr>
    </w:p>
    <w:p w14:paraId="14E0E32F" w14:textId="25183EED" w:rsidR="00242803" w:rsidRPr="00726423" w:rsidRDefault="00465490" w:rsidP="00CB0B80">
      <w:pPr>
        <w:jc w:val="both"/>
        <w:rPr>
          <w:rFonts w:ascii="Arial" w:hAnsi="Arial" w:cs="Arial"/>
          <w:color w:val="000000" w:themeColor="text1"/>
          <w:sz w:val="22"/>
          <w:szCs w:val="22"/>
        </w:rPr>
      </w:pPr>
      <w:r w:rsidRPr="00726423">
        <w:rPr>
          <w:rFonts w:ascii="Arial" w:hAnsi="Arial" w:cs="Arial"/>
          <w:b/>
          <w:bCs/>
          <w:color w:val="000000" w:themeColor="text1"/>
          <w:sz w:val="22"/>
          <w:szCs w:val="22"/>
        </w:rPr>
        <w:t xml:space="preserve">Figure </w:t>
      </w:r>
      <w:r w:rsidR="00AF58D5" w:rsidRPr="00726423">
        <w:rPr>
          <w:rFonts w:ascii="Arial" w:hAnsi="Arial" w:cs="Arial"/>
          <w:b/>
          <w:bCs/>
          <w:color w:val="000000" w:themeColor="text1"/>
          <w:sz w:val="22"/>
          <w:szCs w:val="22"/>
        </w:rPr>
        <w:t>6</w:t>
      </w:r>
      <w:r w:rsidRPr="00726423">
        <w:rPr>
          <w:rFonts w:ascii="Arial" w:hAnsi="Arial" w:cs="Arial"/>
          <w:b/>
          <w:bCs/>
          <w:color w:val="000000" w:themeColor="text1"/>
          <w:sz w:val="22"/>
          <w:szCs w:val="22"/>
        </w:rPr>
        <w:t>. PGE</w:t>
      </w:r>
      <w:r w:rsidRPr="00726423">
        <w:rPr>
          <w:rFonts w:ascii="Arial" w:hAnsi="Arial" w:cs="Arial"/>
          <w:b/>
          <w:bCs/>
          <w:color w:val="000000" w:themeColor="text1"/>
          <w:sz w:val="22"/>
          <w:szCs w:val="22"/>
          <w:vertAlign w:val="subscript"/>
        </w:rPr>
        <w:t>2</w:t>
      </w:r>
      <w:r w:rsidRPr="00726423">
        <w:rPr>
          <w:rFonts w:ascii="Arial" w:hAnsi="Arial" w:cs="Arial"/>
          <w:b/>
          <w:bCs/>
          <w:color w:val="000000" w:themeColor="text1"/>
          <w:sz w:val="22"/>
          <w:szCs w:val="22"/>
        </w:rPr>
        <w:t xml:space="preserve"> </w:t>
      </w:r>
      <w:r w:rsidR="006A4833" w:rsidRPr="00726423">
        <w:rPr>
          <w:rFonts w:ascii="Arial" w:hAnsi="Arial" w:cs="Arial"/>
          <w:b/>
          <w:bCs/>
          <w:color w:val="000000" w:themeColor="text1"/>
          <w:sz w:val="22"/>
          <w:szCs w:val="22"/>
        </w:rPr>
        <w:t xml:space="preserve">represses </w:t>
      </w:r>
      <w:r w:rsidRPr="00726423">
        <w:rPr>
          <w:rFonts w:ascii="Arial" w:hAnsi="Arial" w:cs="Arial"/>
          <w:b/>
          <w:bCs/>
          <w:color w:val="000000" w:themeColor="text1"/>
          <w:sz w:val="22"/>
          <w:szCs w:val="22"/>
        </w:rPr>
        <w:t>ILC2 cellular metabolism.</w:t>
      </w:r>
      <w:r w:rsidRPr="00726423">
        <w:rPr>
          <w:rFonts w:ascii="Arial" w:hAnsi="Arial" w:cs="Arial"/>
          <w:color w:val="000000" w:themeColor="text1"/>
          <w:sz w:val="22"/>
          <w:szCs w:val="22"/>
        </w:rPr>
        <w:t xml:space="preserve"> </w:t>
      </w:r>
      <w:r w:rsidR="00B25E96" w:rsidRPr="00726423">
        <w:rPr>
          <w:rFonts w:ascii="Arial" w:hAnsi="Arial" w:cs="Arial"/>
          <w:b/>
          <w:bCs/>
          <w:color w:val="000000" w:themeColor="text1"/>
          <w:sz w:val="22"/>
          <w:szCs w:val="22"/>
        </w:rPr>
        <w:t>(</w:t>
      </w:r>
      <w:r w:rsidRPr="00726423">
        <w:rPr>
          <w:rFonts w:ascii="Arial" w:hAnsi="Arial" w:cs="Arial"/>
          <w:b/>
          <w:bCs/>
          <w:color w:val="000000" w:themeColor="text1"/>
          <w:sz w:val="22"/>
          <w:szCs w:val="22"/>
        </w:rPr>
        <w:t>A</w:t>
      </w:r>
      <w:r w:rsidR="00B25E96" w:rsidRPr="00726423">
        <w:rPr>
          <w:rFonts w:ascii="Arial" w:hAnsi="Arial" w:cs="Arial"/>
          <w:b/>
          <w:bCs/>
          <w:color w:val="000000" w:themeColor="text1"/>
          <w:sz w:val="22"/>
          <w:szCs w:val="22"/>
        </w:rPr>
        <w:t xml:space="preserve"> and </w:t>
      </w:r>
      <w:r w:rsidRPr="00726423">
        <w:rPr>
          <w:rFonts w:ascii="Arial" w:hAnsi="Arial" w:cs="Arial"/>
          <w:b/>
          <w:bCs/>
          <w:color w:val="000000" w:themeColor="text1"/>
          <w:sz w:val="22"/>
          <w:szCs w:val="22"/>
        </w:rPr>
        <w:t>B</w:t>
      </w:r>
      <w:r w:rsidR="00B25E96" w:rsidRPr="00726423">
        <w:rPr>
          <w:rFonts w:ascii="Arial" w:hAnsi="Arial" w:cs="Arial"/>
          <w:b/>
          <w:bCs/>
          <w:color w:val="000000" w:themeColor="text1"/>
          <w:sz w:val="22"/>
          <w:szCs w:val="22"/>
        </w:rPr>
        <w:t>)</w:t>
      </w:r>
      <w:r w:rsidRPr="00726423">
        <w:rPr>
          <w:rFonts w:ascii="Arial" w:hAnsi="Arial" w:cs="Arial"/>
          <w:b/>
          <w:bCs/>
          <w:color w:val="000000" w:themeColor="text1"/>
          <w:sz w:val="22"/>
          <w:szCs w:val="22"/>
        </w:rPr>
        <w:t xml:space="preserve"> </w:t>
      </w:r>
      <w:r w:rsidRPr="00726423">
        <w:rPr>
          <w:rFonts w:ascii="Arial" w:hAnsi="Arial" w:cs="Arial"/>
          <w:color w:val="000000" w:themeColor="text1"/>
          <w:sz w:val="22"/>
          <w:szCs w:val="22"/>
        </w:rPr>
        <w:t xml:space="preserve">Representative flow cytometric dot plots </w:t>
      </w:r>
      <w:r w:rsidRPr="00726423">
        <w:rPr>
          <w:rFonts w:ascii="Arial" w:hAnsi="Arial" w:cs="Arial"/>
          <w:b/>
          <w:bCs/>
          <w:color w:val="000000" w:themeColor="text1"/>
          <w:sz w:val="22"/>
          <w:szCs w:val="22"/>
        </w:rPr>
        <w:t>(A)</w:t>
      </w:r>
      <w:r w:rsidRPr="00726423">
        <w:rPr>
          <w:rFonts w:ascii="Arial" w:hAnsi="Arial" w:cs="Arial"/>
          <w:color w:val="000000" w:themeColor="text1"/>
          <w:sz w:val="22"/>
          <w:szCs w:val="22"/>
        </w:rPr>
        <w:t xml:space="preserve"> and collective percentages and numbers </w:t>
      </w:r>
      <w:r w:rsidRPr="00726423">
        <w:rPr>
          <w:rFonts w:ascii="Arial" w:hAnsi="Arial" w:cs="Arial"/>
          <w:b/>
          <w:bCs/>
          <w:color w:val="000000" w:themeColor="text1"/>
          <w:sz w:val="22"/>
          <w:szCs w:val="22"/>
        </w:rPr>
        <w:t>(B)</w:t>
      </w:r>
      <w:r w:rsidRPr="00726423">
        <w:rPr>
          <w:rFonts w:ascii="Arial" w:hAnsi="Arial" w:cs="Arial"/>
          <w:color w:val="000000" w:themeColor="text1"/>
          <w:sz w:val="22"/>
          <w:szCs w:val="22"/>
        </w:rPr>
        <w:t xml:space="preserve"> of lung proliferating </w:t>
      </w:r>
      <w:r w:rsidR="006A4833" w:rsidRPr="00726423">
        <w:rPr>
          <w:rFonts w:ascii="Arial" w:hAnsi="Arial" w:cs="Arial"/>
          <w:color w:val="000000" w:themeColor="text1"/>
          <w:sz w:val="22"/>
          <w:szCs w:val="22"/>
        </w:rPr>
        <w:t>Ki-67</w:t>
      </w:r>
      <w:r w:rsidR="006A4833" w:rsidRPr="00726423">
        <w:rPr>
          <w:rFonts w:ascii="Arial" w:hAnsi="Arial" w:cs="Arial"/>
          <w:color w:val="000000" w:themeColor="text1"/>
          <w:sz w:val="22"/>
          <w:szCs w:val="22"/>
          <w:vertAlign w:val="superscript"/>
        </w:rPr>
        <w:t>+</w:t>
      </w:r>
      <w:r w:rsidR="006A4833" w:rsidRPr="00726423">
        <w:rPr>
          <w:rFonts w:ascii="Arial" w:hAnsi="Arial" w:cs="Arial"/>
          <w:color w:val="000000" w:themeColor="text1"/>
          <w:sz w:val="22"/>
          <w:szCs w:val="22"/>
        </w:rPr>
        <w:t xml:space="preserve"> </w:t>
      </w:r>
      <w:r w:rsidRPr="00726423">
        <w:rPr>
          <w:rFonts w:ascii="Arial" w:hAnsi="Arial" w:cs="Arial"/>
          <w:color w:val="000000" w:themeColor="text1"/>
          <w:sz w:val="22"/>
          <w:szCs w:val="22"/>
        </w:rPr>
        <w:t xml:space="preserve">ILC2s in </w:t>
      </w:r>
      <w:r w:rsidR="006A4833" w:rsidRPr="00726423">
        <w:rPr>
          <w:rFonts w:ascii="Arial" w:hAnsi="Arial" w:cs="Arial"/>
          <w:color w:val="000000" w:themeColor="text1"/>
          <w:sz w:val="22"/>
          <w:szCs w:val="22"/>
        </w:rPr>
        <w:t xml:space="preserve">C57BL/6 </w:t>
      </w:r>
      <w:r w:rsidRPr="00726423">
        <w:rPr>
          <w:rFonts w:ascii="Arial" w:hAnsi="Arial" w:cs="Arial"/>
          <w:color w:val="000000" w:themeColor="text1"/>
          <w:sz w:val="22"/>
          <w:szCs w:val="22"/>
        </w:rPr>
        <w:t xml:space="preserve">mice administered intratracheally </w:t>
      </w:r>
      <w:r w:rsidR="00283977" w:rsidRPr="00726423">
        <w:rPr>
          <w:rFonts w:ascii="Arial" w:hAnsi="Arial" w:cs="Arial"/>
          <w:color w:val="000000" w:themeColor="text1"/>
          <w:sz w:val="22"/>
          <w:szCs w:val="22"/>
        </w:rPr>
        <w:t>with</w:t>
      </w:r>
      <w:r w:rsidRPr="00726423">
        <w:rPr>
          <w:rFonts w:ascii="Arial" w:hAnsi="Arial" w:cs="Arial"/>
          <w:color w:val="000000" w:themeColor="text1"/>
          <w:sz w:val="22"/>
          <w:szCs w:val="22"/>
        </w:rPr>
        <w:t xml:space="preserve"> IL-33 with </w:t>
      </w:r>
      <w:r w:rsidR="000F0719" w:rsidRPr="00726423">
        <w:rPr>
          <w:rFonts w:ascii="Arial" w:hAnsi="Arial" w:cs="Arial"/>
          <w:color w:val="000000" w:themeColor="text1"/>
          <w:sz w:val="22"/>
          <w:szCs w:val="22"/>
        </w:rPr>
        <w:t>PBS (n=3) or IL-33 with vehicle (n=4), an EP2 agonist (</w:t>
      </w:r>
      <w:proofErr w:type="spellStart"/>
      <w:r w:rsidR="000F0719" w:rsidRPr="00726423">
        <w:rPr>
          <w:rFonts w:ascii="Arial" w:hAnsi="Arial" w:cs="Arial"/>
          <w:color w:val="000000" w:themeColor="text1"/>
          <w:sz w:val="22"/>
          <w:szCs w:val="22"/>
        </w:rPr>
        <w:t>butaprost</w:t>
      </w:r>
      <w:proofErr w:type="spellEnd"/>
      <w:r w:rsidR="000F0719" w:rsidRPr="00726423">
        <w:rPr>
          <w:rFonts w:ascii="Arial" w:hAnsi="Arial" w:cs="Arial"/>
          <w:color w:val="000000" w:themeColor="text1"/>
          <w:sz w:val="22"/>
          <w:szCs w:val="22"/>
        </w:rPr>
        <w:t>, n=3), an EP4 agonist (L-902,688, n=3), or both the EP2 and EP4 agonists (n=3) for 3 consecutive days</w:t>
      </w:r>
      <w:r w:rsidRPr="00726423">
        <w:rPr>
          <w:rFonts w:ascii="Arial" w:hAnsi="Arial" w:cs="Arial"/>
          <w:color w:val="000000" w:themeColor="text1"/>
          <w:sz w:val="22"/>
          <w:szCs w:val="22"/>
        </w:rPr>
        <w:t xml:space="preserve">. </w:t>
      </w:r>
      <w:r w:rsidR="008B48F0" w:rsidRPr="00726423">
        <w:rPr>
          <w:rFonts w:ascii="Arial" w:hAnsi="Arial" w:cs="Arial"/>
          <w:b/>
          <w:bCs/>
          <w:color w:val="000000" w:themeColor="text1"/>
          <w:sz w:val="22"/>
          <w:szCs w:val="22"/>
        </w:rPr>
        <w:t xml:space="preserve">(C and </w:t>
      </w:r>
      <w:r w:rsidR="006A4833" w:rsidRPr="00726423">
        <w:rPr>
          <w:rFonts w:ascii="Arial" w:hAnsi="Arial" w:cs="Arial"/>
          <w:b/>
          <w:bCs/>
          <w:color w:val="000000" w:themeColor="text1"/>
          <w:sz w:val="22"/>
          <w:szCs w:val="22"/>
        </w:rPr>
        <w:t>D</w:t>
      </w:r>
      <w:r w:rsidR="008B48F0" w:rsidRPr="00726423">
        <w:rPr>
          <w:rFonts w:ascii="Arial" w:hAnsi="Arial" w:cs="Arial"/>
          <w:b/>
          <w:bCs/>
          <w:color w:val="000000" w:themeColor="text1"/>
          <w:sz w:val="22"/>
          <w:szCs w:val="22"/>
        </w:rPr>
        <w:t>)</w:t>
      </w:r>
      <w:r w:rsidR="006A4833" w:rsidRPr="00726423">
        <w:rPr>
          <w:rFonts w:ascii="Arial" w:hAnsi="Arial" w:cs="Arial"/>
          <w:b/>
          <w:bCs/>
          <w:color w:val="000000" w:themeColor="text1"/>
          <w:sz w:val="22"/>
          <w:szCs w:val="22"/>
        </w:rPr>
        <w:t xml:space="preserve"> </w:t>
      </w:r>
      <w:r w:rsidR="006A4833" w:rsidRPr="00726423">
        <w:rPr>
          <w:rFonts w:ascii="Arial" w:hAnsi="Arial" w:cs="Arial"/>
          <w:color w:val="000000" w:themeColor="text1"/>
          <w:sz w:val="22"/>
          <w:szCs w:val="22"/>
        </w:rPr>
        <w:t xml:space="preserve">Representative flow cytometric dot plots </w:t>
      </w:r>
      <w:r w:rsidR="006A4833" w:rsidRPr="00726423">
        <w:rPr>
          <w:rFonts w:ascii="Arial" w:hAnsi="Arial" w:cs="Arial"/>
          <w:b/>
          <w:bCs/>
          <w:color w:val="000000" w:themeColor="text1"/>
          <w:sz w:val="22"/>
          <w:szCs w:val="22"/>
        </w:rPr>
        <w:t>(C)</w:t>
      </w:r>
      <w:r w:rsidR="006A4833" w:rsidRPr="00726423">
        <w:rPr>
          <w:rFonts w:ascii="Arial" w:hAnsi="Arial" w:cs="Arial"/>
          <w:color w:val="000000" w:themeColor="text1"/>
          <w:sz w:val="22"/>
          <w:szCs w:val="22"/>
        </w:rPr>
        <w:t xml:space="preserve"> and collective percentages and numbers </w:t>
      </w:r>
      <w:r w:rsidR="006A4833" w:rsidRPr="00726423">
        <w:rPr>
          <w:rFonts w:ascii="Arial" w:hAnsi="Arial" w:cs="Arial"/>
          <w:b/>
          <w:bCs/>
          <w:color w:val="000000" w:themeColor="text1"/>
          <w:sz w:val="22"/>
          <w:szCs w:val="22"/>
        </w:rPr>
        <w:t>(D)</w:t>
      </w:r>
      <w:r w:rsidR="006A4833" w:rsidRPr="00726423">
        <w:rPr>
          <w:rFonts w:ascii="Arial" w:hAnsi="Arial" w:cs="Arial"/>
          <w:color w:val="000000" w:themeColor="text1"/>
          <w:sz w:val="22"/>
          <w:szCs w:val="22"/>
        </w:rPr>
        <w:t xml:space="preserve"> of lung proliferating Ki-67</w:t>
      </w:r>
      <w:r w:rsidR="006A4833" w:rsidRPr="00726423">
        <w:rPr>
          <w:rFonts w:ascii="Arial" w:hAnsi="Arial" w:cs="Arial"/>
          <w:color w:val="000000" w:themeColor="text1"/>
          <w:sz w:val="22"/>
          <w:szCs w:val="22"/>
          <w:vertAlign w:val="superscript"/>
        </w:rPr>
        <w:t>+</w:t>
      </w:r>
      <w:r w:rsidR="006A4833" w:rsidRPr="00726423">
        <w:rPr>
          <w:rFonts w:ascii="Arial" w:hAnsi="Arial" w:cs="Arial"/>
          <w:color w:val="000000" w:themeColor="text1"/>
          <w:sz w:val="22"/>
          <w:szCs w:val="22"/>
        </w:rPr>
        <w:t xml:space="preserve"> ILC2s in </w:t>
      </w:r>
      <w:r w:rsidR="0092778B" w:rsidRPr="00726423">
        <w:rPr>
          <w:rFonts w:ascii="Arial" w:hAnsi="Arial" w:cs="Arial"/>
          <w:color w:val="000000" w:themeColor="text1"/>
          <w:sz w:val="22"/>
          <w:szCs w:val="22"/>
        </w:rPr>
        <w:t>EP2</w:t>
      </w:r>
      <w:r w:rsidR="0092778B" w:rsidRPr="00726423">
        <w:rPr>
          <w:rFonts w:ascii="Arial" w:hAnsi="Arial" w:cs="Arial"/>
          <w:color w:val="000000" w:themeColor="text1"/>
          <w:sz w:val="22"/>
          <w:szCs w:val="22"/>
          <w:vertAlign w:val="superscript"/>
        </w:rPr>
        <w:t>+/+</w:t>
      </w:r>
      <w:r w:rsidR="0092778B" w:rsidRPr="00726423">
        <w:rPr>
          <w:rFonts w:ascii="Arial" w:hAnsi="Arial" w:cs="Arial"/>
          <w:color w:val="000000" w:themeColor="text1"/>
          <w:sz w:val="22"/>
          <w:szCs w:val="22"/>
        </w:rPr>
        <w:t xml:space="preserve"> (n=</w:t>
      </w:r>
      <w:r w:rsidR="006603C2" w:rsidRPr="00726423">
        <w:rPr>
          <w:rFonts w:ascii="Arial" w:hAnsi="Arial" w:cs="Arial"/>
          <w:color w:val="000000" w:themeColor="text1"/>
          <w:sz w:val="22"/>
          <w:szCs w:val="22"/>
        </w:rPr>
        <w:t>10</w:t>
      </w:r>
      <w:r w:rsidR="0092778B" w:rsidRPr="00726423">
        <w:rPr>
          <w:rFonts w:ascii="Arial" w:hAnsi="Arial" w:cs="Arial"/>
          <w:color w:val="000000" w:themeColor="text1"/>
          <w:sz w:val="22"/>
          <w:szCs w:val="22"/>
        </w:rPr>
        <w:t>), EP2</w:t>
      </w:r>
      <w:r w:rsidR="0092778B" w:rsidRPr="00726423">
        <w:rPr>
          <w:rFonts w:ascii="Arial" w:hAnsi="Arial" w:cs="Arial"/>
          <w:color w:val="000000" w:themeColor="text1"/>
          <w:sz w:val="22"/>
          <w:szCs w:val="22"/>
          <w:vertAlign w:val="superscript"/>
        </w:rPr>
        <w:t>+/–</w:t>
      </w:r>
      <w:r w:rsidR="0092778B" w:rsidRPr="00726423">
        <w:rPr>
          <w:rFonts w:ascii="Arial" w:hAnsi="Arial" w:cs="Arial"/>
          <w:color w:val="000000" w:themeColor="text1"/>
          <w:sz w:val="22"/>
          <w:szCs w:val="22"/>
        </w:rPr>
        <w:t xml:space="preserve"> (n=</w:t>
      </w:r>
      <w:r w:rsidR="006603C2" w:rsidRPr="00726423">
        <w:rPr>
          <w:rFonts w:ascii="Arial" w:hAnsi="Arial" w:cs="Arial"/>
          <w:color w:val="000000" w:themeColor="text1"/>
          <w:sz w:val="22"/>
          <w:szCs w:val="22"/>
        </w:rPr>
        <w:t>8</w:t>
      </w:r>
      <w:r w:rsidR="0092778B" w:rsidRPr="00726423">
        <w:rPr>
          <w:rFonts w:ascii="Arial" w:hAnsi="Arial" w:cs="Arial"/>
          <w:color w:val="000000" w:themeColor="text1"/>
          <w:sz w:val="22"/>
          <w:szCs w:val="22"/>
        </w:rPr>
        <w:t xml:space="preserve">) or </w:t>
      </w:r>
      <w:r w:rsidR="006A4833" w:rsidRPr="00726423">
        <w:rPr>
          <w:rFonts w:ascii="Arial" w:hAnsi="Arial" w:cs="Arial"/>
          <w:color w:val="000000" w:themeColor="text1"/>
          <w:sz w:val="22"/>
          <w:szCs w:val="22"/>
        </w:rPr>
        <w:t>EP2</w:t>
      </w:r>
      <w:r w:rsidR="0092778B" w:rsidRPr="00726423">
        <w:rPr>
          <w:rFonts w:ascii="Arial" w:hAnsi="Arial" w:cs="Arial"/>
          <w:color w:val="000000" w:themeColor="text1"/>
          <w:sz w:val="22"/>
          <w:szCs w:val="22"/>
          <w:vertAlign w:val="superscript"/>
        </w:rPr>
        <w:t>–/–</w:t>
      </w:r>
      <w:r w:rsidR="008B48F0" w:rsidRPr="00726423">
        <w:rPr>
          <w:rFonts w:ascii="Arial" w:hAnsi="Arial" w:cs="Arial"/>
          <w:color w:val="000000" w:themeColor="text1"/>
          <w:sz w:val="22"/>
          <w:szCs w:val="22"/>
        </w:rPr>
        <w:t xml:space="preserve"> (n=</w:t>
      </w:r>
      <w:r w:rsidR="0092778B" w:rsidRPr="00726423">
        <w:rPr>
          <w:rFonts w:ascii="Arial" w:hAnsi="Arial" w:cs="Arial"/>
          <w:color w:val="000000" w:themeColor="text1"/>
          <w:sz w:val="22"/>
          <w:szCs w:val="22"/>
        </w:rPr>
        <w:t>9</w:t>
      </w:r>
      <w:r w:rsidR="008B48F0" w:rsidRPr="00726423">
        <w:rPr>
          <w:rFonts w:ascii="Arial" w:hAnsi="Arial" w:cs="Arial"/>
          <w:color w:val="000000" w:themeColor="text1"/>
          <w:sz w:val="22"/>
          <w:szCs w:val="22"/>
        </w:rPr>
        <w:t>)</w:t>
      </w:r>
      <w:r w:rsidR="006A4833" w:rsidRPr="00726423">
        <w:rPr>
          <w:rFonts w:ascii="Arial" w:hAnsi="Arial" w:cs="Arial"/>
          <w:color w:val="000000" w:themeColor="text1"/>
          <w:sz w:val="22"/>
          <w:szCs w:val="22"/>
        </w:rPr>
        <w:t xml:space="preserve"> mice administered </w:t>
      </w:r>
      <w:r w:rsidR="00283977" w:rsidRPr="00726423">
        <w:rPr>
          <w:rFonts w:ascii="Arial" w:hAnsi="Arial" w:cs="Arial"/>
          <w:color w:val="000000" w:themeColor="text1"/>
          <w:sz w:val="22"/>
          <w:szCs w:val="22"/>
        </w:rPr>
        <w:t>with</w:t>
      </w:r>
      <w:r w:rsidR="006A4833" w:rsidRPr="00726423">
        <w:rPr>
          <w:rFonts w:ascii="Arial" w:hAnsi="Arial" w:cs="Arial"/>
          <w:color w:val="000000" w:themeColor="text1"/>
          <w:sz w:val="22"/>
          <w:szCs w:val="22"/>
        </w:rPr>
        <w:t xml:space="preserve"> IL-33 for 3 consecutive days. </w:t>
      </w:r>
      <w:r w:rsidR="008B48F0" w:rsidRPr="00726423">
        <w:rPr>
          <w:rFonts w:ascii="Arial" w:hAnsi="Arial" w:cs="Arial"/>
          <w:b/>
          <w:bCs/>
          <w:color w:val="000000" w:themeColor="text1"/>
          <w:sz w:val="22"/>
          <w:szCs w:val="22"/>
        </w:rPr>
        <w:t>(</w:t>
      </w:r>
      <w:r w:rsidR="00D92861" w:rsidRPr="00726423">
        <w:rPr>
          <w:rFonts w:ascii="Arial" w:hAnsi="Arial" w:cs="Arial"/>
          <w:b/>
          <w:bCs/>
          <w:color w:val="000000" w:themeColor="text1"/>
          <w:sz w:val="22"/>
          <w:szCs w:val="22"/>
        </w:rPr>
        <w:t>E</w:t>
      </w:r>
      <w:r w:rsidR="008B48F0" w:rsidRPr="00726423">
        <w:rPr>
          <w:rFonts w:ascii="Arial" w:hAnsi="Arial" w:cs="Arial"/>
          <w:b/>
          <w:bCs/>
          <w:color w:val="000000" w:themeColor="text1"/>
          <w:sz w:val="22"/>
          <w:szCs w:val="22"/>
        </w:rPr>
        <w:t xml:space="preserve"> to </w:t>
      </w:r>
      <w:r w:rsidR="00D92861" w:rsidRPr="00726423">
        <w:rPr>
          <w:rFonts w:ascii="Arial" w:hAnsi="Arial" w:cs="Arial"/>
          <w:b/>
          <w:bCs/>
          <w:color w:val="000000" w:themeColor="text1"/>
          <w:sz w:val="22"/>
          <w:szCs w:val="22"/>
        </w:rPr>
        <w:t>G</w:t>
      </w:r>
      <w:r w:rsidR="008B48F0" w:rsidRPr="00726423">
        <w:rPr>
          <w:rFonts w:ascii="Arial" w:hAnsi="Arial" w:cs="Arial"/>
          <w:b/>
          <w:bCs/>
          <w:color w:val="000000" w:themeColor="text1"/>
          <w:sz w:val="22"/>
          <w:szCs w:val="22"/>
        </w:rPr>
        <w:t>)</w:t>
      </w:r>
      <w:r w:rsidRPr="00726423">
        <w:rPr>
          <w:rFonts w:ascii="Arial" w:hAnsi="Arial" w:cs="Arial"/>
          <w:b/>
          <w:bCs/>
          <w:color w:val="000000" w:themeColor="text1"/>
          <w:sz w:val="22"/>
          <w:szCs w:val="22"/>
        </w:rPr>
        <w:t xml:space="preserve"> </w:t>
      </w:r>
      <w:r w:rsidR="00DF31CD" w:rsidRPr="00726423">
        <w:rPr>
          <w:rFonts w:ascii="Arial" w:hAnsi="Arial" w:cs="Arial"/>
          <w:color w:val="000000" w:themeColor="text1"/>
          <w:sz w:val="22"/>
          <w:szCs w:val="22"/>
        </w:rPr>
        <w:t>The oxygen consumption rate (OCR), extracellular acidification rate (ECAR), and proton efflux rate (</w:t>
      </w:r>
      <w:proofErr w:type="spellStart"/>
      <w:r w:rsidR="00DF31CD" w:rsidRPr="00726423">
        <w:rPr>
          <w:rFonts w:ascii="Arial" w:hAnsi="Arial" w:cs="Arial"/>
          <w:color w:val="000000" w:themeColor="text1"/>
          <w:sz w:val="22"/>
          <w:szCs w:val="22"/>
        </w:rPr>
        <w:t>glycoPER</w:t>
      </w:r>
      <w:proofErr w:type="spellEnd"/>
      <w:r w:rsidR="00DF31CD" w:rsidRPr="00726423">
        <w:rPr>
          <w:rFonts w:ascii="Arial" w:hAnsi="Arial" w:cs="Arial"/>
          <w:color w:val="000000" w:themeColor="text1"/>
          <w:sz w:val="22"/>
          <w:szCs w:val="22"/>
        </w:rPr>
        <w:t xml:space="preserve">) </w:t>
      </w:r>
      <w:r w:rsidRPr="00726423">
        <w:rPr>
          <w:rFonts w:ascii="Arial" w:hAnsi="Arial" w:cs="Arial"/>
          <w:color w:val="000000" w:themeColor="text1"/>
          <w:sz w:val="22"/>
          <w:szCs w:val="22"/>
        </w:rPr>
        <w:t xml:space="preserve">of ILC2s </w:t>
      </w:r>
      <w:r w:rsidR="002958D7" w:rsidRPr="00726423">
        <w:rPr>
          <w:rFonts w:ascii="Arial" w:hAnsi="Arial" w:cs="Arial"/>
          <w:color w:val="000000" w:themeColor="text1"/>
          <w:sz w:val="22"/>
          <w:szCs w:val="22"/>
        </w:rPr>
        <w:t>that were sorted from lungs of Rag2</w:t>
      </w:r>
      <w:r w:rsidR="002958D7" w:rsidRPr="00726423">
        <w:rPr>
          <w:rFonts w:ascii="Arial" w:hAnsi="Arial" w:cs="Arial"/>
          <w:color w:val="000000" w:themeColor="text1"/>
          <w:sz w:val="22"/>
          <w:szCs w:val="22"/>
          <w:vertAlign w:val="superscript"/>
        </w:rPr>
        <w:t>–/–</w:t>
      </w:r>
      <w:r w:rsidR="002958D7" w:rsidRPr="00726423">
        <w:rPr>
          <w:rFonts w:ascii="Arial" w:hAnsi="Arial" w:cs="Arial"/>
          <w:color w:val="000000" w:themeColor="text1"/>
          <w:sz w:val="22"/>
          <w:szCs w:val="22"/>
        </w:rPr>
        <w:t xml:space="preserve"> mice and then </w:t>
      </w:r>
      <w:r w:rsidRPr="00726423">
        <w:rPr>
          <w:rFonts w:ascii="Arial" w:hAnsi="Arial" w:cs="Arial"/>
          <w:color w:val="000000" w:themeColor="text1"/>
          <w:sz w:val="22"/>
          <w:szCs w:val="22"/>
        </w:rPr>
        <w:t xml:space="preserve">cultured with IL-33 </w:t>
      </w:r>
      <w:r w:rsidR="002958D7" w:rsidRPr="00726423">
        <w:rPr>
          <w:rFonts w:ascii="Arial" w:hAnsi="Arial" w:cs="Arial"/>
          <w:color w:val="000000" w:themeColor="text1"/>
          <w:sz w:val="22"/>
          <w:szCs w:val="22"/>
        </w:rPr>
        <w:t>with or without</w:t>
      </w:r>
      <w:r w:rsidRPr="00726423">
        <w:rPr>
          <w:rFonts w:ascii="Arial" w:hAnsi="Arial" w:cs="Arial"/>
          <w:color w:val="000000" w:themeColor="text1"/>
          <w:sz w:val="22"/>
          <w:szCs w:val="22"/>
        </w:rPr>
        <w:t xml:space="preserve"> PGE</w:t>
      </w:r>
      <w:r w:rsidRPr="00726423">
        <w:rPr>
          <w:rFonts w:ascii="Arial" w:hAnsi="Arial" w:cs="Arial"/>
          <w:color w:val="000000" w:themeColor="text1"/>
          <w:sz w:val="22"/>
          <w:szCs w:val="22"/>
          <w:vertAlign w:val="subscript"/>
        </w:rPr>
        <w:t>2</w:t>
      </w:r>
      <w:r w:rsidRPr="00726423">
        <w:rPr>
          <w:rFonts w:ascii="Arial" w:hAnsi="Arial" w:cs="Arial"/>
          <w:color w:val="000000" w:themeColor="text1"/>
          <w:sz w:val="22"/>
          <w:szCs w:val="22"/>
        </w:rPr>
        <w:t xml:space="preserve"> for 3 days. </w:t>
      </w:r>
      <w:r w:rsidR="008B48F0" w:rsidRPr="00726423">
        <w:rPr>
          <w:rFonts w:ascii="Arial" w:hAnsi="Arial" w:cs="Arial"/>
          <w:b/>
          <w:bCs/>
          <w:color w:val="000000" w:themeColor="text1"/>
          <w:sz w:val="22"/>
          <w:szCs w:val="22"/>
        </w:rPr>
        <w:t xml:space="preserve">(H to </w:t>
      </w:r>
      <w:r w:rsidR="00D92861" w:rsidRPr="00726423">
        <w:rPr>
          <w:rFonts w:ascii="Arial" w:hAnsi="Arial" w:cs="Arial"/>
          <w:b/>
          <w:bCs/>
          <w:color w:val="000000" w:themeColor="text1"/>
          <w:sz w:val="22"/>
          <w:szCs w:val="22"/>
        </w:rPr>
        <w:t>J</w:t>
      </w:r>
      <w:r w:rsidR="008B48F0" w:rsidRPr="00726423">
        <w:rPr>
          <w:rFonts w:ascii="Arial" w:hAnsi="Arial" w:cs="Arial"/>
          <w:b/>
          <w:bCs/>
          <w:color w:val="000000" w:themeColor="text1"/>
          <w:sz w:val="22"/>
          <w:szCs w:val="22"/>
        </w:rPr>
        <w:t>)</w:t>
      </w:r>
      <w:r w:rsidRPr="00726423">
        <w:rPr>
          <w:rFonts w:ascii="Arial" w:hAnsi="Arial" w:cs="Arial"/>
          <w:color w:val="000000" w:themeColor="text1"/>
          <w:sz w:val="22"/>
          <w:szCs w:val="22"/>
        </w:rPr>
        <w:t xml:space="preserve"> </w:t>
      </w:r>
      <w:r w:rsidR="00D92861" w:rsidRPr="00726423">
        <w:rPr>
          <w:rFonts w:ascii="Arial" w:hAnsi="Arial" w:cs="Arial"/>
          <w:color w:val="000000" w:themeColor="text1"/>
          <w:sz w:val="22"/>
          <w:szCs w:val="22"/>
        </w:rPr>
        <w:t xml:space="preserve">Numbers of </w:t>
      </w:r>
      <w:r w:rsidR="00B20740" w:rsidRPr="00726423">
        <w:rPr>
          <w:rFonts w:ascii="Arial" w:hAnsi="Arial" w:cs="Arial"/>
          <w:color w:val="000000" w:themeColor="text1"/>
          <w:sz w:val="22"/>
          <w:szCs w:val="22"/>
        </w:rPr>
        <w:t>ST2</w:t>
      </w:r>
      <w:r w:rsidR="00B20740" w:rsidRPr="00726423">
        <w:rPr>
          <w:rFonts w:ascii="Arial" w:hAnsi="Arial" w:cs="Arial"/>
          <w:color w:val="000000" w:themeColor="text1"/>
          <w:sz w:val="22"/>
          <w:szCs w:val="22"/>
          <w:vertAlign w:val="superscript"/>
        </w:rPr>
        <w:t>+</w:t>
      </w:r>
      <w:r w:rsidR="00B20740" w:rsidRPr="00726423">
        <w:rPr>
          <w:rFonts w:ascii="Arial" w:hAnsi="Arial" w:cs="Arial"/>
          <w:color w:val="000000" w:themeColor="text1"/>
          <w:sz w:val="22"/>
          <w:szCs w:val="22"/>
        </w:rPr>
        <w:t xml:space="preserve"> </w:t>
      </w:r>
      <w:r w:rsidRPr="00726423">
        <w:rPr>
          <w:rFonts w:ascii="Arial" w:hAnsi="Arial" w:cs="Arial"/>
          <w:color w:val="000000" w:themeColor="text1"/>
          <w:sz w:val="22"/>
          <w:szCs w:val="22"/>
        </w:rPr>
        <w:t xml:space="preserve">ILC2 </w:t>
      </w:r>
      <w:r w:rsidR="00B20740" w:rsidRPr="00726423">
        <w:rPr>
          <w:rFonts w:ascii="Arial" w:hAnsi="Arial" w:cs="Arial"/>
          <w:color w:val="000000" w:themeColor="text1"/>
          <w:sz w:val="22"/>
          <w:szCs w:val="22"/>
        </w:rPr>
        <w:t xml:space="preserve">and </w:t>
      </w:r>
      <w:r w:rsidR="00D92861" w:rsidRPr="00726423">
        <w:rPr>
          <w:rFonts w:ascii="Arial" w:hAnsi="Arial" w:cs="Arial"/>
          <w:color w:val="000000" w:themeColor="text1"/>
          <w:sz w:val="22"/>
          <w:szCs w:val="22"/>
        </w:rPr>
        <w:t>ST2</w:t>
      </w:r>
      <w:r w:rsidR="00D92861" w:rsidRPr="00726423">
        <w:rPr>
          <w:rFonts w:ascii="Arial" w:hAnsi="Arial" w:cs="Arial"/>
          <w:color w:val="000000" w:themeColor="text1"/>
          <w:sz w:val="22"/>
          <w:szCs w:val="22"/>
          <w:vertAlign w:val="superscript"/>
        </w:rPr>
        <w:t>+</w:t>
      </w:r>
      <w:r w:rsidR="00D92861" w:rsidRPr="00726423">
        <w:rPr>
          <w:rFonts w:ascii="Arial" w:hAnsi="Arial" w:cs="Arial"/>
          <w:color w:val="000000" w:themeColor="text1"/>
          <w:sz w:val="22"/>
          <w:szCs w:val="22"/>
        </w:rPr>
        <w:t xml:space="preserve"> </w:t>
      </w:r>
      <w:r w:rsidR="00B20740" w:rsidRPr="00726423">
        <w:rPr>
          <w:rFonts w:ascii="Arial" w:hAnsi="Arial" w:cs="Arial"/>
          <w:color w:val="000000" w:themeColor="text1"/>
          <w:sz w:val="22"/>
          <w:szCs w:val="22"/>
        </w:rPr>
        <w:t>Th2 cell</w:t>
      </w:r>
      <w:r w:rsidR="00D92861" w:rsidRPr="00726423">
        <w:rPr>
          <w:rFonts w:ascii="Arial" w:hAnsi="Arial" w:cs="Arial"/>
          <w:color w:val="000000" w:themeColor="text1"/>
          <w:sz w:val="22"/>
          <w:szCs w:val="22"/>
        </w:rPr>
        <w:t>s</w:t>
      </w:r>
      <w:r w:rsidR="00B20740" w:rsidRPr="00726423">
        <w:rPr>
          <w:rFonts w:ascii="Arial" w:hAnsi="Arial" w:cs="Arial"/>
          <w:color w:val="000000" w:themeColor="text1"/>
          <w:sz w:val="22"/>
          <w:szCs w:val="22"/>
        </w:rPr>
        <w:t xml:space="preserve"> </w:t>
      </w:r>
      <w:r w:rsidR="00B20740" w:rsidRPr="00726423">
        <w:rPr>
          <w:rFonts w:ascii="Arial" w:hAnsi="Arial" w:cs="Arial"/>
          <w:b/>
          <w:bCs/>
          <w:color w:val="000000" w:themeColor="text1"/>
          <w:sz w:val="22"/>
          <w:szCs w:val="22"/>
        </w:rPr>
        <w:t>(</w:t>
      </w:r>
      <w:r w:rsidR="00283977" w:rsidRPr="00726423">
        <w:rPr>
          <w:rFonts w:ascii="Arial" w:hAnsi="Arial" w:cs="Arial"/>
          <w:b/>
          <w:bCs/>
          <w:color w:val="000000" w:themeColor="text1"/>
          <w:sz w:val="22"/>
          <w:szCs w:val="22"/>
        </w:rPr>
        <w:t>H</w:t>
      </w:r>
      <w:r w:rsidR="00B20740" w:rsidRPr="00726423">
        <w:rPr>
          <w:rFonts w:ascii="Arial" w:hAnsi="Arial" w:cs="Arial"/>
          <w:b/>
          <w:bCs/>
          <w:color w:val="000000" w:themeColor="text1"/>
          <w:sz w:val="22"/>
          <w:szCs w:val="22"/>
        </w:rPr>
        <w:t>),</w:t>
      </w:r>
      <w:r w:rsidR="00B20740" w:rsidRPr="00726423">
        <w:rPr>
          <w:rFonts w:ascii="Arial" w:hAnsi="Arial" w:cs="Arial"/>
          <w:color w:val="000000" w:themeColor="text1"/>
          <w:sz w:val="22"/>
          <w:szCs w:val="22"/>
        </w:rPr>
        <w:t xml:space="preserve"> IL-5 and IL-13 levels </w:t>
      </w:r>
      <w:r w:rsidR="00B20740" w:rsidRPr="00726423">
        <w:rPr>
          <w:rFonts w:ascii="Arial" w:hAnsi="Arial" w:cs="Arial"/>
          <w:b/>
          <w:bCs/>
          <w:color w:val="000000" w:themeColor="text1"/>
          <w:sz w:val="22"/>
          <w:szCs w:val="22"/>
        </w:rPr>
        <w:t>(</w:t>
      </w:r>
      <w:r w:rsidR="00283977" w:rsidRPr="00726423">
        <w:rPr>
          <w:rFonts w:ascii="Arial" w:hAnsi="Arial" w:cs="Arial"/>
          <w:b/>
          <w:bCs/>
          <w:color w:val="000000" w:themeColor="text1"/>
          <w:sz w:val="22"/>
          <w:szCs w:val="22"/>
        </w:rPr>
        <w:t>I</w:t>
      </w:r>
      <w:r w:rsidR="00B20740" w:rsidRPr="00726423">
        <w:rPr>
          <w:rFonts w:ascii="Arial" w:hAnsi="Arial" w:cs="Arial"/>
          <w:b/>
          <w:bCs/>
          <w:color w:val="000000" w:themeColor="text1"/>
          <w:sz w:val="22"/>
          <w:szCs w:val="22"/>
        </w:rPr>
        <w:t>),</w:t>
      </w:r>
      <w:r w:rsidR="00B20740" w:rsidRPr="00726423">
        <w:rPr>
          <w:rFonts w:ascii="Arial" w:hAnsi="Arial" w:cs="Arial"/>
          <w:color w:val="000000" w:themeColor="text1"/>
          <w:sz w:val="22"/>
          <w:szCs w:val="22"/>
        </w:rPr>
        <w:t xml:space="preserve"> </w:t>
      </w:r>
      <w:r w:rsidRPr="00726423">
        <w:rPr>
          <w:rFonts w:ascii="Arial" w:hAnsi="Arial" w:cs="Arial"/>
          <w:color w:val="000000" w:themeColor="text1"/>
          <w:sz w:val="22"/>
          <w:szCs w:val="22"/>
        </w:rPr>
        <w:t xml:space="preserve">and eosinophil </w:t>
      </w:r>
      <w:r w:rsidR="00B20740" w:rsidRPr="00726423">
        <w:rPr>
          <w:rFonts w:ascii="Arial" w:hAnsi="Arial" w:cs="Arial"/>
          <w:color w:val="000000" w:themeColor="text1"/>
          <w:sz w:val="22"/>
          <w:szCs w:val="22"/>
        </w:rPr>
        <w:t>and neutrophil</w:t>
      </w:r>
      <w:r w:rsidR="00283977" w:rsidRPr="00726423">
        <w:rPr>
          <w:rFonts w:ascii="Arial" w:hAnsi="Arial" w:cs="Arial"/>
          <w:color w:val="000000" w:themeColor="text1"/>
          <w:sz w:val="22"/>
          <w:szCs w:val="22"/>
        </w:rPr>
        <w:t xml:space="preserve"> number</w:t>
      </w:r>
      <w:r w:rsidR="00B20740" w:rsidRPr="00726423">
        <w:rPr>
          <w:rFonts w:ascii="Arial" w:hAnsi="Arial" w:cs="Arial"/>
          <w:color w:val="000000" w:themeColor="text1"/>
          <w:sz w:val="22"/>
          <w:szCs w:val="22"/>
        </w:rPr>
        <w:t>s</w:t>
      </w:r>
      <w:r w:rsidR="00283977" w:rsidRPr="00726423">
        <w:rPr>
          <w:rFonts w:ascii="Arial" w:hAnsi="Arial" w:cs="Arial"/>
          <w:color w:val="000000" w:themeColor="text1"/>
          <w:sz w:val="22"/>
          <w:szCs w:val="22"/>
        </w:rPr>
        <w:t xml:space="preserve"> </w:t>
      </w:r>
      <w:r w:rsidR="00283977" w:rsidRPr="00726423">
        <w:rPr>
          <w:rFonts w:ascii="Arial" w:hAnsi="Arial" w:cs="Arial"/>
          <w:b/>
          <w:bCs/>
          <w:color w:val="000000" w:themeColor="text1"/>
          <w:sz w:val="22"/>
          <w:szCs w:val="22"/>
        </w:rPr>
        <w:t>(J)</w:t>
      </w:r>
      <w:r w:rsidR="00B20740" w:rsidRPr="00726423">
        <w:rPr>
          <w:rFonts w:ascii="Arial" w:hAnsi="Arial" w:cs="Arial"/>
          <w:color w:val="000000" w:themeColor="text1"/>
          <w:sz w:val="22"/>
          <w:szCs w:val="22"/>
        </w:rPr>
        <w:t xml:space="preserve"> in </w:t>
      </w:r>
      <w:r w:rsidR="008B48F0" w:rsidRPr="00726423">
        <w:rPr>
          <w:rFonts w:ascii="Arial" w:hAnsi="Arial" w:cs="Arial"/>
          <w:color w:val="000000" w:themeColor="text1"/>
          <w:sz w:val="22"/>
          <w:szCs w:val="22"/>
        </w:rPr>
        <w:t xml:space="preserve">bronchoalveolar lavages (BAL) </w:t>
      </w:r>
      <w:r w:rsidR="00B20740" w:rsidRPr="00726423">
        <w:rPr>
          <w:rFonts w:ascii="Arial" w:hAnsi="Arial" w:cs="Arial"/>
          <w:color w:val="000000" w:themeColor="text1"/>
          <w:sz w:val="22"/>
          <w:szCs w:val="22"/>
        </w:rPr>
        <w:t xml:space="preserve">mice </w:t>
      </w:r>
      <w:r w:rsidR="00D92861" w:rsidRPr="00726423">
        <w:rPr>
          <w:rFonts w:ascii="Arial" w:hAnsi="Arial" w:cs="Arial"/>
          <w:color w:val="000000" w:themeColor="text1"/>
          <w:sz w:val="22"/>
          <w:szCs w:val="22"/>
        </w:rPr>
        <w:t xml:space="preserve">administered intratracheally </w:t>
      </w:r>
      <w:r w:rsidR="00283977" w:rsidRPr="00726423">
        <w:rPr>
          <w:rFonts w:ascii="Arial" w:hAnsi="Arial" w:cs="Arial"/>
          <w:color w:val="000000" w:themeColor="text1"/>
          <w:sz w:val="22"/>
          <w:szCs w:val="22"/>
        </w:rPr>
        <w:t>with</w:t>
      </w:r>
      <w:r w:rsidR="00D92861" w:rsidRPr="00726423">
        <w:rPr>
          <w:rFonts w:ascii="Arial" w:hAnsi="Arial" w:cs="Arial"/>
          <w:color w:val="000000" w:themeColor="text1"/>
          <w:sz w:val="22"/>
          <w:szCs w:val="22"/>
        </w:rPr>
        <w:t xml:space="preserve"> IL-33 with or without 2-DG for 3 consecutive days.</w:t>
      </w:r>
      <w:r w:rsidR="0025751C" w:rsidRPr="00726423">
        <w:rPr>
          <w:rFonts w:ascii="Arial" w:hAnsi="Arial" w:cs="Arial"/>
          <w:color w:val="000000" w:themeColor="text1"/>
          <w:sz w:val="22"/>
          <w:szCs w:val="22"/>
        </w:rPr>
        <w:t xml:space="preserve"> Numbers of mice in each group </w:t>
      </w:r>
      <w:r w:rsidR="00B909AF" w:rsidRPr="00726423">
        <w:rPr>
          <w:rFonts w:ascii="Arial" w:hAnsi="Arial" w:cs="Arial"/>
          <w:color w:val="000000" w:themeColor="text1"/>
          <w:sz w:val="22"/>
          <w:szCs w:val="22"/>
        </w:rPr>
        <w:t>are indicated in the keys.</w:t>
      </w:r>
      <w:r w:rsidR="00D92861" w:rsidRPr="00726423">
        <w:rPr>
          <w:rFonts w:ascii="Arial" w:hAnsi="Arial" w:cs="Arial"/>
          <w:color w:val="000000" w:themeColor="text1"/>
          <w:sz w:val="22"/>
          <w:szCs w:val="22"/>
        </w:rPr>
        <w:t xml:space="preserve"> Indomethacin or </w:t>
      </w:r>
      <w:r w:rsidR="00B909AF" w:rsidRPr="00726423">
        <w:rPr>
          <w:rFonts w:ascii="Arial" w:hAnsi="Arial" w:cs="Arial"/>
          <w:color w:val="000000" w:themeColor="text1"/>
          <w:sz w:val="22"/>
          <w:szCs w:val="22"/>
        </w:rPr>
        <w:t xml:space="preserve">its </w:t>
      </w:r>
      <w:r w:rsidR="00D92861" w:rsidRPr="00726423">
        <w:rPr>
          <w:rFonts w:ascii="Arial" w:hAnsi="Arial" w:cs="Arial"/>
          <w:color w:val="000000" w:themeColor="text1"/>
          <w:sz w:val="22"/>
          <w:szCs w:val="22"/>
        </w:rPr>
        <w:t xml:space="preserve">vehicle </w:t>
      </w:r>
      <w:r w:rsidR="00B909AF" w:rsidRPr="00726423">
        <w:rPr>
          <w:rFonts w:ascii="Arial" w:hAnsi="Arial" w:cs="Arial"/>
          <w:color w:val="000000" w:themeColor="text1"/>
          <w:sz w:val="22"/>
          <w:szCs w:val="22"/>
        </w:rPr>
        <w:t>(DMSO)</w:t>
      </w:r>
      <w:r w:rsidR="00D92861" w:rsidRPr="00726423">
        <w:rPr>
          <w:rFonts w:ascii="Arial" w:hAnsi="Arial" w:cs="Arial"/>
          <w:color w:val="000000" w:themeColor="text1"/>
          <w:sz w:val="22"/>
          <w:szCs w:val="22"/>
        </w:rPr>
        <w:t xml:space="preserve"> was administered through drinking water. </w:t>
      </w:r>
      <w:r w:rsidRPr="00726423">
        <w:rPr>
          <w:rFonts w:ascii="Arial" w:hAnsi="Arial" w:cs="Arial"/>
          <w:color w:val="000000" w:themeColor="text1"/>
          <w:sz w:val="22"/>
          <w:szCs w:val="22"/>
        </w:rPr>
        <w:t xml:space="preserve">Data </w:t>
      </w:r>
      <w:r w:rsidR="00356E27" w:rsidRPr="00726423">
        <w:rPr>
          <w:rFonts w:ascii="Arial" w:hAnsi="Arial" w:cs="Arial"/>
          <w:color w:val="000000" w:themeColor="text1"/>
          <w:sz w:val="22"/>
          <w:szCs w:val="22"/>
        </w:rPr>
        <w:t>shown as</w:t>
      </w:r>
      <w:r w:rsidRPr="00726423">
        <w:rPr>
          <w:rFonts w:ascii="Arial" w:hAnsi="Arial" w:cs="Arial"/>
          <w:color w:val="000000" w:themeColor="text1"/>
          <w:sz w:val="22"/>
          <w:szCs w:val="22"/>
        </w:rPr>
        <w:t xml:space="preserve"> </w:t>
      </w:r>
      <w:r w:rsidR="00B20740" w:rsidRPr="00726423">
        <w:rPr>
          <w:rFonts w:ascii="Arial" w:hAnsi="Arial" w:cs="Arial"/>
          <w:color w:val="000000" w:themeColor="text1"/>
          <w:sz w:val="22"/>
          <w:szCs w:val="22"/>
        </w:rPr>
        <w:t xml:space="preserve">means </w:t>
      </w:r>
      <w:r w:rsidR="007B77D1" w:rsidRPr="00726423">
        <w:rPr>
          <w:rFonts w:ascii="Arial" w:hAnsi="Arial" w:cs="Arial"/>
          <w:color w:val="000000" w:themeColor="text1"/>
          <w:sz w:val="22"/>
          <w:szCs w:val="22"/>
        </w:rPr>
        <w:t>±</w:t>
      </w:r>
      <w:r w:rsidR="00B20740" w:rsidRPr="00726423">
        <w:rPr>
          <w:rFonts w:ascii="Arial" w:hAnsi="Arial" w:cs="Arial"/>
          <w:color w:val="000000" w:themeColor="text1"/>
          <w:sz w:val="22"/>
          <w:szCs w:val="22"/>
        </w:rPr>
        <w:t xml:space="preserve"> SDs </w:t>
      </w:r>
      <w:r w:rsidR="00B20740" w:rsidRPr="00726423">
        <w:rPr>
          <w:rFonts w:ascii="Arial" w:hAnsi="Arial" w:cs="Arial"/>
          <w:b/>
          <w:bCs/>
          <w:color w:val="000000" w:themeColor="text1"/>
          <w:sz w:val="22"/>
          <w:szCs w:val="22"/>
        </w:rPr>
        <w:t xml:space="preserve">(B, </w:t>
      </w:r>
      <w:r w:rsidR="00D92861" w:rsidRPr="00726423">
        <w:rPr>
          <w:rFonts w:ascii="Arial" w:hAnsi="Arial" w:cs="Arial"/>
          <w:b/>
          <w:bCs/>
          <w:color w:val="000000" w:themeColor="text1"/>
          <w:sz w:val="22"/>
          <w:szCs w:val="22"/>
        </w:rPr>
        <w:t xml:space="preserve">D, </w:t>
      </w:r>
      <w:r w:rsidR="00B20740" w:rsidRPr="00726423">
        <w:rPr>
          <w:rFonts w:ascii="Arial" w:hAnsi="Arial" w:cs="Arial"/>
          <w:b/>
          <w:bCs/>
          <w:color w:val="000000" w:themeColor="text1"/>
          <w:sz w:val="22"/>
          <w:szCs w:val="22"/>
        </w:rPr>
        <w:t>H</w:t>
      </w:r>
      <w:r w:rsidR="00B909AF" w:rsidRPr="00726423">
        <w:rPr>
          <w:rFonts w:ascii="Arial" w:hAnsi="Arial" w:cs="Arial"/>
          <w:b/>
          <w:bCs/>
          <w:color w:val="000000" w:themeColor="text1"/>
          <w:sz w:val="22"/>
          <w:szCs w:val="22"/>
        </w:rPr>
        <w:t xml:space="preserve"> to </w:t>
      </w:r>
      <w:r w:rsidR="00356E27" w:rsidRPr="00726423">
        <w:rPr>
          <w:rFonts w:ascii="Arial" w:hAnsi="Arial" w:cs="Arial"/>
          <w:b/>
          <w:bCs/>
          <w:color w:val="000000" w:themeColor="text1"/>
          <w:sz w:val="22"/>
          <w:szCs w:val="22"/>
        </w:rPr>
        <w:t>J</w:t>
      </w:r>
      <w:r w:rsidR="00B20740" w:rsidRPr="00726423">
        <w:rPr>
          <w:rFonts w:ascii="Arial" w:hAnsi="Arial" w:cs="Arial"/>
          <w:b/>
          <w:bCs/>
          <w:color w:val="000000" w:themeColor="text1"/>
          <w:sz w:val="22"/>
          <w:szCs w:val="22"/>
        </w:rPr>
        <w:t>)</w:t>
      </w:r>
      <w:r w:rsidR="00B20740" w:rsidRPr="00726423">
        <w:rPr>
          <w:rFonts w:ascii="Arial" w:hAnsi="Arial" w:cs="Arial"/>
          <w:color w:val="000000" w:themeColor="text1"/>
          <w:sz w:val="22"/>
          <w:szCs w:val="22"/>
        </w:rPr>
        <w:t xml:space="preserve"> or means </w:t>
      </w:r>
      <w:r w:rsidR="007B77D1" w:rsidRPr="00726423">
        <w:rPr>
          <w:rFonts w:ascii="Arial" w:hAnsi="Arial" w:cs="Arial"/>
          <w:color w:val="000000" w:themeColor="text1"/>
          <w:sz w:val="22"/>
          <w:szCs w:val="22"/>
        </w:rPr>
        <w:t>±</w:t>
      </w:r>
      <w:r w:rsidR="00B20740" w:rsidRPr="00726423">
        <w:rPr>
          <w:rFonts w:ascii="Arial" w:hAnsi="Arial" w:cs="Arial"/>
          <w:color w:val="000000" w:themeColor="text1"/>
          <w:sz w:val="22"/>
          <w:szCs w:val="22"/>
        </w:rPr>
        <w:t xml:space="preserve"> SEMs </w:t>
      </w:r>
      <w:r w:rsidR="00B20740" w:rsidRPr="00726423">
        <w:rPr>
          <w:rFonts w:ascii="Arial" w:hAnsi="Arial" w:cs="Arial"/>
          <w:b/>
          <w:bCs/>
          <w:color w:val="000000" w:themeColor="text1"/>
          <w:sz w:val="22"/>
          <w:szCs w:val="22"/>
        </w:rPr>
        <w:t>(C</w:t>
      </w:r>
      <w:r w:rsidR="00B909AF" w:rsidRPr="00726423">
        <w:rPr>
          <w:rFonts w:ascii="Arial" w:hAnsi="Arial" w:cs="Arial"/>
          <w:b/>
          <w:bCs/>
          <w:color w:val="000000" w:themeColor="text1"/>
          <w:sz w:val="22"/>
          <w:szCs w:val="22"/>
        </w:rPr>
        <w:t xml:space="preserve"> to </w:t>
      </w:r>
      <w:r w:rsidR="00B20740" w:rsidRPr="00726423">
        <w:rPr>
          <w:rFonts w:ascii="Arial" w:hAnsi="Arial" w:cs="Arial"/>
          <w:b/>
          <w:bCs/>
          <w:color w:val="000000" w:themeColor="text1"/>
          <w:sz w:val="22"/>
          <w:szCs w:val="22"/>
        </w:rPr>
        <w:t>E)</w:t>
      </w:r>
      <w:r w:rsidR="00356E27" w:rsidRPr="00726423">
        <w:rPr>
          <w:rFonts w:ascii="Arial" w:hAnsi="Arial" w:cs="Arial"/>
          <w:b/>
          <w:bCs/>
          <w:color w:val="000000" w:themeColor="text1"/>
          <w:sz w:val="22"/>
          <w:szCs w:val="22"/>
        </w:rPr>
        <w:t xml:space="preserve"> </w:t>
      </w:r>
      <w:r w:rsidR="00356E27" w:rsidRPr="00726423">
        <w:rPr>
          <w:rFonts w:ascii="Arial" w:hAnsi="Arial" w:cs="Arial"/>
          <w:color w:val="000000" w:themeColor="text1"/>
          <w:sz w:val="22"/>
          <w:szCs w:val="22"/>
        </w:rPr>
        <w:t xml:space="preserve">were pooled from one </w:t>
      </w:r>
      <w:r w:rsidR="00356E27" w:rsidRPr="00726423">
        <w:rPr>
          <w:rFonts w:ascii="Arial" w:hAnsi="Arial" w:cs="Arial"/>
          <w:b/>
          <w:bCs/>
          <w:color w:val="000000" w:themeColor="text1"/>
          <w:sz w:val="22"/>
          <w:szCs w:val="22"/>
        </w:rPr>
        <w:t>(</w:t>
      </w:r>
      <w:r w:rsidR="006603C2" w:rsidRPr="00726423">
        <w:rPr>
          <w:rFonts w:ascii="Arial" w:hAnsi="Arial" w:cs="Arial"/>
          <w:b/>
          <w:bCs/>
          <w:color w:val="000000" w:themeColor="text1"/>
          <w:sz w:val="22"/>
          <w:szCs w:val="22"/>
        </w:rPr>
        <w:t>B)</w:t>
      </w:r>
      <w:r w:rsidR="006603C2" w:rsidRPr="00726423">
        <w:rPr>
          <w:rFonts w:ascii="Arial" w:hAnsi="Arial" w:cs="Arial"/>
          <w:color w:val="000000" w:themeColor="text1"/>
          <w:sz w:val="22"/>
          <w:szCs w:val="22"/>
        </w:rPr>
        <w:t>, two</w:t>
      </w:r>
      <w:r w:rsidR="00B909AF" w:rsidRPr="00726423">
        <w:rPr>
          <w:rFonts w:ascii="Arial" w:hAnsi="Arial" w:cs="Arial"/>
          <w:color w:val="000000" w:themeColor="text1"/>
          <w:sz w:val="22"/>
          <w:szCs w:val="22"/>
        </w:rPr>
        <w:t xml:space="preserve"> </w:t>
      </w:r>
      <w:r w:rsidR="006603C2" w:rsidRPr="00726423">
        <w:rPr>
          <w:rFonts w:ascii="Arial" w:hAnsi="Arial" w:cs="Arial"/>
          <w:b/>
          <w:bCs/>
          <w:color w:val="000000" w:themeColor="text1"/>
          <w:sz w:val="22"/>
          <w:szCs w:val="22"/>
        </w:rPr>
        <w:t>(</w:t>
      </w:r>
      <w:r w:rsidR="00356E27" w:rsidRPr="00726423">
        <w:rPr>
          <w:rFonts w:ascii="Arial" w:hAnsi="Arial" w:cs="Arial"/>
          <w:b/>
          <w:bCs/>
          <w:color w:val="000000" w:themeColor="text1"/>
          <w:sz w:val="22"/>
          <w:szCs w:val="22"/>
        </w:rPr>
        <w:t>D)</w:t>
      </w:r>
      <w:r w:rsidR="00356E27" w:rsidRPr="00726423">
        <w:rPr>
          <w:rFonts w:ascii="Arial" w:hAnsi="Arial" w:cs="Arial"/>
          <w:color w:val="000000" w:themeColor="text1"/>
          <w:sz w:val="22"/>
          <w:szCs w:val="22"/>
        </w:rPr>
        <w:t xml:space="preserve"> or three </w:t>
      </w:r>
      <w:r w:rsidR="00356E27" w:rsidRPr="00726423">
        <w:rPr>
          <w:rFonts w:ascii="Arial" w:hAnsi="Arial" w:cs="Arial"/>
          <w:b/>
          <w:bCs/>
          <w:color w:val="000000" w:themeColor="text1"/>
          <w:sz w:val="22"/>
          <w:szCs w:val="22"/>
        </w:rPr>
        <w:t>(H</w:t>
      </w:r>
      <w:r w:rsidR="00B909AF" w:rsidRPr="00726423">
        <w:rPr>
          <w:rFonts w:ascii="Arial" w:hAnsi="Arial" w:cs="Arial"/>
          <w:b/>
          <w:bCs/>
          <w:color w:val="000000" w:themeColor="text1"/>
          <w:sz w:val="22"/>
          <w:szCs w:val="22"/>
        </w:rPr>
        <w:t xml:space="preserve"> to </w:t>
      </w:r>
      <w:r w:rsidR="00356E27" w:rsidRPr="00726423">
        <w:rPr>
          <w:rFonts w:ascii="Arial" w:hAnsi="Arial" w:cs="Arial"/>
          <w:b/>
          <w:bCs/>
          <w:color w:val="000000" w:themeColor="text1"/>
          <w:sz w:val="22"/>
          <w:szCs w:val="22"/>
        </w:rPr>
        <w:t>J)</w:t>
      </w:r>
      <w:r w:rsidR="00356E27" w:rsidRPr="00726423">
        <w:rPr>
          <w:rFonts w:ascii="Arial" w:hAnsi="Arial" w:cs="Arial"/>
          <w:color w:val="000000" w:themeColor="text1"/>
          <w:sz w:val="22"/>
          <w:szCs w:val="22"/>
        </w:rPr>
        <w:t xml:space="preserve"> experiments or representative one of two experiments</w:t>
      </w:r>
      <w:r w:rsidR="00B909AF" w:rsidRPr="00726423">
        <w:rPr>
          <w:rFonts w:ascii="Arial" w:hAnsi="Arial" w:cs="Arial"/>
          <w:color w:val="000000" w:themeColor="text1"/>
          <w:sz w:val="22"/>
          <w:szCs w:val="22"/>
        </w:rPr>
        <w:t xml:space="preserve"> </w:t>
      </w:r>
      <w:r w:rsidR="00B909AF" w:rsidRPr="00726423">
        <w:rPr>
          <w:rFonts w:ascii="Arial" w:hAnsi="Arial" w:cs="Arial"/>
          <w:b/>
          <w:bCs/>
          <w:color w:val="000000" w:themeColor="text1"/>
          <w:sz w:val="22"/>
          <w:szCs w:val="22"/>
        </w:rPr>
        <w:t xml:space="preserve">(E to </w:t>
      </w:r>
      <w:r w:rsidR="00283977" w:rsidRPr="00726423">
        <w:rPr>
          <w:rFonts w:ascii="Arial" w:hAnsi="Arial" w:cs="Arial"/>
          <w:b/>
          <w:bCs/>
          <w:color w:val="000000" w:themeColor="text1"/>
          <w:sz w:val="22"/>
          <w:szCs w:val="22"/>
        </w:rPr>
        <w:t>G</w:t>
      </w:r>
      <w:r w:rsidR="00B909AF" w:rsidRPr="00726423">
        <w:rPr>
          <w:rFonts w:ascii="Arial" w:hAnsi="Arial" w:cs="Arial"/>
          <w:b/>
          <w:bCs/>
          <w:color w:val="000000" w:themeColor="text1"/>
          <w:sz w:val="22"/>
          <w:szCs w:val="22"/>
        </w:rPr>
        <w:t>)</w:t>
      </w:r>
      <w:r w:rsidRPr="00726423">
        <w:rPr>
          <w:rFonts w:ascii="Arial" w:hAnsi="Arial" w:cs="Arial"/>
          <w:color w:val="000000" w:themeColor="text1"/>
          <w:sz w:val="22"/>
          <w:szCs w:val="22"/>
        </w:rPr>
        <w:t xml:space="preserve">. Data in </w:t>
      </w:r>
      <w:r w:rsidR="00B909AF" w:rsidRPr="00726423">
        <w:rPr>
          <w:rFonts w:ascii="Arial" w:hAnsi="Arial" w:cs="Arial"/>
          <w:b/>
          <w:bCs/>
          <w:color w:val="000000" w:themeColor="text1"/>
          <w:sz w:val="22"/>
          <w:szCs w:val="22"/>
        </w:rPr>
        <w:t>(</w:t>
      </w:r>
      <w:r w:rsidRPr="00726423">
        <w:rPr>
          <w:rFonts w:ascii="Arial" w:hAnsi="Arial" w:cs="Arial"/>
          <w:b/>
          <w:bCs/>
          <w:color w:val="000000" w:themeColor="text1"/>
          <w:sz w:val="22"/>
          <w:szCs w:val="22"/>
        </w:rPr>
        <w:t>H</w:t>
      </w:r>
      <w:r w:rsidR="00B909AF" w:rsidRPr="00726423">
        <w:rPr>
          <w:rFonts w:ascii="Arial" w:hAnsi="Arial" w:cs="Arial"/>
          <w:b/>
          <w:bCs/>
          <w:color w:val="000000" w:themeColor="text1"/>
          <w:sz w:val="22"/>
          <w:szCs w:val="22"/>
        </w:rPr>
        <w:t xml:space="preserve"> to </w:t>
      </w:r>
      <w:r w:rsidR="00356E27" w:rsidRPr="00726423">
        <w:rPr>
          <w:rFonts w:ascii="Arial" w:hAnsi="Arial" w:cs="Arial"/>
          <w:b/>
          <w:bCs/>
          <w:color w:val="000000" w:themeColor="text1"/>
          <w:sz w:val="22"/>
          <w:szCs w:val="22"/>
        </w:rPr>
        <w:t>J</w:t>
      </w:r>
      <w:r w:rsidR="00B909AF" w:rsidRPr="00726423">
        <w:rPr>
          <w:rFonts w:ascii="Arial" w:hAnsi="Arial" w:cs="Arial"/>
          <w:b/>
          <w:bCs/>
          <w:color w:val="000000" w:themeColor="text1"/>
          <w:sz w:val="22"/>
          <w:szCs w:val="22"/>
        </w:rPr>
        <w:t>)</w:t>
      </w:r>
      <w:r w:rsidRPr="00726423">
        <w:rPr>
          <w:rFonts w:ascii="Arial" w:hAnsi="Arial" w:cs="Arial"/>
          <w:color w:val="000000" w:themeColor="text1"/>
          <w:sz w:val="22"/>
          <w:szCs w:val="22"/>
        </w:rPr>
        <w:t xml:space="preserve"> were normalized </w:t>
      </w:r>
      <w:r w:rsidR="00A818DE" w:rsidRPr="00726423">
        <w:rPr>
          <w:rFonts w:ascii="Arial" w:hAnsi="Arial" w:cs="Arial"/>
          <w:color w:val="000000" w:themeColor="text1"/>
          <w:sz w:val="22"/>
          <w:szCs w:val="22"/>
        </w:rPr>
        <w:t xml:space="preserve">by sexes and presented as fold changes </w:t>
      </w:r>
      <w:r w:rsidRPr="00726423">
        <w:rPr>
          <w:rFonts w:ascii="Arial" w:hAnsi="Arial" w:cs="Arial"/>
          <w:color w:val="000000" w:themeColor="text1"/>
          <w:sz w:val="22"/>
          <w:szCs w:val="22"/>
        </w:rPr>
        <w:t xml:space="preserve">to the </w:t>
      </w:r>
      <w:r w:rsidR="00B20740" w:rsidRPr="00726423">
        <w:rPr>
          <w:rFonts w:ascii="Arial" w:hAnsi="Arial" w:cs="Arial"/>
          <w:color w:val="000000" w:themeColor="text1"/>
          <w:sz w:val="22"/>
          <w:szCs w:val="22"/>
        </w:rPr>
        <w:t>IL-33+Indomethacin</w:t>
      </w:r>
      <w:r w:rsidR="00B909AF" w:rsidRPr="00726423">
        <w:rPr>
          <w:rFonts w:ascii="Arial" w:hAnsi="Arial" w:cs="Arial"/>
          <w:color w:val="000000" w:themeColor="text1"/>
          <w:sz w:val="22"/>
          <w:szCs w:val="22"/>
        </w:rPr>
        <w:t>+vehicle</w:t>
      </w:r>
      <w:r w:rsidR="00B20740" w:rsidRPr="00726423">
        <w:rPr>
          <w:rFonts w:ascii="Arial" w:hAnsi="Arial" w:cs="Arial"/>
          <w:color w:val="000000" w:themeColor="text1"/>
          <w:sz w:val="22"/>
          <w:szCs w:val="22"/>
        </w:rPr>
        <w:t xml:space="preserve"> </w:t>
      </w:r>
      <w:r w:rsidRPr="00726423">
        <w:rPr>
          <w:rFonts w:ascii="Arial" w:hAnsi="Arial" w:cs="Arial"/>
          <w:color w:val="000000" w:themeColor="text1"/>
          <w:sz w:val="22"/>
          <w:szCs w:val="22"/>
        </w:rPr>
        <w:t xml:space="preserve">group. Each dot </w:t>
      </w:r>
      <w:r w:rsidR="00A818DE" w:rsidRPr="00726423">
        <w:rPr>
          <w:rFonts w:ascii="Arial" w:hAnsi="Arial" w:cs="Arial"/>
          <w:color w:val="000000" w:themeColor="text1"/>
          <w:sz w:val="22"/>
          <w:szCs w:val="22"/>
        </w:rPr>
        <w:t xml:space="preserve">in the bar graphs </w:t>
      </w:r>
      <w:r w:rsidR="00B20740" w:rsidRPr="00726423">
        <w:rPr>
          <w:rFonts w:ascii="Arial" w:hAnsi="Arial" w:cs="Arial"/>
          <w:b/>
          <w:bCs/>
          <w:color w:val="000000" w:themeColor="text1"/>
          <w:sz w:val="22"/>
          <w:szCs w:val="22"/>
        </w:rPr>
        <w:t>(</w:t>
      </w:r>
      <w:r w:rsidR="00356E27" w:rsidRPr="00726423">
        <w:rPr>
          <w:rFonts w:ascii="Arial" w:hAnsi="Arial" w:cs="Arial"/>
          <w:b/>
          <w:bCs/>
          <w:color w:val="000000" w:themeColor="text1"/>
          <w:sz w:val="22"/>
          <w:szCs w:val="22"/>
        </w:rPr>
        <w:t>B, D, H</w:t>
      </w:r>
      <w:r w:rsidR="00B909AF" w:rsidRPr="00726423">
        <w:rPr>
          <w:rFonts w:ascii="Arial" w:hAnsi="Arial" w:cs="Arial"/>
          <w:b/>
          <w:bCs/>
          <w:color w:val="000000" w:themeColor="text1"/>
          <w:sz w:val="22"/>
          <w:szCs w:val="22"/>
        </w:rPr>
        <w:t xml:space="preserve"> to </w:t>
      </w:r>
      <w:r w:rsidR="00356E27" w:rsidRPr="00726423">
        <w:rPr>
          <w:rFonts w:ascii="Arial" w:hAnsi="Arial" w:cs="Arial"/>
          <w:b/>
          <w:bCs/>
          <w:color w:val="000000" w:themeColor="text1"/>
          <w:sz w:val="22"/>
          <w:szCs w:val="22"/>
        </w:rPr>
        <w:t>J</w:t>
      </w:r>
      <w:r w:rsidR="00B20740" w:rsidRPr="00726423">
        <w:rPr>
          <w:rFonts w:ascii="Arial" w:hAnsi="Arial" w:cs="Arial"/>
          <w:b/>
          <w:bCs/>
          <w:color w:val="000000" w:themeColor="text1"/>
          <w:sz w:val="22"/>
          <w:szCs w:val="22"/>
        </w:rPr>
        <w:t>)</w:t>
      </w:r>
      <w:r w:rsidRPr="00726423">
        <w:rPr>
          <w:rFonts w:ascii="Arial" w:hAnsi="Arial" w:cs="Arial"/>
          <w:color w:val="000000" w:themeColor="text1"/>
          <w:sz w:val="22"/>
          <w:szCs w:val="22"/>
        </w:rPr>
        <w:t xml:space="preserve"> represents one mouse. </w:t>
      </w:r>
      <w:r w:rsidR="00A818DE" w:rsidRPr="00726423">
        <w:rPr>
          <w:rFonts w:ascii="Arial" w:hAnsi="Arial" w:cs="Arial"/>
          <w:color w:val="000000" w:themeColor="text1"/>
          <w:sz w:val="22"/>
          <w:szCs w:val="22"/>
        </w:rPr>
        <w:t>*</w:t>
      </w:r>
      <w:r w:rsidR="00A818DE" w:rsidRPr="00726423">
        <w:rPr>
          <w:rFonts w:ascii="Arial" w:hAnsi="Arial" w:cs="Arial"/>
          <w:i/>
          <w:iCs/>
          <w:color w:val="000000" w:themeColor="text1"/>
          <w:sz w:val="22"/>
          <w:szCs w:val="22"/>
        </w:rPr>
        <w:t>P</w:t>
      </w:r>
      <w:r w:rsidR="00A818DE" w:rsidRPr="00726423">
        <w:rPr>
          <w:rFonts w:ascii="Arial" w:hAnsi="Arial" w:cs="Arial"/>
          <w:color w:val="000000" w:themeColor="text1"/>
          <w:sz w:val="22"/>
          <w:szCs w:val="22"/>
        </w:rPr>
        <w:t xml:space="preserve">&lt;0.05, </w:t>
      </w:r>
      <w:r w:rsidRPr="00726423">
        <w:rPr>
          <w:rFonts w:ascii="Arial" w:hAnsi="Arial" w:cs="Arial"/>
          <w:color w:val="000000" w:themeColor="text1"/>
          <w:sz w:val="22"/>
          <w:szCs w:val="22"/>
        </w:rPr>
        <w:t>**</w:t>
      </w:r>
      <w:r w:rsidRPr="00726423">
        <w:rPr>
          <w:rFonts w:ascii="Arial" w:hAnsi="Arial" w:cs="Arial"/>
          <w:i/>
          <w:iCs/>
          <w:color w:val="000000" w:themeColor="text1"/>
          <w:sz w:val="22"/>
          <w:szCs w:val="22"/>
        </w:rPr>
        <w:t>P</w:t>
      </w:r>
      <w:r w:rsidRPr="00726423">
        <w:rPr>
          <w:rFonts w:ascii="Arial" w:hAnsi="Arial" w:cs="Arial"/>
          <w:color w:val="000000" w:themeColor="text1"/>
          <w:sz w:val="22"/>
          <w:szCs w:val="22"/>
        </w:rPr>
        <w:t>&lt;0.01, ***</w:t>
      </w:r>
      <w:r w:rsidRPr="00726423">
        <w:rPr>
          <w:rFonts w:ascii="Arial" w:hAnsi="Arial" w:cs="Arial"/>
          <w:i/>
          <w:iCs/>
          <w:color w:val="000000" w:themeColor="text1"/>
          <w:sz w:val="22"/>
          <w:szCs w:val="22"/>
        </w:rPr>
        <w:t>P</w:t>
      </w:r>
      <w:r w:rsidRPr="00726423">
        <w:rPr>
          <w:rFonts w:ascii="Arial" w:hAnsi="Arial" w:cs="Arial"/>
          <w:color w:val="000000" w:themeColor="text1"/>
          <w:sz w:val="22"/>
          <w:szCs w:val="22"/>
        </w:rPr>
        <w:t>&lt;0.001, ****</w:t>
      </w:r>
      <w:r w:rsidRPr="00726423">
        <w:rPr>
          <w:rFonts w:ascii="Arial" w:hAnsi="Arial" w:cs="Arial"/>
          <w:i/>
          <w:iCs/>
          <w:color w:val="000000" w:themeColor="text1"/>
          <w:sz w:val="22"/>
          <w:szCs w:val="22"/>
        </w:rPr>
        <w:t>P</w:t>
      </w:r>
      <w:r w:rsidRPr="00726423">
        <w:rPr>
          <w:rFonts w:ascii="Arial" w:hAnsi="Arial" w:cs="Arial"/>
          <w:color w:val="000000" w:themeColor="text1"/>
          <w:sz w:val="22"/>
          <w:szCs w:val="22"/>
        </w:rPr>
        <w:t xml:space="preserve">&lt;0.0001 </w:t>
      </w:r>
      <w:r w:rsidR="00356E27" w:rsidRPr="00726423">
        <w:rPr>
          <w:rFonts w:ascii="Arial" w:hAnsi="Arial" w:cs="Arial"/>
          <w:color w:val="000000" w:themeColor="text1"/>
          <w:sz w:val="22"/>
          <w:szCs w:val="22"/>
        </w:rPr>
        <w:t xml:space="preserve">by </w:t>
      </w:r>
      <w:r w:rsidR="00B909AF" w:rsidRPr="00726423">
        <w:rPr>
          <w:rFonts w:ascii="Arial" w:hAnsi="Arial" w:cs="Arial"/>
          <w:color w:val="000000" w:themeColor="text1"/>
          <w:sz w:val="22"/>
          <w:szCs w:val="22"/>
        </w:rPr>
        <w:t xml:space="preserve">one-way </w:t>
      </w:r>
      <w:r w:rsidR="00B909AF" w:rsidRPr="00726423">
        <w:rPr>
          <w:rFonts w:ascii="Arial" w:hAnsi="Arial" w:cs="Arial"/>
          <w:b/>
          <w:bCs/>
          <w:color w:val="000000" w:themeColor="text1"/>
          <w:sz w:val="22"/>
          <w:szCs w:val="22"/>
        </w:rPr>
        <w:t>(B)</w:t>
      </w:r>
      <w:r w:rsidR="00B909AF" w:rsidRPr="00726423">
        <w:rPr>
          <w:rFonts w:ascii="Arial" w:hAnsi="Arial" w:cs="Arial"/>
          <w:color w:val="000000" w:themeColor="text1"/>
          <w:sz w:val="22"/>
          <w:szCs w:val="22"/>
        </w:rPr>
        <w:t xml:space="preserve"> or two-way </w:t>
      </w:r>
      <w:r w:rsidR="00B909AF" w:rsidRPr="00726423">
        <w:rPr>
          <w:rFonts w:ascii="Arial" w:hAnsi="Arial" w:cs="Arial"/>
          <w:b/>
          <w:bCs/>
          <w:color w:val="000000" w:themeColor="text1"/>
          <w:sz w:val="22"/>
          <w:szCs w:val="22"/>
        </w:rPr>
        <w:t>(H to J)</w:t>
      </w:r>
      <w:r w:rsidR="00B909AF" w:rsidRPr="00726423">
        <w:rPr>
          <w:rFonts w:ascii="Arial" w:hAnsi="Arial" w:cs="Arial"/>
          <w:color w:val="000000" w:themeColor="text1"/>
          <w:sz w:val="22"/>
          <w:szCs w:val="22"/>
        </w:rPr>
        <w:t xml:space="preserve"> </w:t>
      </w:r>
      <w:r w:rsidR="00356E27" w:rsidRPr="00726423">
        <w:rPr>
          <w:rFonts w:ascii="Arial" w:hAnsi="Arial" w:cs="Arial"/>
          <w:color w:val="000000" w:themeColor="text1"/>
          <w:sz w:val="22"/>
          <w:szCs w:val="22"/>
        </w:rPr>
        <w:t>ANOVA with post-hoc Holm-</w:t>
      </w:r>
      <w:proofErr w:type="spellStart"/>
      <w:r w:rsidR="00356E27" w:rsidRPr="00726423">
        <w:rPr>
          <w:rFonts w:ascii="Arial" w:hAnsi="Arial" w:cs="Arial"/>
          <w:color w:val="000000" w:themeColor="text1"/>
          <w:sz w:val="22"/>
          <w:szCs w:val="22"/>
        </w:rPr>
        <w:t>Sidak's</w:t>
      </w:r>
      <w:proofErr w:type="spellEnd"/>
      <w:r w:rsidR="00356E27" w:rsidRPr="00726423">
        <w:rPr>
          <w:rFonts w:ascii="Arial" w:hAnsi="Arial" w:cs="Arial"/>
          <w:color w:val="000000" w:themeColor="text1"/>
          <w:sz w:val="22"/>
          <w:szCs w:val="22"/>
        </w:rPr>
        <w:t xml:space="preserve"> multiple comparisons tests</w:t>
      </w:r>
      <w:r w:rsidR="00B909AF" w:rsidRPr="00726423">
        <w:rPr>
          <w:rFonts w:ascii="Arial" w:hAnsi="Arial" w:cs="Arial"/>
          <w:color w:val="000000" w:themeColor="text1"/>
          <w:sz w:val="22"/>
          <w:szCs w:val="22"/>
        </w:rPr>
        <w:t xml:space="preserve"> or </w:t>
      </w:r>
      <w:r w:rsidR="00B20E68" w:rsidRPr="00726423">
        <w:rPr>
          <w:rFonts w:ascii="Arial" w:hAnsi="Arial" w:cs="Arial"/>
          <w:color w:val="000000" w:themeColor="text1"/>
          <w:sz w:val="22"/>
          <w:szCs w:val="22"/>
        </w:rPr>
        <w:t xml:space="preserve">unpaired, 2-tailed Student’s </w:t>
      </w:r>
      <w:r w:rsidR="00B20E68" w:rsidRPr="00726423">
        <w:rPr>
          <w:rFonts w:ascii="Arial" w:hAnsi="Arial" w:cs="Arial"/>
          <w:i/>
          <w:iCs/>
          <w:color w:val="000000" w:themeColor="text1"/>
          <w:sz w:val="22"/>
          <w:szCs w:val="22"/>
        </w:rPr>
        <w:t>t</w:t>
      </w:r>
      <w:r w:rsidR="00F6375B" w:rsidRPr="00726423">
        <w:rPr>
          <w:rFonts w:ascii="Arial" w:hAnsi="Arial" w:cs="Arial"/>
          <w:color w:val="000000" w:themeColor="text1"/>
          <w:sz w:val="22"/>
          <w:szCs w:val="22"/>
        </w:rPr>
        <w:t>-</w:t>
      </w:r>
      <w:r w:rsidR="00B20E68" w:rsidRPr="00726423">
        <w:rPr>
          <w:rFonts w:ascii="Arial" w:hAnsi="Arial" w:cs="Arial"/>
          <w:color w:val="000000" w:themeColor="text1"/>
          <w:sz w:val="22"/>
          <w:szCs w:val="22"/>
        </w:rPr>
        <w:t>tests</w:t>
      </w:r>
      <w:r w:rsidR="00F6375B" w:rsidRPr="00726423">
        <w:rPr>
          <w:rFonts w:ascii="Arial" w:hAnsi="Arial" w:cs="Arial"/>
          <w:color w:val="000000" w:themeColor="text1"/>
          <w:sz w:val="22"/>
          <w:szCs w:val="22"/>
        </w:rPr>
        <w:t xml:space="preserve"> </w:t>
      </w:r>
      <w:r w:rsidR="00F6375B" w:rsidRPr="00726423">
        <w:rPr>
          <w:rFonts w:ascii="Arial" w:hAnsi="Arial" w:cs="Arial"/>
          <w:b/>
          <w:bCs/>
          <w:color w:val="000000" w:themeColor="text1"/>
          <w:sz w:val="22"/>
          <w:szCs w:val="22"/>
        </w:rPr>
        <w:t>(</w:t>
      </w:r>
      <w:r w:rsidR="00283977" w:rsidRPr="00726423">
        <w:rPr>
          <w:rFonts w:ascii="Arial" w:hAnsi="Arial" w:cs="Arial"/>
          <w:b/>
          <w:bCs/>
          <w:color w:val="000000" w:themeColor="text1"/>
          <w:sz w:val="22"/>
          <w:szCs w:val="22"/>
        </w:rPr>
        <w:t>D</w:t>
      </w:r>
      <w:r w:rsidR="00F6375B" w:rsidRPr="00726423">
        <w:rPr>
          <w:rFonts w:ascii="Arial" w:hAnsi="Arial" w:cs="Arial"/>
          <w:b/>
          <w:bCs/>
          <w:color w:val="000000" w:themeColor="text1"/>
          <w:sz w:val="22"/>
          <w:szCs w:val="22"/>
        </w:rPr>
        <w:t xml:space="preserve"> to G)</w:t>
      </w:r>
      <w:r w:rsidR="00356E27" w:rsidRPr="00726423">
        <w:rPr>
          <w:rFonts w:ascii="Arial" w:hAnsi="Arial" w:cs="Arial"/>
          <w:color w:val="000000" w:themeColor="text1"/>
          <w:sz w:val="22"/>
          <w:szCs w:val="22"/>
        </w:rPr>
        <w:t>.</w:t>
      </w:r>
    </w:p>
    <w:p w14:paraId="203396D0" w14:textId="77777777" w:rsidR="00726423" w:rsidRPr="00726423" w:rsidRDefault="00726423">
      <w:pPr>
        <w:jc w:val="both"/>
        <w:rPr>
          <w:rFonts w:ascii="Arial" w:hAnsi="Arial" w:cs="Arial"/>
          <w:color w:val="000000" w:themeColor="text1"/>
          <w:sz w:val="22"/>
          <w:szCs w:val="22"/>
        </w:rPr>
      </w:pPr>
    </w:p>
    <w:sectPr w:rsidR="00726423" w:rsidRPr="00726423" w:rsidSect="001F66E9">
      <w:footerReference w:type="even" r:id="rId15"/>
      <w:footerReference w:type="default" r:id="rId16"/>
      <w:pgSz w:w="11900" w:h="16840"/>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EEA9D3" w14:textId="77777777" w:rsidR="005A5995" w:rsidRDefault="005A5995" w:rsidP="005A11D2">
      <w:r>
        <w:separator/>
      </w:r>
    </w:p>
  </w:endnote>
  <w:endnote w:type="continuationSeparator" w:id="0">
    <w:p w14:paraId="789201D2" w14:textId="77777777" w:rsidR="005A5995" w:rsidRDefault="005A5995" w:rsidP="005A11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ACF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59854706"/>
      <w:docPartObj>
        <w:docPartGallery w:val="Page Numbers (Bottom of Page)"/>
        <w:docPartUnique/>
      </w:docPartObj>
    </w:sdtPr>
    <w:sdtEndPr>
      <w:rPr>
        <w:rStyle w:val="PageNumber"/>
      </w:rPr>
    </w:sdtEndPr>
    <w:sdtContent>
      <w:p w14:paraId="03E3C07D" w14:textId="13DE3C5D" w:rsidR="00A64F01" w:rsidRDefault="00A64F01" w:rsidP="004D27A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BA4948D" w14:textId="77777777" w:rsidR="00A64F01" w:rsidRDefault="00A64F01" w:rsidP="00A64F0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994227378"/>
      <w:docPartObj>
        <w:docPartGallery w:val="Page Numbers (Bottom of Page)"/>
        <w:docPartUnique/>
      </w:docPartObj>
    </w:sdtPr>
    <w:sdtEndPr>
      <w:rPr>
        <w:rStyle w:val="PageNumber"/>
      </w:rPr>
    </w:sdtEndPr>
    <w:sdtContent>
      <w:p w14:paraId="0DD7636B" w14:textId="47C4AE65" w:rsidR="00A64F01" w:rsidRDefault="00A64F01" w:rsidP="004D27A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586DF831" w14:textId="77777777" w:rsidR="00A64F01" w:rsidRDefault="00A64F01" w:rsidP="00A64F01">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D1DF7A" w14:textId="77777777" w:rsidR="005A5995" w:rsidRDefault="005A5995" w:rsidP="005A11D2">
      <w:r>
        <w:separator/>
      </w:r>
    </w:p>
  </w:footnote>
  <w:footnote w:type="continuationSeparator" w:id="0">
    <w:p w14:paraId="6E51CB1D" w14:textId="77777777" w:rsidR="005A5995" w:rsidRDefault="005A5995" w:rsidP="005A11D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BC0662"/>
    <w:multiLevelType w:val="multilevel"/>
    <w:tmpl w:val="02A48E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13252A9"/>
    <w:multiLevelType w:val="multilevel"/>
    <w:tmpl w:val="E3FE30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9574581"/>
    <w:multiLevelType w:val="multilevel"/>
    <w:tmpl w:val="4C664A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A8648AC"/>
    <w:multiLevelType w:val="multilevel"/>
    <w:tmpl w:val="4216AA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2C17F00"/>
    <w:multiLevelType w:val="multilevel"/>
    <w:tmpl w:val="DD9057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EAB2273"/>
    <w:multiLevelType w:val="hybridMultilevel"/>
    <w:tmpl w:val="8F16BA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2A75132"/>
    <w:multiLevelType w:val="multilevel"/>
    <w:tmpl w:val="569E73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F8743AE"/>
    <w:multiLevelType w:val="multilevel"/>
    <w:tmpl w:val="548259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CCE07AC"/>
    <w:multiLevelType w:val="multilevel"/>
    <w:tmpl w:val="011C0E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65A127B7"/>
    <w:multiLevelType w:val="multilevel"/>
    <w:tmpl w:val="9522D370"/>
    <w:lvl w:ilvl="0">
      <w:start w:val="2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68154C26"/>
    <w:multiLevelType w:val="multilevel"/>
    <w:tmpl w:val="0FA209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F286E27"/>
    <w:multiLevelType w:val="multilevel"/>
    <w:tmpl w:val="370068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0"/>
  </w:num>
  <w:num w:numId="3">
    <w:abstractNumId w:val="10"/>
  </w:num>
  <w:num w:numId="4">
    <w:abstractNumId w:val="3"/>
  </w:num>
  <w:num w:numId="5">
    <w:abstractNumId w:val="11"/>
  </w:num>
  <w:num w:numId="6">
    <w:abstractNumId w:val="6"/>
  </w:num>
  <w:num w:numId="7">
    <w:abstractNumId w:val="1"/>
  </w:num>
  <w:num w:numId="8">
    <w:abstractNumId w:val="8"/>
  </w:num>
  <w:num w:numId="9">
    <w:abstractNumId w:val="7"/>
  </w:num>
  <w:num w:numId="10">
    <w:abstractNumId w:val="5"/>
  </w:num>
  <w:num w:numId="11">
    <w:abstractNumId w:val="9"/>
  </w:num>
  <w:num w:numId="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14CCF"/>
    <w:rsid w:val="0000217C"/>
    <w:rsid w:val="0000646D"/>
    <w:rsid w:val="00006EBF"/>
    <w:rsid w:val="00016A95"/>
    <w:rsid w:val="0002371A"/>
    <w:rsid w:val="00030479"/>
    <w:rsid w:val="000313EF"/>
    <w:rsid w:val="00032455"/>
    <w:rsid w:val="00034837"/>
    <w:rsid w:val="00036097"/>
    <w:rsid w:val="0004094C"/>
    <w:rsid w:val="0004397E"/>
    <w:rsid w:val="00053B03"/>
    <w:rsid w:val="00053DD9"/>
    <w:rsid w:val="00053F16"/>
    <w:rsid w:val="00055D38"/>
    <w:rsid w:val="00056CD9"/>
    <w:rsid w:val="00060353"/>
    <w:rsid w:val="00064A87"/>
    <w:rsid w:val="0006590D"/>
    <w:rsid w:val="00065DED"/>
    <w:rsid w:val="00067569"/>
    <w:rsid w:val="000675BC"/>
    <w:rsid w:val="00070B61"/>
    <w:rsid w:val="00080D5C"/>
    <w:rsid w:val="000842E7"/>
    <w:rsid w:val="0008794A"/>
    <w:rsid w:val="000903C2"/>
    <w:rsid w:val="00092FBB"/>
    <w:rsid w:val="000949E6"/>
    <w:rsid w:val="00097EF1"/>
    <w:rsid w:val="00097FA1"/>
    <w:rsid w:val="000A159D"/>
    <w:rsid w:val="000B275D"/>
    <w:rsid w:val="000B454D"/>
    <w:rsid w:val="000C3CB2"/>
    <w:rsid w:val="000C5647"/>
    <w:rsid w:val="000C77E4"/>
    <w:rsid w:val="000D1863"/>
    <w:rsid w:val="000D1C28"/>
    <w:rsid w:val="000D599C"/>
    <w:rsid w:val="000D7AC1"/>
    <w:rsid w:val="000E2563"/>
    <w:rsid w:val="000E28A0"/>
    <w:rsid w:val="000E488F"/>
    <w:rsid w:val="000E6008"/>
    <w:rsid w:val="000E63ED"/>
    <w:rsid w:val="000E728D"/>
    <w:rsid w:val="000E76CE"/>
    <w:rsid w:val="000F03B6"/>
    <w:rsid w:val="000F0505"/>
    <w:rsid w:val="000F0719"/>
    <w:rsid w:val="000F13EE"/>
    <w:rsid w:val="000F145B"/>
    <w:rsid w:val="000F4730"/>
    <w:rsid w:val="000F6049"/>
    <w:rsid w:val="000F6757"/>
    <w:rsid w:val="000F7AC0"/>
    <w:rsid w:val="000F7E17"/>
    <w:rsid w:val="00104E3E"/>
    <w:rsid w:val="001064DF"/>
    <w:rsid w:val="00113C89"/>
    <w:rsid w:val="00115688"/>
    <w:rsid w:val="00116353"/>
    <w:rsid w:val="001257DA"/>
    <w:rsid w:val="00126010"/>
    <w:rsid w:val="0012790E"/>
    <w:rsid w:val="00127BE2"/>
    <w:rsid w:val="001337F0"/>
    <w:rsid w:val="00134A78"/>
    <w:rsid w:val="001350B6"/>
    <w:rsid w:val="0014139A"/>
    <w:rsid w:val="001416D4"/>
    <w:rsid w:val="00147816"/>
    <w:rsid w:val="00153229"/>
    <w:rsid w:val="0015625F"/>
    <w:rsid w:val="0015773F"/>
    <w:rsid w:val="00157FA3"/>
    <w:rsid w:val="00160953"/>
    <w:rsid w:val="00164CEE"/>
    <w:rsid w:val="00167F92"/>
    <w:rsid w:val="001716B8"/>
    <w:rsid w:val="00177A4F"/>
    <w:rsid w:val="00184F7F"/>
    <w:rsid w:val="00187627"/>
    <w:rsid w:val="00191369"/>
    <w:rsid w:val="00193BFC"/>
    <w:rsid w:val="00196A1F"/>
    <w:rsid w:val="00196CFC"/>
    <w:rsid w:val="001A0056"/>
    <w:rsid w:val="001A0E87"/>
    <w:rsid w:val="001A792B"/>
    <w:rsid w:val="001B2A4B"/>
    <w:rsid w:val="001B2CC1"/>
    <w:rsid w:val="001B4A60"/>
    <w:rsid w:val="001C0B38"/>
    <w:rsid w:val="001C1B94"/>
    <w:rsid w:val="001D0FA1"/>
    <w:rsid w:val="001D5348"/>
    <w:rsid w:val="001E37AE"/>
    <w:rsid w:val="001E3DB0"/>
    <w:rsid w:val="001E4144"/>
    <w:rsid w:val="001E5FB0"/>
    <w:rsid w:val="001E6469"/>
    <w:rsid w:val="001F1233"/>
    <w:rsid w:val="001F2365"/>
    <w:rsid w:val="001F2790"/>
    <w:rsid w:val="001F4598"/>
    <w:rsid w:val="001F661B"/>
    <w:rsid w:val="001F66E9"/>
    <w:rsid w:val="001F69AC"/>
    <w:rsid w:val="001F6EBC"/>
    <w:rsid w:val="00202912"/>
    <w:rsid w:val="00207814"/>
    <w:rsid w:val="002100CF"/>
    <w:rsid w:val="0021017B"/>
    <w:rsid w:val="00220DC8"/>
    <w:rsid w:val="002223E2"/>
    <w:rsid w:val="002229B9"/>
    <w:rsid w:val="00224A1C"/>
    <w:rsid w:val="0022554E"/>
    <w:rsid w:val="00235C18"/>
    <w:rsid w:val="0023611A"/>
    <w:rsid w:val="00236935"/>
    <w:rsid w:val="00236E78"/>
    <w:rsid w:val="00240323"/>
    <w:rsid w:val="00240DFC"/>
    <w:rsid w:val="00241E4D"/>
    <w:rsid w:val="00242803"/>
    <w:rsid w:val="00247E05"/>
    <w:rsid w:val="002524B1"/>
    <w:rsid w:val="0025751C"/>
    <w:rsid w:val="0025776E"/>
    <w:rsid w:val="00260D2C"/>
    <w:rsid w:val="00270548"/>
    <w:rsid w:val="00270C40"/>
    <w:rsid w:val="00272BF4"/>
    <w:rsid w:val="0027320D"/>
    <w:rsid w:val="00276846"/>
    <w:rsid w:val="002801F8"/>
    <w:rsid w:val="00280204"/>
    <w:rsid w:val="00281943"/>
    <w:rsid w:val="00283977"/>
    <w:rsid w:val="00285A52"/>
    <w:rsid w:val="002860D6"/>
    <w:rsid w:val="00286D05"/>
    <w:rsid w:val="00286F7D"/>
    <w:rsid w:val="00291DCD"/>
    <w:rsid w:val="00294507"/>
    <w:rsid w:val="002958D7"/>
    <w:rsid w:val="002969ED"/>
    <w:rsid w:val="00296FF9"/>
    <w:rsid w:val="002A7068"/>
    <w:rsid w:val="002A772E"/>
    <w:rsid w:val="002B1289"/>
    <w:rsid w:val="002B12A5"/>
    <w:rsid w:val="002B1E27"/>
    <w:rsid w:val="002C4D63"/>
    <w:rsid w:val="002D15F8"/>
    <w:rsid w:val="002D54F5"/>
    <w:rsid w:val="002D5E46"/>
    <w:rsid w:val="002D5EA8"/>
    <w:rsid w:val="002D7881"/>
    <w:rsid w:val="002E0C91"/>
    <w:rsid w:val="002E6FC9"/>
    <w:rsid w:val="002F155D"/>
    <w:rsid w:val="002F1624"/>
    <w:rsid w:val="002F235F"/>
    <w:rsid w:val="002F2408"/>
    <w:rsid w:val="002F28F4"/>
    <w:rsid w:val="002F2EB9"/>
    <w:rsid w:val="002F5CB7"/>
    <w:rsid w:val="002F7702"/>
    <w:rsid w:val="0030099F"/>
    <w:rsid w:val="003028CC"/>
    <w:rsid w:val="00303889"/>
    <w:rsid w:val="00304EF6"/>
    <w:rsid w:val="0030621F"/>
    <w:rsid w:val="0031049A"/>
    <w:rsid w:val="00311B1E"/>
    <w:rsid w:val="00312D47"/>
    <w:rsid w:val="00316DCB"/>
    <w:rsid w:val="0032079A"/>
    <w:rsid w:val="003231F2"/>
    <w:rsid w:val="003320F9"/>
    <w:rsid w:val="003323F6"/>
    <w:rsid w:val="003348CA"/>
    <w:rsid w:val="003373AE"/>
    <w:rsid w:val="00337B40"/>
    <w:rsid w:val="00341D70"/>
    <w:rsid w:val="00341E19"/>
    <w:rsid w:val="0034283E"/>
    <w:rsid w:val="0034418A"/>
    <w:rsid w:val="0034631F"/>
    <w:rsid w:val="0034716F"/>
    <w:rsid w:val="00351CF7"/>
    <w:rsid w:val="0035293A"/>
    <w:rsid w:val="00352DC9"/>
    <w:rsid w:val="003534CD"/>
    <w:rsid w:val="00353B35"/>
    <w:rsid w:val="0035403B"/>
    <w:rsid w:val="00354ABC"/>
    <w:rsid w:val="00356E27"/>
    <w:rsid w:val="00361359"/>
    <w:rsid w:val="00362176"/>
    <w:rsid w:val="003628FD"/>
    <w:rsid w:val="003635CE"/>
    <w:rsid w:val="003638EB"/>
    <w:rsid w:val="00363EEE"/>
    <w:rsid w:val="00365E3A"/>
    <w:rsid w:val="003716F4"/>
    <w:rsid w:val="00371803"/>
    <w:rsid w:val="00374098"/>
    <w:rsid w:val="00374CD9"/>
    <w:rsid w:val="0037545C"/>
    <w:rsid w:val="00377329"/>
    <w:rsid w:val="00380922"/>
    <w:rsid w:val="00385894"/>
    <w:rsid w:val="00386DA6"/>
    <w:rsid w:val="003948B4"/>
    <w:rsid w:val="00394F5E"/>
    <w:rsid w:val="00397507"/>
    <w:rsid w:val="003A0122"/>
    <w:rsid w:val="003A2D11"/>
    <w:rsid w:val="003A3741"/>
    <w:rsid w:val="003B4A67"/>
    <w:rsid w:val="003B6A5C"/>
    <w:rsid w:val="003B71B8"/>
    <w:rsid w:val="003B74B8"/>
    <w:rsid w:val="003B7674"/>
    <w:rsid w:val="003C0698"/>
    <w:rsid w:val="003C1DF7"/>
    <w:rsid w:val="003C2A69"/>
    <w:rsid w:val="003D1129"/>
    <w:rsid w:val="003D16D9"/>
    <w:rsid w:val="003D2340"/>
    <w:rsid w:val="003D356D"/>
    <w:rsid w:val="003D593F"/>
    <w:rsid w:val="003D5B94"/>
    <w:rsid w:val="003E5D77"/>
    <w:rsid w:val="003E5DE7"/>
    <w:rsid w:val="003F2B09"/>
    <w:rsid w:val="003F726B"/>
    <w:rsid w:val="00400CCA"/>
    <w:rsid w:val="0040124E"/>
    <w:rsid w:val="00401F72"/>
    <w:rsid w:val="00403C17"/>
    <w:rsid w:val="00407A77"/>
    <w:rsid w:val="0041035D"/>
    <w:rsid w:val="004108C9"/>
    <w:rsid w:val="00411E84"/>
    <w:rsid w:val="00412EE5"/>
    <w:rsid w:val="00413629"/>
    <w:rsid w:val="00414093"/>
    <w:rsid w:val="0041479D"/>
    <w:rsid w:val="00414CCF"/>
    <w:rsid w:val="0042054A"/>
    <w:rsid w:val="0043309F"/>
    <w:rsid w:val="00434417"/>
    <w:rsid w:val="00434A1F"/>
    <w:rsid w:val="0043564B"/>
    <w:rsid w:val="00443EA5"/>
    <w:rsid w:val="00446DCE"/>
    <w:rsid w:val="00446F9E"/>
    <w:rsid w:val="00447499"/>
    <w:rsid w:val="004527BD"/>
    <w:rsid w:val="00453938"/>
    <w:rsid w:val="00454C78"/>
    <w:rsid w:val="004556A2"/>
    <w:rsid w:val="0046021A"/>
    <w:rsid w:val="0046143B"/>
    <w:rsid w:val="00462620"/>
    <w:rsid w:val="00465490"/>
    <w:rsid w:val="004722FC"/>
    <w:rsid w:val="00480BD0"/>
    <w:rsid w:val="00481ED5"/>
    <w:rsid w:val="004840E7"/>
    <w:rsid w:val="004915B7"/>
    <w:rsid w:val="004915BA"/>
    <w:rsid w:val="00491E10"/>
    <w:rsid w:val="00494E78"/>
    <w:rsid w:val="00495916"/>
    <w:rsid w:val="004A1CFB"/>
    <w:rsid w:val="004A5FCF"/>
    <w:rsid w:val="004B02B3"/>
    <w:rsid w:val="004B112E"/>
    <w:rsid w:val="004B2BC2"/>
    <w:rsid w:val="004B47D0"/>
    <w:rsid w:val="004B500B"/>
    <w:rsid w:val="004B5229"/>
    <w:rsid w:val="004B7055"/>
    <w:rsid w:val="004C37C1"/>
    <w:rsid w:val="004C4192"/>
    <w:rsid w:val="004C66D0"/>
    <w:rsid w:val="004D0FE8"/>
    <w:rsid w:val="004D210F"/>
    <w:rsid w:val="004D7E9D"/>
    <w:rsid w:val="004E20CC"/>
    <w:rsid w:val="004E2BBE"/>
    <w:rsid w:val="004E6F69"/>
    <w:rsid w:val="004F0865"/>
    <w:rsid w:val="004F187B"/>
    <w:rsid w:val="004F6EE5"/>
    <w:rsid w:val="004F73B8"/>
    <w:rsid w:val="004F7CB3"/>
    <w:rsid w:val="00500806"/>
    <w:rsid w:val="00502347"/>
    <w:rsid w:val="00503CF3"/>
    <w:rsid w:val="00506005"/>
    <w:rsid w:val="0050775A"/>
    <w:rsid w:val="00512F3E"/>
    <w:rsid w:val="0051357E"/>
    <w:rsid w:val="00515081"/>
    <w:rsid w:val="00516E8C"/>
    <w:rsid w:val="00516F04"/>
    <w:rsid w:val="00521CB3"/>
    <w:rsid w:val="0052312E"/>
    <w:rsid w:val="00524739"/>
    <w:rsid w:val="00527C5F"/>
    <w:rsid w:val="0053412D"/>
    <w:rsid w:val="005349E4"/>
    <w:rsid w:val="005432FA"/>
    <w:rsid w:val="00546BF3"/>
    <w:rsid w:val="00546BF9"/>
    <w:rsid w:val="00550AAB"/>
    <w:rsid w:val="00550C4E"/>
    <w:rsid w:val="00555296"/>
    <w:rsid w:val="00564F48"/>
    <w:rsid w:val="0056715E"/>
    <w:rsid w:val="005768B7"/>
    <w:rsid w:val="00576DEC"/>
    <w:rsid w:val="0058081E"/>
    <w:rsid w:val="0058206D"/>
    <w:rsid w:val="0058657E"/>
    <w:rsid w:val="00586EE3"/>
    <w:rsid w:val="005928A7"/>
    <w:rsid w:val="0059421E"/>
    <w:rsid w:val="005A0584"/>
    <w:rsid w:val="005A11D2"/>
    <w:rsid w:val="005A2B6D"/>
    <w:rsid w:val="005A4532"/>
    <w:rsid w:val="005A5995"/>
    <w:rsid w:val="005A632F"/>
    <w:rsid w:val="005A778F"/>
    <w:rsid w:val="005B022F"/>
    <w:rsid w:val="005B0CD2"/>
    <w:rsid w:val="005B132B"/>
    <w:rsid w:val="005B5A28"/>
    <w:rsid w:val="005B766C"/>
    <w:rsid w:val="005C3B55"/>
    <w:rsid w:val="005C3FDE"/>
    <w:rsid w:val="005C46E5"/>
    <w:rsid w:val="005C5C24"/>
    <w:rsid w:val="005C6711"/>
    <w:rsid w:val="005D061D"/>
    <w:rsid w:val="005D119E"/>
    <w:rsid w:val="005D149A"/>
    <w:rsid w:val="005D3413"/>
    <w:rsid w:val="005D3CBF"/>
    <w:rsid w:val="005D51DF"/>
    <w:rsid w:val="005D52DC"/>
    <w:rsid w:val="005D781F"/>
    <w:rsid w:val="005E08FF"/>
    <w:rsid w:val="005E7E47"/>
    <w:rsid w:val="005F0176"/>
    <w:rsid w:val="005F10EC"/>
    <w:rsid w:val="005F3ADD"/>
    <w:rsid w:val="005F4E8C"/>
    <w:rsid w:val="005F5DD7"/>
    <w:rsid w:val="00601F4F"/>
    <w:rsid w:val="00604FC5"/>
    <w:rsid w:val="0060748F"/>
    <w:rsid w:val="0061015D"/>
    <w:rsid w:val="00612179"/>
    <w:rsid w:val="00615071"/>
    <w:rsid w:val="0061605F"/>
    <w:rsid w:val="0061655A"/>
    <w:rsid w:val="006167A0"/>
    <w:rsid w:val="00617D3B"/>
    <w:rsid w:val="00622235"/>
    <w:rsid w:val="006239A5"/>
    <w:rsid w:val="00625907"/>
    <w:rsid w:val="00626AB4"/>
    <w:rsid w:val="00634BCC"/>
    <w:rsid w:val="00637060"/>
    <w:rsid w:val="0064028B"/>
    <w:rsid w:val="00640DA4"/>
    <w:rsid w:val="006437D0"/>
    <w:rsid w:val="00646623"/>
    <w:rsid w:val="00654805"/>
    <w:rsid w:val="00655F8C"/>
    <w:rsid w:val="00660171"/>
    <w:rsid w:val="006603C2"/>
    <w:rsid w:val="00660E2B"/>
    <w:rsid w:val="0067273B"/>
    <w:rsid w:val="00672915"/>
    <w:rsid w:val="00676764"/>
    <w:rsid w:val="006822E3"/>
    <w:rsid w:val="00682D6A"/>
    <w:rsid w:val="00690A3F"/>
    <w:rsid w:val="00691AC1"/>
    <w:rsid w:val="0069368B"/>
    <w:rsid w:val="0069603D"/>
    <w:rsid w:val="00696BBE"/>
    <w:rsid w:val="006A0048"/>
    <w:rsid w:val="006A2201"/>
    <w:rsid w:val="006A2F47"/>
    <w:rsid w:val="006A314D"/>
    <w:rsid w:val="006A4833"/>
    <w:rsid w:val="006A5564"/>
    <w:rsid w:val="006A583D"/>
    <w:rsid w:val="006A75E3"/>
    <w:rsid w:val="006B01D5"/>
    <w:rsid w:val="006B27D3"/>
    <w:rsid w:val="006B440D"/>
    <w:rsid w:val="006B46C8"/>
    <w:rsid w:val="006C055F"/>
    <w:rsid w:val="006C14A4"/>
    <w:rsid w:val="006C291A"/>
    <w:rsid w:val="006C406F"/>
    <w:rsid w:val="006C6A7E"/>
    <w:rsid w:val="006C6E29"/>
    <w:rsid w:val="006C7AEF"/>
    <w:rsid w:val="006D14E7"/>
    <w:rsid w:val="006D4F11"/>
    <w:rsid w:val="006E1D72"/>
    <w:rsid w:val="006E6369"/>
    <w:rsid w:val="006E7C40"/>
    <w:rsid w:val="006F0898"/>
    <w:rsid w:val="00701B61"/>
    <w:rsid w:val="00704B09"/>
    <w:rsid w:val="00710241"/>
    <w:rsid w:val="00714369"/>
    <w:rsid w:val="00716F9A"/>
    <w:rsid w:val="00720D0D"/>
    <w:rsid w:val="00724B3D"/>
    <w:rsid w:val="00724BA9"/>
    <w:rsid w:val="00724E74"/>
    <w:rsid w:val="007250F9"/>
    <w:rsid w:val="00726423"/>
    <w:rsid w:val="00726FAB"/>
    <w:rsid w:val="00733394"/>
    <w:rsid w:val="00742AA0"/>
    <w:rsid w:val="00744BEB"/>
    <w:rsid w:val="00745CDE"/>
    <w:rsid w:val="00751F13"/>
    <w:rsid w:val="00756B77"/>
    <w:rsid w:val="00757E23"/>
    <w:rsid w:val="00761D56"/>
    <w:rsid w:val="007624ED"/>
    <w:rsid w:val="007630BD"/>
    <w:rsid w:val="00764263"/>
    <w:rsid w:val="00766541"/>
    <w:rsid w:val="00771420"/>
    <w:rsid w:val="0077190E"/>
    <w:rsid w:val="007728C2"/>
    <w:rsid w:val="00772CB0"/>
    <w:rsid w:val="007740BF"/>
    <w:rsid w:val="00774177"/>
    <w:rsid w:val="00777ABF"/>
    <w:rsid w:val="007814A9"/>
    <w:rsid w:val="007816A5"/>
    <w:rsid w:val="007823D6"/>
    <w:rsid w:val="0078240D"/>
    <w:rsid w:val="0078441C"/>
    <w:rsid w:val="0078484A"/>
    <w:rsid w:val="00785C0E"/>
    <w:rsid w:val="0078630C"/>
    <w:rsid w:val="0079204B"/>
    <w:rsid w:val="00794DC2"/>
    <w:rsid w:val="007A2B7F"/>
    <w:rsid w:val="007A397E"/>
    <w:rsid w:val="007A5D7C"/>
    <w:rsid w:val="007A6773"/>
    <w:rsid w:val="007B1202"/>
    <w:rsid w:val="007B34E8"/>
    <w:rsid w:val="007B4052"/>
    <w:rsid w:val="007B4B68"/>
    <w:rsid w:val="007B4E01"/>
    <w:rsid w:val="007B5609"/>
    <w:rsid w:val="007B6A8A"/>
    <w:rsid w:val="007B77D1"/>
    <w:rsid w:val="007C17E4"/>
    <w:rsid w:val="007C3E9E"/>
    <w:rsid w:val="007C4880"/>
    <w:rsid w:val="007C7F39"/>
    <w:rsid w:val="007D1673"/>
    <w:rsid w:val="007D453A"/>
    <w:rsid w:val="007D4BF2"/>
    <w:rsid w:val="007D64C3"/>
    <w:rsid w:val="007D7338"/>
    <w:rsid w:val="007E0BC6"/>
    <w:rsid w:val="007E39F5"/>
    <w:rsid w:val="007E4D00"/>
    <w:rsid w:val="007E70DE"/>
    <w:rsid w:val="007E7E84"/>
    <w:rsid w:val="007F1071"/>
    <w:rsid w:val="007F1561"/>
    <w:rsid w:val="007F1D2E"/>
    <w:rsid w:val="007F201D"/>
    <w:rsid w:val="007F323C"/>
    <w:rsid w:val="007F4F29"/>
    <w:rsid w:val="007F55FE"/>
    <w:rsid w:val="007F6D78"/>
    <w:rsid w:val="007F761B"/>
    <w:rsid w:val="008007AE"/>
    <w:rsid w:val="0080139F"/>
    <w:rsid w:val="00805A8B"/>
    <w:rsid w:val="00807111"/>
    <w:rsid w:val="008122CD"/>
    <w:rsid w:val="00812595"/>
    <w:rsid w:val="00812EC9"/>
    <w:rsid w:val="00813996"/>
    <w:rsid w:val="00817ADF"/>
    <w:rsid w:val="00827B46"/>
    <w:rsid w:val="00830545"/>
    <w:rsid w:val="0083115F"/>
    <w:rsid w:val="008363ED"/>
    <w:rsid w:val="00836F31"/>
    <w:rsid w:val="008428AA"/>
    <w:rsid w:val="00845E1C"/>
    <w:rsid w:val="008465E3"/>
    <w:rsid w:val="008468CE"/>
    <w:rsid w:val="00852811"/>
    <w:rsid w:val="008539ED"/>
    <w:rsid w:val="00856098"/>
    <w:rsid w:val="008656D8"/>
    <w:rsid w:val="00865A8D"/>
    <w:rsid w:val="00865CDC"/>
    <w:rsid w:val="00867334"/>
    <w:rsid w:val="00877D04"/>
    <w:rsid w:val="008832FB"/>
    <w:rsid w:val="00883D06"/>
    <w:rsid w:val="008843D4"/>
    <w:rsid w:val="00886A45"/>
    <w:rsid w:val="00890B74"/>
    <w:rsid w:val="0089482B"/>
    <w:rsid w:val="008A1209"/>
    <w:rsid w:val="008A32FA"/>
    <w:rsid w:val="008A405E"/>
    <w:rsid w:val="008B2841"/>
    <w:rsid w:val="008B4741"/>
    <w:rsid w:val="008B48F0"/>
    <w:rsid w:val="008C03A2"/>
    <w:rsid w:val="008C1984"/>
    <w:rsid w:val="008C6D69"/>
    <w:rsid w:val="008D058E"/>
    <w:rsid w:val="008D0A10"/>
    <w:rsid w:val="008D18CA"/>
    <w:rsid w:val="008E3115"/>
    <w:rsid w:val="008E6470"/>
    <w:rsid w:val="008E71C3"/>
    <w:rsid w:val="008E7227"/>
    <w:rsid w:val="008F0081"/>
    <w:rsid w:val="008F347E"/>
    <w:rsid w:val="008F3C8C"/>
    <w:rsid w:val="008F4ACF"/>
    <w:rsid w:val="0090053C"/>
    <w:rsid w:val="00900FF0"/>
    <w:rsid w:val="00903057"/>
    <w:rsid w:val="009041CE"/>
    <w:rsid w:val="00906068"/>
    <w:rsid w:val="009075C8"/>
    <w:rsid w:val="009109A7"/>
    <w:rsid w:val="00915275"/>
    <w:rsid w:val="009213ED"/>
    <w:rsid w:val="009229DE"/>
    <w:rsid w:val="00922D75"/>
    <w:rsid w:val="00923BCA"/>
    <w:rsid w:val="00926AFF"/>
    <w:rsid w:val="0092778B"/>
    <w:rsid w:val="00930215"/>
    <w:rsid w:val="00931487"/>
    <w:rsid w:val="00933D58"/>
    <w:rsid w:val="0093495B"/>
    <w:rsid w:val="00936F49"/>
    <w:rsid w:val="00937E1C"/>
    <w:rsid w:val="00952052"/>
    <w:rsid w:val="009543E7"/>
    <w:rsid w:val="00955AAF"/>
    <w:rsid w:val="00955E6D"/>
    <w:rsid w:val="00960F38"/>
    <w:rsid w:val="00963030"/>
    <w:rsid w:val="0096422F"/>
    <w:rsid w:val="00964454"/>
    <w:rsid w:val="00966F41"/>
    <w:rsid w:val="00970063"/>
    <w:rsid w:val="009707DF"/>
    <w:rsid w:val="00970F5F"/>
    <w:rsid w:val="009714F8"/>
    <w:rsid w:val="009722FB"/>
    <w:rsid w:val="00972345"/>
    <w:rsid w:val="0097269A"/>
    <w:rsid w:val="00974050"/>
    <w:rsid w:val="0097405A"/>
    <w:rsid w:val="00977790"/>
    <w:rsid w:val="00980285"/>
    <w:rsid w:val="00980539"/>
    <w:rsid w:val="0099341E"/>
    <w:rsid w:val="00993E0C"/>
    <w:rsid w:val="00994CDD"/>
    <w:rsid w:val="009A1872"/>
    <w:rsid w:val="009A1FBB"/>
    <w:rsid w:val="009A213D"/>
    <w:rsid w:val="009A53A6"/>
    <w:rsid w:val="009B44D2"/>
    <w:rsid w:val="009B59E8"/>
    <w:rsid w:val="009B73D0"/>
    <w:rsid w:val="009C2B27"/>
    <w:rsid w:val="009C4822"/>
    <w:rsid w:val="009C5F24"/>
    <w:rsid w:val="009C7D27"/>
    <w:rsid w:val="009D137A"/>
    <w:rsid w:val="009D1748"/>
    <w:rsid w:val="009D1F3B"/>
    <w:rsid w:val="009D46FA"/>
    <w:rsid w:val="009D5A38"/>
    <w:rsid w:val="009D625C"/>
    <w:rsid w:val="009E2E5B"/>
    <w:rsid w:val="009E497E"/>
    <w:rsid w:val="009F0303"/>
    <w:rsid w:val="009F0310"/>
    <w:rsid w:val="009F0B4E"/>
    <w:rsid w:val="009F7380"/>
    <w:rsid w:val="00A02DAE"/>
    <w:rsid w:val="00A033E9"/>
    <w:rsid w:val="00A03BB5"/>
    <w:rsid w:val="00A05173"/>
    <w:rsid w:val="00A067B0"/>
    <w:rsid w:val="00A06CA1"/>
    <w:rsid w:val="00A1192B"/>
    <w:rsid w:val="00A13E11"/>
    <w:rsid w:val="00A14125"/>
    <w:rsid w:val="00A15CF1"/>
    <w:rsid w:val="00A22C95"/>
    <w:rsid w:val="00A25336"/>
    <w:rsid w:val="00A256BB"/>
    <w:rsid w:val="00A3253A"/>
    <w:rsid w:val="00A3596C"/>
    <w:rsid w:val="00A435DA"/>
    <w:rsid w:val="00A462F5"/>
    <w:rsid w:val="00A5221B"/>
    <w:rsid w:val="00A54979"/>
    <w:rsid w:val="00A62152"/>
    <w:rsid w:val="00A62968"/>
    <w:rsid w:val="00A64F01"/>
    <w:rsid w:val="00A65434"/>
    <w:rsid w:val="00A6730F"/>
    <w:rsid w:val="00A70745"/>
    <w:rsid w:val="00A70C69"/>
    <w:rsid w:val="00A71C0E"/>
    <w:rsid w:val="00A73605"/>
    <w:rsid w:val="00A74010"/>
    <w:rsid w:val="00A7508D"/>
    <w:rsid w:val="00A7564B"/>
    <w:rsid w:val="00A818DE"/>
    <w:rsid w:val="00A86F29"/>
    <w:rsid w:val="00A97FBF"/>
    <w:rsid w:val="00AA0307"/>
    <w:rsid w:val="00AA44D6"/>
    <w:rsid w:val="00AA5053"/>
    <w:rsid w:val="00AA5F40"/>
    <w:rsid w:val="00AA65C4"/>
    <w:rsid w:val="00AA6F41"/>
    <w:rsid w:val="00AB5110"/>
    <w:rsid w:val="00AB5448"/>
    <w:rsid w:val="00AB6F81"/>
    <w:rsid w:val="00AC2055"/>
    <w:rsid w:val="00AC30F5"/>
    <w:rsid w:val="00AD17B3"/>
    <w:rsid w:val="00AD5158"/>
    <w:rsid w:val="00AE1BF8"/>
    <w:rsid w:val="00AE1C23"/>
    <w:rsid w:val="00AE2DCD"/>
    <w:rsid w:val="00AF01E8"/>
    <w:rsid w:val="00AF05FE"/>
    <w:rsid w:val="00AF58D5"/>
    <w:rsid w:val="00AF63D6"/>
    <w:rsid w:val="00B018A0"/>
    <w:rsid w:val="00B04CA8"/>
    <w:rsid w:val="00B0611B"/>
    <w:rsid w:val="00B12E2D"/>
    <w:rsid w:val="00B168EC"/>
    <w:rsid w:val="00B16C90"/>
    <w:rsid w:val="00B2069D"/>
    <w:rsid w:val="00B20740"/>
    <w:rsid w:val="00B20C2B"/>
    <w:rsid w:val="00B20E68"/>
    <w:rsid w:val="00B2142F"/>
    <w:rsid w:val="00B21AE8"/>
    <w:rsid w:val="00B21E38"/>
    <w:rsid w:val="00B22AE4"/>
    <w:rsid w:val="00B23DE9"/>
    <w:rsid w:val="00B25CE1"/>
    <w:rsid w:val="00B25E96"/>
    <w:rsid w:val="00B273EF"/>
    <w:rsid w:val="00B30AE6"/>
    <w:rsid w:val="00B30C05"/>
    <w:rsid w:val="00B36284"/>
    <w:rsid w:val="00B3780B"/>
    <w:rsid w:val="00B4064B"/>
    <w:rsid w:val="00B41CC8"/>
    <w:rsid w:val="00B45673"/>
    <w:rsid w:val="00B47FBA"/>
    <w:rsid w:val="00B51909"/>
    <w:rsid w:val="00B551B5"/>
    <w:rsid w:val="00B63C2B"/>
    <w:rsid w:val="00B644C6"/>
    <w:rsid w:val="00B66C2F"/>
    <w:rsid w:val="00B71360"/>
    <w:rsid w:val="00B735EA"/>
    <w:rsid w:val="00B73B88"/>
    <w:rsid w:val="00B7790A"/>
    <w:rsid w:val="00B82D35"/>
    <w:rsid w:val="00B848AB"/>
    <w:rsid w:val="00B84CA5"/>
    <w:rsid w:val="00B90773"/>
    <w:rsid w:val="00B909AF"/>
    <w:rsid w:val="00B915EC"/>
    <w:rsid w:val="00B933AC"/>
    <w:rsid w:val="00B937FF"/>
    <w:rsid w:val="00B93991"/>
    <w:rsid w:val="00B952B8"/>
    <w:rsid w:val="00B95C1A"/>
    <w:rsid w:val="00B96DEB"/>
    <w:rsid w:val="00BA0E1D"/>
    <w:rsid w:val="00BA56F5"/>
    <w:rsid w:val="00BB25DE"/>
    <w:rsid w:val="00BB5CEE"/>
    <w:rsid w:val="00BC1240"/>
    <w:rsid w:val="00BC541D"/>
    <w:rsid w:val="00BD3477"/>
    <w:rsid w:val="00BD6C43"/>
    <w:rsid w:val="00BD6FA8"/>
    <w:rsid w:val="00BE1529"/>
    <w:rsid w:val="00BE1886"/>
    <w:rsid w:val="00BE2B9E"/>
    <w:rsid w:val="00BE36FB"/>
    <w:rsid w:val="00BE3EA8"/>
    <w:rsid w:val="00BE7E79"/>
    <w:rsid w:val="00BF1392"/>
    <w:rsid w:val="00BF1C6F"/>
    <w:rsid w:val="00BF2226"/>
    <w:rsid w:val="00BF47F0"/>
    <w:rsid w:val="00BF4D70"/>
    <w:rsid w:val="00BF556E"/>
    <w:rsid w:val="00BF5C37"/>
    <w:rsid w:val="00C01EAF"/>
    <w:rsid w:val="00C065FF"/>
    <w:rsid w:val="00C1010D"/>
    <w:rsid w:val="00C107EE"/>
    <w:rsid w:val="00C1344F"/>
    <w:rsid w:val="00C142C9"/>
    <w:rsid w:val="00C21396"/>
    <w:rsid w:val="00C2242C"/>
    <w:rsid w:val="00C238C0"/>
    <w:rsid w:val="00C24E5B"/>
    <w:rsid w:val="00C2575A"/>
    <w:rsid w:val="00C264E4"/>
    <w:rsid w:val="00C2702D"/>
    <w:rsid w:val="00C3086F"/>
    <w:rsid w:val="00C3285B"/>
    <w:rsid w:val="00C33279"/>
    <w:rsid w:val="00C336B1"/>
    <w:rsid w:val="00C34B3A"/>
    <w:rsid w:val="00C4045A"/>
    <w:rsid w:val="00C465FF"/>
    <w:rsid w:val="00C468DC"/>
    <w:rsid w:val="00C47D32"/>
    <w:rsid w:val="00C51134"/>
    <w:rsid w:val="00C53D58"/>
    <w:rsid w:val="00C56249"/>
    <w:rsid w:val="00C5715B"/>
    <w:rsid w:val="00C6162E"/>
    <w:rsid w:val="00C650E2"/>
    <w:rsid w:val="00C65B93"/>
    <w:rsid w:val="00C666B4"/>
    <w:rsid w:val="00C66ED5"/>
    <w:rsid w:val="00C74625"/>
    <w:rsid w:val="00C769ED"/>
    <w:rsid w:val="00C8220A"/>
    <w:rsid w:val="00C8249F"/>
    <w:rsid w:val="00C83ECE"/>
    <w:rsid w:val="00C84214"/>
    <w:rsid w:val="00C8594B"/>
    <w:rsid w:val="00C872AE"/>
    <w:rsid w:val="00C9033D"/>
    <w:rsid w:val="00C9126D"/>
    <w:rsid w:val="00C92425"/>
    <w:rsid w:val="00C9274A"/>
    <w:rsid w:val="00C9288A"/>
    <w:rsid w:val="00C92A0C"/>
    <w:rsid w:val="00C9650B"/>
    <w:rsid w:val="00C96986"/>
    <w:rsid w:val="00CA0215"/>
    <w:rsid w:val="00CA07A2"/>
    <w:rsid w:val="00CA0847"/>
    <w:rsid w:val="00CA1CB5"/>
    <w:rsid w:val="00CA49E7"/>
    <w:rsid w:val="00CB0B80"/>
    <w:rsid w:val="00CB31B4"/>
    <w:rsid w:val="00CC4F05"/>
    <w:rsid w:val="00CD0DE1"/>
    <w:rsid w:val="00CD1E9E"/>
    <w:rsid w:val="00CD399C"/>
    <w:rsid w:val="00CE1D97"/>
    <w:rsid w:val="00CE3636"/>
    <w:rsid w:val="00CE45EF"/>
    <w:rsid w:val="00CE4F67"/>
    <w:rsid w:val="00CE5578"/>
    <w:rsid w:val="00CE771F"/>
    <w:rsid w:val="00CE78A7"/>
    <w:rsid w:val="00CF4DBC"/>
    <w:rsid w:val="00CF4DFF"/>
    <w:rsid w:val="00CF71D7"/>
    <w:rsid w:val="00CF7BF0"/>
    <w:rsid w:val="00D00B07"/>
    <w:rsid w:val="00D00E49"/>
    <w:rsid w:val="00D01D62"/>
    <w:rsid w:val="00D01D92"/>
    <w:rsid w:val="00D062BE"/>
    <w:rsid w:val="00D1031B"/>
    <w:rsid w:val="00D17E91"/>
    <w:rsid w:val="00D2041F"/>
    <w:rsid w:val="00D21512"/>
    <w:rsid w:val="00D222A5"/>
    <w:rsid w:val="00D232F3"/>
    <w:rsid w:val="00D24A49"/>
    <w:rsid w:val="00D25583"/>
    <w:rsid w:val="00D256AF"/>
    <w:rsid w:val="00D27DC7"/>
    <w:rsid w:val="00D309EE"/>
    <w:rsid w:val="00D3398B"/>
    <w:rsid w:val="00D346B2"/>
    <w:rsid w:val="00D4041A"/>
    <w:rsid w:val="00D40ADE"/>
    <w:rsid w:val="00D414D2"/>
    <w:rsid w:val="00D500B3"/>
    <w:rsid w:val="00D50CCF"/>
    <w:rsid w:val="00D557BE"/>
    <w:rsid w:val="00D557E7"/>
    <w:rsid w:val="00D55E16"/>
    <w:rsid w:val="00D60991"/>
    <w:rsid w:val="00D62A0F"/>
    <w:rsid w:val="00D73B11"/>
    <w:rsid w:val="00D7607D"/>
    <w:rsid w:val="00D77B5E"/>
    <w:rsid w:val="00D803A9"/>
    <w:rsid w:val="00D812EC"/>
    <w:rsid w:val="00D82225"/>
    <w:rsid w:val="00D83617"/>
    <w:rsid w:val="00D8393F"/>
    <w:rsid w:val="00D84024"/>
    <w:rsid w:val="00D86A49"/>
    <w:rsid w:val="00D92861"/>
    <w:rsid w:val="00D9334C"/>
    <w:rsid w:val="00D93495"/>
    <w:rsid w:val="00D9353A"/>
    <w:rsid w:val="00D94A5C"/>
    <w:rsid w:val="00D95BCB"/>
    <w:rsid w:val="00D9635E"/>
    <w:rsid w:val="00D97599"/>
    <w:rsid w:val="00DA0F34"/>
    <w:rsid w:val="00DA6CF2"/>
    <w:rsid w:val="00DB1DE8"/>
    <w:rsid w:val="00DB3127"/>
    <w:rsid w:val="00DB3D13"/>
    <w:rsid w:val="00DC123D"/>
    <w:rsid w:val="00DC2833"/>
    <w:rsid w:val="00DC50F7"/>
    <w:rsid w:val="00DC6D96"/>
    <w:rsid w:val="00DD32AB"/>
    <w:rsid w:val="00DD43AB"/>
    <w:rsid w:val="00DD640C"/>
    <w:rsid w:val="00DE0B1B"/>
    <w:rsid w:val="00DF1348"/>
    <w:rsid w:val="00DF31CD"/>
    <w:rsid w:val="00DF6AB6"/>
    <w:rsid w:val="00E03843"/>
    <w:rsid w:val="00E04866"/>
    <w:rsid w:val="00E04F4A"/>
    <w:rsid w:val="00E06269"/>
    <w:rsid w:val="00E114D2"/>
    <w:rsid w:val="00E11554"/>
    <w:rsid w:val="00E12859"/>
    <w:rsid w:val="00E15E3C"/>
    <w:rsid w:val="00E1660A"/>
    <w:rsid w:val="00E17AEF"/>
    <w:rsid w:val="00E22D7A"/>
    <w:rsid w:val="00E23410"/>
    <w:rsid w:val="00E2358F"/>
    <w:rsid w:val="00E24318"/>
    <w:rsid w:val="00E24C09"/>
    <w:rsid w:val="00E2589E"/>
    <w:rsid w:val="00E2672E"/>
    <w:rsid w:val="00E2761D"/>
    <w:rsid w:val="00E3285E"/>
    <w:rsid w:val="00E335FE"/>
    <w:rsid w:val="00E345BF"/>
    <w:rsid w:val="00E358CB"/>
    <w:rsid w:val="00E360E5"/>
    <w:rsid w:val="00E3702F"/>
    <w:rsid w:val="00E37384"/>
    <w:rsid w:val="00E4697E"/>
    <w:rsid w:val="00E477BC"/>
    <w:rsid w:val="00E51422"/>
    <w:rsid w:val="00E542AB"/>
    <w:rsid w:val="00E54D47"/>
    <w:rsid w:val="00E54F20"/>
    <w:rsid w:val="00E55530"/>
    <w:rsid w:val="00E556C9"/>
    <w:rsid w:val="00E569AB"/>
    <w:rsid w:val="00E63240"/>
    <w:rsid w:val="00E72480"/>
    <w:rsid w:val="00E7798B"/>
    <w:rsid w:val="00E812BF"/>
    <w:rsid w:val="00E81978"/>
    <w:rsid w:val="00E843C0"/>
    <w:rsid w:val="00E92BC1"/>
    <w:rsid w:val="00E976BC"/>
    <w:rsid w:val="00EA2C5E"/>
    <w:rsid w:val="00EA5C9D"/>
    <w:rsid w:val="00EB0901"/>
    <w:rsid w:val="00EB367C"/>
    <w:rsid w:val="00EB3804"/>
    <w:rsid w:val="00EB6753"/>
    <w:rsid w:val="00EB6E9C"/>
    <w:rsid w:val="00EC13BA"/>
    <w:rsid w:val="00EC3FF6"/>
    <w:rsid w:val="00EC505A"/>
    <w:rsid w:val="00EC507B"/>
    <w:rsid w:val="00EC75CB"/>
    <w:rsid w:val="00EC7C18"/>
    <w:rsid w:val="00ED10CF"/>
    <w:rsid w:val="00ED3BB1"/>
    <w:rsid w:val="00ED4FF3"/>
    <w:rsid w:val="00ED7625"/>
    <w:rsid w:val="00ED7B6D"/>
    <w:rsid w:val="00EE0730"/>
    <w:rsid w:val="00EE2F34"/>
    <w:rsid w:val="00EE3917"/>
    <w:rsid w:val="00EE5FD2"/>
    <w:rsid w:val="00EF11A5"/>
    <w:rsid w:val="00EF53A9"/>
    <w:rsid w:val="00F045F0"/>
    <w:rsid w:val="00F0681A"/>
    <w:rsid w:val="00F06C22"/>
    <w:rsid w:val="00F06C8A"/>
    <w:rsid w:val="00F10372"/>
    <w:rsid w:val="00F120A4"/>
    <w:rsid w:val="00F13BD4"/>
    <w:rsid w:val="00F16706"/>
    <w:rsid w:val="00F171E1"/>
    <w:rsid w:val="00F173F3"/>
    <w:rsid w:val="00F20B77"/>
    <w:rsid w:val="00F23209"/>
    <w:rsid w:val="00F25FC9"/>
    <w:rsid w:val="00F266DB"/>
    <w:rsid w:val="00F2700F"/>
    <w:rsid w:val="00F273B3"/>
    <w:rsid w:val="00F3174B"/>
    <w:rsid w:val="00F3562F"/>
    <w:rsid w:val="00F37DA5"/>
    <w:rsid w:val="00F40042"/>
    <w:rsid w:val="00F40C0F"/>
    <w:rsid w:val="00F446FA"/>
    <w:rsid w:val="00F46A80"/>
    <w:rsid w:val="00F47AB5"/>
    <w:rsid w:val="00F50607"/>
    <w:rsid w:val="00F50B8D"/>
    <w:rsid w:val="00F53A26"/>
    <w:rsid w:val="00F53EF0"/>
    <w:rsid w:val="00F55A5B"/>
    <w:rsid w:val="00F60E32"/>
    <w:rsid w:val="00F6162F"/>
    <w:rsid w:val="00F6375B"/>
    <w:rsid w:val="00F64738"/>
    <w:rsid w:val="00F6533B"/>
    <w:rsid w:val="00F654A4"/>
    <w:rsid w:val="00F66949"/>
    <w:rsid w:val="00F724AF"/>
    <w:rsid w:val="00F725DF"/>
    <w:rsid w:val="00F73832"/>
    <w:rsid w:val="00F836A4"/>
    <w:rsid w:val="00F85D0D"/>
    <w:rsid w:val="00F87FA2"/>
    <w:rsid w:val="00F9170E"/>
    <w:rsid w:val="00F934A8"/>
    <w:rsid w:val="00F93730"/>
    <w:rsid w:val="00F96863"/>
    <w:rsid w:val="00F96F8B"/>
    <w:rsid w:val="00F97C0E"/>
    <w:rsid w:val="00FA40CC"/>
    <w:rsid w:val="00FA64A4"/>
    <w:rsid w:val="00FA6E67"/>
    <w:rsid w:val="00FB7564"/>
    <w:rsid w:val="00FC0FE1"/>
    <w:rsid w:val="00FC29A0"/>
    <w:rsid w:val="00FC2A86"/>
    <w:rsid w:val="00FD26FC"/>
    <w:rsid w:val="00FD707C"/>
    <w:rsid w:val="00FE0445"/>
    <w:rsid w:val="00FE2AD9"/>
    <w:rsid w:val="00FE425B"/>
    <w:rsid w:val="00FF0518"/>
    <w:rsid w:val="00FF1A58"/>
    <w:rsid w:val="00FF6242"/>
    <w:rsid w:val="00FF6864"/>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decimalSymbol w:val="."/>
  <w:listSeparator w:val=","/>
  <w14:docId w14:val="5FE3F6FB"/>
  <w15:chartTrackingRefBased/>
  <w15:docId w15:val="{68DB9904-E49A-8C4C-B746-A0403258BF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F4ACF"/>
    <w:rPr>
      <w:rFonts w:ascii="Times New Roman" w:eastAsia="Times New Roman" w:hAnsi="Times New Roman" w:cs="Times New Roman"/>
      <w:lang w:eastAsia="zh-CN"/>
    </w:rPr>
  </w:style>
  <w:style w:type="paragraph" w:styleId="Heading1">
    <w:name w:val="heading 1"/>
    <w:basedOn w:val="Normal"/>
    <w:link w:val="Heading1Char"/>
    <w:uiPriority w:val="9"/>
    <w:qFormat/>
    <w:rsid w:val="007E70DE"/>
    <w:pPr>
      <w:spacing w:before="100" w:beforeAutospacing="1" w:after="100" w:afterAutospacing="1"/>
      <w:outlineLvl w:val="0"/>
    </w:pPr>
    <w:rPr>
      <w:b/>
      <w:bCs/>
      <w:kern w:val="36"/>
      <w:sz w:val="48"/>
      <w:szCs w:val="48"/>
    </w:rPr>
  </w:style>
  <w:style w:type="paragraph" w:styleId="Heading3">
    <w:name w:val="heading 3"/>
    <w:basedOn w:val="Normal"/>
    <w:next w:val="Normal"/>
    <w:link w:val="Heading3Char"/>
    <w:uiPriority w:val="9"/>
    <w:semiHidden/>
    <w:unhideWhenUsed/>
    <w:qFormat/>
    <w:rsid w:val="004F0865"/>
    <w:pPr>
      <w:keepNext/>
      <w:keepLines/>
      <w:spacing w:before="40"/>
      <w:outlineLvl w:val="2"/>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A6730F"/>
    <w:pPr>
      <w:spacing w:before="100" w:beforeAutospacing="1" w:after="100" w:afterAutospacing="1"/>
    </w:pPr>
  </w:style>
  <w:style w:type="character" w:styleId="Hyperlink">
    <w:name w:val="Hyperlink"/>
    <w:basedOn w:val="DefaultParagraphFont"/>
    <w:uiPriority w:val="99"/>
    <w:unhideWhenUsed/>
    <w:rsid w:val="00A6730F"/>
    <w:rPr>
      <w:color w:val="0000FF"/>
      <w:u w:val="single"/>
    </w:rPr>
  </w:style>
  <w:style w:type="paragraph" w:customStyle="1" w:styleId="p">
    <w:name w:val="p"/>
    <w:basedOn w:val="Normal"/>
    <w:rsid w:val="00A6730F"/>
    <w:pPr>
      <w:spacing w:before="100" w:beforeAutospacing="1" w:after="100" w:afterAutospacing="1"/>
    </w:pPr>
  </w:style>
  <w:style w:type="character" w:styleId="FollowedHyperlink">
    <w:name w:val="FollowedHyperlink"/>
    <w:basedOn w:val="DefaultParagraphFont"/>
    <w:uiPriority w:val="99"/>
    <w:semiHidden/>
    <w:unhideWhenUsed/>
    <w:rsid w:val="00827B46"/>
    <w:rPr>
      <w:color w:val="954F72" w:themeColor="followedHyperlink"/>
      <w:u w:val="single"/>
    </w:rPr>
  </w:style>
  <w:style w:type="character" w:styleId="Emphasis">
    <w:name w:val="Emphasis"/>
    <w:basedOn w:val="DefaultParagraphFont"/>
    <w:uiPriority w:val="20"/>
    <w:qFormat/>
    <w:rsid w:val="00E569AB"/>
    <w:rPr>
      <w:i/>
      <w:iCs/>
    </w:rPr>
  </w:style>
  <w:style w:type="character" w:customStyle="1" w:styleId="a">
    <w:name w:val="_"/>
    <w:basedOn w:val="DefaultParagraphFont"/>
    <w:rsid w:val="00272BF4"/>
  </w:style>
  <w:style w:type="character" w:customStyle="1" w:styleId="ffd">
    <w:name w:val="ffd"/>
    <w:basedOn w:val="DefaultParagraphFont"/>
    <w:rsid w:val="00272BF4"/>
  </w:style>
  <w:style w:type="character" w:customStyle="1" w:styleId="ff3">
    <w:name w:val="ff3"/>
    <w:basedOn w:val="DefaultParagraphFont"/>
    <w:rsid w:val="008B2841"/>
  </w:style>
  <w:style w:type="character" w:customStyle="1" w:styleId="apple-converted-space">
    <w:name w:val="apple-converted-space"/>
    <w:basedOn w:val="DefaultParagraphFont"/>
    <w:rsid w:val="00F173F3"/>
  </w:style>
  <w:style w:type="character" w:styleId="CommentReference">
    <w:name w:val="annotation reference"/>
    <w:basedOn w:val="DefaultParagraphFont"/>
    <w:uiPriority w:val="99"/>
    <w:semiHidden/>
    <w:unhideWhenUsed/>
    <w:rsid w:val="005A11D2"/>
    <w:rPr>
      <w:sz w:val="16"/>
      <w:szCs w:val="16"/>
    </w:rPr>
  </w:style>
  <w:style w:type="paragraph" w:styleId="CommentText">
    <w:name w:val="annotation text"/>
    <w:basedOn w:val="Normal"/>
    <w:link w:val="CommentTextChar"/>
    <w:uiPriority w:val="99"/>
    <w:unhideWhenUsed/>
    <w:rsid w:val="005A11D2"/>
    <w:rPr>
      <w:rFonts w:asciiTheme="minorHAnsi" w:eastAsia="MS Mincho" w:hAnsiTheme="minorHAnsi" w:cstheme="minorBidi"/>
      <w:sz w:val="20"/>
      <w:szCs w:val="20"/>
      <w:lang w:eastAsia="en-US"/>
    </w:rPr>
  </w:style>
  <w:style w:type="character" w:customStyle="1" w:styleId="CommentTextChar">
    <w:name w:val="Comment Text Char"/>
    <w:basedOn w:val="DefaultParagraphFont"/>
    <w:link w:val="CommentText"/>
    <w:uiPriority w:val="99"/>
    <w:rsid w:val="005A11D2"/>
    <w:rPr>
      <w:rFonts w:eastAsia="MS Mincho"/>
      <w:sz w:val="20"/>
      <w:szCs w:val="20"/>
    </w:rPr>
  </w:style>
  <w:style w:type="paragraph" w:styleId="Header">
    <w:name w:val="header"/>
    <w:basedOn w:val="Normal"/>
    <w:link w:val="HeaderChar"/>
    <w:uiPriority w:val="99"/>
    <w:unhideWhenUsed/>
    <w:rsid w:val="005A11D2"/>
    <w:pPr>
      <w:tabs>
        <w:tab w:val="center" w:pos="4680"/>
        <w:tab w:val="right" w:pos="9360"/>
      </w:tabs>
    </w:pPr>
  </w:style>
  <w:style w:type="character" w:customStyle="1" w:styleId="HeaderChar">
    <w:name w:val="Header Char"/>
    <w:basedOn w:val="DefaultParagraphFont"/>
    <w:link w:val="Header"/>
    <w:uiPriority w:val="99"/>
    <w:rsid w:val="005A11D2"/>
    <w:rPr>
      <w:rFonts w:ascii="Times New Roman" w:eastAsia="Times New Roman" w:hAnsi="Times New Roman" w:cs="Times New Roman"/>
      <w:lang w:eastAsia="en-GB"/>
    </w:rPr>
  </w:style>
  <w:style w:type="paragraph" w:styleId="Footer">
    <w:name w:val="footer"/>
    <w:basedOn w:val="Normal"/>
    <w:link w:val="FooterChar"/>
    <w:uiPriority w:val="99"/>
    <w:unhideWhenUsed/>
    <w:rsid w:val="005A11D2"/>
    <w:pPr>
      <w:tabs>
        <w:tab w:val="center" w:pos="4680"/>
        <w:tab w:val="right" w:pos="9360"/>
      </w:tabs>
    </w:pPr>
  </w:style>
  <w:style w:type="character" w:customStyle="1" w:styleId="FooterChar">
    <w:name w:val="Footer Char"/>
    <w:basedOn w:val="DefaultParagraphFont"/>
    <w:link w:val="Footer"/>
    <w:uiPriority w:val="99"/>
    <w:rsid w:val="005A11D2"/>
    <w:rPr>
      <w:rFonts w:ascii="Times New Roman" w:eastAsia="Times New Roman" w:hAnsi="Times New Roman" w:cs="Times New Roman"/>
      <w:lang w:eastAsia="en-GB"/>
    </w:rPr>
  </w:style>
  <w:style w:type="character" w:styleId="UnresolvedMention">
    <w:name w:val="Unresolved Mention"/>
    <w:basedOn w:val="DefaultParagraphFont"/>
    <w:uiPriority w:val="99"/>
    <w:semiHidden/>
    <w:unhideWhenUsed/>
    <w:rsid w:val="005D119E"/>
    <w:rPr>
      <w:color w:val="605E5C"/>
      <w:shd w:val="clear" w:color="auto" w:fill="E1DFDD"/>
    </w:rPr>
  </w:style>
  <w:style w:type="character" w:customStyle="1" w:styleId="Heading1Char">
    <w:name w:val="Heading 1 Char"/>
    <w:basedOn w:val="DefaultParagraphFont"/>
    <w:link w:val="Heading1"/>
    <w:uiPriority w:val="9"/>
    <w:rsid w:val="007E70DE"/>
    <w:rPr>
      <w:rFonts w:ascii="Times New Roman" w:eastAsia="Times New Roman" w:hAnsi="Times New Roman" w:cs="Times New Roman"/>
      <w:b/>
      <w:bCs/>
      <w:kern w:val="36"/>
      <w:sz w:val="48"/>
      <w:szCs w:val="48"/>
      <w:lang w:eastAsia="zh-CN"/>
    </w:rPr>
  </w:style>
  <w:style w:type="character" w:styleId="Strong">
    <w:name w:val="Strong"/>
    <w:basedOn w:val="DefaultParagraphFont"/>
    <w:uiPriority w:val="22"/>
    <w:qFormat/>
    <w:rsid w:val="00A70C69"/>
    <w:rPr>
      <w:b/>
      <w:bCs/>
    </w:rPr>
  </w:style>
  <w:style w:type="character" w:styleId="PageNumber">
    <w:name w:val="page number"/>
    <w:basedOn w:val="DefaultParagraphFont"/>
    <w:uiPriority w:val="99"/>
    <w:semiHidden/>
    <w:unhideWhenUsed/>
    <w:rsid w:val="00A64F01"/>
  </w:style>
  <w:style w:type="character" w:customStyle="1" w:styleId="citation-part">
    <w:name w:val="citation-part"/>
    <w:basedOn w:val="DefaultParagraphFont"/>
    <w:rsid w:val="00CD0DE1"/>
  </w:style>
  <w:style w:type="character" w:customStyle="1" w:styleId="docsum-pmid">
    <w:name w:val="docsum-pmid"/>
    <w:basedOn w:val="DefaultParagraphFont"/>
    <w:rsid w:val="00CD0DE1"/>
  </w:style>
  <w:style w:type="character" w:customStyle="1" w:styleId="id-label">
    <w:name w:val="id-label"/>
    <w:basedOn w:val="DefaultParagraphFont"/>
    <w:rsid w:val="007D4BF2"/>
  </w:style>
  <w:style w:type="paragraph" w:styleId="ListParagraph">
    <w:name w:val="List Paragraph"/>
    <w:basedOn w:val="Normal"/>
    <w:uiPriority w:val="34"/>
    <w:qFormat/>
    <w:rsid w:val="001D5348"/>
    <w:pPr>
      <w:ind w:left="720"/>
      <w:contextualSpacing/>
    </w:pPr>
  </w:style>
  <w:style w:type="character" w:customStyle="1" w:styleId="Heading3Char">
    <w:name w:val="Heading 3 Char"/>
    <w:basedOn w:val="DefaultParagraphFont"/>
    <w:link w:val="Heading3"/>
    <w:uiPriority w:val="9"/>
    <w:semiHidden/>
    <w:rsid w:val="004F0865"/>
    <w:rPr>
      <w:rFonts w:asciiTheme="majorHAnsi" w:eastAsiaTheme="majorEastAsia" w:hAnsiTheme="majorHAnsi" w:cstheme="majorBidi"/>
      <w:color w:val="1F3763" w:themeColor="accent1" w:themeShade="7F"/>
      <w:lang w:eastAsia="zh-CN"/>
    </w:rPr>
  </w:style>
  <w:style w:type="paragraph" w:styleId="CommentSubject">
    <w:name w:val="annotation subject"/>
    <w:basedOn w:val="CommentText"/>
    <w:next w:val="CommentText"/>
    <w:link w:val="CommentSubjectChar"/>
    <w:uiPriority w:val="99"/>
    <w:semiHidden/>
    <w:unhideWhenUsed/>
    <w:rsid w:val="00FF1A58"/>
    <w:rPr>
      <w:rFonts w:ascii="Times New Roman" w:eastAsia="Times New Roman" w:hAnsi="Times New Roman" w:cs="Times New Roman"/>
      <w:b/>
      <w:bCs/>
      <w:lang w:eastAsia="zh-CN"/>
    </w:rPr>
  </w:style>
  <w:style w:type="character" w:customStyle="1" w:styleId="CommentSubjectChar">
    <w:name w:val="Comment Subject Char"/>
    <w:basedOn w:val="CommentTextChar"/>
    <w:link w:val="CommentSubject"/>
    <w:uiPriority w:val="99"/>
    <w:semiHidden/>
    <w:rsid w:val="00FF1A58"/>
    <w:rPr>
      <w:rFonts w:ascii="Times New Roman" w:eastAsia="Times New Roman" w:hAnsi="Times New Roman" w:cs="Times New Roman"/>
      <w:b/>
      <w:bCs/>
      <w:sz w:val="20"/>
      <w:szCs w:val="20"/>
      <w:lang w:eastAsia="zh-CN"/>
    </w:rPr>
  </w:style>
  <w:style w:type="paragraph" w:styleId="Bibliography">
    <w:name w:val="Bibliography"/>
    <w:basedOn w:val="Normal"/>
    <w:next w:val="Normal"/>
    <w:uiPriority w:val="37"/>
    <w:unhideWhenUsed/>
    <w:rsid w:val="00AB5110"/>
    <w:pPr>
      <w:tabs>
        <w:tab w:val="left" w:pos="500"/>
      </w:tabs>
      <w:spacing w:after="240"/>
      <w:ind w:left="504" w:hanging="504"/>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754515">
      <w:bodyDiv w:val="1"/>
      <w:marLeft w:val="0"/>
      <w:marRight w:val="0"/>
      <w:marTop w:val="0"/>
      <w:marBottom w:val="0"/>
      <w:divBdr>
        <w:top w:val="none" w:sz="0" w:space="0" w:color="auto"/>
        <w:left w:val="none" w:sz="0" w:space="0" w:color="auto"/>
        <w:bottom w:val="none" w:sz="0" w:space="0" w:color="auto"/>
        <w:right w:val="none" w:sz="0" w:space="0" w:color="auto"/>
      </w:divBdr>
    </w:div>
    <w:div w:id="30889304">
      <w:bodyDiv w:val="1"/>
      <w:marLeft w:val="0"/>
      <w:marRight w:val="0"/>
      <w:marTop w:val="0"/>
      <w:marBottom w:val="0"/>
      <w:divBdr>
        <w:top w:val="none" w:sz="0" w:space="0" w:color="auto"/>
        <w:left w:val="none" w:sz="0" w:space="0" w:color="auto"/>
        <w:bottom w:val="none" w:sz="0" w:space="0" w:color="auto"/>
        <w:right w:val="none" w:sz="0" w:space="0" w:color="auto"/>
      </w:divBdr>
    </w:div>
    <w:div w:id="35087938">
      <w:bodyDiv w:val="1"/>
      <w:marLeft w:val="0"/>
      <w:marRight w:val="0"/>
      <w:marTop w:val="0"/>
      <w:marBottom w:val="0"/>
      <w:divBdr>
        <w:top w:val="none" w:sz="0" w:space="0" w:color="auto"/>
        <w:left w:val="none" w:sz="0" w:space="0" w:color="auto"/>
        <w:bottom w:val="none" w:sz="0" w:space="0" w:color="auto"/>
        <w:right w:val="none" w:sz="0" w:space="0" w:color="auto"/>
      </w:divBdr>
    </w:div>
    <w:div w:id="60712299">
      <w:bodyDiv w:val="1"/>
      <w:marLeft w:val="0"/>
      <w:marRight w:val="0"/>
      <w:marTop w:val="0"/>
      <w:marBottom w:val="0"/>
      <w:divBdr>
        <w:top w:val="none" w:sz="0" w:space="0" w:color="auto"/>
        <w:left w:val="none" w:sz="0" w:space="0" w:color="auto"/>
        <w:bottom w:val="none" w:sz="0" w:space="0" w:color="auto"/>
        <w:right w:val="none" w:sz="0" w:space="0" w:color="auto"/>
      </w:divBdr>
      <w:divsChild>
        <w:div w:id="191115921">
          <w:marLeft w:val="0"/>
          <w:marRight w:val="0"/>
          <w:marTop w:val="0"/>
          <w:marBottom w:val="0"/>
          <w:divBdr>
            <w:top w:val="none" w:sz="0" w:space="0" w:color="auto"/>
            <w:left w:val="none" w:sz="0" w:space="0" w:color="auto"/>
            <w:bottom w:val="none" w:sz="0" w:space="0" w:color="auto"/>
            <w:right w:val="none" w:sz="0" w:space="0" w:color="auto"/>
          </w:divBdr>
          <w:divsChild>
            <w:div w:id="252861770">
              <w:marLeft w:val="0"/>
              <w:marRight w:val="0"/>
              <w:marTop w:val="0"/>
              <w:marBottom w:val="0"/>
              <w:divBdr>
                <w:top w:val="none" w:sz="0" w:space="0" w:color="auto"/>
                <w:left w:val="none" w:sz="0" w:space="0" w:color="auto"/>
                <w:bottom w:val="none" w:sz="0" w:space="0" w:color="auto"/>
                <w:right w:val="none" w:sz="0" w:space="0" w:color="auto"/>
              </w:divBdr>
              <w:divsChild>
                <w:div w:id="1121222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176541">
      <w:bodyDiv w:val="1"/>
      <w:marLeft w:val="0"/>
      <w:marRight w:val="0"/>
      <w:marTop w:val="0"/>
      <w:marBottom w:val="0"/>
      <w:divBdr>
        <w:top w:val="none" w:sz="0" w:space="0" w:color="auto"/>
        <w:left w:val="none" w:sz="0" w:space="0" w:color="auto"/>
        <w:bottom w:val="none" w:sz="0" w:space="0" w:color="auto"/>
        <w:right w:val="none" w:sz="0" w:space="0" w:color="auto"/>
      </w:divBdr>
    </w:div>
    <w:div w:id="79372186">
      <w:bodyDiv w:val="1"/>
      <w:marLeft w:val="0"/>
      <w:marRight w:val="0"/>
      <w:marTop w:val="0"/>
      <w:marBottom w:val="0"/>
      <w:divBdr>
        <w:top w:val="none" w:sz="0" w:space="0" w:color="auto"/>
        <w:left w:val="none" w:sz="0" w:space="0" w:color="auto"/>
        <w:bottom w:val="none" w:sz="0" w:space="0" w:color="auto"/>
        <w:right w:val="none" w:sz="0" w:space="0" w:color="auto"/>
      </w:divBdr>
    </w:div>
    <w:div w:id="109521825">
      <w:bodyDiv w:val="1"/>
      <w:marLeft w:val="0"/>
      <w:marRight w:val="0"/>
      <w:marTop w:val="0"/>
      <w:marBottom w:val="0"/>
      <w:divBdr>
        <w:top w:val="none" w:sz="0" w:space="0" w:color="auto"/>
        <w:left w:val="none" w:sz="0" w:space="0" w:color="auto"/>
        <w:bottom w:val="none" w:sz="0" w:space="0" w:color="auto"/>
        <w:right w:val="none" w:sz="0" w:space="0" w:color="auto"/>
      </w:divBdr>
    </w:div>
    <w:div w:id="112940698">
      <w:bodyDiv w:val="1"/>
      <w:marLeft w:val="0"/>
      <w:marRight w:val="0"/>
      <w:marTop w:val="0"/>
      <w:marBottom w:val="0"/>
      <w:divBdr>
        <w:top w:val="none" w:sz="0" w:space="0" w:color="auto"/>
        <w:left w:val="none" w:sz="0" w:space="0" w:color="auto"/>
        <w:bottom w:val="none" w:sz="0" w:space="0" w:color="auto"/>
        <w:right w:val="none" w:sz="0" w:space="0" w:color="auto"/>
      </w:divBdr>
    </w:div>
    <w:div w:id="142159820">
      <w:bodyDiv w:val="1"/>
      <w:marLeft w:val="0"/>
      <w:marRight w:val="0"/>
      <w:marTop w:val="0"/>
      <w:marBottom w:val="0"/>
      <w:divBdr>
        <w:top w:val="none" w:sz="0" w:space="0" w:color="auto"/>
        <w:left w:val="none" w:sz="0" w:space="0" w:color="auto"/>
        <w:bottom w:val="none" w:sz="0" w:space="0" w:color="auto"/>
        <w:right w:val="none" w:sz="0" w:space="0" w:color="auto"/>
      </w:divBdr>
    </w:div>
    <w:div w:id="148601309">
      <w:bodyDiv w:val="1"/>
      <w:marLeft w:val="0"/>
      <w:marRight w:val="0"/>
      <w:marTop w:val="0"/>
      <w:marBottom w:val="0"/>
      <w:divBdr>
        <w:top w:val="none" w:sz="0" w:space="0" w:color="auto"/>
        <w:left w:val="none" w:sz="0" w:space="0" w:color="auto"/>
        <w:bottom w:val="none" w:sz="0" w:space="0" w:color="auto"/>
        <w:right w:val="none" w:sz="0" w:space="0" w:color="auto"/>
      </w:divBdr>
    </w:div>
    <w:div w:id="152574989">
      <w:bodyDiv w:val="1"/>
      <w:marLeft w:val="0"/>
      <w:marRight w:val="0"/>
      <w:marTop w:val="0"/>
      <w:marBottom w:val="0"/>
      <w:divBdr>
        <w:top w:val="none" w:sz="0" w:space="0" w:color="auto"/>
        <w:left w:val="none" w:sz="0" w:space="0" w:color="auto"/>
        <w:bottom w:val="none" w:sz="0" w:space="0" w:color="auto"/>
        <w:right w:val="none" w:sz="0" w:space="0" w:color="auto"/>
      </w:divBdr>
    </w:div>
    <w:div w:id="170727280">
      <w:bodyDiv w:val="1"/>
      <w:marLeft w:val="0"/>
      <w:marRight w:val="0"/>
      <w:marTop w:val="0"/>
      <w:marBottom w:val="0"/>
      <w:divBdr>
        <w:top w:val="none" w:sz="0" w:space="0" w:color="auto"/>
        <w:left w:val="none" w:sz="0" w:space="0" w:color="auto"/>
        <w:bottom w:val="none" w:sz="0" w:space="0" w:color="auto"/>
        <w:right w:val="none" w:sz="0" w:space="0" w:color="auto"/>
      </w:divBdr>
      <w:divsChild>
        <w:div w:id="167408970">
          <w:marLeft w:val="0"/>
          <w:marRight w:val="0"/>
          <w:marTop w:val="0"/>
          <w:marBottom w:val="0"/>
          <w:divBdr>
            <w:top w:val="none" w:sz="0" w:space="0" w:color="auto"/>
            <w:left w:val="none" w:sz="0" w:space="0" w:color="auto"/>
            <w:bottom w:val="none" w:sz="0" w:space="0" w:color="auto"/>
            <w:right w:val="none" w:sz="0" w:space="0" w:color="auto"/>
          </w:divBdr>
        </w:div>
        <w:div w:id="828058633">
          <w:marLeft w:val="0"/>
          <w:marRight w:val="0"/>
          <w:marTop w:val="0"/>
          <w:marBottom w:val="0"/>
          <w:divBdr>
            <w:top w:val="none" w:sz="0" w:space="0" w:color="auto"/>
            <w:left w:val="none" w:sz="0" w:space="0" w:color="auto"/>
            <w:bottom w:val="none" w:sz="0" w:space="0" w:color="auto"/>
            <w:right w:val="none" w:sz="0" w:space="0" w:color="auto"/>
          </w:divBdr>
        </w:div>
        <w:div w:id="1600749308">
          <w:marLeft w:val="0"/>
          <w:marRight w:val="0"/>
          <w:marTop w:val="0"/>
          <w:marBottom w:val="0"/>
          <w:divBdr>
            <w:top w:val="none" w:sz="0" w:space="0" w:color="auto"/>
            <w:left w:val="none" w:sz="0" w:space="0" w:color="auto"/>
            <w:bottom w:val="none" w:sz="0" w:space="0" w:color="auto"/>
            <w:right w:val="none" w:sz="0" w:space="0" w:color="auto"/>
          </w:divBdr>
        </w:div>
        <w:div w:id="881944715">
          <w:marLeft w:val="0"/>
          <w:marRight w:val="0"/>
          <w:marTop w:val="0"/>
          <w:marBottom w:val="0"/>
          <w:divBdr>
            <w:top w:val="none" w:sz="0" w:space="0" w:color="auto"/>
            <w:left w:val="none" w:sz="0" w:space="0" w:color="auto"/>
            <w:bottom w:val="none" w:sz="0" w:space="0" w:color="auto"/>
            <w:right w:val="none" w:sz="0" w:space="0" w:color="auto"/>
          </w:divBdr>
        </w:div>
        <w:div w:id="940068286">
          <w:marLeft w:val="0"/>
          <w:marRight w:val="0"/>
          <w:marTop w:val="0"/>
          <w:marBottom w:val="0"/>
          <w:divBdr>
            <w:top w:val="none" w:sz="0" w:space="0" w:color="auto"/>
            <w:left w:val="none" w:sz="0" w:space="0" w:color="auto"/>
            <w:bottom w:val="none" w:sz="0" w:space="0" w:color="auto"/>
            <w:right w:val="none" w:sz="0" w:space="0" w:color="auto"/>
          </w:divBdr>
        </w:div>
      </w:divsChild>
    </w:div>
    <w:div w:id="226574723">
      <w:bodyDiv w:val="1"/>
      <w:marLeft w:val="0"/>
      <w:marRight w:val="0"/>
      <w:marTop w:val="0"/>
      <w:marBottom w:val="0"/>
      <w:divBdr>
        <w:top w:val="none" w:sz="0" w:space="0" w:color="auto"/>
        <w:left w:val="none" w:sz="0" w:space="0" w:color="auto"/>
        <w:bottom w:val="none" w:sz="0" w:space="0" w:color="auto"/>
        <w:right w:val="none" w:sz="0" w:space="0" w:color="auto"/>
      </w:divBdr>
    </w:div>
    <w:div w:id="229121101">
      <w:bodyDiv w:val="1"/>
      <w:marLeft w:val="0"/>
      <w:marRight w:val="0"/>
      <w:marTop w:val="0"/>
      <w:marBottom w:val="0"/>
      <w:divBdr>
        <w:top w:val="none" w:sz="0" w:space="0" w:color="auto"/>
        <w:left w:val="none" w:sz="0" w:space="0" w:color="auto"/>
        <w:bottom w:val="none" w:sz="0" w:space="0" w:color="auto"/>
        <w:right w:val="none" w:sz="0" w:space="0" w:color="auto"/>
      </w:divBdr>
    </w:div>
    <w:div w:id="239490119">
      <w:bodyDiv w:val="1"/>
      <w:marLeft w:val="0"/>
      <w:marRight w:val="0"/>
      <w:marTop w:val="0"/>
      <w:marBottom w:val="0"/>
      <w:divBdr>
        <w:top w:val="none" w:sz="0" w:space="0" w:color="auto"/>
        <w:left w:val="none" w:sz="0" w:space="0" w:color="auto"/>
        <w:bottom w:val="none" w:sz="0" w:space="0" w:color="auto"/>
        <w:right w:val="none" w:sz="0" w:space="0" w:color="auto"/>
      </w:divBdr>
    </w:div>
    <w:div w:id="254284961">
      <w:bodyDiv w:val="1"/>
      <w:marLeft w:val="0"/>
      <w:marRight w:val="0"/>
      <w:marTop w:val="0"/>
      <w:marBottom w:val="0"/>
      <w:divBdr>
        <w:top w:val="none" w:sz="0" w:space="0" w:color="auto"/>
        <w:left w:val="none" w:sz="0" w:space="0" w:color="auto"/>
        <w:bottom w:val="none" w:sz="0" w:space="0" w:color="auto"/>
        <w:right w:val="none" w:sz="0" w:space="0" w:color="auto"/>
      </w:divBdr>
      <w:divsChild>
        <w:div w:id="1873224190">
          <w:marLeft w:val="0"/>
          <w:marRight w:val="0"/>
          <w:marTop w:val="0"/>
          <w:marBottom w:val="0"/>
          <w:divBdr>
            <w:top w:val="none" w:sz="0" w:space="0" w:color="auto"/>
            <w:left w:val="none" w:sz="0" w:space="0" w:color="auto"/>
            <w:bottom w:val="none" w:sz="0" w:space="0" w:color="auto"/>
            <w:right w:val="none" w:sz="0" w:space="0" w:color="auto"/>
          </w:divBdr>
          <w:divsChild>
            <w:div w:id="1613315903">
              <w:marLeft w:val="0"/>
              <w:marRight w:val="0"/>
              <w:marTop w:val="0"/>
              <w:marBottom w:val="0"/>
              <w:divBdr>
                <w:top w:val="none" w:sz="0" w:space="0" w:color="auto"/>
                <w:left w:val="none" w:sz="0" w:space="0" w:color="auto"/>
                <w:bottom w:val="none" w:sz="0" w:space="0" w:color="auto"/>
                <w:right w:val="none" w:sz="0" w:space="0" w:color="auto"/>
              </w:divBdr>
              <w:divsChild>
                <w:div w:id="1527332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6177508">
      <w:bodyDiv w:val="1"/>
      <w:marLeft w:val="0"/>
      <w:marRight w:val="0"/>
      <w:marTop w:val="0"/>
      <w:marBottom w:val="0"/>
      <w:divBdr>
        <w:top w:val="none" w:sz="0" w:space="0" w:color="auto"/>
        <w:left w:val="none" w:sz="0" w:space="0" w:color="auto"/>
        <w:bottom w:val="none" w:sz="0" w:space="0" w:color="auto"/>
        <w:right w:val="none" w:sz="0" w:space="0" w:color="auto"/>
      </w:divBdr>
    </w:div>
    <w:div w:id="325284662">
      <w:bodyDiv w:val="1"/>
      <w:marLeft w:val="0"/>
      <w:marRight w:val="0"/>
      <w:marTop w:val="0"/>
      <w:marBottom w:val="0"/>
      <w:divBdr>
        <w:top w:val="none" w:sz="0" w:space="0" w:color="auto"/>
        <w:left w:val="none" w:sz="0" w:space="0" w:color="auto"/>
        <w:bottom w:val="none" w:sz="0" w:space="0" w:color="auto"/>
        <w:right w:val="none" w:sz="0" w:space="0" w:color="auto"/>
      </w:divBdr>
    </w:div>
    <w:div w:id="360788137">
      <w:bodyDiv w:val="1"/>
      <w:marLeft w:val="0"/>
      <w:marRight w:val="0"/>
      <w:marTop w:val="0"/>
      <w:marBottom w:val="0"/>
      <w:divBdr>
        <w:top w:val="none" w:sz="0" w:space="0" w:color="auto"/>
        <w:left w:val="none" w:sz="0" w:space="0" w:color="auto"/>
        <w:bottom w:val="none" w:sz="0" w:space="0" w:color="auto"/>
        <w:right w:val="none" w:sz="0" w:space="0" w:color="auto"/>
      </w:divBdr>
    </w:div>
    <w:div w:id="361705829">
      <w:bodyDiv w:val="1"/>
      <w:marLeft w:val="0"/>
      <w:marRight w:val="0"/>
      <w:marTop w:val="0"/>
      <w:marBottom w:val="0"/>
      <w:divBdr>
        <w:top w:val="none" w:sz="0" w:space="0" w:color="auto"/>
        <w:left w:val="none" w:sz="0" w:space="0" w:color="auto"/>
        <w:bottom w:val="none" w:sz="0" w:space="0" w:color="auto"/>
        <w:right w:val="none" w:sz="0" w:space="0" w:color="auto"/>
      </w:divBdr>
    </w:div>
    <w:div w:id="368920045">
      <w:bodyDiv w:val="1"/>
      <w:marLeft w:val="0"/>
      <w:marRight w:val="0"/>
      <w:marTop w:val="0"/>
      <w:marBottom w:val="0"/>
      <w:divBdr>
        <w:top w:val="none" w:sz="0" w:space="0" w:color="auto"/>
        <w:left w:val="none" w:sz="0" w:space="0" w:color="auto"/>
        <w:bottom w:val="none" w:sz="0" w:space="0" w:color="auto"/>
        <w:right w:val="none" w:sz="0" w:space="0" w:color="auto"/>
      </w:divBdr>
    </w:div>
    <w:div w:id="403576266">
      <w:bodyDiv w:val="1"/>
      <w:marLeft w:val="0"/>
      <w:marRight w:val="0"/>
      <w:marTop w:val="0"/>
      <w:marBottom w:val="0"/>
      <w:divBdr>
        <w:top w:val="none" w:sz="0" w:space="0" w:color="auto"/>
        <w:left w:val="none" w:sz="0" w:space="0" w:color="auto"/>
        <w:bottom w:val="none" w:sz="0" w:space="0" w:color="auto"/>
        <w:right w:val="none" w:sz="0" w:space="0" w:color="auto"/>
      </w:divBdr>
    </w:div>
    <w:div w:id="424497701">
      <w:bodyDiv w:val="1"/>
      <w:marLeft w:val="0"/>
      <w:marRight w:val="0"/>
      <w:marTop w:val="0"/>
      <w:marBottom w:val="0"/>
      <w:divBdr>
        <w:top w:val="none" w:sz="0" w:space="0" w:color="auto"/>
        <w:left w:val="none" w:sz="0" w:space="0" w:color="auto"/>
        <w:bottom w:val="none" w:sz="0" w:space="0" w:color="auto"/>
        <w:right w:val="none" w:sz="0" w:space="0" w:color="auto"/>
      </w:divBdr>
    </w:div>
    <w:div w:id="438909772">
      <w:bodyDiv w:val="1"/>
      <w:marLeft w:val="0"/>
      <w:marRight w:val="0"/>
      <w:marTop w:val="0"/>
      <w:marBottom w:val="0"/>
      <w:divBdr>
        <w:top w:val="none" w:sz="0" w:space="0" w:color="auto"/>
        <w:left w:val="none" w:sz="0" w:space="0" w:color="auto"/>
        <w:bottom w:val="none" w:sz="0" w:space="0" w:color="auto"/>
        <w:right w:val="none" w:sz="0" w:space="0" w:color="auto"/>
      </w:divBdr>
    </w:div>
    <w:div w:id="444496559">
      <w:bodyDiv w:val="1"/>
      <w:marLeft w:val="0"/>
      <w:marRight w:val="0"/>
      <w:marTop w:val="0"/>
      <w:marBottom w:val="0"/>
      <w:divBdr>
        <w:top w:val="none" w:sz="0" w:space="0" w:color="auto"/>
        <w:left w:val="none" w:sz="0" w:space="0" w:color="auto"/>
        <w:bottom w:val="none" w:sz="0" w:space="0" w:color="auto"/>
        <w:right w:val="none" w:sz="0" w:space="0" w:color="auto"/>
      </w:divBdr>
    </w:div>
    <w:div w:id="449279377">
      <w:bodyDiv w:val="1"/>
      <w:marLeft w:val="0"/>
      <w:marRight w:val="0"/>
      <w:marTop w:val="0"/>
      <w:marBottom w:val="0"/>
      <w:divBdr>
        <w:top w:val="none" w:sz="0" w:space="0" w:color="auto"/>
        <w:left w:val="none" w:sz="0" w:space="0" w:color="auto"/>
        <w:bottom w:val="none" w:sz="0" w:space="0" w:color="auto"/>
        <w:right w:val="none" w:sz="0" w:space="0" w:color="auto"/>
      </w:divBdr>
      <w:divsChild>
        <w:div w:id="1745642777">
          <w:marLeft w:val="0"/>
          <w:marRight w:val="0"/>
          <w:marTop w:val="0"/>
          <w:marBottom w:val="0"/>
          <w:divBdr>
            <w:top w:val="none" w:sz="0" w:space="0" w:color="auto"/>
            <w:left w:val="none" w:sz="0" w:space="0" w:color="auto"/>
            <w:bottom w:val="none" w:sz="0" w:space="0" w:color="auto"/>
            <w:right w:val="none" w:sz="0" w:space="0" w:color="auto"/>
          </w:divBdr>
          <w:divsChild>
            <w:div w:id="675304206">
              <w:marLeft w:val="0"/>
              <w:marRight w:val="0"/>
              <w:marTop w:val="0"/>
              <w:marBottom w:val="0"/>
              <w:divBdr>
                <w:top w:val="none" w:sz="0" w:space="0" w:color="auto"/>
                <w:left w:val="none" w:sz="0" w:space="0" w:color="auto"/>
                <w:bottom w:val="none" w:sz="0" w:space="0" w:color="auto"/>
                <w:right w:val="none" w:sz="0" w:space="0" w:color="auto"/>
              </w:divBdr>
              <w:divsChild>
                <w:div w:id="1519270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4105347">
      <w:bodyDiv w:val="1"/>
      <w:marLeft w:val="0"/>
      <w:marRight w:val="0"/>
      <w:marTop w:val="0"/>
      <w:marBottom w:val="0"/>
      <w:divBdr>
        <w:top w:val="none" w:sz="0" w:space="0" w:color="auto"/>
        <w:left w:val="none" w:sz="0" w:space="0" w:color="auto"/>
        <w:bottom w:val="none" w:sz="0" w:space="0" w:color="auto"/>
        <w:right w:val="none" w:sz="0" w:space="0" w:color="auto"/>
      </w:divBdr>
    </w:div>
    <w:div w:id="484470897">
      <w:bodyDiv w:val="1"/>
      <w:marLeft w:val="0"/>
      <w:marRight w:val="0"/>
      <w:marTop w:val="0"/>
      <w:marBottom w:val="0"/>
      <w:divBdr>
        <w:top w:val="none" w:sz="0" w:space="0" w:color="auto"/>
        <w:left w:val="none" w:sz="0" w:space="0" w:color="auto"/>
        <w:bottom w:val="none" w:sz="0" w:space="0" w:color="auto"/>
        <w:right w:val="none" w:sz="0" w:space="0" w:color="auto"/>
      </w:divBdr>
    </w:div>
    <w:div w:id="518550584">
      <w:bodyDiv w:val="1"/>
      <w:marLeft w:val="0"/>
      <w:marRight w:val="0"/>
      <w:marTop w:val="0"/>
      <w:marBottom w:val="0"/>
      <w:divBdr>
        <w:top w:val="none" w:sz="0" w:space="0" w:color="auto"/>
        <w:left w:val="none" w:sz="0" w:space="0" w:color="auto"/>
        <w:bottom w:val="none" w:sz="0" w:space="0" w:color="auto"/>
        <w:right w:val="none" w:sz="0" w:space="0" w:color="auto"/>
      </w:divBdr>
      <w:divsChild>
        <w:div w:id="1853378219">
          <w:marLeft w:val="0"/>
          <w:marRight w:val="0"/>
          <w:marTop w:val="0"/>
          <w:marBottom w:val="0"/>
          <w:divBdr>
            <w:top w:val="none" w:sz="0" w:space="0" w:color="auto"/>
            <w:left w:val="none" w:sz="0" w:space="0" w:color="auto"/>
            <w:bottom w:val="none" w:sz="0" w:space="0" w:color="auto"/>
            <w:right w:val="none" w:sz="0" w:space="0" w:color="auto"/>
          </w:divBdr>
          <w:divsChild>
            <w:div w:id="1323585217">
              <w:marLeft w:val="0"/>
              <w:marRight w:val="0"/>
              <w:marTop w:val="0"/>
              <w:marBottom w:val="0"/>
              <w:divBdr>
                <w:top w:val="none" w:sz="0" w:space="0" w:color="auto"/>
                <w:left w:val="none" w:sz="0" w:space="0" w:color="auto"/>
                <w:bottom w:val="none" w:sz="0" w:space="0" w:color="auto"/>
                <w:right w:val="none" w:sz="0" w:space="0" w:color="auto"/>
              </w:divBdr>
              <w:divsChild>
                <w:div w:id="846213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9853353">
      <w:bodyDiv w:val="1"/>
      <w:marLeft w:val="0"/>
      <w:marRight w:val="0"/>
      <w:marTop w:val="0"/>
      <w:marBottom w:val="0"/>
      <w:divBdr>
        <w:top w:val="none" w:sz="0" w:space="0" w:color="auto"/>
        <w:left w:val="none" w:sz="0" w:space="0" w:color="auto"/>
        <w:bottom w:val="none" w:sz="0" w:space="0" w:color="auto"/>
        <w:right w:val="none" w:sz="0" w:space="0" w:color="auto"/>
      </w:divBdr>
    </w:div>
    <w:div w:id="520899122">
      <w:bodyDiv w:val="1"/>
      <w:marLeft w:val="0"/>
      <w:marRight w:val="0"/>
      <w:marTop w:val="0"/>
      <w:marBottom w:val="0"/>
      <w:divBdr>
        <w:top w:val="none" w:sz="0" w:space="0" w:color="auto"/>
        <w:left w:val="none" w:sz="0" w:space="0" w:color="auto"/>
        <w:bottom w:val="none" w:sz="0" w:space="0" w:color="auto"/>
        <w:right w:val="none" w:sz="0" w:space="0" w:color="auto"/>
      </w:divBdr>
      <w:divsChild>
        <w:div w:id="1316297494">
          <w:marLeft w:val="0"/>
          <w:marRight w:val="0"/>
          <w:marTop w:val="0"/>
          <w:marBottom w:val="0"/>
          <w:divBdr>
            <w:top w:val="none" w:sz="0" w:space="0" w:color="auto"/>
            <w:left w:val="none" w:sz="0" w:space="0" w:color="auto"/>
            <w:bottom w:val="none" w:sz="0" w:space="0" w:color="auto"/>
            <w:right w:val="none" w:sz="0" w:space="0" w:color="auto"/>
          </w:divBdr>
          <w:divsChild>
            <w:div w:id="1009716487">
              <w:marLeft w:val="0"/>
              <w:marRight w:val="0"/>
              <w:marTop w:val="0"/>
              <w:marBottom w:val="0"/>
              <w:divBdr>
                <w:top w:val="none" w:sz="0" w:space="0" w:color="auto"/>
                <w:left w:val="none" w:sz="0" w:space="0" w:color="auto"/>
                <w:bottom w:val="none" w:sz="0" w:space="0" w:color="auto"/>
                <w:right w:val="none" w:sz="0" w:space="0" w:color="auto"/>
              </w:divBdr>
              <w:divsChild>
                <w:div w:id="2064988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857822">
      <w:bodyDiv w:val="1"/>
      <w:marLeft w:val="0"/>
      <w:marRight w:val="0"/>
      <w:marTop w:val="0"/>
      <w:marBottom w:val="0"/>
      <w:divBdr>
        <w:top w:val="none" w:sz="0" w:space="0" w:color="auto"/>
        <w:left w:val="none" w:sz="0" w:space="0" w:color="auto"/>
        <w:bottom w:val="none" w:sz="0" w:space="0" w:color="auto"/>
        <w:right w:val="none" w:sz="0" w:space="0" w:color="auto"/>
      </w:divBdr>
      <w:divsChild>
        <w:div w:id="322585332">
          <w:marLeft w:val="0"/>
          <w:marRight w:val="0"/>
          <w:marTop w:val="0"/>
          <w:marBottom w:val="0"/>
          <w:divBdr>
            <w:top w:val="none" w:sz="0" w:space="0" w:color="auto"/>
            <w:left w:val="none" w:sz="0" w:space="0" w:color="auto"/>
            <w:bottom w:val="none" w:sz="0" w:space="0" w:color="auto"/>
            <w:right w:val="none" w:sz="0" w:space="0" w:color="auto"/>
          </w:divBdr>
          <w:divsChild>
            <w:div w:id="1816484426">
              <w:marLeft w:val="0"/>
              <w:marRight w:val="0"/>
              <w:marTop w:val="0"/>
              <w:marBottom w:val="240"/>
              <w:divBdr>
                <w:top w:val="none" w:sz="0" w:space="0" w:color="auto"/>
                <w:left w:val="none" w:sz="0" w:space="0" w:color="auto"/>
                <w:bottom w:val="none" w:sz="0" w:space="0" w:color="auto"/>
                <w:right w:val="none" w:sz="0" w:space="0" w:color="auto"/>
              </w:divBdr>
              <w:divsChild>
                <w:div w:id="1145582622">
                  <w:marLeft w:val="600"/>
                  <w:marRight w:val="96"/>
                  <w:marTop w:val="0"/>
                  <w:marBottom w:val="0"/>
                  <w:divBdr>
                    <w:top w:val="none" w:sz="0" w:space="0" w:color="auto"/>
                    <w:left w:val="none" w:sz="0" w:space="0" w:color="auto"/>
                    <w:bottom w:val="none" w:sz="0" w:space="0" w:color="auto"/>
                    <w:right w:val="none" w:sz="0" w:space="0" w:color="auto"/>
                  </w:divBdr>
                </w:div>
              </w:divsChild>
            </w:div>
            <w:div w:id="765347524">
              <w:marLeft w:val="0"/>
              <w:marRight w:val="0"/>
              <w:marTop w:val="0"/>
              <w:marBottom w:val="240"/>
              <w:divBdr>
                <w:top w:val="none" w:sz="0" w:space="0" w:color="auto"/>
                <w:left w:val="none" w:sz="0" w:space="0" w:color="auto"/>
                <w:bottom w:val="none" w:sz="0" w:space="0" w:color="auto"/>
                <w:right w:val="none" w:sz="0" w:space="0" w:color="auto"/>
              </w:divBdr>
              <w:divsChild>
                <w:div w:id="1503010863">
                  <w:marLeft w:val="600"/>
                  <w:marRight w:val="96"/>
                  <w:marTop w:val="0"/>
                  <w:marBottom w:val="0"/>
                  <w:divBdr>
                    <w:top w:val="none" w:sz="0" w:space="0" w:color="auto"/>
                    <w:left w:val="none" w:sz="0" w:space="0" w:color="auto"/>
                    <w:bottom w:val="none" w:sz="0" w:space="0" w:color="auto"/>
                    <w:right w:val="none" w:sz="0" w:space="0" w:color="auto"/>
                  </w:divBdr>
                </w:div>
              </w:divsChild>
            </w:div>
            <w:div w:id="1200053258">
              <w:marLeft w:val="0"/>
              <w:marRight w:val="0"/>
              <w:marTop w:val="0"/>
              <w:marBottom w:val="240"/>
              <w:divBdr>
                <w:top w:val="none" w:sz="0" w:space="0" w:color="auto"/>
                <w:left w:val="none" w:sz="0" w:space="0" w:color="auto"/>
                <w:bottom w:val="none" w:sz="0" w:space="0" w:color="auto"/>
                <w:right w:val="none" w:sz="0" w:space="0" w:color="auto"/>
              </w:divBdr>
              <w:divsChild>
                <w:div w:id="1477840952">
                  <w:marLeft w:val="600"/>
                  <w:marRight w:val="96"/>
                  <w:marTop w:val="0"/>
                  <w:marBottom w:val="0"/>
                  <w:divBdr>
                    <w:top w:val="none" w:sz="0" w:space="0" w:color="auto"/>
                    <w:left w:val="none" w:sz="0" w:space="0" w:color="auto"/>
                    <w:bottom w:val="none" w:sz="0" w:space="0" w:color="auto"/>
                    <w:right w:val="none" w:sz="0" w:space="0" w:color="auto"/>
                  </w:divBdr>
                </w:div>
              </w:divsChild>
            </w:div>
            <w:div w:id="2137797326">
              <w:marLeft w:val="0"/>
              <w:marRight w:val="0"/>
              <w:marTop w:val="0"/>
              <w:marBottom w:val="240"/>
              <w:divBdr>
                <w:top w:val="none" w:sz="0" w:space="0" w:color="auto"/>
                <w:left w:val="none" w:sz="0" w:space="0" w:color="auto"/>
                <w:bottom w:val="none" w:sz="0" w:space="0" w:color="auto"/>
                <w:right w:val="none" w:sz="0" w:space="0" w:color="auto"/>
              </w:divBdr>
              <w:divsChild>
                <w:div w:id="347293858">
                  <w:marLeft w:val="600"/>
                  <w:marRight w:val="96"/>
                  <w:marTop w:val="0"/>
                  <w:marBottom w:val="0"/>
                  <w:divBdr>
                    <w:top w:val="none" w:sz="0" w:space="0" w:color="auto"/>
                    <w:left w:val="none" w:sz="0" w:space="0" w:color="auto"/>
                    <w:bottom w:val="none" w:sz="0" w:space="0" w:color="auto"/>
                    <w:right w:val="none" w:sz="0" w:space="0" w:color="auto"/>
                  </w:divBdr>
                </w:div>
              </w:divsChild>
            </w:div>
            <w:div w:id="196434165">
              <w:marLeft w:val="0"/>
              <w:marRight w:val="0"/>
              <w:marTop w:val="0"/>
              <w:marBottom w:val="240"/>
              <w:divBdr>
                <w:top w:val="none" w:sz="0" w:space="0" w:color="auto"/>
                <w:left w:val="none" w:sz="0" w:space="0" w:color="auto"/>
                <w:bottom w:val="none" w:sz="0" w:space="0" w:color="auto"/>
                <w:right w:val="none" w:sz="0" w:space="0" w:color="auto"/>
              </w:divBdr>
              <w:divsChild>
                <w:div w:id="653945797">
                  <w:marLeft w:val="600"/>
                  <w:marRight w:val="96"/>
                  <w:marTop w:val="0"/>
                  <w:marBottom w:val="0"/>
                  <w:divBdr>
                    <w:top w:val="none" w:sz="0" w:space="0" w:color="auto"/>
                    <w:left w:val="none" w:sz="0" w:space="0" w:color="auto"/>
                    <w:bottom w:val="none" w:sz="0" w:space="0" w:color="auto"/>
                    <w:right w:val="none" w:sz="0" w:space="0" w:color="auto"/>
                  </w:divBdr>
                </w:div>
              </w:divsChild>
            </w:div>
            <w:div w:id="1079133258">
              <w:marLeft w:val="0"/>
              <w:marRight w:val="0"/>
              <w:marTop w:val="0"/>
              <w:marBottom w:val="240"/>
              <w:divBdr>
                <w:top w:val="none" w:sz="0" w:space="0" w:color="auto"/>
                <w:left w:val="none" w:sz="0" w:space="0" w:color="auto"/>
                <w:bottom w:val="none" w:sz="0" w:space="0" w:color="auto"/>
                <w:right w:val="none" w:sz="0" w:space="0" w:color="auto"/>
              </w:divBdr>
              <w:divsChild>
                <w:div w:id="1568035647">
                  <w:marLeft w:val="600"/>
                  <w:marRight w:val="96"/>
                  <w:marTop w:val="0"/>
                  <w:marBottom w:val="0"/>
                  <w:divBdr>
                    <w:top w:val="none" w:sz="0" w:space="0" w:color="auto"/>
                    <w:left w:val="none" w:sz="0" w:space="0" w:color="auto"/>
                    <w:bottom w:val="none" w:sz="0" w:space="0" w:color="auto"/>
                    <w:right w:val="none" w:sz="0" w:space="0" w:color="auto"/>
                  </w:divBdr>
                </w:div>
              </w:divsChild>
            </w:div>
            <w:div w:id="622537851">
              <w:marLeft w:val="0"/>
              <w:marRight w:val="0"/>
              <w:marTop w:val="0"/>
              <w:marBottom w:val="240"/>
              <w:divBdr>
                <w:top w:val="none" w:sz="0" w:space="0" w:color="auto"/>
                <w:left w:val="none" w:sz="0" w:space="0" w:color="auto"/>
                <w:bottom w:val="none" w:sz="0" w:space="0" w:color="auto"/>
                <w:right w:val="none" w:sz="0" w:space="0" w:color="auto"/>
              </w:divBdr>
              <w:divsChild>
                <w:div w:id="1750619843">
                  <w:marLeft w:val="600"/>
                  <w:marRight w:val="96"/>
                  <w:marTop w:val="0"/>
                  <w:marBottom w:val="0"/>
                  <w:divBdr>
                    <w:top w:val="none" w:sz="0" w:space="0" w:color="auto"/>
                    <w:left w:val="none" w:sz="0" w:space="0" w:color="auto"/>
                    <w:bottom w:val="none" w:sz="0" w:space="0" w:color="auto"/>
                    <w:right w:val="none" w:sz="0" w:space="0" w:color="auto"/>
                  </w:divBdr>
                </w:div>
              </w:divsChild>
            </w:div>
            <w:div w:id="1054499394">
              <w:marLeft w:val="0"/>
              <w:marRight w:val="0"/>
              <w:marTop w:val="0"/>
              <w:marBottom w:val="240"/>
              <w:divBdr>
                <w:top w:val="none" w:sz="0" w:space="0" w:color="auto"/>
                <w:left w:val="none" w:sz="0" w:space="0" w:color="auto"/>
                <w:bottom w:val="none" w:sz="0" w:space="0" w:color="auto"/>
                <w:right w:val="none" w:sz="0" w:space="0" w:color="auto"/>
              </w:divBdr>
              <w:divsChild>
                <w:div w:id="185754459">
                  <w:marLeft w:val="600"/>
                  <w:marRight w:val="96"/>
                  <w:marTop w:val="0"/>
                  <w:marBottom w:val="0"/>
                  <w:divBdr>
                    <w:top w:val="none" w:sz="0" w:space="0" w:color="auto"/>
                    <w:left w:val="none" w:sz="0" w:space="0" w:color="auto"/>
                    <w:bottom w:val="none" w:sz="0" w:space="0" w:color="auto"/>
                    <w:right w:val="none" w:sz="0" w:space="0" w:color="auto"/>
                  </w:divBdr>
                </w:div>
              </w:divsChild>
            </w:div>
            <w:div w:id="82067312">
              <w:marLeft w:val="0"/>
              <w:marRight w:val="0"/>
              <w:marTop w:val="0"/>
              <w:marBottom w:val="240"/>
              <w:divBdr>
                <w:top w:val="none" w:sz="0" w:space="0" w:color="auto"/>
                <w:left w:val="none" w:sz="0" w:space="0" w:color="auto"/>
                <w:bottom w:val="none" w:sz="0" w:space="0" w:color="auto"/>
                <w:right w:val="none" w:sz="0" w:space="0" w:color="auto"/>
              </w:divBdr>
              <w:divsChild>
                <w:div w:id="494031761">
                  <w:marLeft w:val="600"/>
                  <w:marRight w:val="96"/>
                  <w:marTop w:val="0"/>
                  <w:marBottom w:val="0"/>
                  <w:divBdr>
                    <w:top w:val="none" w:sz="0" w:space="0" w:color="auto"/>
                    <w:left w:val="none" w:sz="0" w:space="0" w:color="auto"/>
                    <w:bottom w:val="none" w:sz="0" w:space="0" w:color="auto"/>
                    <w:right w:val="none" w:sz="0" w:space="0" w:color="auto"/>
                  </w:divBdr>
                </w:div>
              </w:divsChild>
            </w:div>
            <w:div w:id="310451267">
              <w:marLeft w:val="0"/>
              <w:marRight w:val="0"/>
              <w:marTop w:val="0"/>
              <w:marBottom w:val="240"/>
              <w:divBdr>
                <w:top w:val="none" w:sz="0" w:space="0" w:color="auto"/>
                <w:left w:val="none" w:sz="0" w:space="0" w:color="auto"/>
                <w:bottom w:val="none" w:sz="0" w:space="0" w:color="auto"/>
                <w:right w:val="none" w:sz="0" w:space="0" w:color="auto"/>
              </w:divBdr>
              <w:divsChild>
                <w:div w:id="966395157">
                  <w:marLeft w:val="600"/>
                  <w:marRight w:val="96"/>
                  <w:marTop w:val="0"/>
                  <w:marBottom w:val="0"/>
                  <w:divBdr>
                    <w:top w:val="none" w:sz="0" w:space="0" w:color="auto"/>
                    <w:left w:val="none" w:sz="0" w:space="0" w:color="auto"/>
                    <w:bottom w:val="none" w:sz="0" w:space="0" w:color="auto"/>
                    <w:right w:val="none" w:sz="0" w:space="0" w:color="auto"/>
                  </w:divBdr>
                </w:div>
              </w:divsChild>
            </w:div>
            <w:div w:id="561478259">
              <w:marLeft w:val="0"/>
              <w:marRight w:val="0"/>
              <w:marTop w:val="0"/>
              <w:marBottom w:val="240"/>
              <w:divBdr>
                <w:top w:val="none" w:sz="0" w:space="0" w:color="auto"/>
                <w:left w:val="none" w:sz="0" w:space="0" w:color="auto"/>
                <w:bottom w:val="none" w:sz="0" w:space="0" w:color="auto"/>
                <w:right w:val="none" w:sz="0" w:space="0" w:color="auto"/>
              </w:divBdr>
              <w:divsChild>
                <w:div w:id="1370300903">
                  <w:marLeft w:val="600"/>
                  <w:marRight w:val="96"/>
                  <w:marTop w:val="0"/>
                  <w:marBottom w:val="0"/>
                  <w:divBdr>
                    <w:top w:val="none" w:sz="0" w:space="0" w:color="auto"/>
                    <w:left w:val="none" w:sz="0" w:space="0" w:color="auto"/>
                    <w:bottom w:val="none" w:sz="0" w:space="0" w:color="auto"/>
                    <w:right w:val="none" w:sz="0" w:space="0" w:color="auto"/>
                  </w:divBdr>
                </w:div>
              </w:divsChild>
            </w:div>
            <w:div w:id="436220294">
              <w:marLeft w:val="0"/>
              <w:marRight w:val="0"/>
              <w:marTop w:val="0"/>
              <w:marBottom w:val="240"/>
              <w:divBdr>
                <w:top w:val="none" w:sz="0" w:space="0" w:color="auto"/>
                <w:left w:val="none" w:sz="0" w:space="0" w:color="auto"/>
                <w:bottom w:val="none" w:sz="0" w:space="0" w:color="auto"/>
                <w:right w:val="none" w:sz="0" w:space="0" w:color="auto"/>
              </w:divBdr>
              <w:divsChild>
                <w:div w:id="939029499">
                  <w:marLeft w:val="600"/>
                  <w:marRight w:val="96"/>
                  <w:marTop w:val="0"/>
                  <w:marBottom w:val="0"/>
                  <w:divBdr>
                    <w:top w:val="none" w:sz="0" w:space="0" w:color="auto"/>
                    <w:left w:val="none" w:sz="0" w:space="0" w:color="auto"/>
                    <w:bottom w:val="none" w:sz="0" w:space="0" w:color="auto"/>
                    <w:right w:val="none" w:sz="0" w:space="0" w:color="auto"/>
                  </w:divBdr>
                </w:div>
              </w:divsChild>
            </w:div>
            <w:div w:id="149444716">
              <w:marLeft w:val="0"/>
              <w:marRight w:val="0"/>
              <w:marTop w:val="0"/>
              <w:marBottom w:val="240"/>
              <w:divBdr>
                <w:top w:val="none" w:sz="0" w:space="0" w:color="auto"/>
                <w:left w:val="none" w:sz="0" w:space="0" w:color="auto"/>
                <w:bottom w:val="none" w:sz="0" w:space="0" w:color="auto"/>
                <w:right w:val="none" w:sz="0" w:space="0" w:color="auto"/>
              </w:divBdr>
              <w:divsChild>
                <w:div w:id="1820732890">
                  <w:marLeft w:val="600"/>
                  <w:marRight w:val="96"/>
                  <w:marTop w:val="0"/>
                  <w:marBottom w:val="0"/>
                  <w:divBdr>
                    <w:top w:val="none" w:sz="0" w:space="0" w:color="auto"/>
                    <w:left w:val="none" w:sz="0" w:space="0" w:color="auto"/>
                    <w:bottom w:val="none" w:sz="0" w:space="0" w:color="auto"/>
                    <w:right w:val="none" w:sz="0" w:space="0" w:color="auto"/>
                  </w:divBdr>
                </w:div>
              </w:divsChild>
            </w:div>
            <w:div w:id="602080397">
              <w:marLeft w:val="0"/>
              <w:marRight w:val="0"/>
              <w:marTop w:val="0"/>
              <w:marBottom w:val="240"/>
              <w:divBdr>
                <w:top w:val="none" w:sz="0" w:space="0" w:color="auto"/>
                <w:left w:val="none" w:sz="0" w:space="0" w:color="auto"/>
                <w:bottom w:val="none" w:sz="0" w:space="0" w:color="auto"/>
                <w:right w:val="none" w:sz="0" w:space="0" w:color="auto"/>
              </w:divBdr>
              <w:divsChild>
                <w:div w:id="1151409091">
                  <w:marLeft w:val="600"/>
                  <w:marRight w:val="96"/>
                  <w:marTop w:val="0"/>
                  <w:marBottom w:val="0"/>
                  <w:divBdr>
                    <w:top w:val="none" w:sz="0" w:space="0" w:color="auto"/>
                    <w:left w:val="none" w:sz="0" w:space="0" w:color="auto"/>
                    <w:bottom w:val="none" w:sz="0" w:space="0" w:color="auto"/>
                    <w:right w:val="none" w:sz="0" w:space="0" w:color="auto"/>
                  </w:divBdr>
                </w:div>
              </w:divsChild>
            </w:div>
            <w:div w:id="719281116">
              <w:marLeft w:val="0"/>
              <w:marRight w:val="0"/>
              <w:marTop w:val="0"/>
              <w:marBottom w:val="240"/>
              <w:divBdr>
                <w:top w:val="none" w:sz="0" w:space="0" w:color="auto"/>
                <w:left w:val="none" w:sz="0" w:space="0" w:color="auto"/>
                <w:bottom w:val="none" w:sz="0" w:space="0" w:color="auto"/>
                <w:right w:val="none" w:sz="0" w:space="0" w:color="auto"/>
              </w:divBdr>
              <w:divsChild>
                <w:div w:id="271207544">
                  <w:marLeft w:val="600"/>
                  <w:marRight w:val="96"/>
                  <w:marTop w:val="0"/>
                  <w:marBottom w:val="0"/>
                  <w:divBdr>
                    <w:top w:val="none" w:sz="0" w:space="0" w:color="auto"/>
                    <w:left w:val="none" w:sz="0" w:space="0" w:color="auto"/>
                    <w:bottom w:val="none" w:sz="0" w:space="0" w:color="auto"/>
                    <w:right w:val="none" w:sz="0" w:space="0" w:color="auto"/>
                  </w:divBdr>
                </w:div>
              </w:divsChild>
            </w:div>
            <w:div w:id="380639062">
              <w:marLeft w:val="0"/>
              <w:marRight w:val="0"/>
              <w:marTop w:val="0"/>
              <w:marBottom w:val="240"/>
              <w:divBdr>
                <w:top w:val="none" w:sz="0" w:space="0" w:color="auto"/>
                <w:left w:val="none" w:sz="0" w:space="0" w:color="auto"/>
                <w:bottom w:val="none" w:sz="0" w:space="0" w:color="auto"/>
                <w:right w:val="none" w:sz="0" w:space="0" w:color="auto"/>
              </w:divBdr>
              <w:divsChild>
                <w:div w:id="1022244151">
                  <w:marLeft w:val="600"/>
                  <w:marRight w:val="96"/>
                  <w:marTop w:val="0"/>
                  <w:marBottom w:val="0"/>
                  <w:divBdr>
                    <w:top w:val="none" w:sz="0" w:space="0" w:color="auto"/>
                    <w:left w:val="none" w:sz="0" w:space="0" w:color="auto"/>
                    <w:bottom w:val="none" w:sz="0" w:space="0" w:color="auto"/>
                    <w:right w:val="none" w:sz="0" w:space="0" w:color="auto"/>
                  </w:divBdr>
                </w:div>
              </w:divsChild>
            </w:div>
            <w:div w:id="1098985660">
              <w:marLeft w:val="0"/>
              <w:marRight w:val="0"/>
              <w:marTop w:val="0"/>
              <w:marBottom w:val="240"/>
              <w:divBdr>
                <w:top w:val="none" w:sz="0" w:space="0" w:color="auto"/>
                <w:left w:val="none" w:sz="0" w:space="0" w:color="auto"/>
                <w:bottom w:val="none" w:sz="0" w:space="0" w:color="auto"/>
                <w:right w:val="none" w:sz="0" w:space="0" w:color="auto"/>
              </w:divBdr>
              <w:divsChild>
                <w:div w:id="1143809919">
                  <w:marLeft w:val="600"/>
                  <w:marRight w:val="96"/>
                  <w:marTop w:val="0"/>
                  <w:marBottom w:val="0"/>
                  <w:divBdr>
                    <w:top w:val="none" w:sz="0" w:space="0" w:color="auto"/>
                    <w:left w:val="none" w:sz="0" w:space="0" w:color="auto"/>
                    <w:bottom w:val="none" w:sz="0" w:space="0" w:color="auto"/>
                    <w:right w:val="none" w:sz="0" w:space="0" w:color="auto"/>
                  </w:divBdr>
                </w:div>
              </w:divsChild>
            </w:div>
            <w:div w:id="141316144">
              <w:marLeft w:val="0"/>
              <w:marRight w:val="0"/>
              <w:marTop w:val="0"/>
              <w:marBottom w:val="240"/>
              <w:divBdr>
                <w:top w:val="none" w:sz="0" w:space="0" w:color="auto"/>
                <w:left w:val="none" w:sz="0" w:space="0" w:color="auto"/>
                <w:bottom w:val="none" w:sz="0" w:space="0" w:color="auto"/>
                <w:right w:val="none" w:sz="0" w:space="0" w:color="auto"/>
              </w:divBdr>
              <w:divsChild>
                <w:div w:id="644164928">
                  <w:marLeft w:val="600"/>
                  <w:marRight w:val="96"/>
                  <w:marTop w:val="0"/>
                  <w:marBottom w:val="0"/>
                  <w:divBdr>
                    <w:top w:val="none" w:sz="0" w:space="0" w:color="auto"/>
                    <w:left w:val="none" w:sz="0" w:space="0" w:color="auto"/>
                    <w:bottom w:val="none" w:sz="0" w:space="0" w:color="auto"/>
                    <w:right w:val="none" w:sz="0" w:space="0" w:color="auto"/>
                  </w:divBdr>
                </w:div>
              </w:divsChild>
            </w:div>
            <w:div w:id="1792168918">
              <w:marLeft w:val="0"/>
              <w:marRight w:val="0"/>
              <w:marTop w:val="0"/>
              <w:marBottom w:val="240"/>
              <w:divBdr>
                <w:top w:val="none" w:sz="0" w:space="0" w:color="auto"/>
                <w:left w:val="none" w:sz="0" w:space="0" w:color="auto"/>
                <w:bottom w:val="none" w:sz="0" w:space="0" w:color="auto"/>
                <w:right w:val="none" w:sz="0" w:space="0" w:color="auto"/>
              </w:divBdr>
              <w:divsChild>
                <w:div w:id="1600602556">
                  <w:marLeft w:val="600"/>
                  <w:marRight w:val="96"/>
                  <w:marTop w:val="0"/>
                  <w:marBottom w:val="0"/>
                  <w:divBdr>
                    <w:top w:val="none" w:sz="0" w:space="0" w:color="auto"/>
                    <w:left w:val="none" w:sz="0" w:space="0" w:color="auto"/>
                    <w:bottom w:val="none" w:sz="0" w:space="0" w:color="auto"/>
                    <w:right w:val="none" w:sz="0" w:space="0" w:color="auto"/>
                  </w:divBdr>
                </w:div>
              </w:divsChild>
            </w:div>
            <w:div w:id="19867171">
              <w:marLeft w:val="0"/>
              <w:marRight w:val="0"/>
              <w:marTop w:val="0"/>
              <w:marBottom w:val="240"/>
              <w:divBdr>
                <w:top w:val="none" w:sz="0" w:space="0" w:color="auto"/>
                <w:left w:val="none" w:sz="0" w:space="0" w:color="auto"/>
                <w:bottom w:val="none" w:sz="0" w:space="0" w:color="auto"/>
                <w:right w:val="none" w:sz="0" w:space="0" w:color="auto"/>
              </w:divBdr>
              <w:divsChild>
                <w:div w:id="1455249424">
                  <w:marLeft w:val="600"/>
                  <w:marRight w:val="96"/>
                  <w:marTop w:val="0"/>
                  <w:marBottom w:val="0"/>
                  <w:divBdr>
                    <w:top w:val="none" w:sz="0" w:space="0" w:color="auto"/>
                    <w:left w:val="none" w:sz="0" w:space="0" w:color="auto"/>
                    <w:bottom w:val="none" w:sz="0" w:space="0" w:color="auto"/>
                    <w:right w:val="none" w:sz="0" w:space="0" w:color="auto"/>
                  </w:divBdr>
                </w:div>
              </w:divsChild>
            </w:div>
            <w:div w:id="1676225344">
              <w:marLeft w:val="0"/>
              <w:marRight w:val="0"/>
              <w:marTop w:val="0"/>
              <w:marBottom w:val="240"/>
              <w:divBdr>
                <w:top w:val="none" w:sz="0" w:space="0" w:color="auto"/>
                <w:left w:val="none" w:sz="0" w:space="0" w:color="auto"/>
                <w:bottom w:val="none" w:sz="0" w:space="0" w:color="auto"/>
                <w:right w:val="none" w:sz="0" w:space="0" w:color="auto"/>
              </w:divBdr>
              <w:divsChild>
                <w:div w:id="292372494">
                  <w:marLeft w:val="600"/>
                  <w:marRight w:val="96"/>
                  <w:marTop w:val="0"/>
                  <w:marBottom w:val="0"/>
                  <w:divBdr>
                    <w:top w:val="none" w:sz="0" w:space="0" w:color="auto"/>
                    <w:left w:val="none" w:sz="0" w:space="0" w:color="auto"/>
                    <w:bottom w:val="none" w:sz="0" w:space="0" w:color="auto"/>
                    <w:right w:val="none" w:sz="0" w:space="0" w:color="auto"/>
                  </w:divBdr>
                </w:div>
              </w:divsChild>
            </w:div>
            <w:div w:id="2132507406">
              <w:marLeft w:val="0"/>
              <w:marRight w:val="0"/>
              <w:marTop w:val="0"/>
              <w:marBottom w:val="240"/>
              <w:divBdr>
                <w:top w:val="none" w:sz="0" w:space="0" w:color="auto"/>
                <w:left w:val="none" w:sz="0" w:space="0" w:color="auto"/>
                <w:bottom w:val="none" w:sz="0" w:space="0" w:color="auto"/>
                <w:right w:val="none" w:sz="0" w:space="0" w:color="auto"/>
              </w:divBdr>
              <w:divsChild>
                <w:div w:id="1116560440">
                  <w:marLeft w:val="600"/>
                  <w:marRight w:val="96"/>
                  <w:marTop w:val="0"/>
                  <w:marBottom w:val="0"/>
                  <w:divBdr>
                    <w:top w:val="none" w:sz="0" w:space="0" w:color="auto"/>
                    <w:left w:val="none" w:sz="0" w:space="0" w:color="auto"/>
                    <w:bottom w:val="none" w:sz="0" w:space="0" w:color="auto"/>
                    <w:right w:val="none" w:sz="0" w:space="0" w:color="auto"/>
                  </w:divBdr>
                </w:div>
              </w:divsChild>
            </w:div>
            <w:div w:id="472408160">
              <w:marLeft w:val="0"/>
              <w:marRight w:val="0"/>
              <w:marTop w:val="0"/>
              <w:marBottom w:val="240"/>
              <w:divBdr>
                <w:top w:val="none" w:sz="0" w:space="0" w:color="auto"/>
                <w:left w:val="none" w:sz="0" w:space="0" w:color="auto"/>
                <w:bottom w:val="none" w:sz="0" w:space="0" w:color="auto"/>
                <w:right w:val="none" w:sz="0" w:space="0" w:color="auto"/>
              </w:divBdr>
              <w:divsChild>
                <w:div w:id="1680692227">
                  <w:marLeft w:val="600"/>
                  <w:marRight w:val="96"/>
                  <w:marTop w:val="0"/>
                  <w:marBottom w:val="0"/>
                  <w:divBdr>
                    <w:top w:val="none" w:sz="0" w:space="0" w:color="auto"/>
                    <w:left w:val="none" w:sz="0" w:space="0" w:color="auto"/>
                    <w:bottom w:val="none" w:sz="0" w:space="0" w:color="auto"/>
                    <w:right w:val="none" w:sz="0" w:space="0" w:color="auto"/>
                  </w:divBdr>
                </w:div>
              </w:divsChild>
            </w:div>
            <w:div w:id="172308812">
              <w:marLeft w:val="0"/>
              <w:marRight w:val="0"/>
              <w:marTop w:val="0"/>
              <w:marBottom w:val="240"/>
              <w:divBdr>
                <w:top w:val="none" w:sz="0" w:space="0" w:color="auto"/>
                <w:left w:val="none" w:sz="0" w:space="0" w:color="auto"/>
                <w:bottom w:val="none" w:sz="0" w:space="0" w:color="auto"/>
                <w:right w:val="none" w:sz="0" w:space="0" w:color="auto"/>
              </w:divBdr>
              <w:divsChild>
                <w:div w:id="1949240735">
                  <w:marLeft w:val="600"/>
                  <w:marRight w:val="96"/>
                  <w:marTop w:val="0"/>
                  <w:marBottom w:val="0"/>
                  <w:divBdr>
                    <w:top w:val="none" w:sz="0" w:space="0" w:color="auto"/>
                    <w:left w:val="none" w:sz="0" w:space="0" w:color="auto"/>
                    <w:bottom w:val="none" w:sz="0" w:space="0" w:color="auto"/>
                    <w:right w:val="none" w:sz="0" w:space="0" w:color="auto"/>
                  </w:divBdr>
                </w:div>
              </w:divsChild>
            </w:div>
            <w:div w:id="1496533284">
              <w:marLeft w:val="0"/>
              <w:marRight w:val="0"/>
              <w:marTop w:val="0"/>
              <w:marBottom w:val="240"/>
              <w:divBdr>
                <w:top w:val="none" w:sz="0" w:space="0" w:color="auto"/>
                <w:left w:val="none" w:sz="0" w:space="0" w:color="auto"/>
                <w:bottom w:val="none" w:sz="0" w:space="0" w:color="auto"/>
                <w:right w:val="none" w:sz="0" w:space="0" w:color="auto"/>
              </w:divBdr>
              <w:divsChild>
                <w:div w:id="636763282">
                  <w:marLeft w:val="600"/>
                  <w:marRight w:val="96"/>
                  <w:marTop w:val="0"/>
                  <w:marBottom w:val="0"/>
                  <w:divBdr>
                    <w:top w:val="none" w:sz="0" w:space="0" w:color="auto"/>
                    <w:left w:val="none" w:sz="0" w:space="0" w:color="auto"/>
                    <w:bottom w:val="none" w:sz="0" w:space="0" w:color="auto"/>
                    <w:right w:val="none" w:sz="0" w:space="0" w:color="auto"/>
                  </w:divBdr>
                </w:div>
              </w:divsChild>
            </w:div>
            <w:div w:id="1235432984">
              <w:marLeft w:val="0"/>
              <w:marRight w:val="0"/>
              <w:marTop w:val="0"/>
              <w:marBottom w:val="240"/>
              <w:divBdr>
                <w:top w:val="none" w:sz="0" w:space="0" w:color="auto"/>
                <w:left w:val="none" w:sz="0" w:space="0" w:color="auto"/>
                <w:bottom w:val="none" w:sz="0" w:space="0" w:color="auto"/>
                <w:right w:val="none" w:sz="0" w:space="0" w:color="auto"/>
              </w:divBdr>
              <w:divsChild>
                <w:div w:id="14314035">
                  <w:marLeft w:val="600"/>
                  <w:marRight w:val="96"/>
                  <w:marTop w:val="0"/>
                  <w:marBottom w:val="0"/>
                  <w:divBdr>
                    <w:top w:val="none" w:sz="0" w:space="0" w:color="auto"/>
                    <w:left w:val="none" w:sz="0" w:space="0" w:color="auto"/>
                    <w:bottom w:val="none" w:sz="0" w:space="0" w:color="auto"/>
                    <w:right w:val="none" w:sz="0" w:space="0" w:color="auto"/>
                  </w:divBdr>
                </w:div>
              </w:divsChild>
            </w:div>
            <w:div w:id="1415710124">
              <w:marLeft w:val="0"/>
              <w:marRight w:val="0"/>
              <w:marTop w:val="0"/>
              <w:marBottom w:val="240"/>
              <w:divBdr>
                <w:top w:val="none" w:sz="0" w:space="0" w:color="auto"/>
                <w:left w:val="none" w:sz="0" w:space="0" w:color="auto"/>
                <w:bottom w:val="none" w:sz="0" w:space="0" w:color="auto"/>
                <w:right w:val="none" w:sz="0" w:space="0" w:color="auto"/>
              </w:divBdr>
              <w:divsChild>
                <w:div w:id="1431312828">
                  <w:marLeft w:val="600"/>
                  <w:marRight w:val="96"/>
                  <w:marTop w:val="0"/>
                  <w:marBottom w:val="0"/>
                  <w:divBdr>
                    <w:top w:val="none" w:sz="0" w:space="0" w:color="auto"/>
                    <w:left w:val="none" w:sz="0" w:space="0" w:color="auto"/>
                    <w:bottom w:val="none" w:sz="0" w:space="0" w:color="auto"/>
                    <w:right w:val="none" w:sz="0" w:space="0" w:color="auto"/>
                  </w:divBdr>
                </w:div>
              </w:divsChild>
            </w:div>
            <w:div w:id="598222117">
              <w:marLeft w:val="0"/>
              <w:marRight w:val="0"/>
              <w:marTop w:val="0"/>
              <w:marBottom w:val="240"/>
              <w:divBdr>
                <w:top w:val="none" w:sz="0" w:space="0" w:color="auto"/>
                <w:left w:val="none" w:sz="0" w:space="0" w:color="auto"/>
                <w:bottom w:val="none" w:sz="0" w:space="0" w:color="auto"/>
                <w:right w:val="none" w:sz="0" w:space="0" w:color="auto"/>
              </w:divBdr>
              <w:divsChild>
                <w:div w:id="408239092">
                  <w:marLeft w:val="600"/>
                  <w:marRight w:val="96"/>
                  <w:marTop w:val="0"/>
                  <w:marBottom w:val="0"/>
                  <w:divBdr>
                    <w:top w:val="none" w:sz="0" w:space="0" w:color="auto"/>
                    <w:left w:val="none" w:sz="0" w:space="0" w:color="auto"/>
                    <w:bottom w:val="none" w:sz="0" w:space="0" w:color="auto"/>
                    <w:right w:val="none" w:sz="0" w:space="0" w:color="auto"/>
                  </w:divBdr>
                </w:div>
              </w:divsChild>
            </w:div>
            <w:div w:id="111294523">
              <w:marLeft w:val="0"/>
              <w:marRight w:val="0"/>
              <w:marTop w:val="0"/>
              <w:marBottom w:val="240"/>
              <w:divBdr>
                <w:top w:val="none" w:sz="0" w:space="0" w:color="auto"/>
                <w:left w:val="none" w:sz="0" w:space="0" w:color="auto"/>
                <w:bottom w:val="none" w:sz="0" w:space="0" w:color="auto"/>
                <w:right w:val="none" w:sz="0" w:space="0" w:color="auto"/>
              </w:divBdr>
              <w:divsChild>
                <w:div w:id="468864306">
                  <w:marLeft w:val="600"/>
                  <w:marRight w:val="96"/>
                  <w:marTop w:val="0"/>
                  <w:marBottom w:val="0"/>
                  <w:divBdr>
                    <w:top w:val="none" w:sz="0" w:space="0" w:color="auto"/>
                    <w:left w:val="none" w:sz="0" w:space="0" w:color="auto"/>
                    <w:bottom w:val="none" w:sz="0" w:space="0" w:color="auto"/>
                    <w:right w:val="none" w:sz="0" w:space="0" w:color="auto"/>
                  </w:divBdr>
                </w:div>
              </w:divsChild>
            </w:div>
            <w:div w:id="2140605911">
              <w:marLeft w:val="0"/>
              <w:marRight w:val="0"/>
              <w:marTop w:val="0"/>
              <w:marBottom w:val="240"/>
              <w:divBdr>
                <w:top w:val="none" w:sz="0" w:space="0" w:color="auto"/>
                <w:left w:val="none" w:sz="0" w:space="0" w:color="auto"/>
                <w:bottom w:val="none" w:sz="0" w:space="0" w:color="auto"/>
                <w:right w:val="none" w:sz="0" w:space="0" w:color="auto"/>
              </w:divBdr>
              <w:divsChild>
                <w:div w:id="1410227904">
                  <w:marLeft w:val="600"/>
                  <w:marRight w:val="96"/>
                  <w:marTop w:val="0"/>
                  <w:marBottom w:val="0"/>
                  <w:divBdr>
                    <w:top w:val="none" w:sz="0" w:space="0" w:color="auto"/>
                    <w:left w:val="none" w:sz="0" w:space="0" w:color="auto"/>
                    <w:bottom w:val="none" w:sz="0" w:space="0" w:color="auto"/>
                    <w:right w:val="none" w:sz="0" w:space="0" w:color="auto"/>
                  </w:divBdr>
                </w:div>
              </w:divsChild>
            </w:div>
            <w:div w:id="1623151283">
              <w:marLeft w:val="0"/>
              <w:marRight w:val="0"/>
              <w:marTop w:val="0"/>
              <w:marBottom w:val="240"/>
              <w:divBdr>
                <w:top w:val="none" w:sz="0" w:space="0" w:color="auto"/>
                <w:left w:val="none" w:sz="0" w:space="0" w:color="auto"/>
                <w:bottom w:val="none" w:sz="0" w:space="0" w:color="auto"/>
                <w:right w:val="none" w:sz="0" w:space="0" w:color="auto"/>
              </w:divBdr>
              <w:divsChild>
                <w:div w:id="244917540">
                  <w:marLeft w:val="600"/>
                  <w:marRight w:val="96"/>
                  <w:marTop w:val="0"/>
                  <w:marBottom w:val="0"/>
                  <w:divBdr>
                    <w:top w:val="none" w:sz="0" w:space="0" w:color="auto"/>
                    <w:left w:val="none" w:sz="0" w:space="0" w:color="auto"/>
                    <w:bottom w:val="none" w:sz="0" w:space="0" w:color="auto"/>
                    <w:right w:val="none" w:sz="0" w:space="0" w:color="auto"/>
                  </w:divBdr>
                </w:div>
              </w:divsChild>
            </w:div>
            <w:div w:id="1692218531">
              <w:marLeft w:val="0"/>
              <w:marRight w:val="0"/>
              <w:marTop w:val="0"/>
              <w:marBottom w:val="240"/>
              <w:divBdr>
                <w:top w:val="none" w:sz="0" w:space="0" w:color="auto"/>
                <w:left w:val="none" w:sz="0" w:space="0" w:color="auto"/>
                <w:bottom w:val="none" w:sz="0" w:space="0" w:color="auto"/>
                <w:right w:val="none" w:sz="0" w:space="0" w:color="auto"/>
              </w:divBdr>
              <w:divsChild>
                <w:div w:id="719404512">
                  <w:marLeft w:val="600"/>
                  <w:marRight w:val="96"/>
                  <w:marTop w:val="0"/>
                  <w:marBottom w:val="0"/>
                  <w:divBdr>
                    <w:top w:val="none" w:sz="0" w:space="0" w:color="auto"/>
                    <w:left w:val="none" w:sz="0" w:space="0" w:color="auto"/>
                    <w:bottom w:val="none" w:sz="0" w:space="0" w:color="auto"/>
                    <w:right w:val="none" w:sz="0" w:space="0" w:color="auto"/>
                  </w:divBdr>
                </w:div>
              </w:divsChild>
            </w:div>
            <w:div w:id="313535729">
              <w:marLeft w:val="0"/>
              <w:marRight w:val="0"/>
              <w:marTop w:val="0"/>
              <w:marBottom w:val="240"/>
              <w:divBdr>
                <w:top w:val="none" w:sz="0" w:space="0" w:color="auto"/>
                <w:left w:val="none" w:sz="0" w:space="0" w:color="auto"/>
                <w:bottom w:val="none" w:sz="0" w:space="0" w:color="auto"/>
                <w:right w:val="none" w:sz="0" w:space="0" w:color="auto"/>
              </w:divBdr>
              <w:divsChild>
                <w:div w:id="1791392630">
                  <w:marLeft w:val="600"/>
                  <w:marRight w:val="96"/>
                  <w:marTop w:val="0"/>
                  <w:marBottom w:val="0"/>
                  <w:divBdr>
                    <w:top w:val="none" w:sz="0" w:space="0" w:color="auto"/>
                    <w:left w:val="none" w:sz="0" w:space="0" w:color="auto"/>
                    <w:bottom w:val="none" w:sz="0" w:space="0" w:color="auto"/>
                    <w:right w:val="none" w:sz="0" w:space="0" w:color="auto"/>
                  </w:divBdr>
                </w:div>
              </w:divsChild>
            </w:div>
            <w:div w:id="260336454">
              <w:marLeft w:val="0"/>
              <w:marRight w:val="0"/>
              <w:marTop w:val="0"/>
              <w:marBottom w:val="240"/>
              <w:divBdr>
                <w:top w:val="none" w:sz="0" w:space="0" w:color="auto"/>
                <w:left w:val="none" w:sz="0" w:space="0" w:color="auto"/>
                <w:bottom w:val="none" w:sz="0" w:space="0" w:color="auto"/>
                <w:right w:val="none" w:sz="0" w:space="0" w:color="auto"/>
              </w:divBdr>
              <w:divsChild>
                <w:div w:id="833884645">
                  <w:marLeft w:val="600"/>
                  <w:marRight w:val="96"/>
                  <w:marTop w:val="0"/>
                  <w:marBottom w:val="0"/>
                  <w:divBdr>
                    <w:top w:val="none" w:sz="0" w:space="0" w:color="auto"/>
                    <w:left w:val="none" w:sz="0" w:space="0" w:color="auto"/>
                    <w:bottom w:val="none" w:sz="0" w:space="0" w:color="auto"/>
                    <w:right w:val="none" w:sz="0" w:space="0" w:color="auto"/>
                  </w:divBdr>
                </w:div>
              </w:divsChild>
            </w:div>
            <w:div w:id="1870486797">
              <w:marLeft w:val="0"/>
              <w:marRight w:val="0"/>
              <w:marTop w:val="0"/>
              <w:marBottom w:val="240"/>
              <w:divBdr>
                <w:top w:val="none" w:sz="0" w:space="0" w:color="auto"/>
                <w:left w:val="none" w:sz="0" w:space="0" w:color="auto"/>
                <w:bottom w:val="none" w:sz="0" w:space="0" w:color="auto"/>
                <w:right w:val="none" w:sz="0" w:space="0" w:color="auto"/>
              </w:divBdr>
              <w:divsChild>
                <w:div w:id="345640981">
                  <w:marLeft w:val="600"/>
                  <w:marRight w:val="96"/>
                  <w:marTop w:val="0"/>
                  <w:marBottom w:val="0"/>
                  <w:divBdr>
                    <w:top w:val="none" w:sz="0" w:space="0" w:color="auto"/>
                    <w:left w:val="none" w:sz="0" w:space="0" w:color="auto"/>
                    <w:bottom w:val="none" w:sz="0" w:space="0" w:color="auto"/>
                    <w:right w:val="none" w:sz="0" w:space="0" w:color="auto"/>
                  </w:divBdr>
                </w:div>
              </w:divsChild>
            </w:div>
            <w:div w:id="805005602">
              <w:marLeft w:val="0"/>
              <w:marRight w:val="0"/>
              <w:marTop w:val="0"/>
              <w:marBottom w:val="240"/>
              <w:divBdr>
                <w:top w:val="none" w:sz="0" w:space="0" w:color="auto"/>
                <w:left w:val="none" w:sz="0" w:space="0" w:color="auto"/>
                <w:bottom w:val="none" w:sz="0" w:space="0" w:color="auto"/>
                <w:right w:val="none" w:sz="0" w:space="0" w:color="auto"/>
              </w:divBdr>
              <w:divsChild>
                <w:div w:id="1905598494">
                  <w:marLeft w:val="600"/>
                  <w:marRight w:val="96"/>
                  <w:marTop w:val="0"/>
                  <w:marBottom w:val="0"/>
                  <w:divBdr>
                    <w:top w:val="none" w:sz="0" w:space="0" w:color="auto"/>
                    <w:left w:val="none" w:sz="0" w:space="0" w:color="auto"/>
                    <w:bottom w:val="none" w:sz="0" w:space="0" w:color="auto"/>
                    <w:right w:val="none" w:sz="0" w:space="0" w:color="auto"/>
                  </w:divBdr>
                </w:div>
              </w:divsChild>
            </w:div>
            <w:div w:id="964851194">
              <w:marLeft w:val="0"/>
              <w:marRight w:val="0"/>
              <w:marTop w:val="0"/>
              <w:marBottom w:val="240"/>
              <w:divBdr>
                <w:top w:val="none" w:sz="0" w:space="0" w:color="auto"/>
                <w:left w:val="none" w:sz="0" w:space="0" w:color="auto"/>
                <w:bottom w:val="none" w:sz="0" w:space="0" w:color="auto"/>
                <w:right w:val="none" w:sz="0" w:space="0" w:color="auto"/>
              </w:divBdr>
              <w:divsChild>
                <w:div w:id="1488091029">
                  <w:marLeft w:val="600"/>
                  <w:marRight w:val="96"/>
                  <w:marTop w:val="0"/>
                  <w:marBottom w:val="0"/>
                  <w:divBdr>
                    <w:top w:val="none" w:sz="0" w:space="0" w:color="auto"/>
                    <w:left w:val="none" w:sz="0" w:space="0" w:color="auto"/>
                    <w:bottom w:val="none" w:sz="0" w:space="0" w:color="auto"/>
                    <w:right w:val="none" w:sz="0" w:space="0" w:color="auto"/>
                  </w:divBdr>
                </w:div>
              </w:divsChild>
            </w:div>
            <w:div w:id="1475372446">
              <w:marLeft w:val="0"/>
              <w:marRight w:val="0"/>
              <w:marTop w:val="0"/>
              <w:marBottom w:val="0"/>
              <w:divBdr>
                <w:top w:val="none" w:sz="0" w:space="0" w:color="auto"/>
                <w:left w:val="none" w:sz="0" w:space="0" w:color="auto"/>
                <w:bottom w:val="none" w:sz="0" w:space="0" w:color="auto"/>
                <w:right w:val="none" w:sz="0" w:space="0" w:color="auto"/>
              </w:divBdr>
              <w:divsChild>
                <w:div w:id="565266486">
                  <w:marLeft w:val="600"/>
                  <w:marRight w:val="96"/>
                  <w:marTop w:val="0"/>
                  <w:marBottom w:val="0"/>
                  <w:divBdr>
                    <w:top w:val="none" w:sz="0" w:space="0" w:color="auto"/>
                    <w:left w:val="none" w:sz="0" w:space="0" w:color="auto"/>
                    <w:bottom w:val="none" w:sz="0" w:space="0" w:color="auto"/>
                    <w:right w:val="none" w:sz="0" w:space="0" w:color="auto"/>
                  </w:divBdr>
                </w:div>
              </w:divsChild>
            </w:div>
          </w:divsChild>
        </w:div>
      </w:divsChild>
    </w:div>
    <w:div w:id="605113963">
      <w:bodyDiv w:val="1"/>
      <w:marLeft w:val="0"/>
      <w:marRight w:val="0"/>
      <w:marTop w:val="0"/>
      <w:marBottom w:val="0"/>
      <w:divBdr>
        <w:top w:val="none" w:sz="0" w:space="0" w:color="auto"/>
        <w:left w:val="none" w:sz="0" w:space="0" w:color="auto"/>
        <w:bottom w:val="none" w:sz="0" w:space="0" w:color="auto"/>
        <w:right w:val="none" w:sz="0" w:space="0" w:color="auto"/>
      </w:divBdr>
    </w:div>
    <w:div w:id="643895247">
      <w:bodyDiv w:val="1"/>
      <w:marLeft w:val="0"/>
      <w:marRight w:val="0"/>
      <w:marTop w:val="0"/>
      <w:marBottom w:val="0"/>
      <w:divBdr>
        <w:top w:val="none" w:sz="0" w:space="0" w:color="auto"/>
        <w:left w:val="none" w:sz="0" w:space="0" w:color="auto"/>
        <w:bottom w:val="none" w:sz="0" w:space="0" w:color="auto"/>
        <w:right w:val="none" w:sz="0" w:space="0" w:color="auto"/>
      </w:divBdr>
    </w:div>
    <w:div w:id="677318502">
      <w:bodyDiv w:val="1"/>
      <w:marLeft w:val="0"/>
      <w:marRight w:val="0"/>
      <w:marTop w:val="0"/>
      <w:marBottom w:val="0"/>
      <w:divBdr>
        <w:top w:val="none" w:sz="0" w:space="0" w:color="auto"/>
        <w:left w:val="none" w:sz="0" w:space="0" w:color="auto"/>
        <w:bottom w:val="none" w:sz="0" w:space="0" w:color="auto"/>
        <w:right w:val="none" w:sz="0" w:space="0" w:color="auto"/>
      </w:divBdr>
    </w:div>
    <w:div w:id="691541689">
      <w:bodyDiv w:val="1"/>
      <w:marLeft w:val="0"/>
      <w:marRight w:val="0"/>
      <w:marTop w:val="0"/>
      <w:marBottom w:val="0"/>
      <w:divBdr>
        <w:top w:val="none" w:sz="0" w:space="0" w:color="auto"/>
        <w:left w:val="none" w:sz="0" w:space="0" w:color="auto"/>
        <w:bottom w:val="none" w:sz="0" w:space="0" w:color="auto"/>
        <w:right w:val="none" w:sz="0" w:space="0" w:color="auto"/>
      </w:divBdr>
    </w:div>
    <w:div w:id="751853275">
      <w:bodyDiv w:val="1"/>
      <w:marLeft w:val="0"/>
      <w:marRight w:val="0"/>
      <w:marTop w:val="0"/>
      <w:marBottom w:val="0"/>
      <w:divBdr>
        <w:top w:val="none" w:sz="0" w:space="0" w:color="auto"/>
        <w:left w:val="none" w:sz="0" w:space="0" w:color="auto"/>
        <w:bottom w:val="none" w:sz="0" w:space="0" w:color="auto"/>
        <w:right w:val="none" w:sz="0" w:space="0" w:color="auto"/>
      </w:divBdr>
    </w:div>
    <w:div w:id="759641169">
      <w:bodyDiv w:val="1"/>
      <w:marLeft w:val="0"/>
      <w:marRight w:val="0"/>
      <w:marTop w:val="0"/>
      <w:marBottom w:val="0"/>
      <w:divBdr>
        <w:top w:val="none" w:sz="0" w:space="0" w:color="auto"/>
        <w:left w:val="none" w:sz="0" w:space="0" w:color="auto"/>
        <w:bottom w:val="none" w:sz="0" w:space="0" w:color="auto"/>
        <w:right w:val="none" w:sz="0" w:space="0" w:color="auto"/>
      </w:divBdr>
    </w:div>
    <w:div w:id="768820078">
      <w:bodyDiv w:val="1"/>
      <w:marLeft w:val="0"/>
      <w:marRight w:val="0"/>
      <w:marTop w:val="0"/>
      <w:marBottom w:val="0"/>
      <w:divBdr>
        <w:top w:val="none" w:sz="0" w:space="0" w:color="auto"/>
        <w:left w:val="none" w:sz="0" w:space="0" w:color="auto"/>
        <w:bottom w:val="none" w:sz="0" w:space="0" w:color="auto"/>
        <w:right w:val="none" w:sz="0" w:space="0" w:color="auto"/>
      </w:divBdr>
    </w:div>
    <w:div w:id="799686320">
      <w:bodyDiv w:val="1"/>
      <w:marLeft w:val="0"/>
      <w:marRight w:val="0"/>
      <w:marTop w:val="0"/>
      <w:marBottom w:val="0"/>
      <w:divBdr>
        <w:top w:val="none" w:sz="0" w:space="0" w:color="auto"/>
        <w:left w:val="none" w:sz="0" w:space="0" w:color="auto"/>
        <w:bottom w:val="none" w:sz="0" w:space="0" w:color="auto"/>
        <w:right w:val="none" w:sz="0" w:space="0" w:color="auto"/>
      </w:divBdr>
      <w:divsChild>
        <w:div w:id="1410885158">
          <w:marLeft w:val="0"/>
          <w:marRight w:val="0"/>
          <w:marTop w:val="0"/>
          <w:marBottom w:val="0"/>
          <w:divBdr>
            <w:top w:val="none" w:sz="0" w:space="0" w:color="auto"/>
            <w:left w:val="none" w:sz="0" w:space="0" w:color="auto"/>
            <w:bottom w:val="none" w:sz="0" w:space="0" w:color="auto"/>
            <w:right w:val="none" w:sz="0" w:space="0" w:color="auto"/>
          </w:divBdr>
        </w:div>
        <w:div w:id="1471023131">
          <w:marLeft w:val="0"/>
          <w:marRight w:val="0"/>
          <w:marTop w:val="0"/>
          <w:marBottom w:val="0"/>
          <w:divBdr>
            <w:top w:val="none" w:sz="0" w:space="0" w:color="auto"/>
            <w:left w:val="none" w:sz="0" w:space="0" w:color="auto"/>
            <w:bottom w:val="none" w:sz="0" w:space="0" w:color="auto"/>
            <w:right w:val="none" w:sz="0" w:space="0" w:color="auto"/>
          </w:divBdr>
        </w:div>
        <w:div w:id="101074227">
          <w:marLeft w:val="0"/>
          <w:marRight w:val="0"/>
          <w:marTop w:val="0"/>
          <w:marBottom w:val="0"/>
          <w:divBdr>
            <w:top w:val="none" w:sz="0" w:space="0" w:color="auto"/>
            <w:left w:val="none" w:sz="0" w:space="0" w:color="auto"/>
            <w:bottom w:val="none" w:sz="0" w:space="0" w:color="auto"/>
            <w:right w:val="none" w:sz="0" w:space="0" w:color="auto"/>
          </w:divBdr>
        </w:div>
        <w:div w:id="1561553443">
          <w:marLeft w:val="0"/>
          <w:marRight w:val="0"/>
          <w:marTop w:val="0"/>
          <w:marBottom w:val="0"/>
          <w:divBdr>
            <w:top w:val="none" w:sz="0" w:space="0" w:color="auto"/>
            <w:left w:val="none" w:sz="0" w:space="0" w:color="auto"/>
            <w:bottom w:val="none" w:sz="0" w:space="0" w:color="auto"/>
            <w:right w:val="none" w:sz="0" w:space="0" w:color="auto"/>
          </w:divBdr>
        </w:div>
        <w:div w:id="1778253992">
          <w:marLeft w:val="0"/>
          <w:marRight w:val="0"/>
          <w:marTop w:val="0"/>
          <w:marBottom w:val="0"/>
          <w:divBdr>
            <w:top w:val="none" w:sz="0" w:space="0" w:color="auto"/>
            <w:left w:val="none" w:sz="0" w:space="0" w:color="auto"/>
            <w:bottom w:val="none" w:sz="0" w:space="0" w:color="auto"/>
            <w:right w:val="none" w:sz="0" w:space="0" w:color="auto"/>
          </w:divBdr>
        </w:div>
      </w:divsChild>
    </w:div>
    <w:div w:id="804591506">
      <w:bodyDiv w:val="1"/>
      <w:marLeft w:val="0"/>
      <w:marRight w:val="0"/>
      <w:marTop w:val="0"/>
      <w:marBottom w:val="0"/>
      <w:divBdr>
        <w:top w:val="none" w:sz="0" w:space="0" w:color="auto"/>
        <w:left w:val="none" w:sz="0" w:space="0" w:color="auto"/>
        <w:bottom w:val="none" w:sz="0" w:space="0" w:color="auto"/>
        <w:right w:val="none" w:sz="0" w:space="0" w:color="auto"/>
      </w:divBdr>
      <w:divsChild>
        <w:div w:id="210306246">
          <w:marLeft w:val="0"/>
          <w:marRight w:val="0"/>
          <w:marTop w:val="0"/>
          <w:marBottom w:val="0"/>
          <w:divBdr>
            <w:top w:val="none" w:sz="0" w:space="0" w:color="auto"/>
            <w:left w:val="none" w:sz="0" w:space="0" w:color="auto"/>
            <w:bottom w:val="none" w:sz="0" w:space="0" w:color="auto"/>
            <w:right w:val="none" w:sz="0" w:space="0" w:color="auto"/>
          </w:divBdr>
          <w:divsChild>
            <w:div w:id="1747336740">
              <w:marLeft w:val="0"/>
              <w:marRight w:val="0"/>
              <w:marTop w:val="0"/>
              <w:marBottom w:val="0"/>
              <w:divBdr>
                <w:top w:val="none" w:sz="0" w:space="0" w:color="auto"/>
                <w:left w:val="none" w:sz="0" w:space="0" w:color="auto"/>
                <w:bottom w:val="none" w:sz="0" w:space="0" w:color="auto"/>
                <w:right w:val="none" w:sz="0" w:space="0" w:color="auto"/>
              </w:divBdr>
              <w:divsChild>
                <w:div w:id="1994017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7185694">
      <w:bodyDiv w:val="1"/>
      <w:marLeft w:val="0"/>
      <w:marRight w:val="0"/>
      <w:marTop w:val="0"/>
      <w:marBottom w:val="0"/>
      <w:divBdr>
        <w:top w:val="none" w:sz="0" w:space="0" w:color="auto"/>
        <w:left w:val="none" w:sz="0" w:space="0" w:color="auto"/>
        <w:bottom w:val="none" w:sz="0" w:space="0" w:color="auto"/>
        <w:right w:val="none" w:sz="0" w:space="0" w:color="auto"/>
      </w:divBdr>
    </w:div>
    <w:div w:id="855266894">
      <w:bodyDiv w:val="1"/>
      <w:marLeft w:val="0"/>
      <w:marRight w:val="0"/>
      <w:marTop w:val="0"/>
      <w:marBottom w:val="0"/>
      <w:divBdr>
        <w:top w:val="none" w:sz="0" w:space="0" w:color="auto"/>
        <w:left w:val="none" w:sz="0" w:space="0" w:color="auto"/>
        <w:bottom w:val="none" w:sz="0" w:space="0" w:color="auto"/>
        <w:right w:val="none" w:sz="0" w:space="0" w:color="auto"/>
      </w:divBdr>
    </w:div>
    <w:div w:id="955914578">
      <w:bodyDiv w:val="1"/>
      <w:marLeft w:val="0"/>
      <w:marRight w:val="0"/>
      <w:marTop w:val="0"/>
      <w:marBottom w:val="0"/>
      <w:divBdr>
        <w:top w:val="none" w:sz="0" w:space="0" w:color="auto"/>
        <w:left w:val="none" w:sz="0" w:space="0" w:color="auto"/>
        <w:bottom w:val="none" w:sz="0" w:space="0" w:color="auto"/>
        <w:right w:val="none" w:sz="0" w:space="0" w:color="auto"/>
      </w:divBdr>
    </w:div>
    <w:div w:id="963342003">
      <w:bodyDiv w:val="1"/>
      <w:marLeft w:val="0"/>
      <w:marRight w:val="0"/>
      <w:marTop w:val="0"/>
      <w:marBottom w:val="0"/>
      <w:divBdr>
        <w:top w:val="none" w:sz="0" w:space="0" w:color="auto"/>
        <w:left w:val="none" w:sz="0" w:space="0" w:color="auto"/>
        <w:bottom w:val="none" w:sz="0" w:space="0" w:color="auto"/>
        <w:right w:val="none" w:sz="0" w:space="0" w:color="auto"/>
      </w:divBdr>
    </w:div>
    <w:div w:id="973753211">
      <w:bodyDiv w:val="1"/>
      <w:marLeft w:val="0"/>
      <w:marRight w:val="0"/>
      <w:marTop w:val="0"/>
      <w:marBottom w:val="0"/>
      <w:divBdr>
        <w:top w:val="none" w:sz="0" w:space="0" w:color="auto"/>
        <w:left w:val="none" w:sz="0" w:space="0" w:color="auto"/>
        <w:bottom w:val="none" w:sz="0" w:space="0" w:color="auto"/>
        <w:right w:val="none" w:sz="0" w:space="0" w:color="auto"/>
      </w:divBdr>
    </w:div>
    <w:div w:id="983236757">
      <w:bodyDiv w:val="1"/>
      <w:marLeft w:val="0"/>
      <w:marRight w:val="0"/>
      <w:marTop w:val="0"/>
      <w:marBottom w:val="0"/>
      <w:divBdr>
        <w:top w:val="none" w:sz="0" w:space="0" w:color="auto"/>
        <w:left w:val="none" w:sz="0" w:space="0" w:color="auto"/>
        <w:bottom w:val="none" w:sz="0" w:space="0" w:color="auto"/>
        <w:right w:val="none" w:sz="0" w:space="0" w:color="auto"/>
      </w:divBdr>
    </w:div>
    <w:div w:id="984815862">
      <w:bodyDiv w:val="1"/>
      <w:marLeft w:val="0"/>
      <w:marRight w:val="0"/>
      <w:marTop w:val="0"/>
      <w:marBottom w:val="0"/>
      <w:divBdr>
        <w:top w:val="none" w:sz="0" w:space="0" w:color="auto"/>
        <w:left w:val="none" w:sz="0" w:space="0" w:color="auto"/>
        <w:bottom w:val="none" w:sz="0" w:space="0" w:color="auto"/>
        <w:right w:val="none" w:sz="0" w:space="0" w:color="auto"/>
      </w:divBdr>
    </w:div>
    <w:div w:id="989359775">
      <w:bodyDiv w:val="1"/>
      <w:marLeft w:val="0"/>
      <w:marRight w:val="0"/>
      <w:marTop w:val="0"/>
      <w:marBottom w:val="0"/>
      <w:divBdr>
        <w:top w:val="none" w:sz="0" w:space="0" w:color="auto"/>
        <w:left w:val="none" w:sz="0" w:space="0" w:color="auto"/>
        <w:bottom w:val="none" w:sz="0" w:space="0" w:color="auto"/>
        <w:right w:val="none" w:sz="0" w:space="0" w:color="auto"/>
      </w:divBdr>
    </w:div>
    <w:div w:id="1015959881">
      <w:bodyDiv w:val="1"/>
      <w:marLeft w:val="0"/>
      <w:marRight w:val="0"/>
      <w:marTop w:val="0"/>
      <w:marBottom w:val="0"/>
      <w:divBdr>
        <w:top w:val="none" w:sz="0" w:space="0" w:color="auto"/>
        <w:left w:val="none" w:sz="0" w:space="0" w:color="auto"/>
        <w:bottom w:val="none" w:sz="0" w:space="0" w:color="auto"/>
        <w:right w:val="none" w:sz="0" w:space="0" w:color="auto"/>
      </w:divBdr>
    </w:div>
    <w:div w:id="1033193636">
      <w:bodyDiv w:val="1"/>
      <w:marLeft w:val="0"/>
      <w:marRight w:val="0"/>
      <w:marTop w:val="0"/>
      <w:marBottom w:val="0"/>
      <w:divBdr>
        <w:top w:val="none" w:sz="0" w:space="0" w:color="auto"/>
        <w:left w:val="none" w:sz="0" w:space="0" w:color="auto"/>
        <w:bottom w:val="none" w:sz="0" w:space="0" w:color="auto"/>
        <w:right w:val="none" w:sz="0" w:space="0" w:color="auto"/>
      </w:divBdr>
    </w:div>
    <w:div w:id="1035426856">
      <w:bodyDiv w:val="1"/>
      <w:marLeft w:val="0"/>
      <w:marRight w:val="0"/>
      <w:marTop w:val="0"/>
      <w:marBottom w:val="0"/>
      <w:divBdr>
        <w:top w:val="none" w:sz="0" w:space="0" w:color="auto"/>
        <w:left w:val="none" w:sz="0" w:space="0" w:color="auto"/>
        <w:bottom w:val="none" w:sz="0" w:space="0" w:color="auto"/>
        <w:right w:val="none" w:sz="0" w:space="0" w:color="auto"/>
      </w:divBdr>
      <w:divsChild>
        <w:div w:id="1129393020">
          <w:marLeft w:val="0"/>
          <w:marRight w:val="0"/>
          <w:marTop w:val="0"/>
          <w:marBottom w:val="0"/>
          <w:divBdr>
            <w:top w:val="none" w:sz="0" w:space="0" w:color="auto"/>
            <w:left w:val="none" w:sz="0" w:space="0" w:color="auto"/>
            <w:bottom w:val="none" w:sz="0" w:space="0" w:color="auto"/>
            <w:right w:val="none" w:sz="0" w:space="0" w:color="auto"/>
          </w:divBdr>
          <w:divsChild>
            <w:div w:id="1740008557">
              <w:marLeft w:val="0"/>
              <w:marRight w:val="0"/>
              <w:marTop w:val="0"/>
              <w:marBottom w:val="0"/>
              <w:divBdr>
                <w:top w:val="none" w:sz="0" w:space="0" w:color="auto"/>
                <w:left w:val="none" w:sz="0" w:space="0" w:color="auto"/>
                <w:bottom w:val="none" w:sz="0" w:space="0" w:color="auto"/>
                <w:right w:val="none" w:sz="0" w:space="0" w:color="auto"/>
              </w:divBdr>
              <w:divsChild>
                <w:div w:id="1028140498">
                  <w:marLeft w:val="0"/>
                  <w:marRight w:val="0"/>
                  <w:marTop w:val="0"/>
                  <w:marBottom w:val="0"/>
                  <w:divBdr>
                    <w:top w:val="none" w:sz="0" w:space="0" w:color="auto"/>
                    <w:left w:val="none" w:sz="0" w:space="0" w:color="auto"/>
                    <w:bottom w:val="none" w:sz="0" w:space="0" w:color="auto"/>
                    <w:right w:val="none" w:sz="0" w:space="0" w:color="auto"/>
                  </w:divBdr>
                  <w:divsChild>
                    <w:div w:id="467432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1324474">
      <w:bodyDiv w:val="1"/>
      <w:marLeft w:val="0"/>
      <w:marRight w:val="0"/>
      <w:marTop w:val="0"/>
      <w:marBottom w:val="0"/>
      <w:divBdr>
        <w:top w:val="none" w:sz="0" w:space="0" w:color="auto"/>
        <w:left w:val="none" w:sz="0" w:space="0" w:color="auto"/>
        <w:bottom w:val="none" w:sz="0" w:space="0" w:color="auto"/>
        <w:right w:val="none" w:sz="0" w:space="0" w:color="auto"/>
      </w:divBdr>
    </w:div>
    <w:div w:id="1078868358">
      <w:bodyDiv w:val="1"/>
      <w:marLeft w:val="0"/>
      <w:marRight w:val="0"/>
      <w:marTop w:val="0"/>
      <w:marBottom w:val="0"/>
      <w:divBdr>
        <w:top w:val="none" w:sz="0" w:space="0" w:color="auto"/>
        <w:left w:val="none" w:sz="0" w:space="0" w:color="auto"/>
        <w:bottom w:val="none" w:sz="0" w:space="0" w:color="auto"/>
        <w:right w:val="none" w:sz="0" w:space="0" w:color="auto"/>
      </w:divBdr>
    </w:div>
    <w:div w:id="1099448766">
      <w:bodyDiv w:val="1"/>
      <w:marLeft w:val="0"/>
      <w:marRight w:val="0"/>
      <w:marTop w:val="0"/>
      <w:marBottom w:val="0"/>
      <w:divBdr>
        <w:top w:val="none" w:sz="0" w:space="0" w:color="auto"/>
        <w:left w:val="none" w:sz="0" w:space="0" w:color="auto"/>
        <w:bottom w:val="none" w:sz="0" w:space="0" w:color="auto"/>
        <w:right w:val="none" w:sz="0" w:space="0" w:color="auto"/>
      </w:divBdr>
    </w:div>
    <w:div w:id="1099837719">
      <w:bodyDiv w:val="1"/>
      <w:marLeft w:val="0"/>
      <w:marRight w:val="0"/>
      <w:marTop w:val="0"/>
      <w:marBottom w:val="0"/>
      <w:divBdr>
        <w:top w:val="none" w:sz="0" w:space="0" w:color="auto"/>
        <w:left w:val="none" w:sz="0" w:space="0" w:color="auto"/>
        <w:bottom w:val="none" w:sz="0" w:space="0" w:color="auto"/>
        <w:right w:val="none" w:sz="0" w:space="0" w:color="auto"/>
      </w:divBdr>
    </w:div>
    <w:div w:id="1112241667">
      <w:bodyDiv w:val="1"/>
      <w:marLeft w:val="0"/>
      <w:marRight w:val="0"/>
      <w:marTop w:val="0"/>
      <w:marBottom w:val="0"/>
      <w:divBdr>
        <w:top w:val="none" w:sz="0" w:space="0" w:color="auto"/>
        <w:left w:val="none" w:sz="0" w:space="0" w:color="auto"/>
        <w:bottom w:val="none" w:sz="0" w:space="0" w:color="auto"/>
        <w:right w:val="none" w:sz="0" w:space="0" w:color="auto"/>
      </w:divBdr>
    </w:div>
    <w:div w:id="1129594246">
      <w:bodyDiv w:val="1"/>
      <w:marLeft w:val="0"/>
      <w:marRight w:val="0"/>
      <w:marTop w:val="0"/>
      <w:marBottom w:val="0"/>
      <w:divBdr>
        <w:top w:val="none" w:sz="0" w:space="0" w:color="auto"/>
        <w:left w:val="none" w:sz="0" w:space="0" w:color="auto"/>
        <w:bottom w:val="none" w:sz="0" w:space="0" w:color="auto"/>
        <w:right w:val="none" w:sz="0" w:space="0" w:color="auto"/>
      </w:divBdr>
    </w:div>
    <w:div w:id="1171792163">
      <w:bodyDiv w:val="1"/>
      <w:marLeft w:val="0"/>
      <w:marRight w:val="0"/>
      <w:marTop w:val="0"/>
      <w:marBottom w:val="0"/>
      <w:divBdr>
        <w:top w:val="none" w:sz="0" w:space="0" w:color="auto"/>
        <w:left w:val="none" w:sz="0" w:space="0" w:color="auto"/>
        <w:bottom w:val="none" w:sz="0" w:space="0" w:color="auto"/>
        <w:right w:val="none" w:sz="0" w:space="0" w:color="auto"/>
      </w:divBdr>
    </w:div>
    <w:div w:id="1216241257">
      <w:bodyDiv w:val="1"/>
      <w:marLeft w:val="0"/>
      <w:marRight w:val="0"/>
      <w:marTop w:val="0"/>
      <w:marBottom w:val="0"/>
      <w:divBdr>
        <w:top w:val="none" w:sz="0" w:space="0" w:color="auto"/>
        <w:left w:val="none" w:sz="0" w:space="0" w:color="auto"/>
        <w:bottom w:val="none" w:sz="0" w:space="0" w:color="auto"/>
        <w:right w:val="none" w:sz="0" w:space="0" w:color="auto"/>
      </w:divBdr>
    </w:div>
    <w:div w:id="1271161109">
      <w:bodyDiv w:val="1"/>
      <w:marLeft w:val="0"/>
      <w:marRight w:val="0"/>
      <w:marTop w:val="0"/>
      <w:marBottom w:val="0"/>
      <w:divBdr>
        <w:top w:val="none" w:sz="0" w:space="0" w:color="auto"/>
        <w:left w:val="none" w:sz="0" w:space="0" w:color="auto"/>
        <w:bottom w:val="none" w:sz="0" w:space="0" w:color="auto"/>
        <w:right w:val="none" w:sz="0" w:space="0" w:color="auto"/>
      </w:divBdr>
    </w:div>
    <w:div w:id="1285037778">
      <w:bodyDiv w:val="1"/>
      <w:marLeft w:val="0"/>
      <w:marRight w:val="0"/>
      <w:marTop w:val="0"/>
      <w:marBottom w:val="0"/>
      <w:divBdr>
        <w:top w:val="none" w:sz="0" w:space="0" w:color="auto"/>
        <w:left w:val="none" w:sz="0" w:space="0" w:color="auto"/>
        <w:bottom w:val="none" w:sz="0" w:space="0" w:color="auto"/>
        <w:right w:val="none" w:sz="0" w:space="0" w:color="auto"/>
      </w:divBdr>
    </w:div>
    <w:div w:id="1285582365">
      <w:bodyDiv w:val="1"/>
      <w:marLeft w:val="0"/>
      <w:marRight w:val="0"/>
      <w:marTop w:val="0"/>
      <w:marBottom w:val="0"/>
      <w:divBdr>
        <w:top w:val="none" w:sz="0" w:space="0" w:color="auto"/>
        <w:left w:val="none" w:sz="0" w:space="0" w:color="auto"/>
        <w:bottom w:val="none" w:sz="0" w:space="0" w:color="auto"/>
        <w:right w:val="none" w:sz="0" w:space="0" w:color="auto"/>
      </w:divBdr>
      <w:divsChild>
        <w:div w:id="443231437">
          <w:marLeft w:val="0"/>
          <w:marRight w:val="0"/>
          <w:marTop w:val="0"/>
          <w:marBottom w:val="0"/>
          <w:divBdr>
            <w:top w:val="none" w:sz="0" w:space="0" w:color="auto"/>
            <w:left w:val="none" w:sz="0" w:space="0" w:color="auto"/>
            <w:bottom w:val="none" w:sz="0" w:space="0" w:color="auto"/>
            <w:right w:val="none" w:sz="0" w:space="0" w:color="auto"/>
          </w:divBdr>
          <w:divsChild>
            <w:div w:id="520703499">
              <w:marLeft w:val="0"/>
              <w:marRight w:val="0"/>
              <w:marTop w:val="0"/>
              <w:marBottom w:val="0"/>
              <w:divBdr>
                <w:top w:val="none" w:sz="0" w:space="0" w:color="auto"/>
                <w:left w:val="none" w:sz="0" w:space="0" w:color="auto"/>
                <w:bottom w:val="none" w:sz="0" w:space="0" w:color="auto"/>
                <w:right w:val="none" w:sz="0" w:space="0" w:color="auto"/>
              </w:divBdr>
              <w:divsChild>
                <w:div w:id="15236162">
                  <w:marLeft w:val="0"/>
                  <w:marRight w:val="0"/>
                  <w:marTop w:val="0"/>
                  <w:marBottom w:val="0"/>
                  <w:divBdr>
                    <w:top w:val="none" w:sz="0" w:space="0" w:color="auto"/>
                    <w:left w:val="none" w:sz="0" w:space="0" w:color="auto"/>
                    <w:bottom w:val="none" w:sz="0" w:space="0" w:color="auto"/>
                    <w:right w:val="none" w:sz="0" w:space="0" w:color="auto"/>
                  </w:divBdr>
                  <w:divsChild>
                    <w:div w:id="1498882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7026363">
      <w:bodyDiv w:val="1"/>
      <w:marLeft w:val="0"/>
      <w:marRight w:val="0"/>
      <w:marTop w:val="0"/>
      <w:marBottom w:val="0"/>
      <w:divBdr>
        <w:top w:val="none" w:sz="0" w:space="0" w:color="auto"/>
        <w:left w:val="none" w:sz="0" w:space="0" w:color="auto"/>
        <w:bottom w:val="none" w:sz="0" w:space="0" w:color="auto"/>
        <w:right w:val="none" w:sz="0" w:space="0" w:color="auto"/>
      </w:divBdr>
    </w:div>
    <w:div w:id="1396245419">
      <w:bodyDiv w:val="1"/>
      <w:marLeft w:val="0"/>
      <w:marRight w:val="0"/>
      <w:marTop w:val="0"/>
      <w:marBottom w:val="0"/>
      <w:divBdr>
        <w:top w:val="none" w:sz="0" w:space="0" w:color="auto"/>
        <w:left w:val="none" w:sz="0" w:space="0" w:color="auto"/>
        <w:bottom w:val="none" w:sz="0" w:space="0" w:color="auto"/>
        <w:right w:val="none" w:sz="0" w:space="0" w:color="auto"/>
      </w:divBdr>
    </w:div>
    <w:div w:id="1408922325">
      <w:bodyDiv w:val="1"/>
      <w:marLeft w:val="0"/>
      <w:marRight w:val="0"/>
      <w:marTop w:val="0"/>
      <w:marBottom w:val="0"/>
      <w:divBdr>
        <w:top w:val="none" w:sz="0" w:space="0" w:color="auto"/>
        <w:left w:val="none" w:sz="0" w:space="0" w:color="auto"/>
        <w:bottom w:val="none" w:sz="0" w:space="0" w:color="auto"/>
        <w:right w:val="none" w:sz="0" w:space="0" w:color="auto"/>
      </w:divBdr>
      <w:divsChild>
        <w:div w:id="1159422017">
          <w:marLeft w:val="0"/>
          <w:marRight w:val="0"/>
          <w:marTop w:val="0"/>
          <w:marBottom w:val="0"/>
          <w:divBdr>
            <w:top w:val="none" w:sz="0" w:space="0" w:color="auto"/>
            <w:left w:val="none" w:sz="0" w:space="0" w:color="auto"/>
            <w:bottom w:val="none" w:sz="0" w:space="0" w:color="auto"/>
            <w:right w:val="none" w:sz="0" w:space="0" w:color="auto"/>
          </w:divBdr>
        </w:div>
        <w:div w:id="1033194722">
          <w:marLeft w:val="0"/>
          <w:marRight w:val="0"/>
          <w:marTop w:val="0"/>
          <w:marBottom w:val="0"/>
          <w:divBdr>
            <w:top w:val="none" w:sz="0" w:space="0" w:color="auto"/>
            <w:left w:val="none" w:sz="0" w:space="0" w:color="auto"/>
            <w:bottom w:val="none" w:sz="0" w:space="0" w:color="auto"/>
            <w:right w:val="none" w:sz="0" w:space="0" w:color="auto"/>
          </w:divBdr>
        </w:div>
        <w:div w:id="572743647">
          <w:marLeft w:val="0"/>
          <w:marRight w:val="0"/>
          <w:marTop w:val="0"/>
          <w:marBottom w:val="0"/>
          <w:divBdr>
            <w:top w:val="none" w:sz="0" w:space="0" w:color="auto"/>
            <w:left w:val="none" w:sz="0" w:space="0" w:color="auto"/>
            <w:bottom w:val="none" w:sz="0" w:space="0" w:color="auto"/>
            <w:right w:val="none" w:sz="0" w:space="0" w:color="auto"/>
          </w:divBdr>
        </w:div>
        <w:div w:id="341903988">
          <w:marLeft w:val="0"/>
          <w:marRight w:val="0"/>
          <w:marTop w:val="0"/>
          <w:marBottom w:val="0"/>
          <w:divBdr>
            <w:top w:val="none" w:sz="0" w:space="0" w:color="auto"/>
            <w:left w:val="none" w:sz="0" w:space="0" w:color="auto"/>
            <w:bottom w:val="none" w:sz="0" w:space="0" w:color="auto"/>
            <w:right w:val="none" w:sz="0" w:space="0" w:color="auto"/>
          </w:divBdr>
        </w:div>
        <w:div w:id="196626209">
          <w:marLeft w:val="0"/>
          <w:marRight w:val="0"/>
          <w:marTop w:val="0"/>
          <w:marBottom w:val="0"/>
          <w:divBdr>
            <w:top w:val="none" w:sz="0" w:space="0" w:color="auto"/>
            <w:left w:val="none" w:sz="0" w:space="0" w:color="auto"/>
            <w:bottom w:val="none" w:sz="0" w:space="0" w:color="auto"/>
            <w:right w:val="none" w:sz="0" w:space="0" w:color="auto"/>
          </w:divBdr>
        </w:div>
      </w:divsChild>
    </w:div>
    <w:div w:id="1419671371">
      <w:bodyDiv w:val="1"/>
      <w:marLeft w:val="0"/>
      <w:marRight w:val="0"/>
      <w:marTop w:val="0"/>
      <w:marBottom w:val="0"/>
      <w:divBdr>
        <w:top w:val="none" w:sz="0" w:space="0" w:color="auto"/>
        <w:left w:val="none" w:sz="0" w:space="0" w:color="auto"/>
        <w:bottom w:val="none" w:sz="0" w:space="0" w:color="auto"/>
        <w:right w:val="none" w:sz="0" w:space="0" w:color="auto"/>
      </w:divBdr>
      <w:divsChild>
        <w:div w:id="1790934130">
          <w:marLeft w:val="0"/>
          <w:marRight w:val="0"/>
          <w:marTop w:val="0"/>
          <w:marBottom w:val="0"/>
          <w:divBdr>
            <w:top w:val="none" w:sz="0" w:space="0" w:color="auto"/>
            <w:left w:val="none" w:sz="0" w:space="0" w:color="auto"/>
            <w:bottom w:val="none" w:sz="0" w:space="0" w:color="auto"/>
            <w:right w:val="none" w:sz="0" w:space="0" w:color="auto"/>
          </w:divBdr>
          <w:divsChild>
            <w:div w:id="1340424303">
              <w:marLeft w:val="0"/>
              <w:marRight w:val="0"/>
              <w:marTop w:val="0"/>
              <w:marBottom w:val="0"/>
              <w:divBdr>
                <w:top w:val="none" w:sz="0" w:space="0" w:color="auto"/>
                <w:left w:val="none" w:sz="0" w:space="0" w:color="auto"/>
                <w:bottom w:val="none" w:sz="0" w:space="0" w:color="auto"/>
                <w:right w:val="none" w:sz="0" w:space="0" w:color="auto"/>
              </w:divBdr>
              <w:divsChild>
                <w:div w:id="1722318255">
                  <w:marLeft w:val="0"/>
                  <w:marRight w:val="0"/>
                  <w:marTop w:val="0"/>
                  <w:marBottom w:val="0"/>
                  <w:divBdr>
                    <w:top w:val="none" w:sz="0" w:space="0" w:color="auto"/>
                    <w:left w:val="none" w:sz="0" w:space="0" w:color="auto"/>
                    <w:bottom w:val="none" w:sz="0" w:space="0" w:color="auto"/>
                    <w:right w:val="none" w:sz="0" w:space="0" w:color="auto"/>
                  </w:divBdr>
                  <w:divsChild>
                    <w:div w:id="89129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58841851">
      <w:bodyDiv w:val="1"/>
      <w:marLeft w:val="0"/>
      <w:marRight w:val="0"/>
      <w:marTop w:val="0"/>
      <w:marBottom w:val="0"/>
      <w:divBdr>
        <w:top w:val="none" w:sz="0" w:space="0" w:color="auto"/>
        <w:left w:val="none" w:sz="0" w:space="0" w:color="auto"/>
        <w:bottom w:val="none" w:sz="0" w:space="0" w:color="auto"/>
        <w:right w:val="none" w:sz="0" w:space="0" w:color="auto"/>
      </w:divBdr>
    </w:div>
    <w:div w:id="1495100007">
      <w:bodyDiv w:val="1"/>
      <w:marLeft w:val="0"/>
      <w:marRight w:val="0"/>
      <w:marTop w:val="0"/>
      <w:marBottom w:val="0"/>
      <w:divBdr>
        <w:top w:val="none" w:sz="0" w:space="0" w:color="auto"/>
        <w:left w:val="none" w:sz="0" w:space="0" w:color="auto"/>
        <w:bottom w:val="none" w:sz="0" w:space="0" w:color="auto"/>
        <w:right w:val="none" w:sz="0" w:space="0" w:color="auto"/>
      </w:divBdr>
    </w:div>
    <w:div w:id="1507138289">
      <w:bodyDiv w:val="1"/>
      <w:marLeft w:val="0"/>
      <w:marRight w:val="0"/>
      <w:marTop w:val="0"/>
      <w:marBottom w:val="0"/>
      <w:divBdr>
        <w:top w:val="none" w:sz="0" w:space="0" w:color="auto"/>
        <w:left w:val="none" w:sz="0" w:space="0" w:color="auto"/>
        <w:bottom w:val="none" w:sz="0" w:space="0" w:color="auto"/>
        <w:right w:val="none" w:sz="0" w:space="0" w:color="auto"/>
      </w:divBdr>
    </w:div>
    <w:div w:id="1532910875">
      <w:bodyDiv w:val="1"/>
      <w:marLeft w:val="0"/>
      <w:marRight w:val="0"/>
      <w:marTop w:val="0"/>
      <w:marBottom w:val="0"/>
      <w:divBdr>
        <w:top w:val="none" w:sz="0" w:space="0" w:color="auto"/>
        <w:left w:val="none" w:sz="0" w:space="0" w:color="auto"/>
        <w:bottom w:val="none" w:sz="0" w:space="0" w:color="auto"/>
        <w:right w:val="none" w:sz="0" w:space="0" w:color="auto"/>
      </w:divBdr>
      <w:divsChild>
        <w:div w:id="1557547429">
          <w:marLeft w:val="0"/>
          <w:marRight w:val="0"/>
          <w:marTop w:val="0"/>
          <w:marBottom w:val="0"/>
          <w:divBdr>
            <w:top w:val="none" w:sz="0" w:space="0" w:color="auto"/>
            <w:left w:val="none" w:sz="0" w:space="0" w:color="auto"/>
            <w:bottom w:val="none" w:sz="0" w:space="0" w:color="auto"/>
            <w:right w:val="none" w:sz="0" w:space="0" w:color="auto"/>
          </w:divBdr>
          <w:divsChild>
            <w:div w:id="609973427">
              <w:marLeft w:val="0"/>
              <w:marRight w:val="0"/>
              <w:marTop w:val="0"/>
              <w:marBottom w:val="240"/>
              <w:divBdr>
                <w:top w:val="none" w:sz="0" w:space="0" w:color="auto"/>
                <w:left w:val="none" w:sz="0" w:space="0" w:color="auto"/>
                <w:bottom w:val="none" w:sz="0" w:space="0" w:color="auto"/>
                <w:right w:val="none" w:sz="0" w:space="0" w:color="auto"/>
              </w:divBdr>
              <w:divsChild>
                <w:div w:id="325523585">
                  <w:marLeft w:val="600"/>
                  <w:marRight w:val="96"/>
                  <w:marTop w:val="0"/>
                  <w:marBottom w:val="0"/>
                  <w:divBdr>
                    <w:top w:val="none" w:sz="0" w:space="0" w:color="auto"/>
                    <w:left w:val="none" w:sz="0" w:space="0" w:color="auto"/>
                    <w:bottom w:val="none" w:sz="0" w:space="0" w:color="auto"/>
                    <w:right w:val="none" w:sz="0" w:space="0" w:color="auto"/>
                  </w:divBdr>
                </w:div>
              </w:divsChild>
            </w:div>
            <w:div w:id="1767385735">
              <w:marLeft w:val="0"/>
              <w:marRight w:val="0"/>
              <w:marTop w:val="0"/>
              <w:marBottom w:val="240"/>
              <w:divBdr>
                <w:top w:val="none" w:sz="0" w:space="0" w:color="auto"/>
                <w:left w:val="none" w:sz="0" w:space="0" w:color="auto"/>
                <w:bottom w:val="none" w:sz="0" w:space="0" w:color="auto"/>
                <w:right w:val="none" w:sz="0" w:space="0" w:color="auto"/>
              </w:divBdr>
              <w:divsChild>
                <w:div w:id="344092659">
                  <w:marLeft w:val="600"/>
                  <w:marRight w:val="96"/>
                  <w:marTop w:val="0"/>
                  <w:marBottom w:val="0"/>
                  <w:divBdr>
                    <w:top w:val="none" w:sz="0" w:space="0" w:color="auto"/>
                    <w:left w:val="none" w:sz="0" w:space="0" w:color="auto"/>
                    <w:bottom w:val="none" w:sz="0" w:space="0" w:color="auto"/>
                    <w:right w:val="none" w:sz="0" w:space="0" w:color="auto"/>
                  </w:divBdr>
                </w:div>
              </w:divsChild>
            </w:div>
            <w:div w:id="1026445400">
              <w:marLeft w:val="0"/>
              <w:marRight w:val="0"/>
              <w:marTop w:val="0"/>
              <w:marBottom w:val="240"/>
              <w:divBdr>
                <w:top w:val="none" w:sz="0" w:space="0" w:color="auto"/>
                <w:left w:val="none" w:sz="0" w:space="0" w:color="auto"/>
                <w:bottom w:val="none" w:sz="0" w:space="0" w:color="auto"/>
                <w:right w:val="none" w:sz="0" w:space="0" w:color="auto"/>
              </w:divBdr>
              <w:divsChild>
                <w:div w:id="192228130">
                  <w:marLeft w:val="600"/>
                  <w:marRight w:val="96"/>
                  <w:marTop w:val="0"/>
                  <w:marBottom w:val="0"/>
                  <w:divBdr>
                    <w:top w:val="none" w:sz="0" w:space="0" w:color="auto"/>
                    <w:left w:val="none" w:sz="0" w:space="0" w:color="auto"/>
                    <w:bottom w:val="none" w:sz="0" w:space="0" w:color="auto"/>
                    <w:right w:val="none" w:sz="0" w:space="0" w:color="auto"/>
                  </w:divBdr>
                </w:div>
              </w:divsChild>
            </w:div>
            <w:div w:id="1823232689">
              <w:marLeft w:val="0"/>
              <w:marRight w:val="0"/>
              <w:marTop w:val="0"/>
              <w:marBottom w:val="240"/>
              <w:divBdr>
                <w:top w:val="none" w:sz="0" w:space="0" w:color="auto"/>
                <w:left w:val="none" w:sz="0" w:space="0" w:color="auto"/>
                <w:bottom w:val="none" w:sz="0" w:space="0" w:color="auto"/>
                <w:right w:val="none" w:sz="0" w:space="0" w:color="auto"/>
              </w:divBdr>
              <w:divsChild>
                <w:div w:id="1874228295">
                  <w:marLeft w:val="600"/>
                  <w:marRight w:val="96"/>
                  <w:marTop w:val="0"/>
                  <w:marBottom w:val="0"/>
                  <w:divBdr>
                    <w:top w:val="none" w:sz="0" w:space="0" w:color="auto"/>
                    <w:left w:val="none" w:sz="0" w:space="0" w:color="auto"/>
                    <w:bottom w:val="none" w:sz="0" w:space="0" w:color="auto"/>
                    <w:right w:val="none" w:sz="0" w:space="0" w:color="auto"/>
                  </w:divBdr>
                </w:div>
              </w:divsChild>
            </w:div>
            <w:div w:id="1794254285">
              <w:marLeft w:val="0"/>
              <w:marRight w:val="0"/>
              <w:marTop w:val="0"/>
              <w:marBottom w:val="240"/>
              <w:divBdr>
                <w:top w:val="none" w:sz="0" w:space="0" w:color="auto"/>
                <w:left w:val="none" w:sz="0" w:space="0" w:color="auto"/>
                <w:bottom w:val="none" w:sz="0" w:space="0" w:color="auto"/>
                <w:right w:val="none" w:sz="0" w:space="0" w:color="auto"/>
              </w:divBdr>
              <w:divsChild>
                <w:div w:id="2037391628">
                  <w:marLeft w:val="600"/>
                  <w:marRight w:val="96"/>
                  <w:marTop w:val="0"/>
                  <w:marBottom w:val="0"/>
                  <w:divBdr>
                    <w:top w:val="none" w:sz="0" w:space="0" w:color="auto"/>
                    <w:left w:val="none" w:sz="0" w:space="0" w:color="auto"/>
                    <w:bottom w:val="none" w:sz="0" w:space="0" w:color="auto"/>
                    <w:right w:val="none" w:sz="0" w:space="0" w:color="auto"/>
                  </w:divBdr>
                </w:div>
              </w:divsChild>
            </w:div>
            <w:div w:id="1527519650">
              <w:marLeft w:val="0"/>
              <w:marRight w:val="0"/>
              <w:marTop w:val="0"/>
              <w:marBottom w:val="240"/>
              <w:divBdr>
                <w:top w:val="none" w:sz="0" w:space="0" w:color="auto"/>
                <w:left w:val="none" w:sz="0" w:space="0" w:color="auto"/>
                <w:bottom w:val="none" w:sz="0" w:space="0" w:color="auto"/>
                <w:right w:val="none" w:sz="0" w:space="0" w:color="auto"/>
              </w:divBdr>
              <w:divsChild>
                <w:div w:id="780034661">
                  <w:marLeft w:val="600"/>
                  <w:marRight w:val="96"/>
                  <w:marTop w:val="0"/>
                  <w:marBottom w:val="0"/>
                  <w:divBdr>
                    <w:top w:val="none" w:sz="0" w:space="0" w:color="auto"/>
                    <w:left w:val="none" w:sz="0" w:space="0" w:color="auto"/>
                    <w:bottom w:val="none" w:sz="0" w:space="0" w:color="auto"/>
                    <w:right w:val="none" w:sz="0" w:space="0" w:color="auto"/>
                  </w:divBdr>
                </w:div>
              </w:divsChild>
            </w:div>
            <w:div w:id="2086297554">
              <w:marLeft w:val="0"/>
              <w:marRight w:val="0"/>
              <w:marTop w:val="0"/>
              <w:marBottom w:val="240"/>
              <w:divBdr>
                <w:top w:val="none" w:sz="0" w:space="0" w:color="auto"/>
                <w:left w:val="none" w:sz="0" w:space="0" w:color="auto"/>
                <w:bottom w:val="none" w:sz="0" w:space="0" w:color="auto"/>
                <w:right w:val="none" w:sz="0" w:space="0" w:color="auto"/>
              </w:divBdr>
              <w:divsChild>
                <w:div w:id="1728455175">
                  <w:marLeft w:val="600"/>
                  <w:marRight w:val="96"/>
                  <w:marTop w:val="0"/>
                  <w:marBottom w:val="0"/>
                  <w:divBdr>
                    <w:top w:val="none" w:sz="0" w:space="0" w:color="auto"/>
                    <w:left w:val="none" w:sz="0" w:space="0" w:color="auto"/>
                    <w:bottom w:val="none" w:sz="0" w:space="0" w:color="auto"/>
                    <w:right w:val="none" w:sz="0" w:space="0" w:color="auto"/>
                  </w:divBdr>
                </w:div>
              </w:divsChild>
            </w:div>
            <w:div w:id="1686444775">
              <w:marLeft w:val="0"/>
              <w:marRight w:val="0"/>
              <w:marTop w:val="0"/>
              <w:marBottom w:val="240"/>
              <w:divBdr>
                <w:top w:val="none" w:sz="0" w:space="0" w:color="auto"/>
                <w:left w:val="none" w:sz="0" w:space="0" w:color="auto"/>
                <w:bottom w:val="none" w:sz="0" w:space="0" w:color="auto"/>
                <w:right w:val="none" w:sz="0" w:space="0" w:color="auto"/>
              </w:divBdr>
              <w:divsChild>
                <w:div w:id="661661481">
                  <w:marLeft w:val="600"/>
                  <w:marRight w:val="96"/>
                  <w:marTop w:val="0"/>
                  <w:marBottom w:val="0"/>
                  <w:divBdr>
                    <w:top w:val="none" w:sz="0" w:space="0" w:color="auto"/>
                    <w:left w:val="none" w:sz="0" w:space="0" w:color="auto"/>
                    <w:bottom w:val="none" w:sz="0" w:space="0" w:color="auto"/>
                    <w:right w:val="none" w:sz="0" w:space="0" w:color="auto"/>
                  </w:divBdr>
                </w:div>
              </w:divsChild>
            </w:div>
            <w:div w:id="300037074">
              <w:marLeft w:val="0"/>
              <w:marRight w:val="0"/>
              <w:marTop w:val="0"/>
              <w:marBottom w:val="240"/>
              <w:divBdr>
                <w:top w:val="none" w:sz="0" w:space="0" w:color="auto"/>
                <w:left w:val="none" w:sz="0" w:space="0" w:color="auto"/>
                <w:bottom w:val="none" w:sz="0" w:space="0" w:color="auto"/>
                <w:right w:val="none" w:sz="0" w:space="0" w:color="auto"/>
              </w:divBdr>
              <w:divsChild>
                <w:div w:id="628629466">
                  <w:marLeft w:val="600"/>
                  <w:marRight w:val="96"/>
                  <w:marTop w:val="0"/>
                  <w:marBottom w:val="0"/>
                  <w:divBdr>
                    <w:top w:val="none" w:sz="0" w:space="0" w:color="auto"/>
                    <w:left w:val="none" w:sz="0" w:space="0" w:color="auto"/>
                    <w:bottom w:val="none" w:sz="0" w:space="0" w:color="auto"/>
                    <w:right w:val="none" w:sz="0" w:space="0" w:color="auto"/>
                  </w:divBdr>
                </w:div>
              </w:divsChild>
            </w:div>
            <w:div w:id="1625844608">
              <w:marLeft w:val="0"/>
              <w:marRight w:val="0"/>
              <w:marTop w:val="0"/>
              <w:marBottom w:val="240"/>
              <w:divBdr>
                <w:top w:val="none" w:sz="0" w:space="0" w:color="auto"/>
                <w:left w:val="none" w:sz="0" w:space="0" w:color="auto"/>
                <w:bottom w:val="none" w:sz="0" w:space="0" w:color="auto"/>
                <w:right w:val="none" w:sz="0" w:space="0" w:color="auto"/>
              </w:divBdr>
              <w:divsChild>
                <w:div w:id="488374434">
                  <w:marLeft w:val="600"/>
                  <w:marRight w:val="96"/>
                  <w:marTop w:val="0"/>
                  <w:marBottom w:val="0"/>
                  <w:divBdr>
                    <w:top w:val="none" w:sz="0" w:space="0" w:color="auto"/>
                    <w:left w:val="none" w:sz="0" w:space="0" w:color="auto"/>
                    <w:bottom w:val="none" w:sz="0" w:space="0" w:color="auto"/>
                    <w:right w:val="none" w:sz="0" w:space="0" w:color="auto"/>
                  </w:divBdr>
                </w:div>
              </w:divsChild>
            </w:div>
            <w:div w:id="1906602301">
              <w:marLeft w:val="0"/>
              <w:marRight w:val="0"/>
              <w:marTop w:val="0"/>
              <w:marBottom w:val="240"/>
              <w:divBdr>
                <w:top w:val="none" w:sz="0" w:space="0" w:color="auto"/>
                <w:left w:val="none" w:sz="0" w:space="0" w:color="auto"/>
                <w:bottom w:val="none" w:sz="0" w:space="0" w:color="auto"/>
                <w:right w:val="none" w:sz="0" w:space="0" w:color="auto"/>
              </w:divBdr>
              <w:divsChild>
                <w:div w:id="1004942526">
                  <w:marLeft w:val="600"/>
                  <w:marRight w:val="96"/>
                  <w:marTop w:val="0"/>
                  <w:marBottom w:val="0"/>
                  <w:divBdr>
                    <w:top w:val="none" w:sz="0" w:space="0" w:color="auto"/>
                    <w:left w:val="none" w:sz="0" w:space="0" w:color="auto"/>
                    <w:bottom w:val="none" w:sz="0" w:space="0" w:color="auto"/>
                    <w:right w:val="none" w:sz="0" w:space="0" w:color="auto"/>
                  </w:divBdr>
                </w:div>
              </w:divsChild>
            </w:div>
            <w:div w:id="1282764141">
              <w:marLeft w:val="0"/>
              <w:marRight w:val="0"/>
              <w:marTop w:val="0"/>
              <w:marBottom w:val="240"/>
              <w:divBdr>
                <w:top w:val="none" w:sz="0" w:space="0" w:color="auto"/>
                <w:left w:val="none" w:sz="0" w:space="0" w:color="auto"/>
                <w:bottom w:val="none" w:sz="0" w:space="0" w:color="auto"/>
                <w:right w:val="none" w:sz="0" w:space="0" w:color="auto"/>
              </w:divBdr>
              <w:divsChild>
                <w:div w:id="1304430885">
                  <w:marLeft w:val="600"/>
                  <w:marRight w:val="96"/>
                  <w:marTop w:val="0"/>
                  <w:marBottom w:val="0"/>
                  <w:divBdr>
                    <w:top w:val="none" w:sz="0" w:space="0" w:color="auto"/>
                    <w:left w:val="none" w:sz="0" w:space="0" w:color="auto"/>
                    <w:bottom w:val="none" w:sz="0" w:space="0" w:color="auto"/>
                    <w:right w:val="none" w:sz="0" w:space="0" w:color="auto"/>
                  </w:divBdr>
                </w:div>
              </w:divsChild>
            </w:div>
            <w:div w:id="1181093225">
              <w:marLeft w:val="0"/>
              <w:marRight w:val="0"/>
              <w:marTop w:val="0"/>
              <w:marBottom w:val="240"/>
              <w:divBdr>
                <w:top w:val="none" w:sz="0" w:space="0" w:color="auto"/>
                <w:left w:val="none" w:sz="0" w:space="0" w:color="auto"/>
                <w:bottom w:val="none" w:sz="0" w:space="0" w:color="auto"/>
                <w:right w:val="none" w:sz="0" w:space="0" w:color="auto"/>
              </w:divBdr>
              <w:divsChild>
                <w:div w:id="455873469">
                  <w:marLeft w:val="600"/>
                  <w:marRight w:val="96"/>
                  <w:marTop w:val="0"/>
                  <w:marBottom w:val="0"/>
                  <w:divBdr>
                    <w:top w:val="none" w:sz="0" w:space="0" w:color="auto"/>
                    <w:left w:val="none" w:sz="0" w:space="0" w:color="auto"/>
                    <w:bottom w:val="none" w:sz="0" w:space="0" w:color="auto"/>
                    <w:right w:val="none" w:sz="0" w:space="0" w:color="auto"/>
                  </w:divBdr>
                </w:div>
              </w:divsChild>
            </w:div>
            <w:div w:id="1615556693">
              <w:marLeft w:val="0"/>
              <w:marRight w:val="0"/>
              <w:marTop w:val="0"/>
              <w:marBottom w:val="240"/>
              <w:divBdr>
                <w:top w:val="none" w:sz="0" w:space="0" w:color="auto"/>
                <w:left w:val="none" w:sz="0" w:space="0" w:color="auto"/>
                <w:bottom w:val="none" w:sz="0" w:space="0" w:color="auto"/>
                <w:right w:val="none" w:sz="0" w:space="0" w:color="auto"/>
              </w:divBdr>
              <w:divsChild>
                <w:div w:id="1850635335">
                  <w:marLeft w:val="600"/>
                  <w:marRight w:val="96"/>
                  <w:marTop w:val="0"/>
                  <w:marBottom w:val="0"/>
                  <w:divBdr>
                    <w:top w:val="none" w:sz="0" w:space="0" w:color="auto"/>
                    <w:left w:val="none" w:sz="0" w:space="0" w:color="auto"/>
                    <w:bottom w:val="none" w:sz="0" w:space="0" w:color="auto"/>
                    <w:right w:val="none" w:sz="0" w:space="0" w:color="auto"/>
                  </w:divBdr>
                </w:div>
              </w:divsChild>
            </w:div>
            <w:div w:id="1621760718">
              <w:marLeft w:val="0"/>
              <w:marRight w:val="0"/>
              <w:marTop w:val="0"/>
              <w:marBottom w:val="240"/>
              <w:divBdr>
                <w:top w:val="none" w:sz="0" w:space="0" w:color="auto"/>
                <w:left w:val="none" w:sz="0" w:space="0" w:color="auto"/>
                <w:bottom w:val="none" w:sz="0" w:space="0" w:color="auto"/>
                <w:right w:val="none" w:sz="0" w:space="0" w:color="auto"/>
              </w:divBdr>
              <w:divsChild>
                <w:div w:id="562258500">
                  <w:marLeft w:val="600"/>
                  <w:marRight w:val="96"/>
                  <w:marTop w:val="0"/>
                  <w:marBottom w:val="0"/>
                  <w:divBdr>
                    <w:top w:val="none" w:sz="0" w:space="0" w:color="auto"/>
                    <w:left w:val="none" w:sz="0" w:space="0" w:color="auto"/>
                    <w:bottom w:val="none" w:sz="0" w:space="0" w:color="auto"/>
                    <w:right w:val="none" w:sz="0" w:space="0" w:color="auto"/>
                  </w:divBdr>
                </w:div>
              </w:divsChild>
            </w:div>
            <w:div w:id="1091244588">
              <w:marLeft w:val="0"/>
              <w:marRight w:val="0"/>
              <w:marTop w:val="0"/>
              <w:marBottom w:val="240"/>
              <w:divBdr>
                <w:top w:val="none" w:sz="0" w:space="0" w:color="auto"/>
                <w:left w:val="none" w:sz="0" w:space="0" w:color="auto"/>
                <w:bottom w:val="none" w:sz="0" w:space="0" w:color="auto"/>
                <w:right w:val="none" w:sz="0" w:space="0" w:color="auto"/>
              </w:divBdr>
              <w:divsChild>
                <w:div w:id="1810199979">
                  <w:marLeft w:val="600"/>
                  <w:marRight w:val="96"/>
                  <w:marTop w:val="0"/>
                  <w:marBottom w:val="0"/>
                  <w:divBdr>
                    <w:top w:val="none" w:sz="0" w:space="0" w:color="auto"/>
                    <w:left w:val="none" w:sz="0" w:space="0" w:color="auto"/>
                    <w:bottom w:val="none" w:sz="0" w:space="0" w:color="auto"/>
                    <w:right w:val="none" w:sz="0" w:space="0" w:color="auto"/>
                  </w:divBdr>
                </w:div>
              </w:divsChild>
            </w:div>
            <w:div w:id="1627857476">
              <w:marLeft w:val="0"/>
              <w:marRight w:val="0"/>
              <w:marTop w:val="0"/>
              <w:marBottom w:val="240"/>
              <w:divBdr>
                <w:top w:val="none" w:sz="0" w:space="0" w:color="auto"/>
                <w:left w:val="none" w:sz="0" w:space="0" w:color="auto"/>
                <w:bottom w:val="none" w:sz="0" w:space="0" w:color="auto"/>
                <w:right w:val="none" w:sz="0" w:space="0" w:color="auto"/>
              </w:divBdr>
              <w:divsChild>
                <w:div w:id="671224175">
                  <w:marLeft w:val="600"/>
                  <w:marRight w:val="96"/>
                  <w:marTop w:val="0"/>
                  <w:marBottom w:val="0"/>
                  <w:divBdr>
                    <w:top w:val="none" w:sz="0" w:space="0" w:color="auto"/>
                    <w:left w:val="none" w:sz="0" w:space="0" w:color="auto"/>
                    <w:bottom w:val="none" w:sz="0" w:space="0" w:color="auto"/>
                    <w:right w:val="none" w:sz="0" w:space="0" w:color="auto"/>
                  </w:divBdr>
                </w:div>
              </w:divsChild>
            </w:div>
            <w:div w:id="1260868286">
              <w:marLeft w:val="0"/>
              <w:marRight w:val="0"/>
              <w:marTop w:val="0"/>
              <w:marBottom w:val="240"/>
              <w:divBdr>
                <w:top w:val="none" w:sz="0" w:space="0" w:color="auto"/>
                <w:left w:val="none" w:sz="0" w:space="0" w:color="auto"/>
                <w:bottom w:val="none" w:sz="0" w:space="0" w:color="auto"/>
                <w:right w:val="none" w:sz="0" w:space="0" w:color="auto"/>
              </w:divBdr>
              <w:divsChild>
                <w:div w:id="324480826">
                  <w:marLeft w:val="600"/>
                  <w:marRight w:val="96"/>
                  <w:marTop w:val="0"/>
                  <w:marBottom w:val="0"/>
                  <w:divBdr>
                    <w:top w:val="none" w:sz="0" w:space="0" w:color="auto"/>
                    <w:left w:val="none" w:sz="0" w:space="0" w:color="auto"/>
                    <w:bottom w:val="none" w:sz="0" w:space="0" w:color="auto"/>
                    <w:right w:val="none" w:sz="0" w:space="0" w:color="auto"/>
                  </w:divBdr>
                </w:div>
              </w:divsChild>
            </w:div>
            <w:div w:id="1199124324">
              <w:marLeft w:val="0"/>
              <w:marRight w:val="0"/>
              <w:marTop w:val="0"/>
              <w:marBottom w:val="240"/>
              <w:divBdr>
                <w:top w:val="none" w:sz="0" w:space="0" w:color="auto"/>
                <w:left w:val="none" w:sz="0" w:space="0" w:color="auto"/>
                <w:bottom w:val="none" w:sz="0" w:space="0" w:color="auto"/>
                <w:right w:val="none" w:sz="0" w:space="0" w:color="auto"/>
              </w:divBdr>
              <w:divsChild>
                <w:div w:id="1779448311">
                  <w:marLeft w:val="600"/>
                  <w:marRight w:val="96"/>
                  <w:marTop w:val="0"/>
                  <w:marBottom w:val="0"/>
                  <w:divBdr>
                    <w:top w:val="none" w:sz="0" w:space="0" w:color="auto"/>
                    <w:left w:val="none" w:sz="0" w:space="0" w:color="auto"/>
                    <w:bottom w:val="none" w:sz="0" w:space="0" w:color="auto"/>
                    <w:right w:val="none" w:sz="0" w:space="0" w:color="auto"/>
                  </w:divBdr>
                </w:div>
              </w:divsChild>
            </w:div>
            <w:div w:id="1288659071">
              <w:marLeft w:val="0"/>
              <w:marRight w:val="0"/>
              <w:marTop w:val="0"/>
              <w:marBottom w:val="240"/>
              <w:divBdr>
                <w:top w:val="none" w:sz="0" w:space="0" w:color="auto"/>
                <w:left w:val="none" w:sz="0" w:space="0" w:color="auto"/>
                <w:bottom w:val="none" w:sz="0" w:space="0" w:color="auto"/>
                <w:right w:val="none" w:sz="0" w:space="0" w:color="auto"/>
              </w:divBdr>
              <w:divsChild>
                <w:div w:id="599800661">
                  <w:marLeft w:val="600"/>
                  <w:marRight w:val="96"/>
                  <w:marTop w:val="0"/>
                  <w:marBottom w:val="0"/>
                  <w:divBdr>
                    <w:top w:val="none" w:sz="0" w:space="0" w:color="auto"/>
                    <w:left w:val="none" w:sz="0" w:space="0" w:color="auto"/>
                    <w:bottom w:val="none" w:sz="0" w:space="0" w:color="auto"/>
                    <w:right w:val="none" w:sz="0" w:space="0" w:color="auto"/>
                  </w:divBdr>
                </w:div>
              </w:divsChild>
            </w:div>
            <w:div w:id="962736180">
              <w:marLeft w:val="0"/>
              <w:marRight w:val="0"/>
              <w:marTop w:val="0"/>
              <w:marBottom w:val="240"/>
              <w:divBdr>
                <w:top w:val="none" w:sz="0" w:space="0" w:color="auto"/>
                <w:left w:val="none" w:sz="0" w:space="0" w:color="auto"/>
                <w:bottom w:val="none" w:sz="0" w:space="0" w:color="auto"/>
                <w:right w:val="none" w:sz="0" w:space="0" w:color="auto"/>
              </w:divBdr>
              <w:divsChild>
                <w:div w:id="204145525">
                  <w:marLeft w:val="600"/>
                  <w:marRight w:val="96"/>
                  <w:marTop w:val="0"/>
                  <w:marBottom w:val="0"/>
                  <w:divBdr>
                    <w:top w:val="none" w:sz="0" w:space="0" w:color="auto"/>
                    <w:left w:val="none" w:sz="0" w:space="0" w:color="auto"/>
                    <w:bottom w:val="none" w:sz="0" w:space="0" w:color="auto"/>
                    <w:right w:val="none" w:sz="0" w:space="0" w:color="auto"/>
                  </w:divBdr>
                </w:div>
              </w:divsChild>
            </w:div>
            <w:div w:id="1825389438">
              <w:marLeft w:val="0"/>
              <w:marRight w:val="0"/>
              <w:marTop w:val="0"/>
              <w:marBottom w:val="240"/>
              <w:divBdr>
                <w:top w:val="none" w:sz="0" w:space="0" w:color="auto"/>
                <w:left w:val="none" w:sz="0" w:space="0" w:color="auto"/>
                <w:bottom w:val="none" w:sz="0" w:space="0" w:color="auto"/>
                <w:right w:val="none" w:sz="0" w:space="0" w:color="auto"/>
              </w:divBdr>
              <w:divsChild>
                <w:div w:id="1185754048">
                  <w:marLeft w:val="600"/>
                  <w:marRight w:val="96"/>
                  <w:marTop w:val="0"/>
                  <w:marBottom w:val="0"/>
                  <w:divBdr>
                    <w:top w:val="none" w:sz="0" w:space="0" w:color="auto"/>
                    <w:left w:val="none" w:sz="0" w:space="0" w:color="auto"/>
                    <w:bottom w:val="none" w:sz="0" w:space="0" w:color="auto"/>
                    <w:right w:val="none" w:sz="0" w:space="0" w:color="auto"/>
                  </w:divBdr>
                </w:div>
              </w:divsChild>
            </w:div>
            <w:div w:id="1269462713">
              <w:marLeft w:val="0"/>
              <w:marRight w:val="0"/>
              <w:marTop w:val="0"/>
              <w:marBottom w:val="240"/>
              <w:divBdr>
                <w:top w:val="none" w:sz="0" w:space="0" w:color="auto"/>
                <w:left w:val="none" w:sz="0" w:space="0" w:color="auto"/>
                <w:bottom w:val="none" w:sz="0" w:space="0" w:color="auto"/>
                <w:right w:val="none" w:sz="0" w:space="0" w:color="auto"/>
              </w:divBdr>
              <w:divsChild>
                <w:div w:id="1648629073">
                  <w:marLeft w:val="600"/>
                  <w:marRight w:val="96"/>
                  <w:marTop w:val="0"/>
                  <w:marBottom w:val="0"/>
                  <w:divBdr>
                    <w:top w:val="none" w:sz="0" w:space="0" w:color="auto"/>
                    <w:left w:val="none" w:sz="0" w:space="0" w:color="auto"/>
                    <w:bottom w:val="none" w:sz="0" w:space="0" w:color="auto"/>
                    <w:right w:val="none" w:sz="0" w:space="0" w:color="auto"/>
                  </w:divBdr>
                </w:div>
              </w:divsChild>
            </w:div>
            <w:div w:id="716702357">
              <w:marLeft w:val="0"/>
              <w:marRight w:val="0"/>
              <w:marTop w:val="0"/>
              <w:marBottom w:val="240"/>
              <w:divBdr>
                <w:top w:val="none" w:sz="0" w:space="0" w:color="auto"/>
                <w:left w:val="none" w:sz="0" w:space="0" w:color="auto"/>
                <w:bottom w:val="none" w:sz="0" w:space="0" w:color="auto"/>
                <w:right w:val="none" w:sz="0" w:space="0" w:color="auto"/>
              </w:divBdr>
              <w:divsChild>
                <w:div w:id="1190870428">
                  <w:marLeft w:val="600"/>
                  <w:marRight w:val="96"/>
                  <w:marTop w:val="0"/>
                  <w:marBottom w:val="0"/>
                  <w:divBdr>
                    <w:top w:val="none" w:sz="0" w:space="0" w:color="auto"/>
                    <w:left w:val="none" w:sz="0" w:space="0" w:color="auto"/>
                    <w:bottom w:val="none" w:sz="0" w:space="0" w:color="auto"/>
                    <w:right w:val="none" w:sz="0" w:space="0" w:color="auto"/>
                  </w:divBdr>
                </w:div>
              </w:divsChild>
            </w:div>
            <w:div w:id="1418677124">
              <w:marLeft w:val="0"/>
              <w:marRight w:val="0"/>
              <w:marTop w:val="0"/>
              <w:marBottom w:val="240"/>
              <w:divBdr>
                <w:top w:val="none" w:sz="0" w:space="0" w:color="auto"/>
                <w:left w:val="none" w:sz="0" w:space="0" w:color="auto"/>
                <w:bottom w:val="none" w:sz="0" w:space="0" w:color="auto"/>
                <w:right w:val="none" w:sz="0" w:space="0" w:color="auto"/>
              </w:divBdr>
              <w:divsChild>
                <w:div w:id="365447866">
                  <w:marLeft w:val="600"/>
                  <w:marRight w:val="96"/>
                  <w:marTop w:val="0"/>
                  <w:marBottom w:val="0"/>
                  <w:divBdr>
                    <w:top w:val="none" w:sz="0" w:space="0" w:color="auto"/>
                    <w:left w:val="none" w:sz="0" w:space="0" w:color="auto"/>
                    <w:bottom w:val="none" w:sz="0" w:space="0" w:color="auto"/>
                    <w:right w:val="none" w:sz="0" w:space="0" w:color="auto"/>
                  </w:divBdr>
                </w:div>
              </w:divsChild>
            </w:div>
            <w:div w:id="1198422284">
              <w:marLeft w:val="0"/>
              <w:marRight w:val="0"/>
              <w:marTop w:val="0"/>
              <w:marBottom w:val="240"/>
              <w:divBdr>
                <w:top w:val="none" w:sz="0" w:space="0" w:color="auto"/>
                <w:left w:val="none" w:sz="0" w:space="0" w:color="auto"/>
                <w:bottom w:val="none" w:sz="0" w:space="0" w:color="auto"/>
                <w:right w:val="none" w:sz="0" w:space="0" w:color="auto"/>
              </w:divBdr>
              <w:divsChild>
                <w:div w:id="895163736">
                  <w:marLeft w:val="600"/>
                  <w:marRight w:val="96"/>
                  <w:marTop w:val="0"/>
                  <w:marBottom w:val="0"/>
                  <w:divBdr>
                    <w:top w:val="none" w:sz="0" w:space="0" w:color="auto"/>
                    <w:left w:val="none" w:sz="0" w:space="0" w:color="auto"/>
                    <w:bottom w:val="none" w:sz="0" w:space="0" w:color="auto"/>
                    <w:right w:val="none" w:sz="0" w:space="0" w:color="auto"/>
                  </w:divBdr>
                </w:div>
              </w:divsChild>
            </w:div>
            <w:div w:id="428743901">
              <w:marLeft w:val="0"/>
              <w:marRight w:val="0"/>
              <w:marTop w:val="0"/>
              <w:marBottom w:val="240"/>
              <w:divBdr>
                <w:top w:val="none" w:sz="0" w:space="0" w:color="auto"/>
                <w:left w:val="none" w:sz="0" w:space="0" w:color="auto"/>
                <w:bottom w:val="none" w:sz="0" w:space="0" w:color="auto"/>
                <w:right w:val="none" w:sz="0" w:space="0" w:color="auto"/>
              </w:divBdr>
              <w:divsChild>
                <w:div w:id="1685089965">
                  <w:marLeft w:val="600"/>
                  <w:marRight w:val="96"/>
                  <w:marTop w:val="0"/>
                  <w:marBottom w:val="0"/>
                  <w:divBdr>
                    <w:top w:val="none" w:sz="0" w:space="0" w:color="auto"/>
                    <w:left w:val="none" w:sz="0" w:space="0" w:color="auto"/>
                    <w:bottom w:val="none" w:sz="0" w:space="0" w:color="auto"/>
                    <w:right w:val="none" w:sz="0" w:space="0" w:color="auto"/>
                  </w:divBdr>
                </w:div>
              </w:divsChild>
            </w:div>
            <w:div w:id="1532916395">
              <w:marLeft w:val="0"/>
              <w:marRight w:val="0"/>
              <w:marTop w:val="0"/>
              <w:marBottom w:val="240"/>
              <w:divBdr>
                <w:top w:val="none" w:sz="0" w:space="0" w:color="auto"/>
                <w:left w:val="none" w:sz="0" w:space="0" w:color="auto"/>
                <w:bottom w:val="none" w:sz="0" w:space="0" w:color="auto"/>
                <w:right w:val="none" w:sz="0" w:space="0" w:color="auto"/>
              </w:divBdr>
              <w:divsChild>
                <w:div w:id="1389110690">
                  <w:marLeft w:val="600"/>
                  <w:marRight w:val="96"/>
                  <w:marTop w:val="0"/>
                  <w:marBottom w:val="0"/>
                  <w:divBdr>
                    <w:top w:val="none" w:sz="0" w:space="0" w:color="auto"/>
                    <w:left w:val="none" w:sz="0" w:space="0" w:color="auto"/>
                    <w:bottom w:val="none" w:sz="0" w:space="0" w:color="auto"/>
                    <w:right w:val="none" w:sz="0" w:space="0" w:color="auto"/>
                  </w:divBdr>
                </w:div>
              </w:divsChild>
            </w:div>
            <w:div w:id="632634119">
              <w:marLeft w:val="0"/>
              <w:marRight w:val="0"/>
              <w:marTop w:val="0"/>
              <w:marBottom w:val="240"/>
              <w:divBdr>
                <w:top w:val="none" w:sz="0" w:space="0" w:color="auto"/>
                <w:left w:val="none" w:sz="0" w:space="0" w:color="auto"/>
                <w:bottom w:val="none" w:sz="0" w:space="0" w:color="auto"/>
                <w:right w:val="none" w:sz="0" w:space="0" w:color="auto"/>
              </w:divBdr>
              <w:divsChild>
                <w:div w:id="614215064">
                  <w:marLeft w:val="600"/>
                  <w:marRight w:val="96"/>
                  <w:marTop w:val="0"/>
                  <w:marBottom w:val="0"/>
                  <w:divBdr>
                    <w:top w:val="none" w:sz="0" w:space="0" w:color="auto"/>
                    <w:left w:val="none" w:sz="0" w:space="0" w:color="auto"/>
                    <w:bottom w:val="none" w:sz="0" w:space="0" w:color="auto"/>
                    <w:right w:val="none" w:sz="0" w:space="0" w:color="auto"/>
                  </w:divBdr>
                </w:div>
              </w:divsChild>
            </w:div>
            <w:div w:id="37096644">
              <w:marLeft w:val="0"/>
              <w:marRight w:val="0"/>
              <w:marTop w:val="0"/>
              <w:marBottom w:val="240"/>
              <w:divBdr>
                <w:top w:val="none" w:sz="0" w:space="0" w:color="auto"/>
                <w:left w:val="none" w:sz="0" w:space="0" w:color="auto"/>
                <w:bottom w:val="none" w:sz="0" w:space="0" w:color="auto"/>
                <w:right w:val="none" w:sz="0" w:space="0" w:color="auto"/>
              </w:divBdr>
              <w:divsChild>
                <w:div w:id="87623594">
                  <w:marLeft w:val="600"/>
                  <w:marRight w:val="96"/>
                  <w:marTop w:val="0"/>
                  <w:marBottom w:val="0"/>
                  <w:divBdr>
                    <w:top w:val="none" w:sz="0" w:space="0" w:color="auto"/>
                    <w:left w:val="none" w:sz="0" w:space="0" w:color="auto"/>
                    <w:bottom w:val="none" w:sz="0" w:space="0" w:color="auto"/>
                    <w:right w:val="none" w:sz="0" w:space="0" w:color="auto"/>
                  </w:divBdr>
                </w:div>
              </w:divsChild>
            </w:div>
            <w:div w:id="1040667908">
              <w:marLeft w:val="0"/>
              <w:marRight w:val="0"/>
              <w:marTop w:val="0"/>
              <w:marBottom w:val="240"/>
              <w:divBdr>
                <w:top w:val="none" w:sz="0" w:space="0" w:color="auto"/>
                <w:left w:val="none" w:sz="0" w:space="0" w:color="auto"/>
                <w:bottom w:val="none" w:sz="0" w:space="0" w:color="auto"/>
                <w:right w:val="none" w:sz="0" w:space="0" w:color="auto"/>
              </w:divBdr>
              <w:divsChild>
                <w:div w:id="1228422106">
                  <w:marLeft w:val="600"/>
                  <w:marRight w:val="96"/>
                  <w:marTop w:val="0"/>
                  <w:marBottom w:val="0"/>
                  <w:divBdr>
                    <w:top w:val="none" w:sz="0" w:space="0" w:color="auto"/>
                    <w:left w:val="none" w:sz="0" w:space="0" w:color="auto"/>
                    <w:bottom w:val="none" w:sz="0" w:space="0" w:color="auto"/>
                    <w:right w:val="none" w:sz="0" w:space="0" w:color="auto"/>
                  </w:divBdr>
                </w:div>
              </w:divsChild>
            </w:div>
            <w:div w:id="1180703999">
              <w:marLeft w:val="0"/>
              <w:marRight w:val="0"/>
              <w:marTop w:val="0"/>
              <w:marBottom w:val="240"/>
              <w:divBdr>
                <w:top w:val="none" w:sz="0" w:space="0" w:color="auto"/>
                <w:left w:val="none" w:sz="0" w:space="0" w:color="auto"/>
                <w:bottom w:val="none" w:sz="0" w:space="0" w:color="auto"/>
                <w:right w:val="none" w:sz="0" w:space="0" w:color="auto"/>
              </w:divBdr>
              <w:divsChild>
                <w:div w:id="715786326">
                  <w:marLeft w:val="600"/>
                  <w:marRight w:val="96"/>
                  <w:marTop w:val="0"/>
                  <w:marBottom w:val="0"/>
                  <w:divBdr>
                    <w:top w:val="none" w:sz="0" w:space="0" w:color="auto"/>
                    <w:left w:val="none" w:sz="0" w:space="0" w:color="auto"/>
                    <w:bottom w:val="none" w:sz="0" w:space="0" w:color="auto"/>
                    <w:right w:val="none" w:sz="0" w:space="0" w:color="auto"/>
                  </w:divBdr>
                </w:div>
              </w:divsChild>
            </w:div>
            <w:div w:id="122579942">
              <w:marLeft w:val="0"/>
              <w:marRight w:val="0"/>
              <w:marTop w:val="0"/>
              <w:marBottom w:val="240"/>
              <w:divBdr>
                <w:top w:val="none" w:sz="0" w:space="0" w:color="auto"/>
                <w:left w:val="none" w:sz="0" w:space="0" w:color="auto"/>
                <w:bottom w:val="none" w:sz="0" w:space="0" w:color="auto"/>
                <w:right w:val="none" w:sz="0" w:space="0" w:color="auto"/>
              </w:divBdr>
              <w:divsChild>
                <w:div w:id="1956054046">
                  <w:marLeft w:val="600"/>
                  <w:marRight w:val="96"/>
                  <w:marTop w:val="0"/>
                  <w:marBottom w:val="0"/>
                  <w:divBdr>
                    <w:top w:val="none" w:sz="0" w:space="0" w:color="auto"/>
                    <w:left w:val="none" w:sz="0" w:space="0" w:color="auto"/>
                    <w:bottom w:val="none" w:sz="0" w:space="0" w:color="auto"/>
                    <w:right w:val="none" w:sz="0" w:space="0" w:color="auto"/>
                  </w:divBdr>
                </w:div>
              </w:divsChild>
            </w:div>
            <w:div w:id="1736129020">
              <w:marLeft w:val="0"/>
              <w:marRight w:val="0"/>
              <w:marTop w:val="0"/>
              <w:marBottom w:val="240"/>
              <w:divBdr>
                <w:top w:val="none" w:sz="0" w:space="0" w:color="auto"/>
                <w:left w:val="none" w:sz="0" w:space="0" w:color="auto"/>
                <w:bottom w:val="none" w:sz="0" w:space="0" w:color="auto"/>
                <w:right w:val="none" w:sz="0" w:space="0" w:color="auto"/>
              </w:divBdr>
              <w:divsChild>
                <w:div w:id="1946499893">
                  <w:marLeft w:val="600"/>
                  <w:marRight w:val="96"/>
                  <w:marTop w:val="0"/>
                  <w:marBottom w:val="0"/>
                  <w:divBdr>
                    <w:top w:val="none" w:sz="0" w:space="0" w:color="auto"/>
                    <w:left w:val="none" w:sz="0" w:space="0" w:color="auto"/>
                    <w:bottom w:val="none" w:sz="0" w:space="0" w:color="auto"/>
                    <w:right w:val="none" w:sz="0" w:space="0" w:color="auto"/>
                  </w:divBdr>
                </w:div>
              </w:divsChild>
            </w:div>
            <w:div w:id="2015760043">
              <w:marLeft w:val="0"/>
              <w:marRight w:val="0"/>
              <w:marTop w:val="0"/>
              <w:marBottom w:val="240"/>
              <w:divBdr>
                <w:top w:val="none" w:sz="0" w:space="0" w:color="auto"/>
                <w:left w:val="none" w:sz="0" w:space="0" w:color="auto"/>
                <w:bottom w:val="none" w:sz="0" w:space="0" w:color="auto"/>
                <w:right w:val="none" w:sz="0" w:space="0" w:color="auto"/>
              </w:divBdr>
              <w:divsChild>
                <w:div w:id="440418515">
                  <w:marLeft w:val="600"/>
                  <w:marRight w:val="96"/>
                  <w:marTop w:val="0"/>
                  <w:marBottom w:val="0"/>
                  <w:divBdr>
                    <w:top w:val="none" w:sz="0" w:space="0" w:color="auto"/>
                    <w:left w:val="none" w:sz="0" w:space="0" w:color="auto"/>
                    <w:bottom w:val="none" w:sz="0" w:space="0" w:color="auto"/>
                    <w:right w:val="none" w:sz="0" w:space="0" w:color="auto"/>
                  </w:divBdr>
                </w:div>
              </w:divsChild>
            </w:div>
            <w:div w:id="2057657481">
              <w:marLeft w:val="0"/>
              <w:marRight w:val="0"/>
              <w:marTop w:val="0"/>
              <w:marBottom w:val="240"/>
              <w:divBdr>
                <w:top w:val="none" w:sz="0" w:space="0" w:color="auto"/>
                <w:left w:val="none" w:sz="0" w:space="0" w:color="auto"/>
                <w:bottom w:val="none" w:sz="0" w:space="0" w:color="auto"/>
                <w:right w:val="none" w:sz="0" w:space="0" w:color="auto"/>
              </w:divBdr>
              <w:divsChild>
                <w:div w:id="993605659">
                  <w:marLeft w:val="600"/>
                  <w:marRight w:val="96"/>
                  <w:marTop w:val="0"/>
                  <w:marBottom w:val="0"/>
                  <w:divBdr>
                    <w:top w:val="none" w:sz="0" w:space="0" w:color="auto"/>
                    <w:left w:val="none" w:sz="0" w:space="0" w:color="auto"/>
                    <w:bottom w:val="none" w:sz="0" w:space="0" w:color="auto"/>
                    <w:right w:val="none" w:sz="0" w:space="0" w:color="auto"/>
                  </w:divBdr>
                </w:div>
              </w:divsChild>
            </w:div>
            <w:div w:id="1678652958">
              <w:marLeft w:val="0"/>
              <w:marRight w:val="0"/>
              <w:marTop w:val="0"/>
              <w:marBottom w:val="240"/>
              <w:divBdr>
                <w:top w:val="none" w:sz="0" w:space="0" w:color="auto"/>
                <w:left w:val="none" w:sz="0" w:space="0" w:color="auto"/>
                <w:bottom w:val="none" w:sz="0" w:space="0" w:color="auto"/>
                <w:right w:val="none" w:sz="0" w:space="0" w:color="auto"/>
              </w:divBdr>
              <w:divsChild>
                <w:div w:id="121774448">
                  <w:marLeft w:val="600"/>
                  <w:marRight w:val="96"/>
                  <w:marTop w:val="0"/>
                  <w:marBottom w:val="0"/>
                  <w:divBdr>
                    <w:top w:val="none" w:sz="0" w:space="0" w:color="auto"/>
                    <w:left w:val="none" w:sz="0" w:space="0" w:color="auto"/>
                    <w:bottom w:val="none" w:sz="0" w:space="0" w:color="auto"/>
                    <w:right w:val="none" w:sz="0" w:space="0" w:color="auto"/>
                  </w:divBdr>
                </w:div>
              </w:divsChild>
            </w:div>
            <w:div w:id="526333191">
              <w:marLeft w:val="0"/>
              <w:marRight w:val="0"/>
              <w:marTop w:val="0"/>
              <w:marBottom w:val="0"/>
              <w:divBdr>
                <w:top w:val="none" w:sz="0" w:space="0" w:color="auto"/>
                <w:left w:val="none" w:sz="0" w:space="0" w:color="auto"/>
                <w:bottom w:val="none" w:sz="0" w:space="0" w:color="auto"/>
                <w:right w:val="none" w:sz="0" w:space="0" w:color="auto"/>
              </w:divBdr>
              <w:divsChild>
                <w:div w:id="889875481">
                  <w:marLeft w:val="600"/>
                  <w:marRight w:val="96"/>
                  <w:marTop w:val="0"/>
                  <w:marBottom w:val="0"/>
                  <w:divBdr>
                    <w:top w:val="none" w:sz="0" w:space="0" w:color="auto"/>
                    <w:left w:val="none" w:sz="0" w:space="0" w:color="auto"/>
                    <w:bottom w:val="none" w:sz="0" w:space="0" w:color="auto"/>
                    <w:right w:val="none" w:sz="0" w:space="0" w:color="auto"/>
                  </w:divBdr>
                </w:div>
              </w:divsChild>
            </w:div>
          </w:divsChild>
        </w:div>
      </w:divsChild>
    </w:div>
    <w:div w:id="1559975099">
      <w:bodyDiv w:val="1"/>
      <w:marLeft w:val="0"/>
      <w:marRight w:val="0"/>
      <w:marTop w:val="0"/>
      <w:marBottom w:val="0"/>
      <w:divBdr>
        <w:top w:val="none" w:sz="0" w:space="0" w:color="auto"/>
        <w:left w:val="none" w:sz="0" w:space="0" w:color="auto"/>
        <w:bottom w:val="none" w:sz="0" w:space="0" w:color="auto"/>
        <w:right w:val="none" w:sz="0" w:space="0" w:color="auto"/>
      </w:divBdr>
    </w:div>
    <w:div w:id="1577861756">
      <w:bodyDiv w:val="1"/>
      <w:marLeft w:val="0"/>
      <w:marRight w:val="0"/>
      <w:marTop w:val="0"/>
      <w:marBottom w:val="0"/>
      <w:divBdr>
        <w:top w:val="none" w:sz="0" w:space="0" w:color="auto"/>
        <w:left w:val="none" w:sz="0" w:space="0" w:color="auto"/>
        <w:bottom w:val="none" w:sz="0" w:space="0" w:color="auto"/>
        <w:right w:val="none" w:sz="0" w:space="0" w:color="auto"/>
      </w:divBdr>
    </w:div>
    <w:div w:id="1605305895">
      <w:bodyDiv w:val="1"/>
      <w:marLeft w:val="0"/>
      <w:marRight w:val="0"/>
      <w:marTop w:val="0"/>
      <w:marBottom w:val="0"/>
      <w:divBdr>
        <w:top w:val="none" w:sz="0" w:space="0" w:color="auto"/>
        <w:left w:val="none" w:sz="0" w:space="0" w:color="auto"/>
        <w:bottom w:val="none" w:sz="0" w:space="0" w:color="auto"/>
        <w:right w:val="none" w:sz="0" w:space="0" w:color="auto"/>
      </w:divBdr>
    </w:div>
    <w:div w:id="1625888452">
      <w:bodyDiv w:val="1"/>
      <w:marLeft w:val="0"/>
      <w:marRight w:val="0"/>
      <w:marTop w:val="0"/>
      <w:marBottom w:val="0"/>
      <w:divBdr>
        <w:top w:val="none" w:sz="0" w:space="0" w:color="auto"/>
        <w:left w:val="none" w:sz="0" w:space="0" w:color="auto"/>
        <w:bottom w:val="none" w:sz="0" w:space="0" w:color="auto"/>
        <w:right w:val="none" w:sz="0" w:space="0" w:color="auto"/>
      </w:divBdr>
    </w:div>
    <w:div w:id="1650281572">
      <w:bodyDiv w:val="1"/>
      <w:marLeft w:val="0"/>
      <w:marRight w:val="0"/>
      <w:marTop w:val="0"/>
      <w:marBottom w:val="0"/>
      <w:divBdr>
        <w:top w:val="none" w:sz="0" w:space="0" w:color="auto"/>
        <w:left w:val="none" w:sz="0" w:space="0" w:color="auto"/>
        <w:bottom w:val="none" w:sz="0" w:space="0" w:color="auto"/>
        <w:right w:val="none" w:sz="0" w:space="0" w:color="auto"/>
      </w:divBdr>
    </w:div>
    <w:div w:id="1652559288">
      <w:bodyDiv w:val="1"/>
      <w:marLeft w:val="0"/>
      <w:marRight w:val="0"/>
      <w:marTop w:val="0"/>
      <w:marBottom w:val="0"/>
      <w:divBdr>
        <w:top w:val="none" w:sz="0" w:space="0" w:color="auto"/>
        <w:left w:val="none" w:sz="0" w:space="0" w:color="auto"/>
        <w:bottom w:val="none" w:sz="0" w:space="0" w:color="auto"/>
        <w:right w:val="none" w:sz="0" w:space="0" w:color="auto"/>
      </w:divBdr>
    </w:div>
    <w:div w:id="1659843805">
      <w:bodyDiv w:val="1"/>
      <w:marLeft w:val="0"/>
      <w:marRight w:val="0"/>
      <w:marTop w:val="0"/>
      <w:marBottom w:val="0"/>
      <w:divBdr>
        <w:top w:val="none" w:sz="0" w:space="0" w:color="auto"/>
        <w:left w:val="none" w:sz="0" w:space="0" w:color="auto"/>
        <w:bottom w:val="none" w:sz="0" w:space="0" w:color="auto"/>
        <w:right w:val="none" w:sz="0" w:space="0" w:color="auto"/>
      </w:divBdr>
      <w:divsChild>
        <w:div w:id="1305743627">
          <w:marLeft w:val="0"/>
          <w:marRight w:val="0"/>
          <w:marTop w:val="0"/>
          <w:marBottom w:val="0"/>
          <w:divBdr>
            <w:top w:val="none" w:sz="0" w:space="0" w:color="auto"/>
            <w:left w:val="none" w:sz="0" w:space="0" w:color="auto"/>
            <w:bottom w:val="none" w:sz="0" w:space="0" w:color="auto"/>
            <w:right w:val="none" w:sz="0" w:space="0" w:color="auto"/>
          </w:divBdr>
          <w:divsChild>
            <w:div w:id="1932545508">
              <w:marLeft w:val="0"/>
              <w:marRight w:val="0"/>
              <w:marTop w:val="0"/>
              <w:marBottom w:val="0"/>
              <w:divBdr>
                <w:top w:val="none" w:sz="0" w:space="0" w:color="auto"/>
                <w:left w:val="none" w:sz="0" w:space="0" w:color="auto"/>
                <w:bottom w:val="none" w:sz="0" w:space="0" w:color="auto"/>
                <w:right w:val="none" w:sz="0" w:space="0" w:color="auto"/>
              </w:divBdr>
              <w:divsChild>
                <w:div w:id="1051854414">
                  <w:marLeft w:val="360"/>
                  <w:marRight w:val="96"/>
                  <w:marTop w:val="0"/>
                  <w:marBottom w:val="0"/>
                  <w:divBdr>
                    <w:top w:val="none" w:sz="0" w:space="0" w:color="auto"/>
                    <w:left w:val="none" w:sz="0" w:space="0" w:color="auto"/>
                    <w:bottom w:val="none" w:sz="0" w:space="0" w:color="auto"/>
                    <w:right w:val="none" w:sz="0" w:space="0" w:color="auto"/>
                  </w:divBdr>
                </w:div>
              </w:divsChild>
            </w:div>
          </w:divsChild>
        </w:div>
      </w:divsChild>
    </w:div>
    <w:div w:id="1699502617">
      <w:bodyDiv w:val="1"/>
      <w:marLeft w:val="0"/>
      <w:marRight w:val="0"/>
      <w:marTop w:val="0"/>
      <w:marBottom w:val="0"/>
      <w:divBdr>
        <w:top w:val="none" w:sz="0" w:space="0" w:color="auto"/>
        <w:left w:val="none" w:sz="0" w:space="0" w:color="auto"/>
        <w:bottom w:val="none" w:sz="0" w:space="0" w:color="auto"/>
        <w:right w:val="none" w:sz="0" w:space="0" w:color="auto"/>
      </w:divBdr>
    </w:div>
    <w:div w:id="1738088519">
      <w:bodyDiv w:val="1"/>
      <w:marLeft w:val="0"/>
      <w:marRight w:val="0"/>
      <w:marTop w:val="0"/>
      <w:marBottom w:val="0"/>
      <w:divBdr>
        <w:top w:val="none" w:sz="0" w:space="0" w:color="auto"/>
        <w:left w:val="none" w:sz="0" w:space="0" w:color="auto"/>
        <w:bottom w:val="none" w:sz="0" w:space="0" w:color="auto"/>
        <w:right w:val="none" w:sz="0" w:space="0" w:color="auto"/>
      </w:divBdr>
    </w:div>
    <w:div w:id="1750348938">
      <w:bodyDiv w:val="1"/>
      <w:marLeft w:val="0"/>
      <w:marRight w:val="0"/>
      <w:marTop w:val="0"/>
      <w:marBottom w:val="0"/>
      <w:divBdr>
        <w:top w:val="none" w:sz="0" w:space="0" w:color="auto"/>
        <w:left w:val="none" w:sz="0" w:space="0" w:color="auto"/>
        <w:bottom w:val="none" w:sz="0" w:space="0" w:color="auto"/>
        <w:right w:val="none" w:sz="0" w:space="0" w:color="auto"/>
      </w:divBdr>
    </w:div>
    <w:div w:id="1770925768">
      <w:bodyDiv w:val="1"/>
      <w:marLeft w:val="0"/>
      <w:marRight w:val="0"/>
      <w:marTop w:val="0"/>
      <w:marBottom w:val="0"/>
      <w:divBdr>
        <w:top w:val="none" w:sz="0" w:space="0" w:color="auto"/>
        <w:left w:val="none" w:sz="0" w:space="0" w:color="auto"/>
        <w:bottom w:val="none" w:sz="0" w:space="0" w:color="auto"/>
        <w:right w:val="none" w:sz="0" w:space="0" w:color="auto"/>
      </w:divBdr>
    </w:div>
    <w:div w:id="1778677217">
      <w:bodyDiv w:val="1"/>
      <w:marLeft w:val="0"/>
      <w:marRight w:val="0"/>
      <w:marTop w:val="0"/>
      <w:marBottom w:val="0"/>
      <w:divBdr>
        <w:top w:val="none" w:sz="0" w:space="0" w:color="auto"/>
        <w:left w:val="none" w:sz="0" w:space="0" w:color="auto"/>
        <w:bottom w:val="none" w:sz="0" w:space="0" w:color="auto"/>
        <w:right w:val="none" w:sz="0" w:space="0" w:color="auto"/>
      </w:divBdr>
      <w:divsChild>
        <w:div w:id="1062364580">
          <w:marLeft w:val="0"/>
          <w:marRight w:val="0"/>
          <w:marTop w:val="0"/>
          <w:marBottom w:val="0"/>
          <w:divBdr>
            <w:top w:val="none" w:sz="0" w:space="0" w:color="auto"/>
            <w:left w:val="none" w:sz="0" w:space="0" w:color="auto"/>
            <w:bottom w:val="none" w:sz="0" w:space="0" w:color="auto"/>
            <w:right w:val="none" w:sz="0" w:space="0" w:color="auto"/>
          </w:divBdr>
          <w:divsChild>
            <w:div w:id="593127142">
              <w:marLeft w:val="0"/>
              <w:marRight w:val="0"/>
              <w:marTop w:val="0"/>
              <w:marBottom w:val="0"/>
              <w:divBdr>
                <w:top w:val="none" w:sz="0" w:space="0" w:color="auto"/>
                <w:left w:val="none" w:sz="0" w:space="0" w:color="auto"/>
                <w:bottom w:val="none" w:sz="0" w:space="0" w:color="auto"/>
                <w:right w:val="none" w:sz="0" w:space="0" w:color="auto"/>
              </w:divBdr>
              <w:divsChild>
                <w:div w:id="538514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5515373">
      <w:bodyDiv w:val="1"/>
      <w:marLeft w:val="0"/>
      <w:marRight w:val="0"/>
      <w:marTop w:val="0"/>
      <w:marBottom w:val="0"/>
      <w:divBdr>
        <w:top w:val="none" w:sz="0" w:space="0" w:color="auto"/>
        <w:left w:val="none" w:sz="0" w:space="0" w:color="auto"/>
        <w:bottom w:val="none" w:sz="0" w:space="0" w:color="auto"/>
        <w:right w:val="none" w:sz="0" w:space="0" w:color="auto"/>
      </w:divBdr>
      <w:divsChild>
        <w:div w:id="1254241930">
          <w:marLeft w:val="0"/>
          <w:marRight w:val="0"/>
          <w:marTop w:val="0"/>
          <w:marBottom w:val="0"/>
          <w:divBdr>
            <w:top w:val="none" w:sz="0" w:space="0" w:color="auto"/>
            <w:left w:val="none" w:sz="0" w:space="0" w:color="auto"/>
            <w:bottom w:val="none" w:sz="0" w:space="0" w:color="auto"/>
            <w:right w:val="none" w:sz="0" w:space="0" w:color="auto"/>
          </w:divBdr>
        </w:div>
        <w:div w:id="1968779058">
          <w:marLeft w:val="0"/>
          <w:marRight w:val="0"/>
          <w:marTop w:val="0"/>
          <w:marBottom w:val="0"/>
          <w:divBdr>
            <w:top w:val="none" w:sz="0" w:space="0" w:color="auto"/>
            <w:left w:val="none" w:sz="0" w:space="0" w:color="auto"/>
            <w:bottom w:val="none" w:sz="0" w:space="0" w:color="auto"/>
            <w:right w:val="none" w:sz="0" w:space="0" w:color="auto"/>
          </w:divBdr>
        </w:div>
        <w:div w:id="528031077">
          <w:marLeft w:val="0"/>
          <w:marRight w:val="0"/>
          <w:marTop w:val="0"/>
          <w:marBottom w:val="0"/>
          <w:divBdr>
            <w:top w:val="none" w:sz="0" w:space="0" w:color="auto"/>
            <w:left w:val="none" w:sz="0" w:space="0" w:color="auto"/>
            <w:bottom w:val="none" w:sz="0" w:space="0" w:color="auto"/>
            <w:right w:val="none" w:sz="0" w:space="0" w:color="auto"/>
          </w:divBdr>
        </w:div>
        <w:div w:id="857037135">
          <w:marLeft w:val="0"/>
          <w:marRight w:val="0"/>
          <w:marTop w:val="0"/>
          <w:marBottom w:val="0"/>
          <w:divBdr>
            <w:top w:val="none" w:sz="0" w:space="0" w:color="auto"/>
            <w:left w:val="none" w:sz="0" w:space="0" w:color="auto"/>
            <w:bottom w:val="none" w:sz="0" w:space="0" w:color="auto"/>
            <w:right w:val="none" w:sz="0" w:space="0" w:color="auto"/>
          </w:divBdr>
        </w:div>
        <w:div w:id="1511338991">
          <w:marLeft w:val="0"/>
          <w:marRight w:val="0"/>
          <w:marTop w:val="0"/>
          <w:marBottom w:val="0"/>
          <w:divBdr>
            <w:top w:val="none" w:sz="0" w:space="0" w:color="auto"/>
            <w:left w:val="none" w:sz="0" w:space="0" w:color="auto"/>
            <w:bottom w:val="none" w:sz="0" w:space="0" w:color="auto"/>
            <w:right w:val="none" w:sz="0" w:space="0" w:color="auto"/>
          </w:divBdr>
        </w:div>
        <w:div w:id="2072773153">
          <w:marLeft w:val="0"/>
          <w:marRight w:val="0"/>
          <w:marTop w:val="0"/>
          <w:marBottom w:val="0"/>
          <w:divBdr>
            <w:top w:val="none" w:sz="0" w:space="0" w:color="auto"/>
            <w:left w:val="none" w:sz="0" w:space="0" w:color="auto"/>
            <w:bottom w:val="none" w:sz="0" w:space="0" w:color="auto"/>
            <w:right w:val="none" w:sz="0" w:space="0" w:color="auto"/>
          </w:divBdr>
        </w:div>
        <w:div w:id="805047672">
          <w:marLeft w:val="0"/>
          <w:marRight w:val="0"/>
          <w:marTop w:val="0"/>
          <w:marBottom w:val="0"/>
          <w:divBdr>
            <w:top w:val="none" w:sz="0" w:space="0" w:color="auto"/>
            <w:left w:val="none" w:sz="0" w:space="0" w:color="auto"/>
            <w:bottom w:val="none" w:sz="0" w:space="0" w:color="auto"/>
            <w:right w:val="none" w:sz="0" w:space="0" w:color="auto"/>
          </w:divBdr>
        </w:div>
        <w:div w:id="810634151">
          <w:marLeft w:val="0"/>
          <w:marRight w:val="0"/>
          <w:marTop w:val="0"/>
          <w:marBottom w:val="0"/>
          <w:divBdr>
            <w:top w:val="none" w:sz="0" w:space="0" w:color="auto"/>
            <w:left w:val="none" w:sz="0" w:space="0" w:color="auto"/>
            <w:bottom w:val="none" w:sz="0" w:space="0" w:color="auto"/>
            <w:right w:val="none" w:sz="0" w:space="0" w:color="auto"/>
          </w:divBdr>
        </w:div>
        <w:div w:id="1724061415">
          <w:marLeft w:val="0"/>
          <w:marRight w:val="0"/>
          <w:marTop w:val="0"/>
          <w:marBottom w:val="0"/>
          <w:divBdr>
            <w:top w:val="none" w:sz="0" w:space="0" w:color="auto"/>
            <w:left w:val="none" w:sz="0" w:space="0" w:color="auto"/>
            <w:bottom w:val="none" w:sz="0" w:space="0" w:color="auto"/>
            <w:right w:val="none" w:sz="0" w:space="0" w:color="auto"/>
          </w:divBdr>
        </w:div>
        <w:div w:id="431899583">
          <w:marLeft w:val="0"/>
          <w:marRight w:val="0"/>
          <w:marTop w:val="0"/>
          <w:marBottom w:val="0"/>
          <w:divBdr>
            <w:top w:val="none" w:sz="0" w:space="0" w:color="auto"/>
            <w:left w:val="none" w:sz="0" w:space="0" w:color="auto"/>
            <w:bottom w:val="none" w:sz="0" w:space="0" w:color="auto"/>
            <w:right w:val="none" w:sz="0" w:space="0" w:color="auto"/>
          </w:divBdr>
        </w:div>
        <w:div w:id="411506096">
          <w:marLeft w:val="0"/>
          <w:marRight w:val="0"/>
          <w:marTop w:val="0"/>
          <w:marBottom w:val="0"/>
          <w:divBdr>
            <w:top w:val="none" w:sz="0" w:space="0" w:color="auto"/>
            <w:left w:val="none" w:sz="0" w:space="0" w:color="auto"/>
            <w:bottom w:val="none" w:sz="0" w:space="0" w:color="auto"/>
            <w:right w:val="none" w:sz="0" w:space="0" w:color="auto"/>
          </w:divBdr>
        </w:div>
        <w:div w:id="2111657829">
          <w:marLeft w:val="0"/>
          <w:marRight w:val="0"/>
          <w:marTop w:val="0"/>
          <w:marBottom w:val="0"/>
          <w:divBdr>
            <w:top w:val="none" w:sz="0" w:space="0" w:color="auto"/>
            <w:left w:val="none" w:sz="0" w:space="0" w:color="auto"/>
            <w:bottom w:val="none" w:sz="0" w:space="0" w:color="auto"/>
            <w:right w:val="none" w:sz="0" w:space="0" w:color="auto"/>
          </w:divBdr>
        </w:div>
      </w:divsChild>
    </w:div>
    <w:div w:id="1818956541">
      <w:bodyDiv w:val="1"/>
      <w:marLeft w:val="0"/>
      <w:marRight w:val="0"/>
      <w:marTop w:val="0"/>
      <w:marBottom w:val="0"/>
      <w:divBdr>
        <w:top w:val="none" w:sz="0" w:space="0" w:color="auto"/>
        <w:left w:val="none" w:sz="0" w:space="0" w:color="auto"/>
        <w:bottom w:val="none" w:sz="0" w:space="0" w:color="auto"/>
        <w:right w:val="none" w:sz="0" w:space="0" w:color="auto"/>
      </w:divBdr>
    </w:div>
    <w:div w:id="1861579785">
      <w:bodyDiv w:val="1"/>
      <w:marLeft w:val="0"/>
      <w:marRight w:val="0"/>
      <w:marTop w:val="0"/>
      <w:marBottom w:val="0"/>
      <w:divBdr>
        <w:top w:val="none" w:sz="0" w:space="0" w:color="auto"/>
        <w:left w:val="none" w:sz="0" w:space="0" w:color="auto"/>
        <w:bottom w:val="none" w:sz="0" w:space="0" w:color="auto"/>
        <w:right w:val="none" w:sz="0" w:space="0" w:color="auto"/>
      </w:divBdr>
    </w:div>
    <w:div w:id="1879931018">
      <w:bodyDiv w:val="1"/>
      <w:marLeft w:val="0"/>
      <w:marRight w:val="0"/>
      <w:marTop w:val="0"/>
      <w:marBottom w:val="0"/>
      <w:divBdr>
        <w:top w:val="none" w:sz="0" w:space="0" w:color="auto"/>
        <w:left w:val="none" w:sz="0" w:space="0" w:color="auto"/>
        <w:bottom w:val="none" w:sz="0" w:space="0" w:color="auto"/>
        <w:right w:val="none" w:sz="0" w:space="0" w:color="auto"/>
      </w:divBdr>
    </w:div>
    <w:div w:id="1913545639">
      <w:bodyDiv w:val="1"/>
      <w:marLeft w:val="0"/>
      <w:marRight w:val="0"/>
      <w:marTop w:val="0"/>
      <w:marBottom w:val="0"/>
      <w:divBdr>
        <w:top w:val="none" w:sz="0" w:space="0" w:color="auto"/>
        <w:left w:val="none" w:sz="0" w:space="0" w:color="auto"/>
        <w:bottom w:val="none" w:sz="0" w:space="0" w:color="auto"/>
        <w:right w:val="none" w:sz="0" w:space="0" w:color="auto"/>
      </w:divBdr>
      <w:divsChild>
        <w:div w:id="234165359">
          <w:marLeft w:val="0"/>
          <w:marRight w:val="0"/>
          <w:marTop w:val="0"/>
          <w:marBottom w:val="0"/>
          <w:divBdr>
            <w:top w:val="none" w:sz="0" w:space="0" w:color="auto"/>
            <w:left w:val="none" w:sz="0" w:space="0" w:color="auto"/>
            <w:bottom w:val="none" w:sz="0" w:space="0" w:color="auto"/>
            <w:right w:val="none" w:sz="0" w:space="0" w:color="auto"/>
          </w:divBdr>
          <w:divsChild>
            <w:div w:id="1865827597">
              <w:marLeft w:val="0"/>
              <w:marRight w:val="0"/>
              <w:marTop w:val="0"/>
              <w:marBottom w:val="0"/>
              <w:divBdr>
                <w:top w:val="none" w:sz="0" w:space="0" w:color="auto"/>
                <w:left w:val="none" w:sz="0" w:space="0" w:color="auto"/>
                <w:bottom w:val="none" w:sz="0" w:space="0" w:color="auto"/>
                <w:right w:val="none" w:sz="0" w:space="0" w:color="auto"/>
              </w:divBdr>
              <w:divsChild>
                <w:div w:id="1943801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8225610">
      <w:bodyDiv w:val="1"/>
      <w:marLeft w:val="0"/>
      <w:marRight w:val="0"/>
      <w:marTop w:val="0"/>
      <w:marBottom w:val="0"/>
      <w:divBdr>
        <w:top w:val="none" w:sz="0" w:space="0" w:color="auto"/>
        <w:left w:val="none" w:sz="0" w:space="0" w:color="auto"/>
        <w:bottom w:val="none" w:sz="0" w:space="0" w:color="auto"/>
        <w:right w:val="none" w:sz="0" w:space="0" w:color="auto"/>
      </w:divBdr>
    </w:div>
    <w:div w:id="1928538627">
      <w:bodyDiv w:val="1"/>
      <w:marLeft w:val="0"/>
      <w:marRight w:val="0"/>
      <w:marTop w:val="0"/>
      <w:marBottom w:val="0"/>
      <w:divBdr>
        <w:top w:val="none" w:sz="0" w:space="0" w:color="auto"/>
        <w:left w:val="none" w:sz="0" w:space="0" w:color="auto"/>
        <w:bottom w:val="none" w:sz="0" w:space="0" w:color="auto"/>
        <w:right w:val="none" w:sz="0" w:space="0" w:color="auto"/>
      </w:divBdr>
    </w:div>
    <w:div w:id="1954707577">
      <w:bodyDiv w:val="1"/>
      <w:marLeft w:val="0"/>
      <w:marRight w:val="0"/>
      <w:marTop w:val="0"/>
      <w:marBottom w:val="0"/>
      <w:divBdr>
        <w:top w:val="none" w:sz="0" w:space="0" w:color="auto"/>
        <w:left w:val="none" w:sz="0" w:space="0" w:color="auto"/>
        <w:bottom w:val="none" w:sz="0" w:space="0" w:color="auto"/>
        <w:right w:val="none" w:sz="0" w:space="0" w:color="auto"/>
      </w:divBdr>
    </w:div>
    <w:div w:id="1985236201">
      <w:bodyDiv w:val="1"/>
      <w:marLeft w:val="0"/>
      <w:marRight w:val="0"/>
      <w:marTop w:val="0"/>
      <w:marBottom w:val="0"/>
      <w:divBdr>
        <w:top w:val="none" w:sz="0" w:space="0" w:color="auto"/>
        <w:left w:val="none" w:sz="0" w:space="0" w:color="auto"/>
        <w:bottom w:val="none" w:sz="0" w:space="0" w:color="auto"/>
        <w:right w:val="none" w:sz="0" w:space="0" w:color="auto"/>
      </w:divBdr>
    </w:div>
    <w:div w:id="2023235740">
      <w:bodyDiv w:val="1"/>
      <w:marLeft w:val="0"/>
      <w:marRight w:val="0"/>
      <w:marTop w:val="0"/>
      <w:marBottom w:val="0"/>
      <w:divBdr>
        <w:top w:val="none" w:sz="0" w:space="0" w:color="auto"/>
        <w:left w:val="none" w:sz="0" w:space="0" w:color="auto"/>
        <w:bottom w:val="none" w:sz="0" w:space="0" w:color="auto"/>
        <w:right w:val="none" w:sz="0" w:space="0" w:color="auto"/>
      </w:divBdr>
    </w:div>
    <w:div w:id="2042195934">
      <w:bodyDiv w:val="1"/>
      <w:marLeft w:val="0"/>
      <w:marRight w:val="0"/>
      <w:marTop w:val="0"/>
      <w:marBottom w:val="0"/>
      <w:divBdr>
        <w:top w:val="none" w:sz="0" w:space="0" w:color="auto"/>
        <w:left w:val="none" w:sz="0" w:space="0" w:color="auto"/>
        <w:bottom w:val="none" w:sz="0" w:space="0" w:color="auto"/>
        <w:right w:val="none" w:sz="0" w:space="0" w:color="auto"/>
      </w:divBdr>
    </w:div>
    <w:div w:id="2049446686">
      <w:bodyDiv w:val="1"/>
      <w:marLeft w:val="0"/>
      <w:marRight w:val="0"/>
      <w:marTop w:val="0"/>
      <w:marBottom w:val="0"/>
      <w:divBdr>
        <w:top w:val="none" w:sz="0" w:space="0" w:color="auto"/>
        <w:left w:val="none" w:sz="0" w:space="0" w:color="auto"/>
        <w:bottom w:val="none" w:sz="0" w:space="0" w:color="auto"/>
        <w:right w:val="none" w:sz="0" w:space="0" w:color="auto"/>
      </w:divBdr>
    </w:div>
    <w:div w:id="2072844839">
      <w:bodyDiv w:val="1"/>
      <w:marLeft w:val="0"/>
      <w:marRight w:val="0"/>
      <w:marTop w:val="0"/>
      <w:marBottom w:val="0"/>
      <w:divBdr>
        <w:top w:val="none" w:sz="0" w:space="0" w:color="auto"/>
        <w:left w:val="none" w:sz="0" w:space="0" w:color="auto"/>
        <w:bottom w:val="none" w:sz="0" w:space="0" w:color="auto"/>
        <w:right w:val="none" w:sz="0" w:space="0" w:color="auto"/>
      </w:divBdr>
    </w:div>
    <w:div w:id="2079472070">
      <w:bodyDiv w:val="1"/>
      <w:marLeft w:val="0"/>
      <w:marRight w:val="0"/>
      <w:marTop w:val="0"/>
      <w:marBottom w:val="0"/>
      <w:divBdr>
        <w:top w:val="none" w:sz="0" w:space="0" w:color="auto"/>
        <w:left w:val="none" w:sz="0" w:space="0" w:color="auto"/>
        <w:bottom w:val="none" w:sz="0" w:space="0" w:color="auto"/>
        <w:right w:val="none" w:sz="0" w:space="0" w:color="auto"/>
      </w:divBdr>
    </w:div>
    <w:div w:id="2082747015">
      <w:bodyDiv w:val="1"/>
      <w:marLeft w:val="0"/>
      <w:marRight w:val="0"/>
      <w:marTop w:val="0"/>
      <w:marBottom w:val="0"/>
      <w:divBdr>
        <w:top w:val="none" w:sz="0" w:space="0" w:color="auto"/>
        <w:left w:val="none" w:sz="0" w:space="0" w:color="auto"/>
        <w:bottom w:val="none" w:sz="0" w:space="0" w:color="auto"/>
        <w:right w:val="none" w:sz="0" w:space="0" w:color="auto"/>
      </w:divBdr>
    </w:div>
    <w:div w:id="2086798259">
      <w:bodyDiv w:val="1"/>
      <w:marLeft w:val="0"/>
      <w:marRight w:val="0"/>
      <w:marTop w:val="0"/>
      <w:marBottom w:val="0"/>
      <w:divBdr>
        <w:top w:val="none" w:sz="0" w:space="0" w:color="auto"/>
        <w:left w:val="none" w:sz="0" w:space="0" w:color="auto"/>
        <w:bottom w:val="none" w:sz="0" w:space="0" w:color="auto"/>
        <w:right w:val="none" w:sz="0" w:space="0" w:color="auto"/>
      </w:divBdr>
    </w:div>
    <w:div w:id="21206371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bioinformatics.babraham.ac.uk/projects/fastqc/" TargetMode="External"/><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116</TotalTime>
  <Pages>29</Pages>
  <Words>38086</Words>
  <Characters>217096</Characters>
  <Application>Microsoft Office Word</Application>
  <DocSecurity>0</DocSecurity>
  <Lines>1809</Lines>
  <Paragraphs>509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254673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ROBB Calum</dc:creator>
  <cp:keywords/>
  <dc:description/>
  <cp:lastModifiedBy>YAO Chengcan</cp:lastModifiedBy>
  <cp:revision>31</cp:revision>
  <cp:lastPrinted>2021-12-17T22:29:00Z</cp:lastPrinted>
  <dcterms:created xsi:type="dcterms:W3CDTF">2021-12-17T22:29:00Z</dcterms:created>
  <dcterms:modified xsi:type="dcterms:W3CDTF">2021-12-25T12:58:00Z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zotero-version="5.0.97-beta.59+abe8c39c5"&gt;&lt;session id="zoEpVWqK"/&gt;&lt;style id="http://www.zotero.org/styles/american-medical-association" hasBibliography="1" bibliographyStyleHasBeenSet="1"/&gt;&lt;prefs&gt;&lt;pref name="fieldType" value="Field"</vt:lpwstr>
  </property>
  <property fmtid="{D5CDD505-2E9C-101B-9397-08002B2CF9AE}" pid="3" name="ZOTERO_PREF_2">
    <vt:lpwstr>/&gt;&lt;pref name="delayCitationUpdates" value="true"/&gt;&lt;/prefs&gt;&lt;/data&gt;</vt:lpwstr>
  </property>
</Properties>
</file>