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D8A68" w14:textId="7BFCD1D0" w:rsidR="00216B25" w:rsidRPr="00EC0B78" w:rsidRDefault="00EC0B78" w:rsidP="00F15F85">
      <w:pPr>
        <w:suppressLineNumbers/>
        <w:spacing w:line="480" w:lineRule="auto"/>
        <w:jc w:val="center"/>
        <w:rPr>
          <w:b/>
          <w:bCs/>
          <w:color w:val="000000" w:themeColor="text1"/>
          <w:u w:val="single"/>
          <w:lang w:val="en-GB"/>
        </w:rPr>
      </w:pPr>
      <w:bookmarkStart w:id="0" w:name="_Hlk19911317"/>
      <w:r w:rsidRPr="00EC0B78">
        <w:rPr>
          <w:b/>
          <w:bCs/>
          <w:color w:val="000000" w:themeColor="text1"/>
          <w:u w:val="single"/>
          <w:lang w:val="en-GB"/>
        </w:rPr>
        <w:t>Short Communication</w:t>
      </w:r>
    </w:p>
    <w:p w14:paraId="5F0AD807" w14:textId="19E00223" w:rsidR="005A01D8" w:rsidRDefault="00B35179" w:rsidP="00F15F85">
      <w:pPr>
        <w:suppressLineNumbers/>
        <w:spacing w:line="480" w:lineRule="auto"/>
        <w:jc w:val="both"/>
        <w:rPr>
          <w:b/>
          <w:bCs/>
          <w:color w:val="000000" w:themeColor="text1"/>
          <w:lang w:val="en-GB"/>
        </w:rPr>
      </w:pPr>
      <w:r w:rsidRPr="00917993">
        <w:rPr>
          <w:b/>
          <w:bCs/>
          <w:color w:val="000000" w:themeColor="text1"/>
          <w:lang w:val="en-GB"/>
        </w:rPr>
        <w:t>Association study between</w:t>
      </w:r>
      <w:r w:rsidR="005A01D8" w:rsidRPr="00917993">
        <w:rPr>
          <w:b/>
          <w:bCs/>
          <w:color w:val="000000" w:themeColor="text1"/>
          <w:lang w:val="en-GB"/>
        </w:rPr>
        <w:t xml:space="preserve"> </w:t>
      </w:r>
      <w:r w:rsidR="006C6ED0" w:rsidRPr="00917993">
        <w:rPr>
          <w:b/>
          <w:bCs/>
          <w:color w:val="000000" w:themeColor="text1"/>
          <w:lang w:val="en-GB"/>
        </w:rPr>
        <w:t>herpes zoster</w:t>
      </w:r>
      <w:r w:rsidR="005A01D8" w:rsidRPr="00917993">
        <w:rPr>
          <w:b/>
          <w:bCs/>
          <w:color w:val="000000" w:themeColor="text1"/>
          <w:lang w:val="en-GB"/>
        </w:rPr>
        <w:t xml:space="preserve"> </w:t>
      </w:r>
      <w:r w:rsidRPr="00917993">
        <w:rPr>
          <w:b/>
          <w:bCs/>
          <w:color w:val="000000" w:themeColor="text1"/>
          <w:lang w:val="en-GB"/>
        </w:rPr>
        <w:t>reporting and mRNA</w:t>
      </w:r>
      <w:r w:rsidR="00F700A0" w:rsidRPr="00917993">
        <w:rPr>
          <w:b/>
          <w:bCs/>
          <w:color w:val="000000" w:themeColor="text1"/>
          <w:lang w:val="en-GB"/>
        </w:rPr>
        <w:t xml:space="preserve"> </w:t>
      </w:r>
      <w:r w:rsidR="00103E87" w:rsidRPr="00917993">
        <w:rPr>
          <w:b/>
          <w:bCs/>
          <w:color w:val="000000" w:themeColor="text1"/>
          <w:lang w:val="en-GB"/>
        </w:rPr>
        <w:t>COVID-19</w:t>
      </w:r>
      <w:r w:rsidR="005A01D8" w:rsidRPr="00917993">
        <w:rPr>
          <w:b/>
          <w:bCs/>
          <w:color w:val="000000" w:themeColor="text1"/>
          <w:lang w:val="en-GB"/>
        </w:rPr>
        <w:t xml:space="preserve"> </w:t>
      </w:r>
      <w:r w:rsidRPr="00917993">
        <w:rPr>
          <w:b/>
          <w:bCs/>
          <w:color w:val="000000" w:themeColor="text1"/>
          <w:lang w:val="en-GB"/>
        </w:rPr>
        <w:t>vaccines</w:t>
      </w:r>
      <w:r w:rsidR="00393300">
        <w:rPr>
          <w:b/>
          <w:bCs/>
          <w:color w:val="000000" w:themeColor="text1"/>
          <w:lang w:val="en-GB"/>
        </w:rPr>
        <w:t xml:space="preserve"> (</w:t>
      </w:r>
      <w:r w:rsidR="00393300" w:rsidRPr="00393300">
        <w:rPr>
          <w:b/>
          <w:bCs/>
          <w:color w:val="000000" w:themeColor="text1"/>
          <w:lang w:val="en-GB"/>
        </w:rPr>
        <w:t>BNT162b2</w:t>
      </w:r>
      <w:r w:rsidR="00393300">
        <w:rPr>
          <w:b/>
          <w:bCs/>
          <w:color w:val="000000" w:themeColor="text1"/>
          <w:lang w:val="en-GB"/>
        </w:rPr>
        <w:t xml:space="preserve"> and </w:t>
      </w:r>
      <w:r w:rsidR="00393300" w:rsidRPr="00393300">
        <w:rPr>
          <w:b/>
          <w:bCs/>
          <w:color w:val="000000" w:themeColor="text1"/>
          <w:lang w:val="en-GB"/>
        </w:rPr>
        <w:t>mRNA-1273</w:t>
      </w:r>
      <w:r w:rsidR="00393300">
        <w:rPr>
          <w:b/>
          <w:bCs/>
          <w:color w:val="000000" w:themeColor="text1"/>
          <w:lang w:val="en-GB"/>
        </w:rPr>
        <w:t>)</w:t>
      </w:r>
    </w:p>
    <w:p w14:paraId="41BEBACD" w14:textId="7EEAC556" w:rsidR="00D21DD5" w:rsidRPr="00917993" w:rsidRDefault="00D21DD5" w:rsidP="00F15F85">
      <w:pPr>
        <w:suppressLineNumbers/>
        <w:spacing w:line="480" w:lineRule="auto"/>
        <w:jc w:val="both"/>
        <w:rPr>
          <w:b/>
          <w:bCs/>
          <w:color w:val="000000" w:themeColor="text1"/>
          <w:lang w:val="en-GB"/>
        </w:rPr>
      </w:pPr>
      <w:r w:rsidRPr="00D21DD5">
        <w:rPr>
          <w:b/>
          <w:bCs/>
          <w:color w:val="000000" w:themeColor="text1"/>
          <w:u w:val="single"/>
          <w:lang w:val="en-GB"/>
        </w:rPr>
        <w:t>Running title</w:t>
      </w:r>
      <w:r>
        <w:rPr>
          <w:b/>
          <w:bCs/>
          <w:color w:val="000000" w:themeColor="text1"/>
          <w:lang w:val="en-GB"/>
        </w:rPr>
        <w:t>: H</w:t>
      </w:r>
      <w:r w:rsidRPr="00917993">
        <w:rPr>
          <w:b/>
          <w:bCs/>
          <w:color w:val="000000" w:themeColor="text1"/>
          <w:lang w:val="en-GB"/>
        </w:rPr>
        <w:t>erpes zoster and mRNA COVID-19 vaccines</w:t>
      </w:r>
    </w:p>
    <w:bookmarkEnd w:id="0"/>
    <w:p w14:paraId="0C858EE0" w14:textId="059BA99D" w:rsidR="00393300" w:rsidRPr="00393300" w:rsidRDefault="00393300" w:rsidP="00F15F85">
      <w:pPr>
        <w:suppressLineNumbers/>
        <w:spacing w:line="480" w:lineRule="auto"/>
        <w:jc w:val="both"/>
        <w:rPr>
          <w:color w:val="000000" w:themeColor="text1"/>
        </w:rPr>
      </w:pPr>
      <w:r>
        <w:rPr>
          <w:color w:val="000000" w:themeColor="text1"/>
        </w:rPr>
        <w:t>Laure-Hélène Préta</w:t>
      </w:r>
      <w:r w:rsidRPr="00133D3F">
        <w:rPr>
          <w:color w:val="000000" w:themeColor="text1"/>
          <w:vertAlign w:val="superscript"/>
        </w:rPr>
        <w:t>1</w:t>
      </w:r>
      <w:r>
        <w:rPr>
          <w:color w:val="000000" w:themeColor="text1"/>
          <w:vertAlign w:val="superscript"/>
        </w:rPr>
        <w:t>*</w:t>
      </w:r>
      <w:r w:rsidR="00F85C6B">
        <w:rPr>
          <w:color w:val="000000" w:themeColor="text1"/>
          <w:vertAlign w:val="superscript"/>
        </w:rPr>
        <w:t>¶</w:t>
      </w:r>
      <w:r>
        <w:rPr>
          <w:color w:val="000000" w:themeColor="text1"/>
        </w:rPr>
        <w:t>, Adrien Contejean</w:t>
      </w:r>
      <w:r>
        <w:rPr>
          <w:color w:val="000000" w:themeColor="text1"/>
          <w:vertAlign w:val="superscript"/>
        </w:rPr>
        <w:t>2</w:t>
      </w:r>
      <w:r w:rsidR="009F4E37">
        <w:rPr>
          <w:color w:val="000000" w:themeColor="text1"/>
          <w:vertAlign w:val="superscript"/>
        </w:rPr>
        <w:t>,3</w:t>
      </w:r>
      <w:r>
        <w:rPr>
          <w:color w:val="000000" w:themeColor="text1"/>
          <w:vertAlign w:val="superscript"/>
        </w:rPr>
        <w:t>*</w:t>
      </w:r>
      <w:r>
        <w:rPr>
          <w:color w:val="000000" w:themeColor="text1"/>
        </w:rPr>
        <w:t xml:space="preserve">, Francesco </w:t>
      </w:r>
      <w:r w:rsidR="003B0EE0">
        <w:rPr>
          <w:color w:val="000000" w:themeColor="text1"/>
        </w:rPr>
        <w:t>Salvo</w:t>
      </w:r>
      <w:r w:rsidR="003B0EE0">
        <w:rPr>
          <w:color w:val="000000" w:themeColor="text1"/>
          <w:vertAlign w:val="superscript"/>
        </w:rPr>
        <w:t>4,5</w:t>
      </w:r>
      <w:r w:rsidR="00F85C6B">
        <w:rPr>
          <w:color w:val="000000" w:themeColor="text1"/>
          <w:vertAlign w:val="superscript"/>
        </w:rPr>
        <w:t>¶</w:t>
      </w:r>
      <w:r>
        <w:rPr>
          <w:color w:val="000000" w:themeColor="text1"/>
        </w:rPr>
        <w:t>, Jean-Marc Treluyer</w:t>
      </w:r>
      <w:r>
        <w:rPr>
          <w:color w:val="000000" w:themeColor="text1"/>
          <w:vertAlign w:val="superscript"/>
        </w:rPr>
        <w:t>1</w:t>
      </w:r>
      <w:r w:rsidR="003B0EE0">
        <w:rPr>
          <w:color w:val="000000" w:themeColor="text1"/>
          <w:vertAlign w:val="superscript"/>
        </w:rPr>
        <w:t>,</w:t>
      </w:r>
      <w:r w:rsidRPr="00393300">
        <w:rPr>
          <w:color w:val="000000" w:themeColor="text1"/>
          <w:vertAlign w:val="superscript"/>
        </w:rPr>
        <w:t>3</w:t>
      </w:r>
      <w:r w:rsidR="00F85C6B">
        <w:rPr>
          <w:color w:val="000000" w:themeColor="text1"/>
          <w:vertAlign w:val="superscript"/>
        </w:rPr>
        <w:t>¶</w:t>
      </w:r>
      <w:r>
        <w:rPr>
          <w:color w:val="000000" w:themeColor="text1"/>
        </w:rPr>
        <w:t>, Caroline Charlier</w:t>
      </w:r>
      <w:r w:rsidRPr="00393300">
        <w:rPr>
          <w:color w:val="000000" w:themeColor="text1"/>
          <w:vertAlign w:val="superscript"/>
        </w:rPr>
        <w:t>2</w:t>
      </w:r>
      <w:r w:rsidR="00F85C6B">
        <w:rPr>
          <w:color w:val="000000" w:themeColor="text1"/>
          <w:vertAlign w:val="superscript"/>
        </w:rPr>
        <w:t>,</w:t>
      </w:r>
      <w:r w:rsidRPr="00393300">
        <w:rPr>
          <w:color w:val="000000" w:themeColor="text1"/>
          <w:vertAlign w:val="superscript"/>
        </w:rPr>
        <w:t>3</w:t>
      </w:r>
      <w:r>
        <w:rPr>
          <w:color w:val="000000" w:themeColor="text1"/>
        </w:rPr>
        <w:t>, Laurent Chouchana</w:t>
      </w:r>
      <w:r>
        <w:rPr>
          <w:color w:val="000000" w:themeColor="text1"/>
          <w:vertAlign w:val="superscript"/>
        </w:rPr>
        <w:t>1</w:t>
      </w:r>
      <w:r w:rsidR="003B0EE0">
        <w:rPr>
          <w:color w:val="000000" w:themeColor="text1"/>
          <w:vertAlign w:val="superscript"/>
        </w:rPr>
        <w:t>,</w:t>
      </w:r>
      <w:r w:rsidRPr="00393300">
        <w:rPr>
          <w:color w:val="000000" w:themeColor="text1"/>
          <w:vertAlign w:val="superscript"/>
        </w:rPr>
        <w:t>3</w:t>
      </w:r>
      <w:r w:rsidR="00F85C6B">
        <w:rPr>
          <w:color w:val="000000" w:themeColor="text1"/>
          <w:vertAlign w:val="superscript"/>
        </w:rPr>
        <w:t>¶</w:t>
      </w:r>
    </w:p>
    <w:p w14:paraId="75C77267" w14:textId="77777777" w:rsidR="00393300" w:rsidRDefault="006206BC" w:rsidP="00F15F85">
      <w:pPr>
        <w:suppressLineNumbers/>
        <w:spacing w:line="480" w:lineRule="auto"/>
        <w:jc w:val="both"/>
        <w:rPr>
          <w:color w:val="000000"/>
        </w:rPr>
      </w:pPr>
      <w:r w:rsidRPr="00133D3F">
        <w:rPr>
          <w:color w:val="000000" w:themeColor="text1"/>
          <w:vertAlign w:val="superscript"/>
        </w:rPr>
        <w:t>1</w:t>
      </w:r>
      <w:r w:rsidR="00D34B01" w:rsidRPr="00133D3F">
        <w:rPr>
          <w:color w:val="000000" w:themeColor="text1"/>
        </w:rPr>
        <w:t xml:space="preserve"> </w:t>
      </w:r>
      <w:r w:rsidR="008B7692" w:rsidRPr="00133D3F">
        <w:t>D</w:t>
      </w:r>
      <w:r w:rsidR="00626E81" w:rsidRPr="00133D3F">
        <w:t>é</w:t>
      </w:r>
      <w:r w:rsidR="008B7692" w:rsidRPr="00133D3F">
        <w:t>part</w:t>
      </w:r>
      <w:r w:rsidR="009E0F15" w:rsidRPr="00133D3F">
        <w:t>e</w:t>
      </w:r>
      <w:r w:rsidR="008B7692" w:rsidRPr="00133D3F">
        <w:t xml:space="preserve">ment </w:t>
      </w:r>
      <w:r w:rsidR="00626E81" w:rsidRPr="00133D3F">
        <w:t>de Pharmacologie</w:t>
      </w:r>
      <w:r w:rsidR="008B7692" w:rsidRPr="00133D3F">
        <w:t xml:space="preserve">, </w:t>
      </w:r>
      <w:r w:rsidR="00094972" w:rsidRPr="00133D3F">
        <w:rPr>
          <w:color w:val="000000"/>
        </w:rPr>
        <w:t>Centre Régional de Pharmacovigilance</w:t>
      </w:r>
      <w:r w:rsidR="009B7C0F" w:rsidRPr="00133D3F">
        <w:rPr>
          <w:color w:val="000000"/>
        </w:rPr>
        <w:t>, H</w:t>
      </w:r>
      <w:r w:rsidR="00094972" w:rsidRPr="00133D3F">
        <w:rPr>
          <w:color w:val="000000"/>
        </w:rPr>
        <w:t>ô</w:t>
      </w:r>
      <w:r w:rsidR="009B7C0F" w:rsidRPr="00133D3F">
        <w:rPr>
          <w:color w:val="000000"/>
        </w:rPr>
        <w:t xml:space="preserve">pital Cochin, </w:t>
      </w:r>
      <w:r w:rsidR="00393300" w:rsidRPr="00133D3F">
        <w:rPr>
          <w:color w:val="000000"/>
        </w:rPr>
        <w:t>Assistance Publique-Hô</w:t>
      </w:r>
      <w:r w:rsidR="00393300">
        <w:rPr>
          <w:color w:val="000000"/>
        </w:rPr>
        <w:t>pitaux de Paris, France</w:t>
      </w:r>
    </w:p>
    <w:p w14:paraId="038A227B" w14:textId="7668017F" w:rsidR="00393300" w:rsidRDefault="00393300" w:rsidP="00F15F85">
      <w:pPr>
        <w:suppressLineNumbers/>
        <w:spacing w:line="480" w:lineRule="auto"/>
        <w:jc w:val="both"/>
        <w:rPr>
          <w:color w:val="000000"/>
        </w:rPr>
      </w:pPr>
      <w:r w:rsidRPr="00393300">
        <w:rPr>
          <w:color w:val="000000"/>
          <w:vertAlign w:val="superscript"/>
        </w:rPr>
        <w:t>2</w:t>
      </w:r>
      <w:r>
        <w:rPr>
          <w:color w:val="000000"/>
        </w:rPr>
        <w:t xml:space="preserve"> </w:t>
      </w:r>
      <w:r w:rsidR="009F4E37">
        <w:rPr>
          <w:color w:val="000000"/>
        </w:rPr>
        <w:t>Equipe mobile d’infectiologie</w:t>
      </w:r>
      <w:r>
        <w:rPr>
          <w:color w:val="000000"/>
        </w:rPr>
        <w:t xml:space="preserve">, Hôpital Cochin, </w:t>
      </w:r>
      <w:r w:rsidRPr="00133D3F">
        <w:rPr>
          <w:color w:val="000000"/>
        </w:rPr>
        <w:t>Assistance Publique-Hô</w:t>
      </w:r>
      <w:r>
        <w:rPr>
          <w:color w:val="000000"/>
        </w:rPr>
        <w:t>pitaux de Paris, France</w:t>
      </w:r>
    </w:p>
    <w:p w14:paraId="7037FF4B" w14:textId="24B84FF6" w:rsidR="00053C59" w:rsidRDefault="00393300" w:rsidP="00F15F85">
      <w:pPr>
        <w:suppressLineNumbers/>
        <w:spacing w:line="480" w:lineRule="auto"/>
        <w:jc w:val="both"/>
        <w:rPr>
          <w:color w:val="000000"/>
        </w:rPr>
      </w:pPr>
      <w:r>
        <w:rPr>
          <w:color w:val="000000"/>
          <w:vertAlign w:val="superscript"/>
        </w:rPr>
        <w:t>3</w:t>
      </w:r>
      <w:r w:rsidR="009B7C0F" w:rsidRPr="00133D3F">
        <w:rPr>
          <w:color w:val="000000"/>
        </w:rPr>
        <w:t xml:space="preserve"> </w:t>
      </w:r>
      <w:r w:rsidR="009E0F15" w:rsidRPr="00133D3F">
        <w:rPr>
          <w:color w:val="000000"/>
        </w:rPr>
        <w:t xml:space="preserve">Université </w:t>
      </w:r>
      <w:r w:rsidR="009B7C0F" w:rsidRPr="00133D3F">
        <w:rPr>
          <w:color w:val="000000"/>
        </w:rPr>
        <w:t>Paris Descartes, Paris, France.</w:t>
      </w:r>
    </w:p>
    <w:p w14:paraId="7AE4F53F" w14:textId="107B28F9" w:rsidR="00484339" w:rsidRPr="00F85C6B" w:rsidRDefault="00484339" w:rsidP="00F15F85">
      <w:pPr>
        <w:suppressLineNumbers/>
        <w:spacing w:line="480" w:lineRule="auto"/>
        <w:jc w:val="both"/>
        <w:rPr>
          <w:color w:val="000000"/>
          <w:lang w:val="en-US"/>
        </w:rPr>
      </w:pPr>
      <w:r w:rsidRPr="00F85C6B">
        <w:rPr>
          <w:color w:val="000000"/>
          <w:vertAlign w:val="superscript"/>
          <w:lang w:val="en-US"/>
        </w:rPr>
        <w:t>4</w:t>
      </w:r>
      <w:r w:rsidR="00641E6D">
        <w:rPr>
          <w:color w:val="000000"/>
          <w:lang w:val="en-US"/>
        </w:rPr>
        <w:t xml:space="preserve"> </w:t>
      </w:r>
      <w:r w:rsidRPr="00F85C6B">
        <w:rPr>
          <w:color w:val="000000"/>
          <w:lang w:val="en-US"/>
        </w:rPr>
        <w:t xml:space="preserve">Univ. Bordeaux, </w:t>
      </w:r>
      <w:proofErr w:type="spellStart"/>
      <w:r w:rsidRPr="00F85C6B">
        <w:rPr>
          <w:color w:val="000000"/>
          <w:lang w:val="en-US"/>
        </w:rPr>
        <w:t>Inserm</w:t>
      </w:r>
      <w:proofErr w:type="spellEnd"/>
      <w:r w:rsidRPr="00F85C6B">
        <w:rPr>
          <w:color w:val="000000"/>
          <w:lang w:val="en-US"/>
        </w:rPr>
        <w:t xml:space="preserve">, Bordeaux Population Health Research Center, Team </w:t>
      </w:r>
      <w:proofErr w:type="spellStart"/>
      <w:r w:rsidRPr="00F85C6B">
        <w:rPr>
          <w:color w:val="000000"/>
          <w:lang w:val="en-US"/>
        </w:rPr>
        <w:t>Pharmacoepidemiology</w:t>
      </w:r>
      <w:proofErr w:type="spellEnd"/>
      <w:r w:rsidRPr="00F85C6B">
        <w:rPr>
          <w:color w:val="000000"/>
          <w:lang w:val="en-US"/>
        </w:rPr>
        <w:t>, UMR 1219, 33000, Bordeaux, France</w:t>
      </w:r>
    </w:p>
    <w:p w14:paraId="4CC3E0D1" w14:textId="30FED19A" w:rsidR="00484339" w:rsidRPr="006B6255" w:rsidRDefault="00484339" w:rsidP="00F15F85">
      <w:pPr>
        <w:suppressLineNumbers/>
        <w:spacing w:line="480" w:lineRule="auto"/>
        <w:jc w:val="both"/>
        <w:rPr>
          <w:color w:val="000000"/>
        </w:rPr>
      </w:pPr>
      <w:r w:rsidRPr="006B6255">
        <w:rPr>
          <w:color w:val="000000"/>
          <w:vertAlign w:val="superscript"/>
        </w:rPr>
        <w:t>5</w:t>
      </w:r>
      <w:r w:rsidRPr="006B6255">
        <w:rPr>
          <w:color w:val="000000"/>
        </w:rPr>
        <w:t xml:space="preserve"> CHU de Bordeaux, Service de Pharmacologie Médicale, </w:t>
      </w:r>
      <w:r>
        <w:rPr>
          <w:color w:val="000000"/>
        </w:rPr>
        <w:t xml:space="preserve">Centre Régional de Pharmacovigilance de Bordeaux, </w:t>
      </w:r>
      <w:r w:rsidRPr="006B6255">
        <w:rPr>
          <w:color w:val="000000"/>
        </w:rPr>
        <w:t>33000, Bordeaux, France</w:t>
      </w:r>
    </w:p>
    <w:p w14:paraId="33F6729C" w14:textId="07B0EADC" w:rsidR="009B7C0F" w:rsidRPr="00133D3F" w:rsidRDefault="009B7C0F" w:rsidP="00F15F85">
      <w:pPr>
        <w:suppressLineNumbers/>
        <w:spacing w:line="480" w:lineRule="auto"/>
        <w:jc w:val="both"/>
        <w:rPr>
          <w:color w:val="000000" w:themeColor="text1"/>
          <w:lang w:val="en-GB"/>
        </w:rPr>
      </w:pPr>
      <w:r w:rsidRPr="00133D3F">
        <w:rPr>
          <w:color w:val="000000" w:themeColor="text1"/>
          <w:lang w:val="en-GB"/>
        </w:rPr>
        <w:t>* B</w:t>
      </w:r>
      <w:r w:rsidR="000C682B">
        <w:rPr>
          <w:color w:val="000000" w:themeColor="text1"/>
          <w:lang w:val="en-GB"/>
        </w:rPr>
        <w:t>oth authors contributed equally</w:t>
      </w:r>
    </w:p>
    <w:p w14:paraId="794E5596" w14:textId="576B1248" w:rsidR="00992AD1" w:rsidRDefault="00F85C6B" w:rsidP="00F15F85">
      <w:pPr>
        <w:suppressLineNumbers/>
        <w:spacing w:line="480" w:lineRule="auto"/>
        <w:jc w:val="both"/>
        <w:rPr>
          <w:color w:val="000000" w:themeColor="text1"/>
          <w:lang w:val="en-US"/>
        </w:rPr>
      </w:pPr>
      <w:r w:rsidRPr="00976428">
        <w:rPr>
          <w:color w:val="000000" w:themeColor="text1"/>
          <w:vertAlign w:val="superscript"/>
          <w:lang w:val="en-US"/>
        </w:rPr>
        <w:t xml:space="preserve">¶ </w:t>
      </w:r>
      <w:r>
        <w:rPr>
          <w:color w:val="000000" w:themeColor="text1"/>
          <w:lang w:val="en-US"/>
        </w:rPr>
        <w:t>M</w:t>
      </w:r>
      <w:r w:rsidR="00992AD1" w:rsidRPr="00133D3F">
        <w:rPr>
          <w:color w:val="000000" w:themeColor="text1"/>
          <w:lang w:val="en-US"/>
        </w:rPr>
        <w:t>embers of the French Pharmacovigilance Network</w:t>
      </w:r>
    </w:p>
    <w:p w14:paraId="364FAC8F" w14:textId="77777777" w:rsidR="00E11AFB" w:rsidRPr="00133D3F" w:rsidRDefault="00E11AFB" w:rsidP="00F15F85">
      <w:pPr>
        <w:suppressLineNumbers/>
        <w:spacing w:line="480" w:lineRule="auto"/>
        <w:jc w:val="both"/>
        <w:rPr>
          <w:color w:val="000000" w:themeColor="text1"/>
          <w:lang w:val="en-US"/>
        </w:rPr>
      </w:pPr>
    </w:p>
    <w:p w14:paraId="0BA416E9" w14:textId="12711EEA" w:rsidR="009B7C0F" w:rsidRDefault="0041233D" w:rsidP="00F15F85">
      <w:pPr>
        <w:pStyle w:val="NoSpacing1"/>
        <w:widowControl w:val="0"/>
        <w:suppressLineNumbers/>
        <w:tabs>
          <w:tab w:val="left" w:pos="10053"/>
          <w:tab w:val="left" w:pos="10195"/>
        </w:tabs>
        <w:spacing w:after="120" w:line="480" w:lineRule="auto"/>
        <w:ind w:right="-12"/>
        <w:jc w:val="both"/>
        <w:rPr>
          <w:rFonts w:ascii="Times New Roman" w:hAnsi="Times New Roman"/>
          <w:color w:val="000000" w:themeColor="text1"/>
          <w:sz w:val="24"/>
          <w:szCs w:val="24"/>
        </w:rPr>
      </w:pPr>
      <w:proofErr w:type="spellStart"/>
      <w:r w:rsidRPr="009F4E37">
        <w:rPr>
          <w:rFonts w:ascii="Times New Roman" w:hAnsi="Times New Roman"/>
          <w:b/>
          <w:sz w:val="24"/>
          <w:szCs w:val="24"/>
        </w:rPr>
        <w:t>Corresponding</w:t>
      </w:r>
      <w:proofErr w:type="spellEnd"/>
      <w:r w:rsidRPr="009F4E37">
        <w:rPr>
          <w:rFonts w:ascii="Times New Roman" w:hAnsi="Times New Roman"/>
          <w:b/>
          <w:sz w:val="24"/>
          <w:szCs w:val="24"/>
        </w:rPr>
        <w:t xml:space="preserve"> </w:t>
      </w:r>
      <w:proofErr w:type="spellStart"/>
      <w:r w:rsidRPr="009F4E37">
        <w:rPr>
          <w:rFonts w:ascii="Times New Roman" w:hAnsi="Times New Roman"/>
          <w:b/>
          <w:sz w:val="24"/>
          <w:szCs w:val="24"/>
        </w:rPr>
        <w:t>author</w:t>
      </w:r>
      <w:proofErr w:type="spellEnd"/>
      <w:r w:rsidR="005E5542" w:rsidRPr="009F4E37">
        <w:rPr>
          <w:rFonts w:ascii="Times New Roman" w:hAnsi="Times New Roman"/>
          <w:b/>
          <w:sz w:val="24"/>
          <w:szCs w:val="24"/>
        </w:rPr>
        <w:t xml:space="preserve">: </w:t>
      </w:r>
      <w:r w:rsidR="00177C94" w:rsidRPr="009F4E37">
        <w:rPr>
          <w:rFonts w:ascii="Times New Roman" w:hAnsi="Times New Roman"/>
          <w:color w:val="000000" w:themeColor="text1"/>
          <w:sz w:val="24"/>
          <w:szCs w:val="24"/>
        </w:rPr>
        <w:t xml:space="preserve">Dr Laure-Hélène </w:t>
      </w:r>
      <w:proofErr w:type="spellStart"/>
      <w:r w:rsidR="00177C94" w:rsidRPr="009F4E37">
        <w:rPr>
          <w:rFonts w:ascii="Times New Roman" w:hAnsi="Times New Roman"/>
          <w:color w:val="000000" w:themeColor="text1"/>
          <w:sz w:val="24"/>
          <w:szCs w:val="24"/>
        </w:rPr>
        <w:t>Préta</w:t>
      </w:r>
      <w:proofErr w:type="spellEnd"/>
      <w:r w:rsidR="00177C94" w:rsidRPr="009F4E37">
        <w:rPr>
          <w:rFonts w:ascii="Times New Roman" w:hAnsi="Times New Roman"/>
          <w:color w:val="000000" w:themeColor="text1"/>
          <w:sz w:val="24"/>
          <w:szCs w:val="24"/>
        </w:rPr>
        <w:t xml:space="preserve">, Département de Pharmacologie, Centre Régional de Pharmacovigilance, Hôpital Cochin, Assistance Publique-Hôpitaux de Paris, </w:t>
      </w:r>
      <w:r w:rsidR="00B41AEA">
        <w:rPr>
          <w:rFonts w:ascii="Times New Roman" w:hAnsi="Times New Roman"/>
          <w:color w:val="000000" w:themeColor="text1"/>
          <w:sz w:val="24"/>
          <w:szCs w:val="24"/>
        </w:rPr>
        <w:t>France</w:t>
      </w:r>
    </w:p>
    <w:p w14:paraId="397C9A62" w14:textId="5BCCE0ED" w:rsidR="00B41AEA" w:rsidRPr="009F4E37" w:rsidRDefault="00B41AEA" w:rsidP="00F15F85">
      <w:pPr>
        <w:pStyle w:val="NoSpacing1"/>
        <w:widowControl w:val="0"/>
        <w:suppressLineNumbers/>
        <w:tabs>
          <w:tab w:val="left" w:pos="10053"/>
          <w:tab w:val="left" w:pos="10195"/>
        </w:tabs>
        <w:spacing w:after="120" w:line="480" w:lineRule="auto"/>
        <w:ind w:right="-1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ORCID </w:t>
      </w:r>
      <w:proofErr w:type="spellStart"/>
      <w:r>
        <w:rPr>
          <w:rFonts w:ascii="Times New Roman" w:hAnsi="Times New Roman"/>
          <w:color w:val="000000" w:themeColor="text1"/>
          <w:sz w:val="24"/>
          <w:szCs w:val="24"/>
        </w:rPr>
        <w:t>iD</w:t>
      </w:r>
      <w:proofErr w:type="spellEnd"/>
      <w:r>
        <w:rPr>
          <w:rFonts w:ascii="Times New Roman" w:hAnsi="Times New Roman"/>
          <w:color w:val="000000" w:themeColor="text1"/>
          <w:sz w:val="24"/>
          <w:szCs w:val="24"/>
        </w:rPr>
        <w:t xml:space="preserve"> : </w:t>
      </w:r>
      <w:r w:rsidRPr="00B41AEA">
        <w:rPr>
          <w:rFonts w:ascii="Times New Roman" w:hAnsi="Times New Roman"/>
          <w:color w:val="000000" w:themeColor="text1"/>
          <w:sz w:val="24"/>
          <w:szCs w:val="24"/>
        </w:rPr>
        <w:t>https://orcid.org/0000-0002-3141-5925</w:t>
      </w:r>
    </w:p>
    <w:p w14:paraId="07A3E30F" w14:textId="4B5BA13E" w:rsidR="00177C94" w:rsidRPr="00976428" w:rsidRDefault="00177C94" w:rsidP="00F15F85">
      <w:pPr>
        <w:pStyle w:val="NoSpacing1"/>
        <w:widowControl w:val="0"/>
        <w:suppressLineNumbers/>
        <w:tabs>
          <w:tab w:val="left" w:pos="10053"/>
          <w:tab w:val="left" w:pos="10195"/>
        </w:tabs>
        <w:spacing w:after="120" w:line="480" w:lineRule="auto"/>
        <w:ind w:right="-12"/>
        <w:jc w:val="both"/>
        <w:rPr>
          <w:rFonts w:ascii="Times New Roman" w:hAnsi="Times New Roman"/>
          <w:color w:val="000000" w:themeColor="text1"/>
          <w:sz w:val="24"/>
          <w:szCs w:val="24"/>
        </w:rPr>
      </w:pPr>
      <w:r w:rsidRPr="00976428">
        <w:rPr>
          <w:rFonts w:ascii="Times New Roman" w:hAnsi="Times New Roman"/>
          <w:color w:val="000000" w:themeColor="text1"/>
          <w:sz w:val="24"/>
          <w:szCs w:val="24"/>
        </w:rPr>
        <w:t xml:space="preserve">Tel: </w:t>
      </w:r>
      <w:r w:rsidR="00C9173D">
        <w:rPr>
          <w:rFonts w:ascii="Times New Roman" w:hAnsi="Times New Roman"/>
          <w:color w:val="000000" w:themeColor="text1"/>
          <w:sz w:val="24"/>
          <w:szCs w:val="24"/>
        </w:rPr>
        <w:t>+33</w:t>
      </w:r>
      <w:r w:rsidR="001E7448" w:rsidRPr="00976428">
        <w:rPr>
          <w:rFonts w:ascii="Times New Roman" w:hAnsi="Times New Roman"/>
          <w:color w:val="000000" w:themeColor="text1"/>
          <w:sz w:val="24"/>
          <w:szCs w:val="24"/>
        </w:rPr>
        <w:t>1.58.41.42.11;</w:t>
      </w:r>
      <w:r w:rsidRPr="00976428">
        <w:rPr>
          <w:rFonts w:ascii="Times New Roman" w:hAnsi="Times New Roman"/>
          <w:color w:val="000000" w:themeColor="text1"/>
          <w:sz w:val="24"/>
          <w:szCs w:val="24"/>
        </w:rPr>
        <w:t xml:space="preserve"> </w:t>
      </w:r>
      <w:r w:rsidR="00C9173D">
        <w:rPr>
          <w:rFonts w:ascii="Times New Roman" w:hAnsi="Times New Roman"/>
          <w:color w:val="000000" w:themeColor="text1"/>
          <w:sz w:val="24"/>
          <w:szCs w:val="24"/>
        </w:rPr>
        <w:t xml:space="preserve">Fax : +331.58.41.33.70 ; </w:t>
      </w:r>
      <w:r w:rsidRPr="00976428">
        <w:rPr>
          <w:rFonts w:ascii="Times New Roman" w:hAnsi="Times New Roman"/>
          <w:color w:val="000000" w:themeColor="text1"/>
          <w:sz w:val="24"/>
          <w:szCs w:val="24"/>
        </w:rPr>
        <w:t>M</w:t>
      </w:r>
      <w:r w:rsidR="00F85C6B" w:rsidRPr="00976428">
        <w:rPr>
          <w:rFonts w:ascii="Times New Roman" w:hAnsi="Times New Roman"/>
          <w:color w:val="000000" w:themeColor="text1"/>
          <w:sz w:val="24"/>
          <w:szCs w:val="24"/>
        </w:rPr>
        <w:t>ai</w:t>
      </w:r>
      <w:r w:rsidRPr="00976428">
        <w:rPr>
          <w:rFonts w:ascii="Times New Roman" w:hAnsi="Times New Roman"/>
          <w:color w:val="000000" w:themeColor="text1"/>
          <w:sz w:val="24"/>
          <w:szCs w:val="24"/>
        </w:rPr>
        <w:t>l: laurehelene.preta@aphp.fr</w:t>
      </w:r>
    </w:p>
    <w:p w14:paraId="2FF92A57" w14:textId="7B3E97E9" w:rsidR="009467D1" w:rsidRDefault="001D69DF" w:rsidP="001D69DF">
      <w:pPr>
        <w:pStyle w:val="Sansinterligne"/>
        <w:suppressLineNumbers/>
        <w:spacing w:line="480" w:lineRule="auto"/>
        <w:jc w:val="both"/>
        <w:rPr>
          <w:rFonts w:ascii="Times New Roman" w:hAnsi="Times New Roman" w:cs="Times New Roman"/>
          <w:b/>
          <w:bCs/>
          <w:color w:val="000000" w:themeColor="text1"/>
          <w:sz w:val="24"/>
          <w:szCs w:val="24"/>
          <w:lang w:val="en-US"/>
        </w:rPr>
      </w:pPr>
      <w:bookmarkStart w:id="1" w:name="_Hlk18884034"/>
      <w:r w:rsidRPr="00556F91">
        <w:rPr>
          <w:rFonts w:ascii="Times New Roman" w:hAnsi="Times New Roman" w:cs="Times New Roman"/>
          <w:b/>
          <w:bCs/>
          <w:color w:val="000000" w:themeColor="text1"/>
          <w:sz w:val="24"/>
          <w:szCs w:val="24"/>
          <w:lang w:val="en-US"/>
        </w:rPr>
        <w:t>Keywords:</w:t>
      </w:r>
      <w:r>
        <w:rPr>
          <w:rFonts w:ascii="Times New Roman" w:hAnsi="Times New Roman" w:cs="Times New Roman"/>
          <w:b/>
          <w:bCs/>
          <w:color w:val="000000" w:themeColor="text1"/>
          <w:sz w:val="24"/>
          <w:szCs w:val="24"/>
          <w:lang w:val="en-US"/>
        </w:rPr>
        <w:t xml:space="preserve"> </w:t>
      </w:r>
      <w:r w:rsidRPr="005C3B52">
        <w:rPr>
          <w:rFonts w:ascii="Times New Roman" w:hAnsi="Times New Roman" w:cs="Times New Roman"/>
          <w:bCs/>
          <w:color w:val="000000" w:themeColor="text1"/>
          <w:sz w:val="24"/>
          <w:szCs w:val="24"/>
          <w:lang w:val="en-US"/>
        </w:rPr>
        <w:t xml:space="preserve">COVID-19, </w:t>
      </w:r>
      <w:r>
        <w:rPr>
          <w:rFonts w:ascii="Times New Roman" w:hAnsi="Times New Roman" w:cs="Times New Roman"/>
          <w:bCs/>
          <w:color w:val="000000" w:themeColor="text1"/>
          <w:sz w:val="24"/>
          <w:szCs w:val="24"/>
          <w:lang w:val="en-US"/>
        </w:rPr>
        <w:t xml:space="preserve">mRNA </w:t>
      </w:r>
      <w:r w:rsidRPr="005C3B52">
        <w:rPr>
          <w:rFonts w:ascii="Times New Roman" w:hAnsi="Times New Roman" w:cs="Times New Roman"/>
          <w:bCs/>
          <w:color w:val="000000" w:themeColor="text1"/>
          <w:sz w:val="24"/>
          <w:szCs w:val="24"/>
          <w:lang w:val="en-US"/>
        </w:rPr>
        <w:t>vaccine</w:t>
      </w:r>
      <w:r>
        <w:rPr>
          <w:rFonts w:ascii="Times New Roman" w:hAnsi="Times New Roman" w:cs="Times New Roman"/>
          <w:bCs/>
          <w:color w:val="000000" w:themeColor="text1"/>
          <w:sz w:val="24"/>
          <w:szCs w:val="24"/>
          <w:lang w:val="en-US"/>
        </w:rPr>
        <w:t>s</w:t>
      </w:r>
      <w:r w:rsidRPr="005C3B52">
        <w:rPr>
          <w:rFonts w:ascii="Times New Roman" w:hAnsi="Times New Roman" w:cs="Times New Roman"/>
          <w:bCs/>
          <w:color w:val="000000" w:themeColor="text1"/>
          <w:sz w:val="24"/>
          <w:szCs w:val="24"/>
          <w:lang w:val="en-US"/>
        </w:rPr>
        <w:t>,</w:t>
      </w:r>
      <w:r>
        <w:rPr>
          <w:rFonts w:ascii="Times New Roman" w:hAnsi="Times New Roman" w:cs="Times New Roman"/>
          <w:bCs/>
          <w:color w:val="000000" w:themeColor="text1"/>
          <w:sz w:val="24"/>
          <w:szCs w:val="24"/>
          <w:lang w:val="en-US"/>
        </w:rPr>
        <w:t xml:space="preserve"> herpes zoster, pharmacovigilance, </w:t>
      </w:r>
      <w:proofErr w:type="spellStart"/>
      <w:r>
        <w:rPr>
          <w:rFonts w:ascii="Times New Roman" w:hAnsi="Times New Roman" w:cs="Times New Roman"/>
          <w:bCs/>
          <w:color w:val="000000" w:themeColor="text1"/>
          <w:sz w:val="24"/>
          <w:szCs w:val="24"/>
          <w:lang w:val="en-US"/>
        </w:rPr>
        <w:t>disproportionnality</w:t>
      </w:r>
      <w:proofErr w:type="spellEnd"/>
    </w:p>
    <w:p w14:paraId="2060ACE3" w14:textId="318BB2B0" w:rsidR="007D3FC9" w:rsidRPr="00133D3F" w:rsidRDefault="007D3FC9" w:rsidP="007D3FC9">
      <w:pPr>
        <w:pStyle w:val="Sansinterligne"/>
        <w:suppressLineNumbers/>
        <w:spacing w:line="480" w:lineRule="auto"/>
        <w:jc w:val="both"/>
        <w:rPr>
          <w:rFonts w:ascii="Times New Roman" w:hAnsi="Times New Roman" w:cs="Times New Roman"/>
          <w:sz w:val="24"/>
          <w:szCs w:val="24"/>
          <w:lang w:val="en-US"/>
        </w:rPr>
      </w:pPr>
      <w:r w:rsidRPr="00133D3F">
        <w:rPr>
          <w:rFonts w:ascii="Times New Roman" w:hAnsi="Times New Roman" w:cs="Times New Roman"/>
          <w:b/>
          <w:bCs/>
          <w:sz w:val="24"/>
          <w:szCs w:val="24"/>
          <w:lang w:val="en-US"/>
        </w:rPr>
        <w:t xml:space="preserve">Word count: </w:t>
      </w:r>
      <w:r w:rsidRPr="00133D3F">
        <w:rPr>
          <w:rFonts w:ascii="Times New Roman" w:hAnsi="Times New Roman" w:cs="Times New Roman"/>
          <w:sz w:val="24"/>
          <w:szCs w:val="24"/>
          <w:lang w:val="en-US"/>
        </w:rPr>
        <w:t xml:space="preserve">manuscript </w:t>
      </w:r>
      <w:r>
        <w:rPr>
          <w:rFonts w:ascii="Times New Roman" w:hAnsi="Times New Roman" w:cs="Times New Roman"/>
          <w:sz w:val="24"/>
          <w:szCs w:val="24"/>
          <w:lang w:val="en-US"/>
        </w:rPr>
        <w:t>1188</w:t>
      </w:r>
      <w:r w:rsidRPr="00976428">
        <w:rPr>
          <w:rFonts w:ascii="Times New Roman" w:hAnsi="Times New Roman" w:cs="Times New Roman"/>
          <w:sz w:val="24"/>
          <w:szCs w:val="24"/>
          <w:lang w:val="en-US"/>
        </w:rPr>
        <w:t xml:space="preserve"> </w:t>
      </w:r>
      <w:r w:rsidRPr="00133D3F">
        <w:rPr>
          <w:rFonts w:ascii="Times New Roman" w:hAnsi="Times New Roman" w:cs="Times New Roman"/>
          <w:sz w:val="24"/>
          <w:szCs w:val="24"/>
          <w:lang w:val="en-US"/>
        </w:rPr>
        <w:t xml:space="preserve">words, </w:t>
      </w:r>
      <w:r w:rsidR="00BD64F8">
        <w:rPr>
          <w:rFonts w:ascii="Times New Roman" w:hAnsi="Times New Roman" w:cs="Times New Roman"/>
          <w:sz w:val="24"/>
          <w:szCs w:val="24"/>
          <w:lang w:val="en-US"/>
        </w:rPr>
        <w:t>abstract 149</w:t>
      </w:r>
      <w:r w:rsidRPr="00E76F32">
        <w:rPr>
          <w:rFonts w:ascii="Times New Roman" w:hAnsi="Times New Roman" w:cs="Times New Roman"/>
          <w:sz w:val="24"/>
          <w:szCs w:val="24"/>
          <w:lang w:val="en-US"/>
        </w:rPr>
        <w:t xml:space="preserve"> words</w:t>
      </w:r>
      <w:r>
        <w:rPr>
          <w:rFonts w:ascii="Times New Roman" w:hAnsi="Times New Roman" w:cs="Times New Roman"/>
          <w:sz w:val="24"/>
          <w:szCs w:val="24"/>
          <w:lang w:val="en-US"/>
        </w:rPr>
        <w:t xml:space="preserve">, </w:t>
      </w:r>
      <w:r w:rsidRPr="00B20FB5">
        <w:rPr>
          <w:rFonts w:ascii="Times New Roman" w:hAnsi="Times New Roman" w:cs="Times New Roman"/>
          <w:sz w:val="24"/>
          <w:szCs w:val="24"/>
          <w:lang w:val="en-US"/>
        </w:rPr>
        <w:t>15</w:t>
      </w:r>
      <w:r w:rsidRPr="00133D3F">
        <w:rPr>
          <w:rFonts w:ascii="Times New Roman" w:hAnsi="Times New Roman" w:cs="Times New Roman"/>
          <w:sz w:val="24"/>
          <w:szCs w:val="24"/>
          <w:lang w:val="en-US"/>
        </w:rPr>
        <w:t xml:space="preserve"> references, 2 tables</w:t>
      </w:r>
      <w:r>
        <w:rPr>
          <w:rFonts w:ascii="Times New Roman" w:hAnsi="Times New Roman" w:cs="Times New Roman"/>
          <w:sz w:val="24"/>
          <w:szCs w:val="24"/>
          <w:lang w:val="en-US"/>
        </w:rPr>
        <w:t xml:space="preserve">, 4 supplementary appendix. </w:t>
      </w:r>
    </w:p>
    <w:p w14:paraId="4073B13B" w14:textId="77777777" w:rsidR="009467D1" w:rsidRDefault="009467D1" w:rsidP="007D3FC9">
      <w:pPr>
        <w:pStyle w:val="Sansinterligne"/>
        <w:suppressLineNumbers/>
        <w:spacing w:line="480" w:lineRule="auto"/>
        <w:jc w:val="both"/>
        <w:rPr>
          <w:rFonts w:ascii="Times New Roman" w:hAnsi="Times New Roman" w:cs="Times New Roman"/>
          <w:b/>
          <w:bCs/>
          <w:color w:val="000000" w:themeColor="text1"/>
          <w:sz w:val="24"/>
          <w:szCs w:val="24"/>
          <w:lang w:val="en-US"/>
        </w:rPr>
      </w:pPr>
    </w:p>
    <w:p w14:paraId="3F73A193" w14:textId="77777777" w:rsidR="009467D1" w:rsidRDefault="009467D1" w:rsidP="00F15F85">
      <w:pPr>
        <w:pStyle w:val="Sansinterligne"/>
        <w:suppressLineNumbers/>
        <w:spacing w:line="480" w:lineRule="auto"/>
        <w:ind w:firstLine="708"/>
        <w:jc w:val="both"/>
        <w:rPr>
          <w:rFonts w:ascii="Times New Roman" w:hAnsi="Times New Roman" w:cs="Times New Roman"/>
          <w:b/>
          <w:bCs/>
          <w:color w:val="000000" w:themeColor="text1"/>
          <w:sz w:val="24"/>
          <w:szCs w:val="24"/>
          <w:lang w:val="en-US"/>
        </w:rPr>
      </w:pPr>
    </w:p>
    <w:p w14:paraId="19CB22E3" w14:textId="34977B22" w:rsidR="00B3186C" w:rsidRDefault="00B3186C" w:rsidP="002C0B8E">
      <w:pPr>
        <w:pStyle w:val="Sansinterligne"/>
        <w:suppressLineNumbers/>
        <w:spacing w:line="480" w:lineRule="auto"/>
        <w:ind w:firstLine="708"/>
        <w:jc w:val="both"/>
        <w:rPr>
          <w:rFonts w:ascii="Times New Roman" w:hAnsi="Times New Roman" w:cs="Times New Roman"/>
          <w:b/>
          <w:bCs/>
          <w:color w:val="000000" w:themeColor="text1"/>
          <w:sz w:val="24"/>
          <w:szCs w:val="24"/>
          <w:lang w:val="en-US"/>
        </w:rPr>
      </w:pPr>
      <w:r w:rsidRPr="00B3186C">
        <w:rPr>
          <w:rFonts w:ascii="Times New Roman" w:hAnsi="Times New Roman" w:cs="Times New Roman"/>
          <w:b/>
          <w:bCs/>
          <w:color w:val="000000" w:themeColor="text1"/>
          <w:sz w:val="24"/>
          <w:szCs w:val="24"/>
          <w:lang w:val="en-US"/>
        </w:rPr>
        <w:lastRenderedPageBreak/>
        <w:t xml:space="preserve">What is already known about this </w:t>
      </w:r>
      <w:proofErr w:type="gramStart"/>
      <w:r w:rsidRPr="00B3186C">
        <w:rPr>
          <w:rFonts w:ascii="Times New Roman" w:hAnsi="Times New Roman" w:cs="Times New Roman"/>
          <w:b/>
          <w:bCs/>
          <w:color w:val="000000" w:themeColor="text1"/>
          <w:sz w:val="24"/>
          <w:szCs w:val="24"/>
          <w:lang w:val="en-US"/>
        </w:rPr>
        <w:t>subject</w:t>
      </w:r>
      <w:proofErr w:type="gramEnd"/>
      <w:r w:rsidRPr="00B3186C">
        <w:rPr>
          <w:rFonts w:ascii="Times New Roman" w:hAnsi="Times New Roman" w:cs="Times New Roman"/>
          <w:b/>
          <w:bCs/>
          <w:color w:val="000000" w:themeColor="text1"/>
          <w:sz w:val="24"/>
          <w:szCs w:val="24"/>
          <w:lang w:val="en-US"/>
        </w:rPr>
        <w:t xml:space="preserve"> </w:t>
      </w:r>
    </w:p>
    <w:p w14:paraId="5629B3A2" w14:textId="77777777" w:rsidR="001A6D45" w:rsidRPr="001A6D45" w:rsidRDefault="00397F11" w:rsidP="002C0B8E">
      <w:pPr>
        <w:pStyle w:val="Sansinterligne"/>
        <w:numPr>
          <w:ilvl w:val="0"/>
          <w:numId w:val="5"/>
        </w:numPr>
        <w:suppressLineNumbers/>
        <w:spacing w:line="480" w:lineRule="auto"/>
        <w:jc w:val="both"/>
        <w:rPr>
          <w:rFonts w:ascii="Times New Roman" w:hAnsi="Times New Roman" w:cs="Times New Roman"/>
          <w:b/>
          <w:bCs/>
          <w:color w:val="000000" w:themeColor="text1"/>
          <w:sz w:val="24"/>
          <w:szCs w:val="24"/>
          <w:lang w:val="en-US"/>
        </w:rPr>
      </w:pPr>
      <w:r w:rsidRPr="003745A9">
        <w:rPr>
          <w:rFonts w:ascii="Times New Roman" w:hAnsi="Times New Roman" w:cs="Times New Roman"/>
          <w:sz w:val="24"/>
          <w:szCs w:val="24"/>
          <w:lang w:val="en-US"/>
        </w:rPr>
        <w:t xml:space="preserve">Several </w:t>
      </w:r>
      <w:r w:rsidRPr="00052505">
        <w:rPr>
          <w:rFonts w:ascii="Times New Roman" w:hAnsi="Times New Roman" w:cs="Times New Roman"/>
          <w:sz w:val="24"/>
          <w:szCs w:val="24"/>
          <w:lang w:val="en-US"/>
        </w:rPr>
        <w:t>ca</w:t>
      </w:r>
      <w:r w:rsidRPr="009F0FCF">
        <w:rPr>
          <w:rFonts w:ascii="Times New Roman" w:hAnsi="Times New Roman" w:cs="Times New Roman"/>
          <w:sz w:val="24"/>
          <w:szCs w:val="24"/>
          <w:lang w:val="en-US"/>
        </w:rPr>
        <w:t xml:space="preserve">ses of herpes zoster </w:t>
      </w:r>
      <w:r w:rsidRPr="006875E9">
        <w:rPr>
          <w:rFonts w:ascii="Times New Roman" w:hAnsi="Times New Roman" w:cs="Times New Roman"/>
          <w:sz w:val="24"/>
          <w:szCs w:val="24"/>
          <w:lang w:val="en-US"/>
        </w:rPr>
        <w:t xml:space="preserve">(HZ) </w:t>
      </w:r>
      <w:r w:rsidRPr="000D04B7">
        <w:rPr>
          <w:rFonts w:ascii="Times New Roman" w:hAnsi="Times New Roman" w:cs="Times New Roman"/>
          <w:sz w:val="24"/>
          <w:szCs w:val="24"/>
          <w:lang w:val="en-US"/>
        </w:rPr>
        <w:t xml:space="preserve">following mRNA </w:t>
      </w:r>
      <w:r w:rsidRPr="00052505">
        <w:rPr>
          <w:rFonts w:ascii="Times New Roman" w:hAnsi="Times New Roman" w:cs="Times New Roman"/>
          <w:sz w:val="24"/>
          <w:szCs w:val="24"/>
          <w:lang w:val="en-US"/>
        </w:rPr>
        <w:t>COVID-19 vaccination have been reported</w:t>
      </w:r>
    </w:p>
    <w:p w14:paraId="325B998D" w14:textId="5D438274" w:rsidR="00397F11" w:rsidRPr="00397F11" w:rsidRDefault="001A6D45" w:rsidP="002C0B8E">
      <w:pPr>
        <w:pStyle w:val="Sansinterligne"/>
        <w:numPr>
          <w:ilvl w:val="0"/>
          <w:numId w:val="5"/>
        </w:numPr>
        <w:suppressLineNumbers/>
        <w:spacing w:line="480" w:lineRule="auto"/>
        <w:jc w:val="both"/>
        <w:rPr>
          <w:rFonts w:ascii="Times New Roman" w:hAnsi="Times New Roman" w:cs="Times New Roman"/>
          <w:b/>
          <w:bCs/>
          <w:color w:val="000000" w:themeColor="text1"/>
          <w:sz w:val="24"/>
          <w:szCs w:val="24"/>
          <w:lang w:val="en-US"/>
        </w:rPr>
      </w:pPr>
      <w:r>
        <w:rPr>
          <w:rFonts w:ascii="Times New Roman" w:hAnsi="Times New Roman" w:cs="Times New Roman"/>
          <w:sz w:val="24"/>
          <w:szCs w:val="24"/>
          <w:lang w:val="en-US"/>
        </w:rPr>
        <w:t>F</w:t>
      </w:r>
      <w:r w:rsidR="00397F11">
        <w:rPr>
          <w:rFonts w:ascii="Times New Roman" w:hAnsi="Times New Roman" w:cs="Times New Roman"/>
          <w:sz w:val="24"/>
          <w:szCs w:val="24"/>
          <w:lang w:val="en-US"/>
        </w:rPr>
        <w:t>irst epidemiological evidences suggest an increased risk</w:t>
      </w:r>
      <w:r w:rsidR="00256FF5">
        <w:rPr>
          <w:rFonts w:ascii="Times New Roman" w:hAnsi="Times New Roman" w:cs="Times New Roman"/>
          <w:sz w:val="24"/>
          <w:szCs w:val="24"/>
          <w:lang w:val="en-US"/>
        </w:rPr>
        <w:t xml:space="preserve"> of HZ after </w:t>
      </w:r>
      <w:r w:rsidR="00256FF5" w:rsidRPr="000D04B7">
        <w:rPr>
          <w:rFonts w:ascii="Times New Roman" w:hAnsi="Times New Roman" w:cs="Times New Roman"/>
          <w:sz w:val="24"/>
          <w:szCs w:val="24"/>
          <w:lang w:val="en-US"/>
        </w:rPr>
        <w:t xml:space="preserve">mRNA </w:t>
      </w:r>
      <w:r w:rsidR="00256FF5" w:rsidRPr="00052505">
        <w:rPr>
          <w:rFonts w:ascii="Times New Roman" w:hAnsi="Times New Roman" w:cs="Times New Roman"/>
          <w:sz w:val="24"/>
          <w:szCs w:val="24"/>
          <w:lang w:val="en-US"/>
        </w:rPr>
        <w:t>COVID-19 vaccination</w:t>
      </w:r>
    </w:p>
    <w:p w14:paraId="35027A54" w14:textId="2BD6B26B" w:rsidR="00397F11" w:rsidRDefault="002C3EE9" w:rsidP="002C0B8E">
      <w:pPr>
        <w:pStyle w:val="Sansinterligne"/>
        <w:numPr>
          <w:ilvl w:val="0"/>
          <w:numId w:val="5"/>
        </w:numPr>
        <w:suppressLineNumbers/>
        <w:spacing w:line="480" w:lineRule="auto"/>
        <w:jc w:val="both"/>
        <w:rPr>
          <w:rFonts w:ascii="Times New Roman" w:hAnsi="Times New Roman" w:cs="Times New Roman"/>
          <w:b/>
          <w:bCs/>
          <w:color w:val="000000" w:themeColor="text1"/>
          <w:sz w:val="24"/>
          <w:szCs w:val="24"/>
          <w:lang w:val="en-US"/>
        </w:rPr>
      </w:pPr>
      <w:r>
        <w:rPr>
          <w:rFonts w:ascii="Times New Roman" w:hAnsi="Times New Roman" w:cs="Times New Roman"/>
          <w:sz w:val="24"/>
          <w:szCs w:val="24"/>
          <w:lang w:val="en-US"/>
        </w:rPr>
        <w:t>HZ i</w:t>
      </w:r>
      <w:r w:rsidRPr="000D04B7">
        <w:rPr>
          <w:rFonts w:ascii="Times New Roman" w:hAnsi="Times New Roman" w:cs="Times New Roman"/>
          <w:sz w:val="24"/>
          <w:szCs w:val="24"/>
          <w:lang w:val="en-US"/>
        </w:rPr>
        <w:t>nfection</w:t>
      </w:r>
      <w:r w:rsidRPr="00584ABE">
        <w:rPr>
          <w:rFonts w:ascii="Times New Roman" w:hAnsi="Times New Roman" w:cs="Times New Roman"/>
          <w:sz w:val="24"/>
          <w:szCs w:val="24"/>
          <w:lang w:val="en-US"/>
        </w:rPr>
        <w:t xml:space="preserve"> characteristics</w:t>
      </w:r>
      <w:r>
        <w:rPr>
          <w:rFonts w:ascii="Times New Roman" w:hAnsi="Times New Roman" w:cs="Times New Roman"/>
          <w:sz w:val="24"/>
          <w:szCs w:val="24"/>
          <w:lang w:val="en-US"/>
        </w:rPr>
        <w:t xml:space="preserve"> are not known so far</w:t>
      </w:r>
      <w:r w:rsidR="0015232A">
        <w:rPr>
          <w:rFonts w:ascii="Times New Roman" w:hAnsi="Times New Roman" w:cs="Times New Roman"/>
          <w:sz w:val="24"/>
          <w:szCs w:val="24"/>
          <w:lang w:val="en-US"/>
        </w:rPr>
        <w:t xml:space="preserve"> </w:t>
      </w:r>
      <w:r w:rsidR="00DC6D54" w:rsidRPr="00DC6D54">
        <w:rPr>
          <w:rFonts w:ascii="Times New Roman" w:hAnsi="Times New Roman" w:cs="Times New Roman"/>
          <w:sz w:val="24"/>
          <w:szCs w:val="24"/>
          <w:lang w:val="en-US"/>
        </w:rPr>
        <w:t>and this risk has not yet been assessed</w:t>
      </w:r>
      <w:r w:rsidR="00D33AC2">
        <w:rPr>
          <w:rFonts w:ascii="Times New Roman" w:hAnsi="Times New Roman" w:cs="Times New Roman"/>
          <w:sz w:val="24"/>
          <w:szCs w:val="24"/>
          <w:lang w:val="en-US"/>
        </w:rPr>
        <w:t xml:space="preserve"> </w:t>
      </w:r>
      <w:r w:rsidR="00D33AC2" w:rsidRPr="00FF738A">
        <w:rPr>
          <w:rFonts w:ascii="Times New Roman" w:hAnsi="Times New Roman" w:cs="Times New Roman"/>
          <w:sz w:val="24"/>
          <w:szCs w:val="24"/>
          <w:lang w:val="en-US"/>
        </w:rPr>
        <w:t>at a global level</w:t>
      </w:r>
    </w:p>
    <w:p w14:paraId="0C915830" w14:textId="55C2DEF4" w:rsidR="00B3186C" w:rsidRDefault="00B3186C" w:rsidP="002C0B8E">
      <w:pPr>
        <w:pStyle w:val="Sansinterligne"/>
        <w:suppressLineNumbers/>
        <w:spacing w:line="480" w:lineRule="auto"/>
        <w:ind w:firstLine="708"/>
        <w:jc w:val="both"/>
        <w:rPr>
          <w:rFonts w:ascii="Times New Roman" w:hAnsi="Times New Roman" w:cs="Times New Roman"/>
          <w:b/>
          <w:bCs/>
          <w:color w:val="000000" w:themeColor="text1"/>
          <w:sz w:val="24"/>
          <w:szCs w:val="24"/>
          <w:lang w:val="en-US"/>
        </w:rPr>
      </w:pPr>
      <w:r w:rsidRPr="00B3186C">
        <w:rPr>
          <w:rFonts w:ascii="Times New Roman" w:hAnsi="Times New Roman" w:cs="Times New Roman"/>
          <w:b/>
          <w:bCs/>
          <w:color w:val="000000" w:themeColor="text1"/>
          <w:sz w:val="24"/>
          <w:szCs w:val="24"/>
          <w:lang w:val="en-US"/>
        </w:rPr>
        <w:t>What this study adds</w:t>
      </w:r>
    </w:p>
    <w:p w14:paraId="717F3A81" w14:textId="77777777" w:rsidR="00214051" w:rsidRPr="00214051" w:rsidRDefault="00214051" w:rsidP="002C0B8E">
      <w:pPr>
        <w:pStyle w:val="Sansinterligne"/>
        <w:numPr>
          <w:ilvl w:val="0"/>
          <w:numId w:val="6"/>
        </w:numPr>
        <w:suppressLineNumbers/>
        <w:spacing w:line="480" w:lineRule="auto"/>
        <w:jc w:val="both"/>
        <w:rPr>
          <w:rFonts w:ascii="Times New Roman" w:hAnsi="Times New Roman" w:cs="Times New Roman"/>
          <w:b/>
          <w:bCs/>
          <w:color w:val="000000" w:themeColor="text1"/>
          <w:sz w:val="24"/>
          <w:szCs w:val="24"/>
          <w:lang w:val="en-US"/>
        </w:rPr>
      </w:pPr>
      <w:r w:rsidRPr="00214051">
        <w:rPr>
          <w:rFonts w:ascii="Times New Roman" w:hAnsi="Times New Roman" w:cs="Times New Roman"/>
          <w:color w:val="000000" w:themeColor="text1"/>
          <w:sz w:val="24"/>
          <w:szCs w:val="24"/>
          <w:lang w:val="en-US"/>
        </w:rPr>
        <w:t xml:space="preserve">HZ may occur shortly after mRNA COVID-19 vaccination, at higher frequency than reported with influenza vaccination </w:t>
      </w:r>
    </w:p>
    <w:p w14:paraId="65257D18" w14:textId="25847452" w:rsidR="00214051" w:rsidRPr="00214051" w:rsidRDefault="00214051" w:rsidP="002C0B8E">
      <w:pPr>
        <w:pStyle w:val="Sansinterligne"/>
        <w:numPr>
          <w:ilvl w:val="0"/>
          <w:numId w:val="6"/>
        </w:numPr>
        <w:suppressLineNumbers/>
        <w:spacing w:line="480" w:lineRule="auto"/>
        <w:jc w:val="both"/>
        <w:rPr>
          <w:rFonts w:ascii="Times New Roman" w:hAnsi="Times New Roman" w:cs="Times New Roman"/>
          <w:bCs/>
          <w:color w:val="000000" w:themeColor="text1"/>
          <w:sz w:val="24"/>
          <w:szCs w:val="24"/>
          <w:lang w:val="en-US"/>
        </w:rPr>
      </w:pPr>
      <w:r w:rsidRPr="00214051">
        <w:rPr>
          <w:rFonts w:ascii="Times New Roman" w:hAnsi="Times New Roman" w:cs="Times New Roman"/>
          <w:color w:val="000000" w:themeColor="text1"/>
          <w:sz w:val="24"/>
          <w:szCs w:val="24"/>
          <w:lang w:val="en-US"/>
        </w:rPr>
        <w:t>This risk of HZ reporting was reduced among under 40-year-old p</w:t>
      </w:r>
      <w:r w:rsidR="00360454">
        <w:rPr>
          <w:rFonts w:ascii="Times New Roman" w:hAnsi="Times New Roman" w:cs="Times New Roman"/>
          <w:color w:val="000000" w:themeColor="text1"/>
          <w:sz w:val="24"/>
          <w:szCs w:val="24"/>
          <w:lang w:val="en-US"/>
        </w:rPr>
        <w:t>ersons compared to older</w:t>
      </w:r>
    </w:p>
    <w:p w14:paraId="46EB04AA" w14:textId="174FA2CE" w:rsidR="00214051" w:rsidRPr="00214051" w:rsidRDefault="00214051" w:rsidP="002C0B8E">
      <w:pPr>
        <w:pStyle w:val="Sansinterligne"/>
        <w:numPr>
          <w:ilvl w:val="0"/>
          <w:numId w:val="6"/>
        </w:numPr>
        <w:suppressLineNumbers/>
        <w:spacing w:line="480" w:lineRule="auto"/>
        <w:jc w:val="both"/>
        <w:rPr>
          <w:rFonts w:ascii="Times New Roman" w:hAnsi="Times New Roman" w:cs="Times New Roman"/>
          <w:bCs/>
          <w:color w:val="000000" w:themeColor="text1"/>
          <w:sz w:val="24"/>
          <w:szCs w:val="24"/>
          <w:lang w:val="en-US"/>
        </w:rPr>
      </w:pPr>
      <w:r w:rsidRPr="00214051">
        <w:rPr>
          <w:rFonts w:ascii="Times New Roman" w:hAnsi="Times New Roman" w:cs="Times New Roman"/>
          <w:bCs/>
          <w:color w:val="000000" w:themeColor="text1"/>
          <w:sz w:val="24"/>
          <w:szCs w:val="24"/>
          <w:lang w:val="en-US"/>
        </w:rPr>
        <w:t>HZ reactions following mRNA COVID-19 v</w:t>
      </w:r>
      <w:r>
        <w:rPr>
          <w:rFonts w:ascii="Times New Roman" w:hAnsi="Times New Roman" w:cs="Times New Roman"/>
          <w:bCs/>
          <w:color w:val="000000" w:themeColor="text1"/>
          <w:sz w:val="24"/>
          <w:szCs w:val="24"/>
          <w:lang w:val="en-US"/>
        </w:rPr>
        <w:t xml:space="preserve">accination remain usually mild </w:t>
      </w:r>
      <w:r w:rsidRPr="00214051">
        <w:rPr>
          <w:rFonts w:ascii="Times New Roman" w:hAnsi="Times New Roman" w:cs="Times New Roman"/>
          <w:bCs/>
          <w:color w:val="000000" w:themeColor="text1"/>
          <w:sz w:val="24"/>
          <w:szCs w:val="24"/>
          <w:lang w:val="en-US"/>
        </w:rPr>
        <w:t>and rare as mirrored to the billions doses administered so far</w:t>
      </w:r>
    </w:p>
    <w:p w14:paraId="3FB8C707" w14:textId="77699D4C" w:rsidR="005155F9" w:rsidRPr="0068092E" w:rsidRDefault="0068092E" w:rsidP="002C0B8E">
      <w:pPr>
        <w:suppressLineNumbers/>
        <w:spacing w:after="200" w:line="276" w:lineRule="auto"/>
        <w:rPr>
          <w:rFonts w:eastAsiaTheme="minorHAnsi"/>
          <w:b/>
          <w:bCs/>
          <w:color w:val="000000" w:themeColor="text1"/>
          <w:lang w:val="en-US" w:eastAsia="en-US"/>
        </w:rPr>
      </w:pPr>
      <w:bookmarkStart w:id="2" w:name="_GoBack"/>
      <w:bookmarkEnd w:id="2"/>
      <w:r>
        <w:rPr>
          <w:b/>
          <w:bCs/>
          <w:color w:val="000000" w:themeColor="text1"/>
          <w:lang w:val="en-US"/>
        </w:rPr>
        <w:br w:type="page"/>
      </w:r>
    </w:p>
    <w:p w14:paraId="43A8BE09" w14:textId="24DEA5F4" w:rsidR="00EC0B78" w:rsidRPr="00DE58F2" w:rsidRDefault="00EC0B78" w:rsidP="00EC0B78">
      <w:pPr>
        <w:pStyle w:val="Sansinterligne"/>
        <w:spacing w:line="480" w:lineRule="auto"/>
        <w:ind w:firstLine="708"/>
        <w:jc w:val="both"/>
        <w:rPr>
          <w:rFonts w:ascii="Times New Roman" w:hAnsi="Times New Roman" w:cs="Times New Roman"/>
          <w:b/>
          <w:bCs/>
          <w:color w:val="000000" w:themeColor="text1"/>
          <w:sz w:val="24"/>
          <w:szCs w:val="24"/>
          <w:lang w:val="en-US"/>
        </w:rPr>
      </w:pPr>
      <w:r w:rsidRPr="00DE58F2">
        <w:rPr>
          <w:rFonts w:ascii="Times New Roman" w:hAnsi="Times New Roman" w:cs="Times New Roman"/>
          <w:b/>
          <w:bCs/>
          <w:color w:val="000000" w:themeColor="text1"/>
          <w:sz w:val="24"/>
          <w:szCs w:val="24"/>
          <w:lang w:val="en-US"/>
        </w:rPr>
        <w:lastRenderedPageBreak/>
        <w:t xml:space="preserve">Abstract </w:t>
      </w:r>
    </w:p>
    <w:p w14:paraId="7DD9F802" w14:textId="4E0E82C6" w:rsidR="00EC0B78" w:rsidRDefault="00EC0B78" w:rsidP="00EC0B78">
      <w:pPr>
        <w:pStyle w:val="Sansinterligne"/>
        <w:spacing w:line="48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Several cases of herpes zoster (HZ) </w:t>
      </w:r>
      <w:r w:rsidRPr="00584ABE">
        <w:rPr>
          <w:rFonts w:ascii="Times New Roman" w:hAnsi="Times New Roman" w:cs="Times New Roman"/>
          <w:sz w:val="24"/>
          <w:szCs w:val="24"/>
          <w:lang w:val="en-US"/>
        </w:rPr>
        <w:t>following mRNA COVID-19 vaccination</w:t>
      </w:r>
      <w:r w:rsidR="00503FD7">
        <w:rPr>
          <w:rFonts w:ascii="Times New Roman" w:hAnsi="Times New Roman" w:cs="Times New Roman"/>
          <w:sz w:val="24"/>
          <w:szCs w:val="24"/>
          <w:lang w:val="en-US"/>
        </w:rPr>
        <w:t xml:space="preserve"> (</w:t>
      </w:r>
      <w:r w:rsidR="00503FD7" w:rsidRPr="00584ABE">
        <w:rPr>
          <w:rFonts w:ascii="Times New Roman" w:hAnsi="Times New Roman" w:cs="Times New Roman"/>
          <w:sz w:val="24"/>
          <w:szCs w:val="24"/>
          <w:lang w:val="en-US"/>
        </w:rPr>
        <w:t xml:space="preserve">BNT162b2 and </w:t>
      </w:r>
      <w:r w:rsidR="00503FD7">
        <w:rPr>
          <w:rFonts w:ascii="Times New Roman" w:hAnsi="Times New Roman" w:cs="Times New Roman"/>
          <w:sz w:val="24"/>
          <w:szCs w:val="24"/>
          <w:lang w:val="en-US"/>
        </w:rPr>
        <w:t>mRNA-1273)</w:t>
      </w:r>
      <w:r w:rsidRPr="00584ABE">
        <w:rPr>
          <w:rFonts w:ascii="Times New Roman" w:hAnsi="Times New Roman" w:cs="Times New Roman"/>
          <w:sz w:val="24"/>
          <w:szCs w:val="24"/>
          <w:lang w:val="en-US"/>
        </w:rPr>
        <w:t xml:space="preserve"> </w:t>
      </w:r>
      <w:proofErr w:type="gramStart"/>
      <w:r w:rsidRPr="00584ABE">
        <w:rPr>
          <w:rFonts w:ascii="Times New Roman" w:hAnsi="Times New Roman" w:cs="Times New Roman"/>
          <w:sz w:val="24"/>
          <w:szCs w:val="24"/>
          <w:lang w:val="en-US"/>
        </w:rPr>
        <w:t>have been reported</w:t>
      </w:r>
      <w:proofErr w:type="gramEnd"/>
      <w:r>
        <w:rPr>
          <w:rFonts w:ascii="Times New Roman" w:hAnsi="Times New Roman" w:cs="Times New Roman"/>
          <w:sz w:val="24"/>
          <w:szCs w:val="24"/>
          <w:lang w:val="en-US"/>
        </w:rPr>
        <w:t>, and first epidemiological evidences suggest an increased risk</w:t>
      </w:r>
      <w:r w:rsidRPr="00D85323">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14:paraId="2BD3B848" w14:textId="09386902" w:rsidR="00EC0B78" w:rsidRDefault="00EC0B78" w:rsidP="00EC0B78">
      <w:pPr>
        <w:pStyle w:val="Sansinterligne"/>
        <w:spacing w:line="480" w:lineRule="auto"/>
        <w:ind w:firstLine="708"/>
        <w:jc w:val="both"/>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 xml:space="preserve">We used the worldwide pharmacovigilance database </w:t>
      </w:r>
      <w:proofErr w:type="spellStart"/>
      <w:r>
        <w:rPr>
          <w:rFonts w:ascii="Times New Roman" w:hAnsi="Times New Roman" w:cs="Times New Roman"/>
          <w:color w:val="000000" w:themeColor="text1"/>
          <w:sz w:val="24"/>
          <w:szCs w:val="24"/>
          <w:lang w:val="en-US"/>
        </w:rPr>
        <w:t>VigiBase</w:t>
      </w:r>
      <w:proofErr w:type="spellEnd"/>
      <w:r>
        <w:rPr>
          <w:rFonts w:ascii="Times New Roman" w:hAnsi="Times New Roman" w:cs="Times New Roman"/>
          <w:color w:val="000000" w:themeColor="text1"/>
          <w:sz w:val="24"/>
          <w:szCs w:val="24"/>
          <w:lang w:val="en-US"/>
        </w:rPr>
        <w:t xml:space="preserve"> to describe </w:t>
      </w:r>
      <w:r>
        <w:rPr>
          <w:rFonts w:ascii="Times New Roman" w:hAnsi="Times New Roman" w:cs="Times New Roman"/>
          <w:sz w:val="24"/>
          <w:szCs w:val="24"/>
          <w:lang w:val="en-US"/>
        </w:rPr>
        <w:t>HZ</w:t>
      </w:r>
      <w:r w:rsidRPr="00E47E3B">
        <w:rPr>
          <w:rFonts w:ascii="Times New Roman" w:hAnsi="Times New Roman" w:cs="Times New Roman"/>
          <w:sz w:val="24"/>
          <w:szCs w:val="24"/>
          <w:lang w:val="en-US"/>
        </w:rPr>
        <w:t xml:space="preserve"> cases following mRNA COVID-19 vaccination</w:t>
      </w:r>
      <w:r>
        <w:rPr>
          <w:rFonts w:ascii="Times New Roman" w:hAnsi="Times New Roman" w:cs="Times New Roman"/>
          <w:sz w:val="24"/>
          <w:szCs w:val="24"/>
          <w:lang w:val="en-US"/>
        </w:rPr>
        <w:t xml:space="preserve">. We </w:t>
      </w:r>
      <w:r>
        <w:rPr>
          <w:rFonts w:ascii="Times New Roman" w:hAnsi="Times New Roman" w:cs="Times New Roman"/>
          <w:color w:val="000000" w:themeColor="text1"/>
          <w:sz w:val="24"/>
          <w:szCs w:val="24"/>
          <w:lang w:val="en-US"/>
        </w:rPr>
        <w:t xml:space="preserve">performed </w:t>
      </w:r>
      <w:r w:rsidRPr="00133D3F">
        <w:rPr>
          <w:rFonts w:ascii="Times New Roman" w:hAnsi="Times New Roman" w:cs="Times New Roman"/>
          <w:sz w:val="24"/>
          <w:szCs w:val="24"/>
          <w:lang w:val="en-US"/>
        </w:rPr>
        <w:t>disproportionality analys</w:t>
      </w:r>
      <w:r>
        <w:rPr>
          <w:rFonts w:ascii="Times New Roman" w:hAnsi="Times New Roman" w:cs="Times New Roman"/>
          <w:sz w:val="24"/>
          <w:szCs w:val="24"/>
          <w:lang w:val="en-US"/>
        </w:rPr>
        <w:t>e</w:t>
      </w:r>
      <w:r w:rsidRPr="00133D3F">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r w:rsidRPr="00133D3F">
        <w:rPr>
          <w:rFonts w:ascii="Times New Roman" w:hAnsi="Times New Roman" w:cs="Times New Roman"/>
          <w:sz w:val="24"/>
          <w:szCs w:val="24"/>
          <w:lang w:val="en-US"/>
        </w:rPr>
        <w:t>case/non-case s</w:t>
      </w:r>
      <w:r>
        <w:rPr>
          <w:rFonts w:ascii="Times New Roman" w:hAnsi="Times New Roman" w:cs="Times New Roman"/>
          <w:sz w:val="24"/>
          <w:szCs w:val="24"/>
          <w:lang w:val="en-US"/>
        </w:rPr>
        <w:t>tatistical approach) to assess the</w:t>
      </w:r>
      <w:r w:rsidRPr="00BA56AF">
        <w:rPr>
          <w:rFonts w:ascii="Times New Roman" w:hAnsi="Times New Roman" w:cs="Times New Roman"/>
          <w:sz w:val="24"/>
          <w:szCs w:val="24"/>
          <w:lang w:val="en-US"/>
        </w:rPr>
        <w:t xml:space="preserve"> relative risk of </w:t>
      </w:r>
      <w:r>
        <w:rPr>
          <w:rFonts w:ascii="Times New Roman" w:hAnsi="Times New Roman" w:cs="Times New Roman"/>
          <w:sz w:val="24"/>
          <w:szCs w:val="24"/>
          <w:lang w:val="en-US"/>
        </w:rPr>
        <w:t xml:space="preserve">HZ </w:t>
      </w:r>
      <w:r w:rsidRPr="00BA56AF">
        <w:rPr>
          <w:rFonts w:ascii="Times New Roman" w:hAnsi="Times New Roman" w:cs="Times New Roman"/>
          <w:sz w:val="24"/>
          <w:szCs w:val="24"/>
          <w:lang w:val="en-US"/>
        </w:rPr>
        <w:t>reporting in mRNA COVID-19 vaccine recipients</w:t>
      </w:r>
      <w:r>
        <w:rPr>
          <w:rFonts w:ascii="Times New Roman" w:hAnsi="Times New Roman" w:cs="Times New Roman"/>
          <w:sz w:val="24"/>
          <w:szCs w:val="24"/>
          <w:lang w:val="en-US"/>
        </w:rPr>
        <w:t xml:space="preserve"> compared to influenza vaccine recipients </w:t>
      </w:r>
      <w:r w:rsidR="00605077">
        <w:rPr>
          <w:rFonts w:ascii="Times New Roman" w:hAnsi="Times New Roman" w:cs="Times New Roman"/>
          <w:sz w:val="24"/>
          <w:szCs w:val="24"/>
          <w:lang w:val="en-US"/>
        </w:rPr>
        <w:t xml:space="preserve">and </w:t>
      </w:r>
      <w:r>
        <w:rPr>
          <w:rFonts w:ascii="Times New Roman" w:hAnsi="Times New Roman" w:cs="Times New Roman"/>
          <w:sz w:val="24"/>
          <w:szCs w:val="24"/>
          <w:lang w:val="en-US"/>
        </w:rPr>
        <w:t xml:space="preserve">according to patient age. </w:t>
      </w:r>
    </w:p>
    <w:p w14:paraId="339454A2" w14:textId="00F8B71F" w:rsidR="00A32D13" w:rsidRDefault="00A32D13" w:rsidP="00A32D13">
      <w:pPr>
        <w:pStyle w:val="Sansinterligne"/>
        <w:spacing w:line="480" w:lineRule="auto"/>
        <w:ind w:firstLine="708"/>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Until </w:t>
      </w:r>
      <w:proofErr w:type="gramStart"/>
      <w:r>
        <w:rPr>
          <w:rFonts w:ascii="Times New Roman" w:hAnsi="Times New Roman" w:cs="Times New Roman"/>
          <w:color w:val="000000" w:themeColor="text1"/>
          <w:sz w:val="24"/>
          <w:szCs w:val="24"/>
          <w:lang w:val="en-US"/>
        </w:rPr>
        <w:t>30</w:t>
      </w:r>
      <w:r w:rsidRPr="00DE58F2">
        <w:rPr>
          <w:rFonts w:ascii="Times New Roman" w:hAnsi="Times New Roman" w:cs="Times New Roman"/>
          <w:color w:val="000000" w:themeColor="text1"/>
          <w:sz w:val="24"/>
          <w:szCs w:val="24"/>
          <w:vertAlign w:val="superscript"/>
          <w:lang w:val="en-US"/>
        </w:rPr>
        <w:t>th</w:t>
      </w:r>
      <w:proofErr w:type="gramEnd"/>
      <w:r>
        <w:rPr>
          <w:rFonts w:ascii="Times New Roman" w:hAnsi="Times New Roman" w:cs="Times New Roman"/>
          <w:color w:val="000000" w:themeColor="text1"/>
          <w:sz w:val="24"/>
          <w:szCs w:val="24"/>
          <w:lang w:val="en-US"/>
        </w:rPr>
        <w:t xml:space="preserve"> June 2021, of </w:t>
      </w:r>
      <w:r w:rsidRPr="007A5B8D">
        <w:rPr>
          <w:rFonts w:ascii="Times New Roman" w:hAnsi="Times New Roman" w:cs="Times New Roman"/>
          <w:color w:val="000000" w:themeColor="text1"/>
          <w:sz w:val="24"/>
          <w:szCs w:val="24"/>
          <w:lang w:val="en-US"/>
        </w:rPr>
        <w:t xml:space="preserve">716,928 reports </w:t>
      </w:r>
      <w:r>
        <w:rPr>
          <w:rFonts w:ascii="Times New Roman" w:hAnsi="Times New Roman" w:cs="Times New Roman"/>
          <w:color w:val="000000" w:themeColor="text1"/>
          <w:sz w:val="24"/>
          <w:szCs w:val="24"/>
          <w:lang w:val="en-US"/>
        </w:rPr>
        <w:t>about</w:t>
      </w:r>
      <w:r w:rsidRPr="007A5B8D">
        <w:rPr>
          <w:rFonts w:ascii="Times New Roman" w:hAnsi="Times New Roman" w:cs="Times New Roman"/>
          <w:color w:val="000000" w:themeColor="text1"/>
          <w:sz w:val="24"/>
          <w:szCs w:val="24"/>
          <w:lang w:val="en-US"/>
        </w:rPr>
        <w:t xml:space="preserve"> mRNA COVID-19 vaccines</w:t>
      </w:r>
      <w:r>
        <w:rPr>
          <w:rFonts w:ascii="Times New Roman" w:hAnsi="Times New Roman" w:cs="Times New Roman"/>
          <w:color w:val="000000" w:themeColor="text1"/>
          <w:sz w:val="24"/>
          <w:szCs w:val="24"/>
          <w:lang w:val="en-US"/>
        </w:rPr>
        <w:t xml:space="preserve">, we found </w:t>
      </w:r>
      <w:r w:rsidRPr="007A5B8D">
        <w:rPr>
          <w:rFonts w:ascii="Times New Roman" w:hAnsi="Times New Roman" w:cs="Times New Roman"/>
          <w:color w:val="000000" w:themeColor="text1"/>
          <w:sz w:val="24"/>
          <w:szCs w:val="24"/>
          <w:lang w:val="en-US"/>
        </w:rPr>
        <w:t>7</w:t>
      </w:r>
      <w:r>
        <w:rPr>
          <w:rFonts w:ascii="Times New Roman" w:hAnsi="Times New Roman" w:cs="Times New Roman"/>
          <w:color w:val="000000" w:themeColor="text1"/>
          <w:sz w:val="24"/>
          <w:szCs w:val="24"/>
          <w:lang w:val="en-US"/>
        </w:rPr>
        <w:t>,</w:t>
      </w:r>
      <w:r w:rsidRPr="007A5B8D">
        <w:rPr>
          <w:rFonts w:ascii="Times New Roman" w:hAnsi="Times New Roman" w:cs="Times New Roman"/>
          <w:color w:val="000000" w:themeColor="text1"/>
          <w:sz w:val="24"/>
          <w:szCs w:val="24"/>
          <w:lang w:val="en-US"/>
        </w:rPr>
        <w:t xml:space="preserve">728 </w:t>
      </w:r>
      <w:r>
        <w:rPr>
          <w:rFonts w:ascii="Times New Roman" w:hAnsi="Times New Roman" w:cs="Times New Roman"/>
          <w:sz w:val="24"/>
          <w:szCs w:val="24"/>
          <w:lang w:val="en-US"/>
        </w:rPr>
        <w:t>HZ cases</w:t>
      </w:r>
      <w:r>
        <w:rPr>
          <w:rFonts w:ascii="Times New Roman" w:hAnsi="Times New Roman" w:cs="Times New Roman"/>
          <w:color w:val="000000" w:themeColor="text1"/>
          <w:sz w:val="24"/>
          <w:szCs w:val="24"/>
          <w:lang w:val="en-US"/>
        </w:rPr>
        <w:t xml:space="preserve">. </w:t>
      </w:r>
      <w:r w:rsidRPr="007A5B8D">
        <w:rPr>
          <w:rFonts w:ascii="Times New Roman" w:hAnsi="Times New Roman" w:cs="Times New Roman"/>
          <w:color w:val="000000" w:themeColor="text1"/>
          <w:sz w:val="24"/>
          <w:szCs w:val="24"/>
          <w:lang w:val="en-US"/>
        </w:rPr>
        <w:t xml:space="preserve">When compared </w:t>
      </w:r>
      <w:r>
        <w:rPr>
          <w:rFonts w:ascii="Times New Roman" w:hAnsi="Times New Roman" w:cs="Times New Roman"/>
          <w:color w:val="000000" w:themeColor="text1"/>
          <w:sz w:val="24"/>
          <w:szCs w:val="24"/>
          <w:lang w:val="en-US"/>
        </w:rPr>
        <w:t xml:space="preserve">to </w:t>
      </w:r>
      <w:r w:rsidRPr="007A5B8D">
        <w:rPr>
          <w:rFonts w:ascii="Times New Roman" w:hAnsi="Times New Roman" w:cs="Times New Roman"/>
          <w:color w:val="000000" w:themeColor="text1"/>
          <w:sz w:val="24"/>
          <w:szCs w:val="24"/>
          <w:lang w:val="en-US"/>
        </w:rPr>
        <w:t>influenza vaccines, mRNA COVID-19 vaccine</w:t>
      </w:r>
      <w:r>
        <w:rPr>
          <w:rFonts w:ascii="Times New Roman" w:hAnsi="Times New Roman" w:cs="Times New Roman"/>
          <w:color w:val="000000" w:themeColor="text1"/>
          <w:sz w:val="24"/>
          <w:szCs w:val="24"/>
          <w:lang w:val="en-US"/>
        </w:rPr>
        <w:t>s</w:t>
      </w:r>
      <w:r w:rsidRPr="007A5B8D">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 xml:space="preserve">were </w:t>
      </w:r>
      <w:r w:rsidRPr="007A5B8D">
        <w:rPr>
          <w:rFonts w:ascii="Times New Roman" w:hAnsi="Times New Roman" w:cs="Times New Roman"/>
          <w:color w:val="000000" w:themeColor="text1"/>
          <w:sz w:val="24"/>
          <w:szCs w:val="24"/>
          <w:lang w:val="en-US"/>
        </w:rPr>
        <w:t>associated with a</w:t>
      </w:r>
      <w:r>
        <w:rPr>
          <w:rFonts w:ascii="Times New Roman" w:hAnsi="Times New Roman" w:cs="Times New Roman"/>
          <w:color w:val="000000" w:themeColor="text1"/>
          <w:sz w:val="24"/>
          <w:szCs w:val="24"/>
          <w:lang w:val="en-US"/>
        </w:rPr>
        <w:t xml:space="preserve"> significantly higher </w:t>
      </w:r>
      <w:r w:rsidRPr="007A5B8D">
        <w:rPr>
          <w:rFonts w:ascii="Times New Roman" w:hAnsi="Times New Roman" w:cs="Times New Roman"/>
          <w:color w:val="000000" w:themeColor="text1"/>
          <w:sz w:val="24"/>
          <w:szCs w:val="24"/>
          <w:lang w:val="en-US"/>
        </w:rPr>
        <w:t xml:space="preserve">reporting </w:t>
      </w:r>
      <w:r>
        <w:rPr>
          <w:rFonts w:ascii="Times New Roman" w:hAnsi="Times New Roman" w:cs="Times New Roman"/>
          <w:color w:val="000000" w:themeColor="text1"/>
          <w:sz w:val="24"/>
          <w:szCs w:val="24"/>
          <w:lang w:val="en-US"/>
        </w:rPr>
        <w:t xml:space="preserve">of </w:t>
      </w:r>
      <w:r>
        <w:rPr>
          <w:rFonts w:ascii="Times New Roman" w:hAnsi="Times New Roman" w:cs="Times New Roman"/>
          <w:sz w:val="24"/>
          <w:szCs w:val="24"/>
          <w:lang w:val="en-US"/>
        </w:rPr>
        <w:t>HZ</w:t>
      </w:r>
      <w:r w:rsidRPr="00133D3F">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reporting odds-ratio</w:t>
      </w:r>
      <w:r w:rsidRPr="00133D3F">
        <w:rPr>
          <w:rFonts w:ascii="Times New Roman" w:hAnsi="Times New Roman" w:cs="Times New Roman"/>
          <w:color w:val="000000" w:themeColor="text1"/>
          <w:sz w:val="24"/>
          <w:szCs w:val="24"/>
          <w:lang w:val="en-US"/>
        </w:rPr>
        <w:t xml:space="preserve"> 1.9, 95%</w:t>
      </w:r>
      <w:r>
        <w:rPr>
          <w:rFonts w:ascii="Times New Roman" w:hAnsi="Times New Roman" w:cs="Times New Roman"/>
          <w:color w:val="000000" w:themeColor="text1"/>
          <w:sz w:val="24"/>
          <w:szCs w:val="24"/>
          <w:lang w:val="en-US"/>
        </w:rPr>
        <w:t xml:space="preserve">CI </w:t>
      </w:r>
      <w:r w:rsidRPr="00133D3F">
        <w:rPr>
          <w:rFonts w:ascii="Times New Roman" w:hAnsi="Times New Roman" w:cs="Times New Roman"/>
          <w:color w:val="000000" w:themeColor="text1"/>
          <w:sz w:val="24"/>
          <w:szCs w:val="24"/>
          <w:lang w:val="en-US"/>
        </w:rPr>
        <w:t>[1.8-2.1])</w:t>
      </w:r>
      <w:r>
        <w:rPr>
          <w:rFonts w:ascii="Times New Roman" w:hAnsi="Times New Roman" w:cs="Times New Roman"/>
          <w:color w:val="000000" w:themeColor="text1"/>
          <w:sz w:val="24"/>
          <w:szCs w:val="24"/>
          <w:lang w:val="en-US"/>
        </w:rPr>
        <w:t xml:space="preserve">. </w:t>
      </w:r>
      <w:r w:rsidRPr="005563D6">
        <w:rPr>
          <w:rFonts w:ascii="Times New Roman" w:hAnsi="Times New Roman" w:cs="Times New Roman"/>
          <w:color w:val="000000" w:themeColor="text1"/>
          <w:sz w:val="24"/>
          <w:szCs w:val="24"/>
          <w:lang w:val="en-US"/>
        </w:rPr>
        <w:t>Furthermore, we found a reduced risk of rep</w:t>
      </w:r>
      <w:r>
        <w:rPr>
          <w:rFonts w:ascii="Times New Roman" w:hAnsi="Times New Roman" w:cs="Times New Roman"/>
          <w:color w:val="000000" w:themeColor="text1"/>
          <w:sz w:val="24"/>
          <w:szCs w:val="24"/>
          <w:lang w:val="en-US"/>
        </w:rPr>
        <w:t>orting HZ among under 40 year-old</w:t>
      </w:r>
      <w:r w:rsidRPr="005563D6">
        <w:rPr>
          <w:rFonts w:ascii="Times New Roman" w:hAnsi="Times New Roman" w:cs="Times New Roman"/>
          <w:color w:val="000000" w:themeColor="text1"/>
          <w:sz w:val="24"/>
          <w:szCs w:val="24"/>
          <w:lang w:val="en-US"/>
        </w:rPr>
        <w:t xml:space="preserve"> persons compared to older persons (</w:t>
      </w:r>
      <w:r>
        <w:rPr>
          <w:rFonts w:ascii="Times New Roman" w:hAnsi="Times New Roman" w:cs="Times New Roman"/>
          <w:color w:val="000000" w:themeColor="text1"/>
          <w:sz w:val="24"/>
          <w:szCs w:val="24"/>
          <w:lang w:val="en-US"/>
        </w:rPr>
        <w:t>reporting odds-ratio</w:t>
      </w:r>
      <w:r w:rsidRPr="005563D6">
        <w:rPr>
          <w:rFonts w:ascii="Times New Roman" w:hAnsi="Times New Roman" w:cs="Times New Roman"/>
          <w:color w:val="000000" w:themeColor="text1"/>
          <w:sz w:val="24"/>
          <w:szCs w:val="24"/>
          <w:lang w:val="en-US"/>
        </w:rPr>
        <w:t xml:space="preserve"> 0.39</w:t>
      </w:r>
      <w:r>
        <w:rPr>
          <w:rFonts w:ascii="Times New Roman" w:hAnsi="Times New Roman" w:cs="Times New Roman"/>
          <w:color w:val="000000" w:themeColor="text1"/>
          <w:sz w:val="24"/>
          <w:szCs w:val="24"/>
          <w:lang w:val="en-US"/>
        </w:rPr>
        <w:t>,</w:t>
      </w:r>
      <w:r w:rsidRPr="005563D6">
        <w:rPr>
          <w:rFonts w:ascii="Times New Roman" w:hAnsi="Times New Roman" w:cs="Times New Roman"/>
          <w:color w:val="000000" w:themeColor="text1"/>
          <w:sz w:val="24"/>
          <w:szCs w:val="24"/>
          <w:lang w:val="en-US"/>
        </w:rPr>
        <w:t xml:space="preserve"> 95%</w:t>
      </w:r>
      <w:r>
        <w:rPr>
          <w:rFonts w:ascii="Times New Roman" w:hAnsi="Times New Roman" w:cs="Times New Roman"/>
          <w:color w:val="000000" w:themeColor="text1"/>
          <w:sz w:val="24"/>
          <w:szCs w:val="24"/>
          <w:lang w:val="en-US"/>
        </w:rPr>
        <w:t xml:space="preserve">CI </w:t>
      </w:r>
      <w:r w:rsidRPr="005563D6">
        <w:rPr>
          <w:rFonts w:ascii="Times New Roman" w:hAnsi="Times New Roman" w:cs="Times New Roman"/>
          <w:color w:val="000000" w:themeColor="text1"/>
          <w:sz w:val="24"/>
          <w:szCs w:val="24"/>
          <w:lang w:val="en-US"/>
        </w:rPr>
        <w:t>[0.36-0.41])</w:t>
      </w:r>
      <w:r>
        <w:rPr>
          <w:rFonts w:ascii="Times New Roman" w:hAnsi="Times New Roman" w:cs="Times New Roman"/>
          <w:color w:val="000000" w:themeColor="text1"/>
          <w:sz w:val="24"/>
          <w:szCs w:val="24"/>
          <w:lang w:val="en-US"/>
        </w:rPr>
        <w:t xml:space="preserve">. </w:t>
      </w:r>
    </w:p>
    <w:p w14:paraId="2B7E7B0A" w14:textId="518EDED7" w:rsidR="002041AF" w:rsidRDefault="00EC0B78" w:rsidP="00A32D13">
      <w:pPr>
        <w:pStyle w:val="Sansinterligne"/>
        <w:spacing w:line="48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For the first time, we could assess at a global level the risk of HZ</w:t>
      </w:r>
      <w:r w:rsidRPr="00FF738A">
        <w:rPr>
          <w:rFonts w:ascii="Times New Roman" w:hAnsi="Times New Roman" w:cs="Times New Roman"/>
          <w:sz w:val="24"/>
          <w:szCs w:val="24"/>
          <w:lang w:val="en-US"/>
        </w:rPr>
        <w:t xml:space="preserve"> after mRNA COVID-19 vaccination</w:t>
      </w:r>
      <w:r w:rsidR="00A32D13">
        <w:rPr>
          <w:rFonts w:ascii="Times New Roman" w:hAnsi="Times New Roman" w:cs="Times New Roman"/>
          <w:sz w:val="24"/>
          <w:szCs w:val="24"/>
          <w:lang w:val="en-US"/>
        </w:rPr>
        <w:t>.</w:t>
      </w:r>
    </w:p>
    <w:p w14:paraId="7D3A2CF6" w14:textId="77777777" w:rsidR="00503FD7" w:rsidRDefault="00503FD7" w:rsidP="00EC0B78">
      <w:pPr>
        <w:pStyle w:val="Sansinterligne"/>
        <w:spacing w:line="480" w:lineRule="auto"/>
        <w:ind w:firstLine="708"/>
        <w:jc w:val="both"/>
        <w:rPr>
          <w:rFonts w:ascii="Times New Roman" w:hAnsi="Times New Roman" w:cs="Times New Roman"/>
          <w:b/>
          <w:bCs/>
          <w:color w:val="000000" w:themeColor="text1"/>
          <w:sz w:val="24"/>
          <w:szCs w:val="24"/>
          <w:lang w:val="en-US"/>
        </w:rPr>
      </w:pPr>
    </w:p>
    <w:p w14:paraId="01AD1597" w14:textId="43C9F65B" w:rsidR="0089361C" w:rsidRPr="00C851C4" w:rsidRDefault="0089361C" w:rsidP="00B212A7">
      <w:pPr>
        <w:pStyle w:val="Sansinterligne"/>
        <w:spacing w:line="480" w:lineRule="auto"/>
        <w:jc w:val="both"/>
        <w:rPr>
          <w:rFonts w:ascii="Times New Roman" w:hAnsi="Times New Roman" w:cs="Times New Roman"/>
          <w:bCs/>
          <w:color w:val="000000" w:themeColor="text1"/>
          <w:sz w:val="24"/>
          <w:szCs w:val="24"/>
          <w:lang w:val="en-US"/>
        </w:rPr>
      </w:pPr>
      <w:r>
        <w:rPr>
          <w:i/>
          <w:lang w:val="en-US"/>
        </w:rPr>
        <w:br w:type="page"/>
      </w:r>
    </w:p>
    <w:p w14:paraId="176DA025" w14:textId="5F36297E" w:rsidR="003767A5" w:rsidRDefault="002722A8" w:rsidP="006C6ED0">
      <w:pPr>
        <w:pStyle w:val="Sansinterligne"/>
        <w:spacing w:line="480" w:lineRule="auto"/>
        <w:ind w:firstLine="708"/>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lastRenderedPageBreak/>
        <w:t>Introduction</w:t>
      </w:r>
      <w:r w:rsidR="003767A5" w:rsidRPr="003767A5">
        <w:rPr>
          <w:rFonts w:ascii="Times New Roman" w:hAnsi="Times New Roman" w:cs="Times New Roman"/>
          <w:b/>
          <w:bCs/>
          <w:iCs/>
          <w:sz w:val="24"/>
          <w:szCs w:val="24"/>
          <w:lang w:val="en-US"/>
        </w:rPr>
        <w:t xml:space="preserve"> </w:t>
      </w:r>
    </w:p>
    <w:p w14:paraId="3567E606" w14:textId="39449750" w:rsidR="00D875DB" w:rsidRPr="00584ABE" w:rsidRDefault="00D874DB" w:rsidP="006C6ED0">
      <w:pPr>
        <w:pStyle w:val="Sansinterligne"/>
        <w:spacing w:line="480" w:lineRule="auto"/>
        <w:ind w:firstLine="708"/>
        <w:jc w:val="both"/>
        <w:rPr>
          <w:rFonts w:ascii="Times New Roman" w:hAnsi="Times New Roman" w:cs="Times New Roman"/>
          <w:sz w:val="24"/>
          <w:szCs w:val="24"/>
          <w:lang w:val="en-US"/>
        </w:rPr>
      </w:pPr>
      <w:r w:rsidRPr="00584ABE">
        <w:rPr>
          <w:rFonts w:ascii="Times New Roman" w:hAnsi="Times New Roman" w:cs="Times New Roman"/>
          <w:sz w:val="24"/>
          <w:szCs w:val="24"/>
          <w:lang w:val="en-US"/>
        </w:rPr>
        <w:t>Vaccination is</w:t>
      </w:r>
      <w:r w:rsidR="007534E2" w:rsidRPr="00584ABE">
        <w:rPr>
          <w:rFonts w:ascii="Times New Roman" w:hAnsi="Times New Roman" w:cs="Times New Roman"/>
          <w:sz w:val="24"/>
          <w:szCs w:val="24"/>
          <w:lang w:val="en-US"/>
        </w:rPr>
        <w:t xml:space="preserve"> </w:t>
      </w:r>
      <w:r w:rsidR="00020EEF" w:rsidRPr="00584ABE">
        <w:rPr>
          <w:rFonts w:ascii="Times New Roman" w:hAnsi="Times New Roman" w:cs="Times New Roman"/>
          <w:sz w:val="24"/>
          <w:szCs w:val="24"/>
          <w:lang w:val="en-US"/>
        </w:rPr>
        <w:t>the</w:t>
      </w:r>
      <w:r w:rsidRPr="00584ABE">
        <w:rPr>
          <w:rFonts w:ascii="Times New Roman" w:hAnsi="Times New Roman" w:cs="Times New Roman"/>
          <w:sz w:val="24"/>
          <w:szCs w:val="24"/>
          <w:lang w:val="en-US"/>
        </w:rPr>
        <w:t xml:space="preserve"> cornerstone of </w:t>
      </w:r>
      <w:r w:rsidR="00020EEF" w:rsidRPr="00584ABE">
        <w:rPr>
          <w:rFonts w:ascii="Times New Roman" w:hAnsi="Times New Roman" w:cs="Times New Roman"/>
          <w:sz w:val="24"/>
          <w:szCs w:val="24"/>
          <w:lang w:val="en-US"/>
        </w:rPr>
        <w:t>c</w:t>
      </w:r>
      <w:r w:rsidR="0074508D" w:rsidRPr="00584ABE">
        <w:rPr>
          <w:rFonts w:ascii="Times New Roman" w:hAnsi="Times New Roman" w:cs="Times New Roman"/>
          <w:sz w:val="24"/>
          <w:szCs w:val="24"/>
          <w:lang w:val="en-US"/>
        </w:rPr>
        <w:t>oronavirus</w:t>
      </w:r>
      <w:r w:rsidR="00206AC7" w:rsidRPr="00584ABE">
        <w:rPr>
          <w:rFonts w:ascii="Times New Roman" w:hAnsi="Times New Roman" w:cs="Times New Roman"/>
          <w:sz w:val="24"/>
          <w:szCs w:val="24"/>
          <w:lang w:val="en-US"/>
        </w:rPr>
        <w:t xml:space="preserve"> di</w:t>
      </w:r>
      <w:r w:rsidR="0074508D" w:rsidRPr="00584ABE">
        <w:rPr>
          <w:rFonts w:ascii="Times New Roman" w:hAnsi="Times New Roman" w:cs="Times New Roman"/>
          <w:sz w:val="24"/>
          <w:szCs w:val="24"/>
          <w:lang w:val="en-US"/>
        </w:rPr>
        <w:t>sease-19 (COVID-19) prevention</w:t>
      </w:r>
      <w:r w:rsidR="00025420" w:rsidRPr="00584ABE">
        <w:rPr>
          <w:rFonts w:ascii="Times New Roman" w:hAnsi="Times New Roman" w:cs="Times New Roman"/>
          <w:sz w:val="24"/>
          <w:szCs w:val="24"/>
          <w:lang w:val="en-US"/>
        </w:rPr>
        <w:t xml:space="preserve">. </w:t>
      </w:r>
      <w:r w:rsidR="000010A7">
        <w:rPr>
          <w:rFonts w:ascii="Times New Roman" w:hAnsi="Times New Roman" w:cs="Times New Roman"/>
          <w:sz w:val="24"/>
          <w:szCs w:val="24"/>
          <w:lang w:val="en-US"/>
        </w:rPr>
        <w:t>Two</w:t>
      </w:r>
      <w:r w:rsidR="000010A7" w:rsidRPr="00584ABE">
        <w:rPr>
          <w:rFonts w:ascii="Times New Roman" w:hAnsi="Times New Roman" w:cs="Times New Roman"/>
          <w:sz w:val="24"/>
          <w:szCs w:val="24"/>
          <w:lang w:val="en-US"/>
        </w:rPr>
        <w:t xml:space="preserve"> </w:t>
      </w:r>
      <w:r w:rsidR="005251F3" w:rsidRPr="00584ABE">
        <w:rPr>
          <w:rFonts w:ascii="Times New Roman" w:hAnsi="Times New Roman" w:cs="Times New Roman"/>
          <w:sz w:val="24"/>
          <w:szCs w:val="24"/>
          <w:lang w:val="en-US"/>
        </w:rPr>
        <w:t xml:space="preserve">mRNA </w:t>
      </w:r>
      <w:r w:rsidR="00F52C1E">
        <w:rPr>
          <w:rFonts w:ascii="Times New Roman" w:hAnsi="Times New Roman" w:cs="Times New Roman"/>
          <w:sz w:val="24"/>
          <w:szCs w:val="24"/>
          <w:lang w:val="en-US"/>
        </w:rPr>
        <w:t>vaccines</w:t>
      </w:r>
      <w:r w:rsidR="000010A7">
        <w:rPr>
          <w:rFonts w:ascii="Times New Roman" w:hAnsi="Times New Roman" w:cs="Times New Roman"/>
          <w:sz w:val="24"/>
          <w:szCs w:val="24"/>
          <w:lang w:val="en-US"/>
        </w:rPr>
        <w:t>,</w:t>
      </w:r>
      <w:r w:rsidR="00F52C1E">
        <w:rPr>
          <w:rFonts w:ascii="Times New Roman" w:hAnsi="Times New Roman" w:cs="Times New Roman"/>
          <w:sz w:val="24"/>
          <w:szCs w:val="24"/>
          <w:lang w:val="en-US"/>
        </w:rPr>
        <w:t xml:space="preserve"> </w:t>
      </w:r>
      <w:r w:rsidR="002F4647" w:rsidRPr="00584ABE">
        <w:rPr>
          <w:rFonts w:ascii="Times New Roman" w:hAnsi="Times New Roman" w:cs="Times New Roman"/>
          <w:sz w:val="24"/>
          <w:szCs w:val="24"/>
          <w:lang w:val="en-US"/>
        </w:rPr>
        <w:t>BNT162b2</w:t>
      </w:r>
      <w:r w:rsidR="00F52C1E">
        <w:rPr>
          <w:rFonts w:ascii="Times New Roman" w:hAnsi="Times New Roman" w:cs="Times New Roman"/>
          <w:sz w:val="24"/>
          <w:szCs w:val="24"/>
          <w:lang w:val="en-US"/>
        </w:rPr>
        <w:t xml:space="preserve"> (</w:t>
      </w:r>
      <w:r w:rsidR="007D380C" w:rsidRPr="00584ABE">
        <w:rPr>
          <w:rFonts w:ascii="Times New Roman" w:hAnsi="Times New Roman" w:cs="Times New Roman"/>
          <w:sz w:val="24"/>
          <w:szCs w:val="24"/>
          <w:lang w:val="en-US"/>
        </w:rPr>
        <w:t>Pfizer</w:t>
      </w:r>
      <w:r w:rsidR="003F33BC" w:rsidRPr="00584ABE">
        <w:rPr>
          <w:rFonts w:ascii="Times New Roman" w:hAnsi="Times New Roman" w:cs="Times New Roman"/>
          <w:sz w:val="24"/>
          <w:szCs w:val="24"/>
          <w:lang w:val="en-US"/>
        </w:rPr>
        <w:t>-</w:t>
      </w:r>
      <w:proofErr w:type="spellStart"/>
      <w:r w:rsidR="003F33BC" w:rsidRPr="00584ABE">
        <w:rPr>
          <w:rFonts w:ascii="Times New Roman" w:hAnsi="Times New Roman" w:cs="Times New Roman"/>
          <w:sz w:val="24"/>
          <w:szCs w:val="24"/>
          <w:lang w:val="en-US"/>
        </w:rPr>
        <w:t>BioNTech</w:t>
      </w:r>
      <w:proofErr w:type="spellEnd"/>
      <w:r w:rsidR="002F4647" w:rsidRPr="00584ABE">
        <w:rPr>
          <w:rFonts w:ascii="Times New Roman" w:hAnsi="Times New Roman" w:cs="Times New Roman"/>
          <w:sz w:val="24"/>
          <w:szCs w:val="24"/>
          <w:lang w:val="en-US"/>
        </w:rPr>
        <w:t>) and mRNA-1273</w:t>
      </w:r>
      <w:r w:rsidR="00F52C1E">
        <w:rPr>
          <w:rFonts w:ascii="Times New Roman" w:hAnsi="Times New Roman" w:cs="Times New Roman"/>
          <w:sz w:val="24"/>
          <w:szCs w:val="24"/>
          <w:lang w:val="en-US"/>
        </w:rPr>
        <w:t xml:space="preserve"> (</w:t>
      </w:r>
      <w:proofErr w:type="spellStart"/>
      <w:r w:rsidR="007D380C" w:rsidRPr="00584ABE">
        <w:rPr>
          <w:rFonts w:ascii="Times New Roman" w:hAnsi="Times New Roman" w:cs="Times New Roman"/>
          <w:sz w:val="24"/>
          <w:szCs w:val="24"/>
          <w:lang w:val="en-US"/>
        </w:rPr>
        <w:t>Moderna</w:t>
      </w:r>
      <w:proofErr w:type="spellEnd"/>
      <w:r w:rsidR="002F4647" w:rsidRPr="00584ABE">
        <w:rPr>
          <w:rFonts w:ascii="Times New Roman" w:hAnsi="Times New Roman" w:cs="Times New Roman"/>
          <w:sz w:val="24"/>
          <w:szCs w:val="24"/>
          <w:lang w:val="en-US"/>
        </w:rPr>
        <w:t>)</w:t>
      </w:r>
      <w:r w:rsidR="000010A7">
        <w:rPr>
          <w:rFonts w:ascii="Times New Roman" w:hAnsi="Times New Roman" w:cs="Times New Roman"/>
          <w:sz w:val="24"/>
          <w:szCs w:val="24"/>
          <w:lang w:val="en-US"/>
        </w:rPr>
        <w:t xml:space="preserve">, have been approved. </w:t>
      </w:r>
      <w:r w:rsidR="00A377D9" w:rsidRPr="00584ABE">
        <w:rPr>
          <w:rFonts w:ascii="Times New Roman" w:hAnsi="Times New Roman" w:cs="Times New Roman"/>
          <w:sz w:val="24"/>
          <w:szCs w:val="24"/>
          <w:lang w:val="en-US"/>
        </w:rPr>
        <w:t xml:space="preserve"> </w:t>
      </w:r>
      <w:r w:rsidR="00A377D9" w:rsidRPr="00584ABE">
        <w:rPr>
          <w:rFonts w:ascii="Times New Roman" w:hAnsi="Times New Roman" w:cs="Times New Roman"/>
          <w:sz w:val="24"/>
          <w:szCs w:val="24"/>
          <w:lang w:val="en-US"/>
        </w:rPr>
        <w:fldChar w:fldCharType="begin"/>
      </w:r>
      <w:r w:rsidR="00B416E7">
        <w:rPr>
          <w:rFonts w:ascii="Times New Roman" w:hAnsi="Times New Roman" w:cs="Times New Roman"/>
          <w:sz w:val="24"/>
          <w:szCs w:val="24"/>
          <w:lang w:val="en-US"/>
        </w:rPr>
        <w:instrText xml:space="preserve"> ADDIN ZOTERO_ITEM CSL_CITATION {"citationID":"00PBKfOB","properties":{"formattedCitation":"(1,2)","plainCitation":"(1,2)","noteIndex":0},"citationItems":[{"id":"yxthfPoW/W3GCaYhD","uris":["http://zotero.org/users/5084208/items/PLB8A68I"],"uri":["http://zotero.org/users/5084208/items/PLB8A68I"],"itemData":{"id":6356,"type":"article-journal","abstract":"BACKGROUND: Severe acute respiratory syndrome coronavirus 2 (SARS-CoV-2) infection and the resulting coronavirus disease 2019 (Covid-19) have afflicted tens of millions of people in a worldwide pandemic. Safe and effective vaccines are needed urgently.\nMETHODS: In an ongoing multinational, placebo-controlled, observer-blinded, pivotal efficacy trial, we randomly assigned persons 16 years of age or older in a 1:1 ratio to receive two doses, 21 days apart, of either placebo or the BNT162b2 vaccine candidate (30 μg per dose). BNT162b2 is a lipid nanoparticle-formulated, nucleoside-modified RNA vaccine that encodes a prefusion stabilized, membrane-anchored SARS-CoV-2 full-length spike protein. The primary end points were efficacy of the vaccine against laboratory-confirmed Covid-19 and safety.\nRESULTS: A total of 43,548 participants underwent randomization, of whom 43,448 received injections: 21,720 with BNT162b2 and 21,728 with placebo. There were 8 cases of Covid-19 with onset at least 7 days after the second dose among participants assigned to receive BNT162b2 and 162 cases among those assigned to placebo; BNT162b2 was 95% effective in preventing Covid-19 (95% credible interval, 90.3 to 97.6). Similar vaccine efficacy (generally 90 to 100%) was observed across subgroups defined by age, sex, race, ethnicity, baseline body-mass index, and the presence of coexisting conditions. Among 10 cases of severe Covid-19 with onset after the first dose, 9 occurred in placebo recipients and 1 in a BNT162b2 recipient. The safety profile of BNT162b2 was characterized by short-term, mild-to-moderate pain at the injection site, fatigue, and headache. The incidence of serious adverse events was low and was similar in the vaccine and placebo groups.\nCONCLUSIONS: A two-dose regimen of BNT162b2 conferred 95% protection against Covid-19 in persons 16 years of age or older. Safety over a median of 2 months was similar to that of other viral vaccines. (Funded by BioNTech and Pfizer; ClinicalTrials.gov number, NCT04368728.).","container-title":"The New England Journal of Medicine","DOI":"10.1056/NEJMoa2034577","ISSN":"1533-4406","issue":"27","journalAbbreviation":"N Engl J Med","language":"eng","note":"PMID: 33301246\nPMCID: PMC7745181","page":"2603-2615","source":"PubMed","title":"Safety and Efficacy of the BNT162b2 mRNA Covid-19 Vaccine","volume":"383","author":[{"family":"Polack","given":"Fernando P."},{"family":"Thomas","given":"Stephen J."},{"family":"Kitchin","given":"Nicholas"},{"family":"Absalon","given":"Judith"},{"family":"Gurtman","given":"Alejandra"},{"family":"Lockhart","given":"Stephen"},{"family":"Perez","given":"John L."},{"family":"Pérez Marc","given":"Gonzalo"},{"family":"Moreira","given":"Edson D."},{"family":"Zerbini","given":"Cristiano"},{"family":"Bailey","given":"Ruth"},{"family":"Swanson","given":"Kena A."},{"family":"Roychoudhury","given":"Satrajit"},{"family":"Koury","given":"Kenneth"},{"family":"Li","given":"Ping"},{"family":"Kalina","given":"Warren V."},{"family":"Cooper","given":"David"},{"family":"Frenck","given":"Robert W."},{"family":"Hammitt","given":"Laura L."},{"family":"Türeci","given":"Özlem"},{"family":"Nell","given":"Haylene"},{"family":"Schaefer","given":"Axel"},{"family":"Ünal","given":"Serhat"},{"family":"Tresnan","given":"Dina B."},{"family":"Mather","given":"Susan"},{"family":"Dormitzer","given":"Philip R."},{"family":"Şahin","given":"Uğur"},{"family":"Jansen","given":"Kathrin U."},{"family":"Gruber","given":"William C."},{"literal":"C4591001 Clinical Trial Group"}],"issued":{"date-parts":[["2020",12,31]]}}},{"id":"yxthfPoW/6akFKLTi","uris":["http://zotero.org/users/5084208/items/U367XKAK"],"uri":["http://zotero.org/users/5084208/items/U367XKAK"],"itemData":{"id":6359,"type":"article-journal","container-title":"New England Journal of Medicine","DOI":"10.1056/NEJMoa2035389","ISSN":"0028-4793, 1533-4406","issue":"5","journalAbbreviation":"N Engl J Med","language":"en","page":"403-416","source":"DOI.org (Crossref)","title":"Efficacy and Safety of the mRNA-1273 SARS-CoV-2 Vaccine","volume":"384","author":[{"family":"Baden","given":"Lindsey R."},{"family":"El Sahly","given":"Hana M."},{"family":"Essink","given":"Brandon"},{"family":"Kotloff","given":"Karen"},{"family":"Frey","given":"Sharon"},{"family":"Novak","given":"Rick"},{"family":"Diemert","given":"David"},{"family":"Spector","given":"Stephen A."},{"family":"Rouphael","given":"Nadine"},{"family":"Creech","given":"C. Buddy"},{"family":"McGettigan","given":"John"},{"family":"Khetan","given":"Shishir"},{"family":"Segall","given":"Nathan"},{"family":"Solis","given":"Joel"},{"family":"Brosz","given":"Adam"},{"family":"Fierro","given":"Carlos"},{"family":"Schwartz","given":"Howard"},{"family":"Neuzil","given":"Kathleen"},{"family":"Corey","given":"Lawrence"},{"family":"Gilbert","given":"Peter"},{"family":"Janes","given":"Holly"},{"family":"Follmann","given":"Dean"},{"family":"Marovich","given":"Mary"},{"family":"Mascola","given":"John"},{"family":"Polakowski","given":"Laura"},{"family":"Ledgerwood","given":"Julie"},{"family":"Graham","given":"Barney S."},{"family":"Bennett","given":"Hamilton"},{"family":"Pajon","given":"Rolando"},{"family":"Knightly","given":"Conor"},{"family":"Leav","given":"Brett"},{"family":"Deng","given":"Weiping"},{"family":"Zhou","given":"Honghong"},{"family":"Han","given":"Shu"},{"family":"Ivarsson","given":"Melanie"},{"family":"Miller","given":"Jacqueline"},{"family":"Zaks","given":"Tal"}],"issued":{"date-parts":[["2021",2,4]]}}}],"schema":"https://github.com/citation-style-language/schema/raw/master/csl-citation.json"} </w:instrText>
      </w:r>
      <w:r w:rsidR="00A377D9" w:rsidRPr="00584ABE">
        <w:rPr>
          <w:rFonts w:ascii="Times New Roman" w:hAnsi="Times New Roman" w:cs="Times New Roman"/>
          <w:sz w:val="24"/>
          <w:szCs w:val="24"/>
          <w:lang w:val="en-US"/>
        </w:rPr>
        <w:fldChar w:fldCharType="separate"/>
      </w:r>
      <w:r w:rsidR="00A377D9" w:rsidRPr="00FE2CB7">
        <w:rPr>
          <w:rFonts w:ascii="Times New Roman" w:hAnsi="Times New Roman" w:cs="Times New Roman"/>
          <w:sz w:val="24"/>
          <w:szCs w:val="24"/>
          <w:lang w:val="en-US"/>
        </w:rPr>
        <w:t>(1,2)</w:t>
      </w:r>
      <w:r w:rsidR="00A377D9" w:rsidRPr="00584ABE">
        <w:rPr>
          <w:rFonts w:ascii="Times New Roman" w:hAnsi="Times New Roman" w:cs="Times New Roman"/>
          <w:sz w:val="24"/>
          <w:szCs w:val="24"/>
          <w:lang w:val="en-US"/>
        </w:rPr>
        <w:fldChar w:fldCharType="end"/>
      </w:r>
      <w:r w:rsidR="002F4647" w:rsidRPr="00584ABE">
        <w:rPr>
          <w:rFonts w:ascii="Times New Roman" w:hAnsi="Times New Roman" w:cs="Times New Roman"/>
          <w:sz w:val="24"/>
          <w:szCs w:val="24"/>
          <w:lang w:val="en-US"/>
        </w:rPr>
        <w:t>.</w:t>
      </w:r>
      <w:r w:rsidR="00D04DD1" w:rsidRPr="00584ABE">
        <w:rPr>
          <w:rFonts w:ascii="Times New Roman" w:hAnsi="Times New Roman" w:cs="Times New Roman"/>
          <w:sz w:val="24"/>
          <w:szCs w:val="24"/>
          <w:lang w:val="en-US"/>
        </w:rPr>
        <w:t xml:space="preserve"> </w:t>
      </w:r>
      <w:r w:rsidR="000010A7">
        <w:rPr>
          <w:rFonts w:ascii="Times New Roman" w:hAnsi="Times New Roman" w:cs="Times New Roman"/>
          <w:sz w:val="24"/>
          <w:szCs w:val="24"/>
          <w:lang w:val="en-US"/>
        </w:rPr>
        <w:t>Although these vaccines have a</w:t>
      </w:r>
      <w:r w:rsidR="00C63351" w:rsidRPr="00584ABE">
        <w:rPr>
          <w:rFonts w:ascii="Times New Roman" w:hAnsi="Times New Roman" w:cs="Times New Roman"/>
          <w:sz w:val="24"/>
          <w:szCs w:val="24"/>
          <w:lang w:val="en-US"/>
        </w:rPr>
        <w:t xml:space="preserve"> </w:t>
      </w:r>
      <w:r w:rsidR="005A1131">
        <w:rPr>
          <w:rFonts w:ascii="Times New Roman" w:hAnsi="Times New Roman" w:cs="Times New Roman"/>
          <w:sz w:val="24"/>
          <w:szCs w:val="24"/>
          <w:lang w:val="en-US"/>
        </w:rPr>
        <w:t xml:space="preserve">very good </w:t>
      </w:r>
      <w:r w:rsidR="00C63351" w:rsidRPr="003745A9">
        <w:rPr>
          <w:rFonts w:ascii="Times New Roman" w:hAnsi="Times New Roman" w:cs="Times New Roman"/>
          <w:sz w:val="24"/>
          <w:szCs w:val="24"/>
          <w:lang w:val="en-US"/>
        </w:rPr>
        <w:t>safety profile</w:t>
      </w:r>
      <w:r w:rsidR="00EA2052" w:rsidRPr="003745A9">
        <w:rPr>
          <w:rFonts w:ascii="Times New Roman" w:hAnsi="Times New Roman" w:cs="Times New Roman"/>
          <w:sz w:val="24"/>
          <w:szCs w:val="24"/>
          <w:lang w:val="en-US"/>
        </w:rPr>
        <w:t xml:space="preserve">, </w:t>
      </w:r>
      <w:r w:rsidR="000010A7">
        <w:rPr>
          <w:rFonts w:ascii="Times New Roman" w:hAnsi="Times New Roman" w:cs="Times New Roman"/>
          <w:sz w:val="24"/>
          <w:szCs w:val="24"/>
          <w:lang w:val="en-US"/>
        </w:rPr>
        <w:t xml:space="preserve">post-marketing </w:t>
      </w:r>
      <w:r w:rsidR="00C63351" w:rsidRPr="003745A9">
        <w:rPr>
          <w:rFonts w:ascii="Times New Roman" w:hAnsi="Times New Roman" w:cs="Times New Roman"/>
          <w:sz w:val="24"/>
          <w:szCs w:val="24"/>
          <w:lang w:val="en-US"/>
        </w:rPr>
        <w:t xml:space="preserve">monitoring is </w:t>
      </w:r>
      <w:r w:rsidR="001256CD" w:rsidRPr="003745A9">
        <w:rPr>
          <w:rFonts w:ascii="Times New Roman" w:hAnsi="Times New Roman" w:cs="Times New Roman"/>
          <w:sz w:val="24"/>
          <w:szCs w:val="24"/>
          <w:lang w:val="en-US"/>
        </w:rPr>
        <w:t xml:space="preserve">key </w:t>
      </w:r>
      <w:r w:rsidR="00C63351" w:rsidRPr="003745A9">
        <w:rPr>
          <w:rFonts w:ascii="Times New Roman" w:hAnsi="Times New Roman" w:cs="Times New Roman"/>
          <w:sz w:val="24"/>
          <w:szCs w:val="24"/>
          <w:lang w:val="en-US"/>
        </w:rPr>
        <w:t>during mass immunization</w:t>
      </w:r>
      <w:r w:rsidR="000010A7">
        <w:rPr>
          <w:rFonts w:ascii="Times New Roman" w:hAnsi="Times New Roman" w:cs="Times New Roman"/>
          <w:sz w:val="24"/>
          <w:szCs w:val="24"/>
          <w:lang w:val="en-US"/>
        </w:rPr>
        <w:t>s</w:t>
      </w:r>
      <w:r w:rsidR="00A377D9" w:rsidRPr="003745A9">
        <w:rPr>
          <w:rFonts w:ascii="Times New Roman" w:hAnsi="Times New Roman" w:cs="Times New Roman"/>
          <w:sz w:val="24"/>
          <w:szCs w:val="24"/>
          <w:lang w:val="en-US"/>
        </w:rPr>
        <w:t xml:space="preserve"> </w:t>
      </w:r>
      <w:r w:rsidR="00A377D9" w:rsidRPr="003745A9">
        <w:rPr>
          <w:rFonts w:ascii="Times New Roman" w:hAnsi="Times New Roman" w:cs="Times New Roman"/>
          <w:sz w:val="24"/>
          <w:szCs w:val="24"/>
          <w:lang w:val="en-US"/>
        </w:rPr>
        <w:fldChar w:fldCharType="begin"/>
      </w:r>
      <w:r w:rsidR="00B416E7">
        <w:rPr>
          <w:rFonts w:ascii="Times New Roman" w:hAnsi="Times New Roman" w:cs="Times New Roman"/>
          <w:sz w:val="24"/>
          <w:szCs w:val="24"/>
          <w:lang w:val="en-US"/>
        </w:rPr>
        <w:instrText xml:space="preserve"> ADDIN ZOTERO_ITEM CSL_CITATION {"citationID":"nOjuRwMa","properties":{"formattedCitation":"(3)","plainCitation":"(3)","noteIndex":0},"citationItems":[{"id":"yxthfPoW/4NBVNgjy","uris":["http://zotero.org/users/5084208/items/39U8REFD"],"uri":["http://zotero.org/users/5084208/items/39U8REFD"],"itemData":{"id":6361,"type":"article-journal","abstract":"This paper explores the pipeline of new and upcoming vaccines as it relates to monitoring their safety. Compared with most currently available vaccines, that are constituted of live attenuated organisms or inactive products, future vaccines will also be based on new technologies. Several products that include such technologies are either already licensed or at an advanced stage of clinical development. Those include viral vectors, genetically attenuated live organisms, nucleic acid vaccines, novel adjuvants, increased number of antigens present in a single vaccine, novel mode of vaccine administration and thermostabilisation. The Global Advisory Committee on Vaccine Safety (GACVS) monitors novel vaccines, from the time they become available for large scale use. GACVS maintains their safety profile as evidence emerges from post-licensure surveillance and observational studies. Vaccines and vaccine formulations produced with novel technologies will have different safety profiles that will require adapting pharmacovigilance approaches. For example, GACVS now considers viral vector templates developed on the model proposed by Brighton Collaboration. The characteristics of those novel products will also have implications for the risk management plans (RMPs). Questions related to the duration of active monitoring for genetic material, presence of adventitious agents more easily detected with enhanced biological screening, or physiological mechanisms of novel adjuvants are all considerations that will belong to the preparation of RMPs. In addition to assessing those novel products and advising experts, GACVS will also consider how to more broadly communicate about risk assessment, so vaccine users can also benefit from the committee’s advice.","container-title":"BMJ Global Health","DOI":"10.1136/bmjgh-2020-003403","ISSN":"2059-7908","issue":"Suppl 2","journalAbbreviation":"BMJ Glob Health","language":"en","page":"e003403","source":"DOI.org (Crossref)","title":"Evolving pharmacovigilance requirements with novel vaccines and vaccine components","volume":"6","author":[{"family":"Zuber","given":"Patrick L F"},{"family":"Gruber","given":"Marion"},{"family":"Kaslow","given":"David C"},{"family":"Chen","given":"Robert T"},{"family":"Giersing","given":"Brigitte K"},{"family":"Friede","given":"Martin H"}],"issued":{"date-parts":[["2021",5]]}}}],"schema":"https://github.com/citation-style-language/schema/raw/master/csl-citation.json"} </w:instrText>
      </w:r>
      <w:r w:rsidR="00A377D9" w:rsidRPr="003745A9">
        <w:rPr>
          <w:rFonts w:ascii="Times New Roman" w:hAnsi="Times New Roman" w:cs="Times New Roman"/>
          <w:sz w:val="24"/>
          <w:szCs w:val="24"/>
          <w:lang w:val="en-US"/>
        </w:rPr>
        <w:fldChar w:fldCharType="separate"/>
      </w:r>
      <w:r w:rsidR="00A377D9" w:rsidRPr="003745A9">
        <w:rPr>
          <w:rFonts w:ascii="Times New Roman" w:hAnsi="Times New Roman" w:cs="Times New Roman"/>
          <w:sz w:val="24"/>
          <w:szCs w:val="24"/>
          <w:lang w:val="en-US"/>
        </w:rPr>
        <w:t>(3)</w:t>
      </w:r>
      <w:r w:rsidR="00A377D9" w:rsidRPr="003745A9">
        <w:rPr>
          <w:rFonts w:ascii="Times New Roman" w:hAnsi="Times New Roman" w:cs="Times New Roman"/>
          <w:sz w:val="24"/>
          <w:szCs w:val="24"/>
          <w:lang w:val="en-US"/>
        </w:rPr>
        <w:fldChar w:fldCharType="end"/>
      </w:r>
      <w:r w:rsidR="00C63351" w:rsidRPr="003745A9">
        <w:rPr>
          <w:rFonts w:ascii="Times New Roman" w:hAnsi="Times New Roman" w:cs="Times New Roman"/>
          <w:sz w:val="24"/>
          <w:szCs w:val="24"/>
          <w:lang w:val="en-US"/>
        </w:rPr>
        <w:t>.</w:t>
      </w:r>
      <w:r w:rsidR="008736E1" w:rsidRPr="003745A9">
        <w:rPr>
          <w:rFonts w:ascii="Times New Roman" w:hAnsi="Times New Roman" w:cs="Times New Roman"/>
          <w:sz w:val="24"/>
          <w:szCs w:val="24"/>
          <w:lang w:val="en-US"/>
        </w:rPr>
        <w:t xml:space="preserve"> </w:t>
      </w:r>
      <w:r w:rsidR="00C63351" w:rsidRPr="003745A9">
        <w:rPr>
          <w:rFonts w:ascii="Times New Roman" w:hAnsi="Times New Roman" w:cs="Times New Roman"/>
          <w:sz w:val="24"/>
          <w:szCs w:val="24"/>
          <w:lang w:val="en-US"/>
        </w:rPr>
        <w:t xml:space="preserve">Several </w:t>
      </w:r>
      <w:r w:rsidR="00C63351" w:rsidRPr="00052505">
        <w:rPr>
          <w:rFonts w:ascii="Times New Roman" w:hAnsi="Times New Roman" w:cs="Times New Roman"/>
          <w:sz w:val="24"/>
          <w:szCs w:val="24"/>
          <w:lang w:val="en-US"/>
        </w:rPr>
        <w:t>ca</w:t>
      </w:r>
      <w:r w:rsidR="00C63351" w:rsidRPr="009F0FCF">
        <w:rPr>
          <w:rFonts w:ascii="Times New Roman" w:hAnsi="Times New Roman" w:cs="Times New Roman"/>
          <w:sz w:val="24"/>
          <w:szCs w:val="24"/>
          <w:lang w:val="en-US"/>
        </w:rPr>
        <w:t xml:space="preserve">ses of herpes zoster </w:t>
      </w:r>
      <w:r w:rsidR="00850839" w:rsidRPr="006875E9">
        <w:rPr>
          <w:rFonts w:ascii="Times New Roman" w:hAnsi="Times New Roman" w:cs="Times New Roman"/>
          <w:sz w:val="24"/>
          <w:szCs w:val="24"/>
          <w:lang w:val="en-US"/>
        </w:rPr>
        <w:t xml:space="preserve">(HZ) </w:t>
      </w:r>
      <w:r w:rsidR="00C63351" w:rsidRPr="000D04B7">
        <w:rPr>
          <w:rFonts w:ascii="Times New Roman" w:hAnsi="Times New Roman" w:cs="Times New Roman"/>
          <w:sz w:val="24"/>
          <w:szCs w:val="24"/>
          <w:lang w:val="en-US"/>
        </w:rPr>
        <w:t xml:space="preserve">following mRNA </w:t>
      </w:r>
      <w:r w:rsidR="00961F0F" w:rsidRPr="00052505">
        <w:rPr>
          <w:rFonts w:ascii="Times New Roman" w:hAnsi="Times New Roman" w:cs="Times New Roman"/>
          <w:sz w:val="24"/>
          <w:szCs w:val="24"/>
          <w:lang w:val="en-US"/>
        </w:rPr>
        <w:t>COVID</w:t>
      </w:r>
      <w:r w:rsidR="00C63351" w:rsidRPr="00052505">
        <w:rPr>
          <w:rFonts w:ascii="Times New Roman" w:hAnsi="Times New Roman" w:cs="Times New Roman"/>
          <w:sz w:val="24"/>
          <w:szCs w:val="24"/>
          <w:lang w:val="en-US"/>
        </w:rPr>
        <w:t>-19 vaccination have been reported</w:t>
      </w:r>
      <w:r w:rsidR="00F52C1E" w:rsidRPr="00052505">
        <w:rPr>
          <w:rFonts w:ascii="Times New Roman" w:hAnsi="Times New Roman" w:cs="Times New Roman"/>
          <w:sz w:val="24"/>
          <w:szCs w:val="24"/>
          <w:lang w:val="en-US"/>
        </w:rPr>
        <w:t xml:space="preserve"> </w:t>
      </w:r>
      <w:r w:rsidR="00C63351" w:rsidRPr="009F0FCF">
        <w:rPr>
          <w:rFonts w:ascii="Times New Roman" w:hAnsi="Times New Roman" w:cs="Times New Roman"/>
          <w:sz w:val="24"/>
          <w:szCs w:val="24"/>
          <w:lang w:val="en-US"/>
        </w:rPr>
        <w:fldChar w:fldCharType="begin"/>
      </w:r>
      <w:r w:rsidR="00B416E7">
        <w:rPr>
          <w:rFonts w:ascii="Times New Roman" w:hAnsi="Times New Roman" w:cs="Times New Roman"/>
          <w:sz w:val="24"/>
          <w:szCs w:val="24"/>
          <w:lang w:val="en-US"/>
        </w:rPr>
        <w:instrText xml:space="preserve"> ADDIN ZOTERO_ITEM CSL_CITATION {"citationID":"a2cc3l7h26k","properties":{"formattedCitation":"(4\\uc0\\u8211{}6)","plainCitation":"(4–6)","noteIndex":0},"citationItems":[{"id":"yxthfPoW/RqiNGOWN","uris":["http://zotero.org/users/5084208/items/P93JKGTW"],"uri":["http://zotero.org/users/5084208/items/P93JKGTW"],"itemData":{"id":6335,"type":"article-journal","abstract":"Abstract\n            \n              Objectives\n              As global vaccination campaigns against COVID-19 disease commence, vaccine safety needs to be closely assessed. The safety profile of mRNA-based vaccines in patients with autoimmune inflammatory rheumatic diseases (AIIRD) is unknown. The objective of this report is to raise awareness of reactivation of herpes zoster (HZ) following the BNT162b2 mRNA vaccination in patients with AIIRD.\n            \n            \n              Methods\n              The safety of the BNT162b2 mRNA vaccination was assessed in an observational study monitoring post-vaccination adverse effects in patients with AIIRD (n = 491) and controls (n = 99), conducted in two rheumatology departments in Israel.\n            \n            \n              Results\n              The prevalence of HZ was 1.2% (n = 6) in patients with AIIRD compared with none in controls. Six female patients aged 49 ± 11 years with stable AIIRD: RA (n = 4), Sjogren’s syndrome (n = 1), and undifferentiated connective disease (n = 1), developed the first in a lifetime event of HZ within a short time after the first vaccine dose in five cases and after the second vaccine dose in one case. In the majority of cases, HZ infection was mild, except a case of HZ ophthalmicus, without corneal involvement, in an RA patient treated with tofacitinib. There were no cases of disseminated HZ disease or postherpetic neuralgia. All but one patient received antiviral treatment with a resolution of HZ-related symptoms up to 6 weeks. Five patients completed the second vaccine dose without other adverse effects.\n            \n            \n              Conclusion\n              Epidemiologic studies on the safety of the mRNA-based COVID-19 vaccines in patients with AIIRD are needed to clarify the association between the BNT162b2 mRNA vaccination and reactivation of zoster.","container-title":"Rheumatology","DOI":"10.1093/rheumatology/keab345","ISSN":"1462-0324, 1462-0332","language":"en","page":"keab345","source":"DOI.org (Crossref)","title":"Herpes zoster following BNT162b2 mRNA COVID-19 vaccination in patients with autoimmune inflammatory rheumatic diseases: a case series","title-short":"Herpes zoster following BNT162b2 mRNA COVID-19 vaccination in patients with autoimmune inflammatory rheumatic diseases","author":[{"family":"Furer","given":"Victoria"},{"family":"Zisman","given":"Devy"},{"family":"Kibari","given":"Adi"},{"family":"Rimar","given":"Doron"},{"family":"Paran","given":"Yael"},{"family":"Elkayam","given":"Ori"}],"issued":{"date-parts":[["2021",4,13]]}}},{"id":"yxthfPoW/TzvSLAWL","uris":["http://zotero.org/users/5084208/items/TJZ3HE3T"],"uri":["http://zotero.org/users/5084208/items/TJZ3HE3T"],"itemData":{"id":6337,"type":"article-journal","container-title":"Journal of the American Academy of Dermatology","DOI":"10.1016/j.jaad.2021.03.092","ISSN":"01909622","issue":"1","journalAbbreviation":"Journal of the American Academy of Dermatology","language":"en","page":"46-55","source":"DOI.org (Crossref)","title":"Cutaneous reactions reported after Moderna and Pfizer COVID-19 vaccination: A registry-based study of 414 cases","title-short":"Cutaneous reactions reported after Moderna and Pfizer COVID-19 vaccination","volume":"85","author":[{"family":"McMahon","given":"Devon E."},{"family":"Amerson","given":"Erin"},{"family":"Rosenbach","given":"Misha"},{"family":"Lipoff","given":"Jules B."},{"family":"Moustafa","given":"Danna"},{"family":"Tyagi","given":"Anisha"},{"family":"Desai","given":"Seemal R."},{"family":"French","given":"Lars E."},{"family":"Lim","given":"Henry W."},{"family":"Thiers","given":"Bruce H."},{"family":"Hruza","given":"George J."},{"family":"Blumenthal","given":"Kimberly G."},{"family":"Fox","given":"Lindy P."},{"family":"Freeman","given":"Esther E."}],"issued":{"date-parts":[["2021",7]]}}},{"id":"yxthfPoW/SFKc4FWc","uris":["http://zotero.org/users/5084208/items/S52SRUC7"],"uri":["http://zotero.org/users/5084208/items/S52SRUC7"],"itemData":{"id":6340,"type":"article-journal","container-title":"British Journal of Dermatology","DOI":"10.1111/bjd.20639","ISSN":"0007-0963, 1365-2133","journalAbbreviation":"British Journal of Dermatology","language":"en","page":"bjd.20639","source":"DOI.org (Crossref)","title":"Cutaneous reactions after SARS‐COV‐2 vaccination: A cross‐sectional Spanish nationwide study of 405 cases","title-short":"Cutaneous reactions after SARS‐COV‐2 vaccination","author":[{"family":"Català","given":"A."},{"family":"Muñoz‐Santos","given":"C."},{"family":"Galván‐Casas","given":"C."},{"family":"Roncero Riesco","given":"M."},{"family":"Revilla Nebreda","given":"D."},{"family":"Solá‐Truyols","given":"A."},{"family":"Giavedoni","given":"P."},{"family":"Llamas‐Velasco","given":"M."},{"family":"González‐Cruz","given":"C."},{"family":"Cubiró","given":"X."},{"family":"Ruíz‐Villaverde","given":"R."},{"family":"Gómez‐Armayones","given":"S."},{"family":"Gil Mateo","given":"M.P."},{"family":"Pesqué","given":"D."},{"family":"Marcantonio","given":"O."},{"family":"Fernández‐Nieto","given":"D."},{"family":"Romaní","given":"J."},{"family":"Iglesias Pena","given":"N."},{"family":"Carnero Gonzalez","given":"L."},{"family":"Tercedor‐Sanchez","given":"J."},{"family":"Carretero","given":"G."},{"family":"Masat‐Ticó","given":"T."},{"family":"Rodríguez‐Jiménez","given":"P."},{"family":"Gimenez‐Arnau","given":"A.M."},{"family":"Utrera‐Busquets","given":"M."},{"family":"Vargas Laguna","given":"E."},{"family":"Angulo Menéndez","given":"A.G."},{"family":"San Juan Lasser","given":"E."},{"family":"Iglesias‐Sancho","given":"M."},{"family":"Alonso Naranjo","given":"L."},{"family":"Hiltun","given":"I."},{"family":"Cutillas Marco","given":"E."},{"family":"Polimon Olabarrieta","given":"I."},{"family":"Marinero Escobedo","given":"S."},{"family":"García‐Navarro","given":"X."},{"family":"Calderón Gutiérrez","given":"M.J."},{"family":"Baeza‐Hernández","given":"G."},{"family":"Bou Camps","given":"L."},{"family":"Toledo‐Pastrana","given":"T."},{"family":"Guilabert","given":"A."}],"issued":{"date-parts":[["2021",7,13]]}}}],"schema":"https://github.com/citation-style-language/schema/raw/master/csl-citation.json"} </w:instrText>
      </w:r>
      <w:r w:rsidR="00C63351" w:rsidRPr="009F0FCF">
        <w:rPr>
          <w:rFonts w:ascii="Times New Roman" w:hAnsi="Times New Roman" w:cs="Times New Roman"/>
          <w:sz w:val="24"/>
          <w:szCs w:val="24"/>
          <w:lang w:val="en-US"/>
        </w:rPr>
        <w:fldChar w:fldCharType="separate"/>
      </w:r>
      <w:r w:rsidR="00A377D9" w:rsidRPr="009F0FCF">
        <w:rPr>
          <w:rFonts w:ascii="Times New Roman" w:hAnsi="Times New Roman" w:cs="Times New Roman"/>
          <w:sz w:val="24"/>
          <w:szCs w:val="24"/>
          <w:lang w:val="en-US"/>
        </w:rPr>
        <w:t>(4–6)</w:t>
      </w:r>
      <w:r w:rsidR="00C63351" w:rsidRPr="009F0FCF">
        <w:rPr>
          <w:rFonts w:ascii="Times New Roman" w:hAnsi="Times New Roman" w:cs="Times New Roman"/>
          <w:sz w:val="24"/>
          <w:szCs w:val="24"/>
          <w:lang w:val="en-US"/>
        </w:rPr>
        <w:fldChar w:fldCharType="end"/>
      </w:r>
      <w:r w:rsidR="005F6462" w:rsidRPr="00052505">
        <w:rPr>
          <w:rFonts w:ascii="Times New Roman" w:hAnsi="Times New Roman" w:cs="Times New Roman"/>
          <w:sz w:val="24"/>
          <w:szCs w:val="24"/>
          <w:lang w:val="en-US"/>
        </w:rPr>
        <w:t xml:space="preserve">. </w:t>
      </w:r>
      <w:proofErr w:type="gramStart"/>
      <w:r w:rsidR="009479E1" w:rsidRPr="009F0FCF">
        <w:rPr>
          <w:rFonts w:ascii="Times New Roman" w:hAnsi="Times New Roman" w:cs="Times New Roman"/>
          <w:sz w:val="24"/>
          <w:szCs w:val="24"/>
          <w:lang w:val="en-US"/>
        </w:rPr>
        <w:t xml:space="preserve">A </w:t>
      </w:r>
      <w:r w:rsidR="009479E1" w:rsidRPr="00B14A9E">
        <w:rPr>
          <w:rFonts w:ascii="Times New Roman" w:hAnsi="Times New Roman" w:cs="Times New Roman"/>
          <w:sz w:val="24"/>
          <w:szCs w:val="24"/>
          <w:lang w:val="en-US"/>
        </w:rPr>
        <w:t>safety signal has been raised by the French National Medicine Agency (ANSM)</w:t>
      </w:r>
      <w:proofErr w:type="gramEnd"/>
      <w:r w:rsidR="001256CD" w:rsidRPr="00052505">
        <w:rPr>
          <w:rFonts w:ascii="Times New Roman" w:hAnsi="Times New Roman" w:cs="Times New Roman"/>
          <w:sz w:val="24"/>
          <w:szCs w:val="24"/>
          <w:lang w:val="en-US"/>
        </w:rPr>
        <w:t xml:space="preserve"> in</w:t>
      </w:r>
      <w:r w:rsidR="006C520A" w:rsidRPr="00052505">
        <w:rPr>
          <w:rFonts w:ascii="Times New Roman" w:hAnsi="Times New Roman" w:cs="Times New Roman"/>
          <w:sz w:val="24"/>
          <w:szCs w:val="24"/>
          <w:lang w:val="en-US"/>
        </w:rPr>
        <w:t xml:space="preserve"> March</w:t>
      </w:r>
      <w:r w:rsidR="003745A9" w:rsidRPr="00052505">
        <w:rPr>
          <w:rFonts w:ascii="Times New Roman" w:hAnsi="Times New Roman" w:cs="Times New Roman"/>
          <w:sz w:val="24"/>
          <w:szCs w:val="24"/>
          <w:lang w:val="en-US"/>
        </w:rPr>
        <w:t xml:space="preserve"> 2021 (</w:t>
      </w:r>
      <w:hyperlink r:id="rId8" w:history="1">
        <w:r w:rsidR="0052341A" w:rsidRPr="00C62EDD">
          <w:rPr>
            <w:rStyle w:val="Lienhypertexte"/>
            <w:sz w:val="24"/>
            <w:szCs w:val="24"/>
            <w:lang w:val="en-US"/>
          </w:rPr>
          <w:t>https://ansm.sante.fr/actualites/point-de-situation-sur-la-surveillance-des-vaccins-contre-la-covid-19-9</w:t>
        </w:r>
      </w:hyperlink>
      <w:r w:rsidR="003745A9" w:rsidRPr="00F05A41">
        <w:rPr>
          <w:rFonts w:ascii="Times New Roman" w:hAnsi="Times New Roman" w:cs="Times New Roman"/>
          <w:sz w:val="24"/>
          <w:szCs w:val="24"/>
          <w:lang w:val="en-US"/>
        </w:rPr>
        <w:t>)</w:t>
      </w:r>
      <w:r w:rsidR="000010A7">
        <w:rPr>
          <w:rFonts w:ascii="Times New Roman" w:hAnsi="Times New Roman" w:cs="Times New Roman"/>
          <w:sz w:val="24"/>
          <w:szCs w:val="24"/>
          <w:lang w:val="en-US"/>
        </w:rPr>
        <w:t>. A</w:t>
      </w:r>
      <w:r w:rsidR="00207FF5">
        <w:rPr>
          <w:rFonts w:ascii="Times New Roman" w:hAnsi="Times New Roman" w:cs="Times New Roman"/>
          <w:sz w:val="24"/>
          <w:szCs w:val="24"/>
          <w:lang w:val="en-US"/>
        </w:rPr>
        <w:t xml:space="preserve">n increased </w:t>
      </w:r>
      <w:r w:rsidR="0052341A">
        <w:rPr>
          <w:rFonts w:ascii="Times New Roman" w:hAnsi="Times New Roman" w:cs="Times New Roman"/>
          <w:sz w:val="24"/>
          <w:szCs w:val="24"/>
          <w:lang w:val="en-US"/>
        </w:rPr>
        <w:t xml:space="preserve">risk of HZ infection </w:t>
      </w:r>
      <w:r w:rsidR="00207FF5">
        <w:rPr>
          <w:rFonts w:ascii="Times New Roman" w:hAnsi="Times New Roman" w:cs="Times New Roman"/>
          <w:sz w:val="24"/>
          <w:szCs w:val="24"/>
          <w:lang w:val="en-US"/>
        </w:rPr>
        <w:t xml:space="preserve">have been observed in </w:t>
      </w:r>
      <w:r w:rsidR="0052341A" w:rsidRPr="0052341A">
        <w:rPr>
          <w:rFonts w:ascii="Times New Roman" w:hAnsi="Times New Roman" w:cs="Times New Roman"/>
          <w:sz w:val="24"/>
          <w:szCs w:val="24"/>
          <w:lang w:val="en-US"/>
        </w:rPr>
        <w:t>BNT162b2 mRNA vaccine</w:t>
      </w:r>
      <w:r w:rsidR="0052341A">
        <w:rPr>
          <w:rFonts w:ascii="Times New Roman" w:hAnsi="Times New Roman" w:cs="Times New Roman"/>
          <w:sz w:val="24"/>
          <w:szCs w:val="24"/>
          <w:lang w:val="en-US"/>
        </w:rPr>
        <w:t xml:space="preserve"> recipients</w:t>
      </w:r>
      <w:r w:rsidR="00207FF5">
        <w:rPr>
          <w:rFonts w:ascii="Times New Roman" w:hAnsi="Times New Roman" w:cs="Times New Roman"/>
          <w:sz w:val="24"/>
          <w:szCs w:val="24"/>
          <w:lang w:val="en-US"/>
        </w:rPr>
        <w:t>,</w:t>
      </w:r>
      <w:r w:rsidR="009479E1" w:rsidRPr="00052505">
        <w:rPr>
          <w:rFonts w:ascii="Times New Roman" w:hAnsi="Times New Roman" w:cs="Times New Roman"/>
          <w:sz w:val="24"/>
          <w:szCs w:val="24"/>
          <w:lang w:val="en-US"/>
        </w:rPr>
        <w:t xml:space="preserve"> while</w:t>
      </w:r>
      <w:r w:rsidR="009479E1" w:rsidRPr="00B14A9E">
        <w:rPr>
          <w:rFonts w:ascii="Times New Roman" w:hAnsi="Times New Roman" w:cs="Times New Roman"/>
          <w:sz w:val="24"/>
          <w:szCs w:val="24"/>
          <w:lang w:val="en-US"/>
        </w:rPr>
        <w:t xml:space="preserve"> </w:t>
      </w:r>
      <w:r w:rsidR="001256CD" w:rsidRPr="000D04B7">
        <w:rPr>
          <w:rFonts w:ascii="Times New Roman" w:hAnsi="Times New Roman" w:cs="Times New Roman"/>
          <w:sz w:val="24"/>
          <w:szCs w:val="24"/>
          <w:lang w:val="en-US"/>
        </w:rPr>
        <w:t>infection</w:t>
      </w:r>
      <w:r w:rsidR="001256CD" w:rsidRPr="00584ABE">
        <w:rPr>
          <w:rFonts w:ascii="Times New Roman" w:hAnsi="Times New Roman" w:cs="Times New Roman"/>
          <w:sz w:val="24"/>
          <w:szCs w:val="24"/>
          <w:lang w:val="en-US"/>
        </w:rPr>
        <w:t xml:space="preserve"> characteristics</w:t>
      </w:r>
      <w:r w:rsidR="001256CD">
        <w:rPr>
          <w:rFonts w:ascii="Times New Roman" w:hAnsi="Times New Roman" w:cs="Times New Roman"/>
          <w:sz w:val="24"/>
          <w:szCs w:val="24"/>
          <w:lang w:val="en-US"/>
        </w:rPr>
        <w:t xml:space="preserve"> </w:t>
      </w:r>
      <w:r w:rsidR="00207FF5">
        <w:rPr>
          <w:rFonts w:ascii="Times New Roman" w:hAnsi="Times New Roman" w:cs="Times New Roman"/>
          <w:sz w:val="24"/>
          <w:szCs w:val="24"/>
          <w:lang w:val="en-US"/>
        </w:rPr>
        <w:t xml:space="preserve">are not known </w:t>
      </w:r>
      <w:r w:rsidR="001256CD">
        <w:rPr>
          <w:rFonts w:ascii="Times New Roman" w:hAnsi="Times New Roman" w:cs="Times New Roman"/>
          <w:sz w:val="24"/>
          <w:szCs w:val="24"/>
          <w:lang w:val="en-US"/>
        </w:rPr>
        <w:t>so far</w:t>
      </w:r>
      <w:r w:rsidR="00207FF5">
        <w:rPr>
          <w:rFonts w:ascii="Times New Roman" w:hAnsi="Times New Roman" w:cs="Times New Roman"/>
          <w:sz w:val="24"/>
          <w:szCs w:val="24"/>
          <w:lang w:val="en-US"/>
        </w:rPr>
        <w:t xml:space="preserve"> </w:t>
      </w:r>
      <w:r w:rsidR="00207FF5">
        <w:rPr>
          <w:rFonts w:ascii="Times New Roman" w:hAnsi="Times New Roman" w:cs="Times New Roman"/>
          <w:sz w:val="24"/>
          <w:szCs w:val="24"/>
          <w:lang w:val="en-US"/>
        </w:rPr>
        <w:fldChar w:fldCharType="begin"/>
      </w:r>
      <w:r w:rsidR="00B416E7">
        <w:rPr>
          <w:rFonts w:ascii="Times New Roman" w:hAnsi="Times New Roman" w:cs="Times New Roman"/>
          <w:sz w:val="24"/>
          <w:szCs w:val="24"/>
          <w:lang w:val="en-US"/>
        </w:rPr>
        <w:instrText xml:space="preserve"> ADDIN ZOTERO_ITEM CSL_CITATION {"citationID":"K3JkyLfw","properties":{"formattedCitation":"(7)","plainCitation":"(7)","noteIndex":0},"citationItems":[{"id":"yxthfPoW/HqpCy4mQ","uris":["http://zotero.org/users/5084208/items/X9J8KAZ2"],"uri":["http://zotero.org/users/5084208/items/X9J8KAZ2"],"itemData":{"id":6334,"type":"article-journal","container-title":"New England Journal of Medicine","DOI":"10.1056/NEJMoa2110475","ISSN":"0028-4793, 1533-4406","journalAbbreviation":"N Engl J Med","language":"en","page":"NEJMoa2110475","source":"DOI.org (Crossref)","title":"Safety of the BNT162b2 mRNA Covid-19 Vaccine in a Nationwide Setting","author":[{"family":"Barda","given":"Noam"},{"family":"Dagan","given":"Noa"},{"family":"Ben-Shlomo","given":"Yatir"},{"family":"Kepten","given":"Eldad"},{"family":"Waxman","given":"Jacob"},{"family":"Ohana","given":"Reut"},{"family":"Hernán","given":"Miguel A."},{"family":"Lipsitch","given":"Marc"},{"family":"Kohane","given":"Isaac"},{"family":"Netzer","given":"Doron"},{"family":"Reis","given":"Ben Y."},{"family":"Balicer","given":"Ran D."}],"issued":{"date-parts":[["2021",8,25]]}}}],"schema":"https://github.com/citation-style-language/schema/raw/master/csl-citation.json"} </w:instrText>
      </w:r>
      <w:r w:rsidR="00207FF5">
        <w:rPr>
          <w:rFonts w:ascii="Times New Roman" w:hAnsi="Times New Roman" w:cs="Times New Roman"/>
          <w:sz w:val="24"/>
          <w:szCs w:val="24"/>
          <w:lang w:val="en-US"/>
        </w:rPr>
        <w:fldChar w:fldCharType="separate"/>
      </w:r>
      <w:r w:rsidR="00207FF5" w:rsidRPr="00F85C6B">
        <w:rPr>
          <w:rFonts w:ascii="Times New Roman" w:hAnsi="Times New Roman" w:cs="Times New Roman"/>
          <w:sz w:val="24"/>
          <w:lang w:val="en-US"/>
        </w:rPr>
        <w:t>(7)</w:t>
      </w:r>
      <w:r w:rsidR="00207FF5">
        <w:rPr>
          <w:rFonts w:ascii="Times New Roman" w:hAnsi="Times New Roman" w:cs="Times New Roman"/>
          <w:sz w:val="24"/>
          <w:szCs w:val="24"/>
          <w:lang w:val="en-US"/>
        </w:rPr>
        <w:fldChar w:fldCharType="end"/>
      </w:r>
      <w:r w:rsidR="00FE36C6" w:rsidRPr="00584ABE">
        <w:rPr>
          <w:rFonts w:ascii="Times New Roman" w:hAnsi="Times New Roman" w:cs="Times New Roman"/>
          <w:sz w:val="24"/>
          <w:szCs w:val="24"/>
          <w:lang w:val="en-US"/>
        </w:rPr>
        <w:t>.</w:t>
      </w:r>
      <w:r w:rsidR="009479E1" w:rsidRPr="00584ABE">
        <w:rPr>
          <w:rFonts w:ascii="Times New Roman" w:hAnsi="Times New Roman" w:cs="Times New Roman"/>
          <w:sz w:val="24"/>
          <w:szCs w:val="24"/>
          <w:lang w:val="en-US"/>
        </w:rPr>
        <w:t xml:space="preserve"> </w:t>
      </w:r>
      <w:r w:rsidR="00D875DB" w:rsidRPr="00584ABE">
        <w:rPr>
          <w:rFonts w:ascii="Times New Roman" w:hAnsi="Times New Roman" w:cs="Times New Roman"/>
          <w:sz w:val="24"/>
          <w:szCs w:val="24"/>
          <w:lang w:val="en-US"/>
        </w:rPr>
        <w:t xml:space="preserve">The aim of this analysis </w:t>
      </w:r>
      <w:r w:rsidR="00EE4E61">
        <w:rPr>
          <w:rFonts w:ascii="Times New Roman" w:hAnsi="Times New Roman" w:cs="Times New Roman"/>
          <w:sz w:val="24"/>
          <w:szCs w:val="24"/>
          <w:lang w:val="en-US"/>
        </w:rPr>
        <w:t>was</w:t>
      </w:r>
      <w:r w:rsidR="00EE4E61" w:rsidRPr="00584ABE">
        <w:rPr>
          <w:rFonts w:ascii="Times New Roman" w:hAnsi="Times New Roman" w:cs="Times New Roman"/>
          <w:sz w:val="24"/>
          <w:szCs w:val="24"/>
          <w:lang w:val="en-US"/>
        </w:rPr>
        <w:t xml:space="preserve"> </w:t>
      </w:r>
      <w:r w:rsidR="00D875DB" w:rsidRPr="00584ABE">
        <w:rPr>
          <w:rFonts w:ascii="Times New Roman" w:hAnsi="Times New Roman" w:cs="Times New Roman"/>
          <w:sz w:val="24"/>
          <w:szCs w:val="24"/>
          <w:lang w:val="en-US"/>
        </w:rPr>
        <w:t xml:space="preserve">to describe </w:t>
      </w:r>
      <w:r w:rsidR="00850839">
        <w:rPr>
          <w:rFonts w:ascii="Times New Roman" w:hAnsi="Times New Roman" w:cs="Times New Roman"/>
          <w:sz w:val="24"/>
          <w:szCs w:val="24"/>
          <w:lang w:val="en-US"/>
        </w:rPr>
        <w:t>HZ</w:t>
      </w:r>
      <w:r w:rsidR="00D875DB" w:rsidRPr="00584ABE">
        <w:rPr>
          <w:rFonts w:ascii="Times New Roman" w:hAnsi="Times New Roman" w:cs="Times New Roman"/>
          <w:sz w:val="24"/>
          <w:szCs w:val="24"/>
          <w:lang w:val="en-US"/>
        </w:rPr>
        <w:t xml:space="preserve"> cases following </w:t>
      </w:r>
      <w:r w:rsidR="009479E1" w:rsidRPr="00584ABE">
        <w:rPr>
          <w:rFonts w:ascii="Times New Roman" w:hAnsi="Times New Roman" w:cs="Times New Roman"/>
          <w:sz w:val="24"/>
          <w:szCs w:val="24"/>
          <w:lang w:val="en-US"/>
        </w:rPr>
        <w:t xml:space="preserve">mRNA </w:t>
      </w:r>
      <w:r w:rsidR="00D875DB" w:rsidRPr="00584ABE">
        <w:rPr>
          <w:rFonts w:ascii="Times New Roman" w:hAnsi="Times New Roman" w:cs="Times New Roman"/>
          <w:sz w:val="24"/>
          <w:szCs w:val="24"/>
          <w:lang w:val="en-US"/>
        </w:rPr>
        <w:t xml:space="preserve">COVID-19 vaccination </w:t>
      </w:r>
      <w:r w:rsidR="009479E1" w:rsidRPr="00584ABE">
        <w:rPr>
          <w:rFonts w:ascii="Times New Roman" w:hAnsi="Times New Roman" w:cs="Times New Roman"/>
          <w:sz w:val="24"/>
          <w:szCs w:val="24"/>
          <w:lang w:val="en-US"/>
        </w:rPr>
        <w:t>at a global level</w:t>
      </w:r>
      <w:r w:rsidR="00D875DB" w:rsidRPr="00584ABE">
        <w:rPr>
          <w:rFonts w:ascii="Times New Roman" w:hAnsi="Times New Roman" w:cs="Times New Roman"/>
          <w:sz w:val="24"/>
          <w:szCs w:val="24"/>
          <w:lang w:val="en-US"/>
        </w:rPr>
        <w:t xml:space="preserve">, and </w:t>
      </w:r>
      <w:r w:rsidR="009479E1" w:rsidRPr="00584ABE">
        <w:rPr>
          <w:rFonts w:ascii="Times New Roman" w:hAnsi="Times New Roman" w:cs="Times New Roman"/>
          <w:sz w:val="24"/>
          <w:szCs w:val="24"/>
          <w:lang w:val="en-US"/>
        </w:rPr>
        <w:t xml:space="preserve">to </w:t>
      </w:r>
      <w:r w:rsidR="00207FF5">
        <w:rPr>
          <w:rFonts w:ascii="Times New Roman" w:hAnsi="Times New Roman" w:cs="Times New Roman"/>
          <w:sz w:val="24"/>
          <w:szCs w:val="24"/>
          <w:lang w:val="en-US"/>
        </w:rPr>
        <w:t>appraise</w:t>
      </w:r>
      <w:r w:rsidR="00207FF5" w:rsidRPr="00584ABE">
        <w:rPr>
          <w:rFonts w:ascii="Times New Roman" w:hAnsi="Times New Roman" w:cs="Times New Roman"/>
          <w:sz w:val="24"/>
          <w:szCs w:val="24"/>
          <w:lang w:val="en-US"/>
        </w:rPr>
        <w:t xml:space="preserve"> </w:t>
      </w:r>
      <w:r w:rsidR="009479E1" w:rsidRPr="00584ABE">
        <w:rPr>
          <w:rFonts w:ascii="Times New Roman" w:hAnsi="Times New Roman" w:cs="Times New Roman"/>
          <w:sz w:val="24"/>
          <w:szCs w:val="24"/>
          <w:lang w:val="en-US"/>
        </w:rPr>
        <w:t>this risk</w:t>
      </w:r>
      <w:r w:rsidR="00D875DB" w:rsidRPr="00584ABE">
        <w:rPr>
          <w:rFonts w:ascii="Times New Roman" w:hAnsi="Times New Roman" w:cs="Times New Roman"/>
          <w:sz w:val="24"/>
          <w:szCs w:val="24"/>
          <w:lang w:val="en-US"/>
        </w:rPr>
        <w:t>.</w:t>
      </w:r>
    </w:p>
    <w:p w14:paraId="3B3569A7" w14:textId="77777777" w:rsidR="005D0FBF" w:rsidRPr="00133D3F" w:rsidRDefault="005D0FBF" w:rsidP="00D32F90">
      <w:pPr>
        <w:pStyle w:val="Sansinterligne"/>
        <w:spacing w:line="480" w:lineRule="auto"/>
        <w:ind w:firstLine="708"/>
        <w:jc w:val="both"/>
        <w:rPr>
          <w:rFonts w:ascii="Times New Roman" w:hAnsi="Times New Roman" w:cs="Times New Roman"/>
          <w:sz w:val="24"/>
          <w:szCs w:val="24"/>
          <w:lang w:val="en-US"/>
        </w:rPr>
      </w:pPr>
    </w:p>
    <w:p w14:paraId="459D47A3" w14:textId="57D4FE36" w:rsidR="00FE08BA" w:rsidRPr="00DE31C5" w:rsidRDefault="00FE08BA" w:rsidP="00D32F90">
      <w:pPr>
        <w:pStyle w:val="Sansinterligne"/>
        <w:spacing w:line="480" w:lineRule="auto"/>
        <w:ind w:firstLine="708"/>
        <w:jc w:val="both"/>
        <w:rPr>
          <w:rFonts w:ascii="Times New Roman" w:hAnsi="Times New Roman" w:cs="Times New Roman"/>
          <w:b/>
          <w:bCs/>
          <w:iCs/>
          <w:sz w:val="24"/>
          <w:szCs w:val="24"/>
          <w:lang w:val="en-US"/>
        </w:rPr>
      </w:pPr>
      <w:r w:rsidRPr="00DE31C5">
        <w:rPr>
          <w:rFonts w:ascii="Times New Roman" w:hAnsi="Times New Roman" w:cs="Times New Roman"/>
          <w:b/>
          <w:bCs/>
          <w:iCs/>
          <w:sz w:val="24"/>
          <w:szCs w:val="24"/>
          <w:lang w:val="en-US"/>
        </w:rPr>
        <w:t>Methods</w:t>
      </w:r>
    </w:p>
    <w:p w14:paraId="467D6C4A" w14:textId="5BE648CF" w:rsidR="006000A3" w:rsidRDefault="00635C16" w:rsidP="00E504C0">
      <w:pPr>
        <w:pStyle w:val="Sansinterligne"/>
        <w:spacing w:line="480" w:lineRule="auto"/>
        <w:ind w:firstLine="708"/>
        <w:jc w:val="both"/>
        <w:rPr>
          <w:rFonts w:ascii="Times New Roman" w:hAnsi="Times New Roman" w:cs="Times New Roman"/>
          <w:sz w:val="24"/>
          <w:szCs w:val="24"/>
          <w:lang w:val="en-US"/>
        </w:rPr>
      </w:pPr>
      <w:r w:rsidRPr="00133D3F">
        <w:rPr>
          <w:rFonts w:ascii="Times New Roman" w:hAnsi="Times New Roman" w:cs="Times New Roman"/>
          <w:color w:val="000000" w:themeColor="text1"/>
          <w:sz w:val="24"/>
          <w:szCs w:val="24"/>
          <w:lang w:val="en-US"/>
        </w:rPr>
        <w:t xml:space="preserve">We </w:t>
      </w:r>
      <w:r w:rsidR="00A61253" w:rsidRPr="00133D3F">
        <w:rPr>
          <w:rFonts w:ascii="Times New Roman" w:hAnsi="Times New Roman" w:cs="Times New Roman"/>
          <w:color w:val="000000" w:themeColor="text1"/>
          <w:sz w:val="24"/>
          <w:szCs w:val="24"/>
          <w:lang w:val="en-US"/>
        </w:rPr>
        <w:t xml:space="preserve">used </w:t>
      </w:r>
      <w:proofErr w:type="spellStart"/>
      <w:r w:rsidR="00A61253" w:rsidRPr="00133D3F">
        <w:rPr>
          <w:rFonts w:ascii="Times New Roman" w:hAnsi="Times New Roman" w:cs="Times New Roman"/>
          <w:color w:val="000000" w:themeColor="text1"/>
          <w:sz w:val="24"/>
          <w:szCs w:val="24"/>
          <w:lang w:val="en-US"/>
        </w:rPr>
        <w:t>VigiBase</w:t>
      </w:r>
      <w:proofErr w:type="spellEnd"/>
      <w:r w:rsidR="00C63919" w:rsidRPr="00133D3F">
        <w:rPr>
          <w:rFonts w:ascii="Times New Roman" w:hAnsi="Times New Roman" w:cs="Times New Roman"/>
          <w:color w:val="000000" w:themeColor="text1"/>
          <w:sz w:val="24"/>
          <w:szCs w:val="24"/>
          <w:lang w:val="en-US"/>
        </w:rPr>
        <w:t xml:space="preserve"> (</w:t>
      </w:r>
      <w:hyperlink r:id="rId9" w:history="1">
        <w:r w:rsidR="00E9016D" w:rsidRPr="00B26BA5">
          <w:rPr>
            <w:rStyle w:val="Lienhypertexte"/>
            <w:lang w:val="en-US"/>
          </w:rPr>
          <w:t>https://www.who-umc.org/vigibase/vigibase/</w:t>
        </w:r>
      </w:hyperlink>
      <w:r w:rsidR="00C63919" w:rsidRPr="00133D3F">
        <w:rPr>
          <w:rFonts w:ascii="Times New Roman" w:hAnsi="Times New Roman" w:cs="Times New Roman"/>
          <w:color w:val="000000" w:themeColor="text1"/>
          <w:sz w:val="24"/>
          <w:szCs w:val="24"/>
          <w:lang w:val="en-US"/>
        </w:rPr>
        <w:t>)</w:t>
      </w:r>
      <w:r w:rsidR="00A61253" w:rsidRPr="00133D3F">
        <w:rPr>
          <w:rFonts w:ascii="Times New Roman" w:hAnsi="Times New Roman" w:cs="Times New Roman"/>
          <w:color w:val="000000" w:themeColor="text1"/>
          <w:sz w:val="24"/>
          <w:szCs w:val="24"/>
          <w:lang w:val="en-US"/>
        </w:rPr>
        <w:t xml:space="preserve">, </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the </w:t>
      </w:r>
      <w:r w:rsidR="00FB55FC" w:rsidRPr="00133D3F">
        <w:rPr>
          <w:rFonts w:ascii="Times New Roman" w:eastAsia="Times New Roman" w:hAnsi="Times New Roman" w:cs="Times New Roman"/>
          <w:color w:val="000000" w:themeColor="text1"/>
          <w:sz w:val="24"/>
          <w:szCs w:val="24"/>
          <w:shd w:val="clear" w:color="auto" w:fill="FFFFFF"/>
          <w:lang w:val="en-US" w:eastAsia="fr-FR"/>
        </w:rPr>
        <w:t>WHO</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 global </w:t>
      </w:r>
      <w:r w:rsidR="00C63919" w:rsidRPr="00133D3F">
        <w:rPr>
          <w:rFonts w:ascii="Times New Roman" w:eastAsia="Times New Roman" w:hAnsi="Times New Roman" w:cs="Times New Roman"/>
          <w:color w:val="000000" w:themeColor="text1"/>
          <w:sz w:val="24"/>
          <w:szCs w:val="24"/>
          <w:shd w:val="clear" w:color="auto" w:fill="FFFFFF"/>
          <w:lang w:val="en-US" w:eastAsia="fr-FR"/>
        </w:rPr>
        <w:t>i</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ndividual </w:t>
      </w:r>
      <w:r w:rsidR="00C63919" w:rsidRPr="00133D3F">
        <w:rPr>
          <w:rFonts w:ascii="Times New Roman" w:eastAsia="Times New Roman" w:hAnsi="Times New Roman" w:cs="Times New Roman"/>
          <w:color w:val="000000" w:themeColor="text1"/>
          <w:sz w:val="24"/>
          <w:szCs w:val="24"/>
          <w:shd w:val="clear" w:color="auto" w:fill="FFFFFF"/>
          <w:lang w:val="en-US" w:eastAsia="fr-FR"/>
        </w:rPr>
        <w:t>c</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ase </w:t>
      </w:r>
      <w:r w:rsidR="00C63919" w:rsidRPr="00133D3F">
        <w:rPr>
          <w:rFonts w:ascii="Times New Roman" w:eastAsia="Times New Roman" w:hAnsi="Times New Roman" w:cs="Times New Roman"/>
          <w:color w:val="000000" w:themeColor="text1"/>
          <w:sz w:val="24"/>
          <w:szCs w:val="24"/>
          <w:shd w:val="clear" w:color="auto" w:fill="FFFFFF"/>
          <w:lang w:val="en-US" w:eastAsia="fr-FR"/>
        </w:rPr>
        <w:t>s</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afety </w:t>
      </w:r>
      <w:r w:rsidR="00C63919" w:rsidRPr="00133D3F">
        <w:rPr>
          <w:rFonts w:ascii="Times New Roman" w:eastAsia="Times New Roman" w:hAnsi="Times New Roman" w:cs="Times New Roman"/>
          <w:color w:val="000000" w:themeColor="text1"/>
          <w:sz w:val="24"/>
          <w:szCs w:val="24"/>
          <w:shd w:val="clear" w:color="auto" w:fill="FFFFFF"/>
          <w:lang w:val="en-US" w:eastAsia="fr-FR"/>
        </w:rPr>
        <w:t>r</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eport database, which contains </w:t>
      </w:r>
      <w:r w:rsidR="00BA7E18">
        <w:rPr>
          <w:rFonts w:ascii="Times New Roman" w:eastAsia="Times New Roman" w:hAnsi="Times New Roman" w:cs="Times New Roman"/>
          <w:color w:val="000000" w:themeColor="text1"/>
          <w:sz w:val="24"/>
          <w:szCs w:val="24"/>
          <w:shd w:val="clear" w:color="auto" w:fill="FFFFFF"/>
          <w:lang w:val="en-US" w:eastAsia="fr-FR"/>
        </w:rPr>
        <w:t xml:space="preserve">about </w:t>
      </w:r>
      <w:r w:rsidR="00560F75" w:rsidRPr="00560F75">
        <w:rPr>
          <w:rFonts w:ascii="Times New Roman" w:eastAsia="Times New Roman" w:hAnsi="Times New Roman" w:cs="Times New Roman"/>
          <w:color w:val="000000" w:themeColor="text1"/>
          <w:sz w:val="24"/>
          <w:szCs w:val="24"/>
          <w:shd w:val="clear" w:color="auto" w:fill="FFFFFF"/>
          <w:lang w:val="en-US" w:eastAsia="fr-FR"/>
        </w:rPr>
        <w:t>27</w:t>
      </w:r>
      <w:r w:rsidR="00BA7E18">
        <w:rPr>
          <w:rFonts w:ascii="Times New Roman" w:eastAsia="Times New Roman" w:hAnsi="Times New Roman" w:cs="Times New Roman"/>
          <w:color w:val="000000" w:themeColor="text1"/>
          <w:sz w:val="24"/>
          <w:szCs w:val="24"/>
          <w:shd w:val="clear" w:color="auto" w:fill="FFFFFF"/>
          <w:lang w:val="en-US" w:eastAsia="fr-FR"/>
        </w:rPr>
        <w:t xml:space="preserve"> million</w:t>
      </w:r>
      <w:r w:rsidR="00560F75">
        <w:rPr>
          <w:rFonts w:ascii="Times New Roman" w:eastAsia="Times New Roman" w:hAnsi="Times New Roman" w:cs="Times New Roman"/>
          <w:color w:val="000000" w:themeColor="text1"/>
          <w:sz w:val="24"/>
          <w:szCs w:val="24"/>
          <w:shd w:val="clear" w:color="auto" w:fill="FFFFFF"/>
          <w:lang w:val="en-US" w:eastAsia="fr-FR"/>
        </w:rPr>
        <w:t xml:space="preserve"> </w:t>
      </w:r>
      <w:r w:rsidR="00E315AC" w:rsidRPr="00133D3F">
        <w:rPr>
          <w:rFonts w:ascii="Times New Roman" w:eastAsia="Times New Roman" w:hAnsi="Times New Roman" w:cs="Times New Roman"/>
          <w:color w:val="000000" w:themeColor="text1"/>
          <w:sz w:val="24"/>
          <w:szCs w:val="24"/>
          <w:shd w:val="clear" w:color="auto" w:fill="FFFFFF"/>
          <w:lang w:val="en-US" w:eastAsia="fr-FR"/>
        </w:rPr>
        <w:t xml:space="preserve">spontaneous </w:t>
      </w:r>
      <w:r w:rsidR="00A61253" w:rsidRPr="00133D3F">
        <w:rPr>
          <w:rFonts w:ascii="Times New Roman" w:eastAsia="Times New Roman" w:hAnsi="Times New Roman" w:cs="Times New Roman"/>
          <w:color w:val="000000" w:themeColor="text1"/>
          <w:sz w:val="24"/>
          <w:szCs w:val="24"/>
          <w:shd w:val="clear" w:color="auto" w:fill="FFFFFF"/>
          <w:lang w:val="en-US" w:eastAsia="fr-FR"/>
        </w:rPr>
        <w:t xml:space="preserve">reports of suspected adverse drug reactions collected by national drug </w:t>
      </w:r>
      <w:r w:rsidR="00A61253" w:rsidRPr="00133D3F">
        <w:rPr>
          <w:rFonts w:ascii="Times New Roman" w:eastAsia="Times New Roman" w:hAnsi="Times New Roman" w:cs="Times New Roman"/>
          <w:sz w:val="24"/>
          <w:szCs w:val="24"/>
          <w:shd w:val="clear" w:color="auto" w:fill="FFFFFF"/>
          <w:lang w:val="en-US" w:eastAsia="fr-FR"/>
        </w:rPr>
        <w:t>authorities in more than 130 countries</w:t>
      </w:r>
      <w:r w:rsidR="00535A1B" w:rsidRPr="00133D3F">
        <w:rPr>
          <w:rFonts w:ascii="Times New Roman" w:eastAsia="Times New Roman" w:hAnsi="Times New Roman" w:cs="Times New Roman"/>
          <w:sz w:val="24"/>
          <w:szCs w:val="24"/>
          <w:shd w:val="clear" w:color="auto" w:fill="FFFFFF"/>
          <w:lang w:val="en-US" w:eastAsia="fr-FR"/>
        </w:rPr>
        <w:t xml:space="preserve">. </w:t>
      </w:r>
      <w:r w:rsidR="00347E78" w:rsidRPr="00133D3F">
        <w:rPr>
          <w:rFonts w:ascii="Times New Roman" w:hAnsi="Times New Roman" w:cs="Times New Roman"/>
          <w:sz w:val="24"/>
          <w:szCs w:val="24"/>
          <w:lang w:val="en-US"/>
        </w:rPr>
        <w:t xml:space="preserve">This </w:t>
      </w:r>
      <w:r w:rsidR="005B4B31">
        <w:rPr>
          <w:rFonts w:ascii="Times New Roman" w:hAnsi="Times New Roman" w:cs="Times New Roman"/>
          <w:sz w:val="24"/>
          <w:szCs w:val="24"/>
          <w:lang w:val="en-US"/>
        </w:rPr>
        <w:t xml:space="preserve">unique database provides a </w:t>
      </w:r>
      <w:r w:rsidR="00347E78" w:rsidRPr="00133D3F">
        <w:rPr>
          <w:rFonts w:ascii="Times New Roman" w:hAnsi="Times New Roman" w:cs="Times New Roman"/>
          <w:sz w:val="24"/>
          <w:szCs w:val="24"/>
          <w:lang w:val="en-US"/>
        </w:rPr>
        <w:t xml:space="preserve">powerful </w:t>
      </w:r>
      <w:r w:rsidR="005B4B31">
        <w:rPr>
          <w:rFonts w:ascii="Times New Roman" w:hAnsi="Times New Roman" w:cs="Times New Roman"/>
          <w:sz w:val="24"/>
          <w:szCs w:val="24"/>
          <w:lang w:val="en-US"/>
        </w:rPr>
        <w:t xml:space="preserve">tool to assess </w:t>
      </w:r>
      <w:r w:rsidR="0064567A">
        <w:rPr>
          <w:rFonts w:ascii="Times New Roman" w:hAnsi="Times New Roman" w:cs="Times New Roman"/>
          <w:sz w:val="24"/>
          <w:szCs w:val="24"/>
          <w:lang w:val="en-US"/>
        </w:rPr>
        <w:t>relative risk</w:t>
      </w:r>
      <w:r w:rsidR="008A73B7" w:rsidRPr="008A73B7">
        <w:rPr>
          <w:rFonts w:ascii="Times New Roman" w:hAnsi="Times New Roman" w:cs="Times New Roman"/>
          <w:sz w:val="24"/>
          <w:szCs w:val="24"/>
          <w:lang w:val="en-US"/>
        </w:rPr>
        <w:t xml:space="preserve"> </w:t>
      </w:r>
      <w:r w:rsidR="005B4B31">
        <w:rPr>
          <w:rFonts w:ascii="Times New Roman" w:hAnsi="Times New Roman" w:cs="Times New Roman"/>
          <w:sz w:val="24"/>
          <w:szCs w:val="24"/>
          <w:lang w:val="en-US"/>
        </w:rPr>
        <w:t xml:space="preserve">of adverse </w:t>
      </w:r>
      <w:r w:rsidR="00AA7861">
        <w:rPr>
          <w:rFonts w:ascii="Times New Roman" w:hAnsi="Times New Roman" w:cs="Times New Roman"/>
          <w:sz w:val="24"/>
          <w:szCs w:val="24"/>
          <w:lang w:val="en-US"/>
        </w:rPr>
        <w:t>effect</w:t>
      </w:r>
      <w:r w:rsidR="005B4B31">
        <w:rPr>
          <w:rFonts w:ascii="Times New Roman" w:hAnsi="Times New Roman" w:cs="Times New Roman"/>
          <w:sz w:val="24"/>
          <w:szCs w:val="24"/>
          <w:lang w:val="en-US"/>
        </w:rPr>
        <w:t xml:space="preserve"> using</w:t>
      </w:r>
      <w:r w:rsidR="000F0817" w:rsidRPr="00133D3F">
        <w:rPr>
          <w:rFonts w:ascii="Times New Roman" w:hAnsi="Times New Roman" w:cs="Times New Roman"/>
          <w:i/>
          <w:iCs/>
          <w:sz w:val="24"/>
          <w:szCs w:val="24"/>
          <w:lang w:val="en-US"/>
        </w:rPr>
        <w:t xml:space="preserve"> </w:t>
      </w:r>
      <w:r w:rsidR="002E7878">
        <w:rPr>
          <w:rFonts w:ascii="Times New Roman" w:hAnsi="Times New Roman" w:cs="Times New Roman"/>
          <w:sz w:val="24"/>
          <w:szCs w:val="24"/>
          <w:lang w:val="en-US"/>
        </w:rPr>
        <w:t xml:space="preserve">disproportionality analyses </w:t>
      </w:r>
      <w:r w:rsidR="002E7878">
        <w:rPr>
          <w:rFonts w:ascii="Times New Roman" w:hAnsi="Times New Roman" w:cs="Times New Roman"/>
          <w:sz w:val="24"/>
          <w:szCs w:val="24"/>
          <w:lang w:val="en-US"/>
        </w:rPr>
        <w:fldChar w:fldCharType="begin"/>
      </w:r>
      <w:r w:rsidR="00515C5F">
        <w:rPr>
          <w:rFonts w:ascii="Times New Roman" w:hAnsi="Times New Roman" w:cs="Times New Roman"/>
          <w:sz w:val="24"/>
          <w:szCs w:val="24"/>
          <w:lang w:val="en-US"/>
        </w:rPr>
        <w:instrText xml:space="preserve"> ADDIN ZOTERO_ITEM CSL_CITATION {"citationID":"lqfDnv03","properties":{"formattedCitation":"(8)","plainCitation":"(8)","noteIndex":0},"citationItems":[{"id":11929,"uris":["http://zotero.org/users/2734582/items/CWKXYXPQ"],"uri":["http://zotero.org/users/2734582/items/CWKXYXPQ"],"itemData":{"id":11929,"type":"article-journal","abstract":"OBJECTIVE: We aimed at testing if a correlation between adverse drug reactions relative risks estimated from meta-analyses and disproportionality analyses calculated from pharmacovigilance spontaneous reporting systems databases exist, and if methodological choices modify this correlation.\nSTUDY DESIGN: We extracted adverse drug reactions (ADR) odds ratios (ORs) from meta-analyses used as reference and calculated corresponding Reporting Odds Ratios (RORs) from the WHO pharmacovigilance database according to five different designs. We also calculated the relative bias and agreement of ROR compared to ORs.\nRESULTS: We selected five meta-analyses which displayed a panel of 13 ADRs. A significant correlation for 7 out of the 13 ADRs studied in the primary analysis was found. The methods for ROR calculation impacted the results but none systematically improved the correlations. Whereas correlation was found between OR and ROR, agreement was poor and relative bias was important.\nCONCLUSION: Despite the large variation in disproportionality analyses results due to design specification, this study provides further evidence that relative risks obtained from meta-analyses and from disproportionality analyses correlate in most cases, in particular for objective ADR not associated with the underlying pathology.","container-title":"Journal of Clinical Epidemiology","DOI":"10.1016/j.jclinepi.2021.01.015","ISSN":"1878-5921","journalAbbreviation":"J Clin Epidemiol","language":"eng","note":"PMID: 33508405","page":"14-21","source":"PubMed","title":"Adverse drug reaction risks obtained from meta-analyses and pharmacovigilance disproportionality analyses are correlated in most cases","volume":"134","author":[{"family":"Khouri","given":"Charles"},{"family":"Petit","given":"Camille"},{"family":"Tod","given":"Michel"},{"family":"Lepelley","given":"Marion"},{"family":"Revol","given":"Bruno"},{"family":"Roustit","given":"Matthieu"},{"family":"Cracowski","given":"Jean-Luc"}],"issued":{"date-parts":[["2021",6]]}}}],"schema":"https://github.com/citation-style-language/schema/raw/master/csl-citation.json"} </w:instrText>
      </w:r>
      <w:r w:rsidR="002E7878">
        <w:rPr>
          <w:rFonts w:ascii="Times New Roman" w:hAnsi="Times New Roman" w:cs="Times New Roman"/>
          <w:sz w:val="24"/>
          <w:szCs w:val="24"/>
          <w:lang w:val="en-US"/>
        </w:rPr>
        <w:fldChar w:fldCharType="separate"/>
      </w:r>
      <w:r w:rsidR="0052341A" w:rsidRPr="00F85C6B">
        <w:rPr>
          <w:rFonts w:ascii="Times New Roman" w:hAnsi="Times New Roman" w:cs="Times New Roman"/>
          <w:sz w:val="24"/>
          <w:lang w:val="en-US"/>
        </w:rPr>
        <w:t>(8)</w:t>
      </w:r>
      <w:r w:rsidR="002E7878">
        <w:rPr>
          <w:rFonts w:ascii="Times New Roman" w:hAnsi="Times New Roman" w:cs="Times New Roman"/>
          <w:sz w:val="24"/>
          <w:szCs w:val="24"/>
          <w:lang w:val="en-US"/>
        </w:rPr>
        <w:fldChar w:fldCharType="end"/>
      </w:r>
      <w:r w:rsidR="00347E78" w:rsidRPr="00133D3F">
        <w:rPr>
          <w:rFonts w:ascii="Times New Roman" w:hAnsi="Times New Roman" w:cs="Times New Roman"/>
          <w:i/>
          <w:iCs/>
          <w:sz w:val="24"/>
          <w:szCs w:val="24"/>
          <w:lang w:val="en-US"/>
        </w:rPr>
        <w:t>.</w:t>
      </w:r>
      <w:r w:rsidR="00347E78" w:rsidRPr="00133D3F">
        <w:rPr>
          <w:rFonts w:ascii="Times New Roman" w:hAnsi="Times New Roman" w:cs="Times New Roman"/>
          <w:sz w:val="24"/>
          <w:szCs w:val="24"/>
          <w:lang w:val="en-US"/>
        </w:rPr>
        <w:t xml:space="preserve"> </w:t>
      </w:r>
      <w:r w:rsidR="000F0817" w:rsidRPr="00133D3F">
        <w:rPr>
          <w:rFonts w:ascii="Times New Roman" w:hAnsi="Times New Roman" w:cs="Times New Roman"/>
          <w:sz w:val="24"/>
          <w:szCs w:val="24"/>
          <w:lang w:val="en-US"/>
        </w:rPr>
        <w:t xml:space="preserve">This pharmacovigilance statistical approach, also called case/non-case </w:t>
      </w:r>
      <w:r w:rsidR="00CA5E32" w:rsidRPr="00133D3F">
        <w:rPr>
          <w:rFonts w:ascii="Times New Roman" w:hAnsi="Times New Roman" w:cs="Times New Roman"/>
          <w:sz w:val="24"/>
          <w:szCs w:val="24"/>
          <w:lang w:val="en-US"/>
        </w:rPr>
        <w:t xml:space="preserve">study, </w:t>
      </w:r>
      <w:r w:rsidR="000F0817" w:rsidRPr="00133D3F">
        <w:rPr>
          <w:rFonts w:ascii="Times New Roman" w:hAnsi="Times New Roman" w:cs="Times New Roman"/>
          <w:sz w:val="24"/>
          <w:szCs w:val="24"/>
          <w:lang w:val="en-US"/>
        </w:rPr>
        <w:t xml:space="preserve">is similar to case–control </w:t>
      </w:r>
      <w:r w:rsidR="00CA5E32" w:rsidRPr="00133D3F">
        <w:rPr>
          <w:rFonts w:ascii="Times New Roman" w:hAnsi="Times New Roman" w:cs="Times New Roman"/>
          <w:sz w:val="24"/>
          <w:szCs w:val="24"/>
          <w:lang w:val="en-US"/>
        </w:rPr>
        <w:t xml:space="preserve">study nested in a large </w:t>
      </w:r>
      <w:r w:rsidR="00AA7861" w:rsidRPr="00133D3F">
        <w:rPr>
          <w:rFonts w:ascii="Times New Roman" w:hAnsi="Times New Roman" w:cs="Times New Roman"/>
          <w:sz w:val="24"/>
          <w:szCs w:val="24"/>
          <w:lang w:val="en-US"/>
        </w:rPr>
        <w:t>cohort and</w:t>
      </w:r>
      <w:r w:rsidR="00E315AC" w:rsidRPr="00133D3F">
        <w:rPr>
          <w:rFonts w:ascii="Times New Roman" w:hAnsi="Times New Roman" w:cs="Times New Roman"/>
          <w:sz w:val="24"/>
          <w:szCs w:val="24"/>
          <w:lang w:val="en-US"/>
        </w:rPr>
        <w:t xml:space="preserve"> estimates </w:t>
      </w:r>
      <w:r w:rsidR="005B4B31">
        <w:rPr>
          <w:rFonts w:ascii="Times New Roman" w:hAnsi="Times New Roman" w:cs="Times New Roman"/>
          <w:sz w:val="24"/>
          <w:szCs w:val="24"/>
          <w:lang w:val="en-US"/>
        </w:rPr>
        <w:t xml:space="preserve">the differential </w:t>
      </w:r>
      <w:r w:rsidR="00C81703" w:rsidRPr="00C81703">
        <w:rPr>
          <w:rFonts w:ascii="Times New Roman" w:hAnsi="Times New Roman" w:cs="Times New Roman"/>
          <w:sz w:val="24"/>
          <w:szCs w:val="24"/>
          <w:lang w:val="en-US"/>
        </w:rPr>
        <w:t xml:space="preserve">proportion of a specific adverse drug reaction reported in a specific group (e.g. </w:t>
      </w:r>
      <w:r w:rsidR="00C81703">
        <w:rPr>
          <w:rFonts w:ascii="Times New Roman" w:hAnsi="Times New Roman" w:cs="Times New Roman"/>
          <w:sz w:val="24"/>
          <w:szCs w:val="24"/>
          <w:lang w:val="en-US"/>
        </w:rPr>
        <w:t xml:space="preserve">according to </w:t>
      </w:r>
      <w:r w:rsidR="00C81703" w:rsidRPr="00C81703">
        <w:rPr>
          <w:rFonts w:ascii="Times New Roman" w:hAnsi="Times New Roman" w:cs="Times New Roman"/>
          <w:sz w:val="24"/>
          <w:szCs w:val="24"/>
          <w:lang w:val="en-US"/>
        </w:rPr>
        <w:t>drug exposure</w:t>
      </w:r>
      <w:r w:rsidR="00C81703">
        <w:rPr>
          <w:rFonts w:ascii="Times New Roman" w:hAnsi="Times New Roman" w:cs="Times New Roman"/>
          <w:sz w:val="24"/>
          <w:szCs w:val="24"/>
          <w:lang w:val="en-US"/>
        </w:rPr>
        <w:t xml:space="preserve"> or </w:t>
      </w:r>
      <w:r w:rsidR="00C81703" w:rsidRPr="00C81703">
        <w:rPr>
          <w:rFonts w:ascii="Times New Roman" w:hAnsi="Times New Roman" w:cs="Times New Roman"/>
          <w:sz w:val="24"/>
          <w:szCs w:val="24"/>
          <w:lang w:val="en-US"/>
        </w:rPr>
        <w:t>patient age) with the proportion of the same adverse drug reaction for a control group</w:t>
      </w:r>
      <w:r w:rsidR="008A73B7">
        <w:rPr>
          <w:rFonts w:ascii="Times New Roman" w:hAnsi="Times New Roman" w:cs="Times New Roman"/>
          <w:sz w:val="24"/>
          <w:szCs w:val="24"/>
          <w:lang w:val="en-US"/>
        </w:rPr>
        <w:t>.</w:t>
      </w:r>
      <w:r w:rsidR="000C5AE7" w:rsidRPr="000C5AE7">
        <w:rPr>
          <w:rFonts w:ascii="Times New Roman" w:hAnsi="Times New Roman" w:cs="Times New Roman"/>
          <w:sz w:val="24"/>
          <w:szCs w:val="24"/>
          <w:lang w:val="en-US"/>
        </w:rPr>
        <w:t xml:space="preserve"> </w:t>
      </w:r>
      <w:r w:rsidR="000C5AE7" w:rsidRPr="00133D3F">
        <w:rPr>
          <w:rFonts w:ascii="Times New Roman" w:hAnsi="Times New Roman" w:cs="Times New Roman"/>
          <w:sz w:val="24"/>
          <w:szCs w:val="24"/>
          <w:lang w:val="en-US"/>
        </w:rPr>
        <w:t xml:space="preserve">The association </w:t>
      </w:r>
      <w:proofErr w:type="gramStart"/>
      <w:r w:rsidR="000C5AE7">
        <w:rPr>
          <w:rFonts w:ascii="Times New Roman" w:hAnsi="Times New Roman" w:cs="Times New Roman"/>
          <w:sz w:val="24"/>
          <w:szCs w:val="24"/>
          <w:lang w:val="en-US"/>
        </w:rPr>
        <w:t>is</w:t>
      </w:r>
      <w:r w:rsidR="000C5AE7" w:rsidRPr="00133D3F">
        <w:rPr>
          <w:rFonts w:ascii="Times New Roman" w:hAnsi="Times New Roman" w:cs="Times New Roman"/>
          <w:sz w:val="24"/>
          <w:szCs w:val="24"/>
          <w:lang w:val="en-US"/>
        </w:rPr>
        <w:t xml:space="preserve"> expressed</w:t>
      </w:r>
      <w:proofErr w:type="gramEnd"/>
      <w:r w:rsidR="000C5AE7" w:rsidRPr="00133D3F">
        <w:rPr>
          <w:rFonts w:ascii="Times New Roman" w:hAnsi="Times New Roman" w:cs="Times New Roman"/>
          <w:sz w:val="24"/>
          <w:szCs w:val="24"/>
          <w:lang w:val="en-US"/>
        </w:rPr>
        <w:t xml:space="preserve"> using the Reporting Odds Ratio (ROR) and</w:t>
      </w:r>
      <w:r w:rsidR="000C5AE7">
        <w:rPr>
          <w:rFonts w:ascii="Times New Roman" w:hAnsi="Times New Roman" w:cs="Times New Roman"/>
          <w:sz w:val="24"/>
          <w:szCs w:val="24"/>
          <w:lang w:val="en-US"/>
        </w:rPr>
        <w:t xml:space="preserve"> its</w:t>
      </w:r>
      <w:r w:rsidR="000C5AE7" w:rsidRPr="00133D3F">
        <w:rPr>
          <w:rFonts w:ascii="Times New Roman" w:hAnsi="Times New Roman" w:cs="Times New Roman"/>
          <w:sz w:val="24"/>
          <w:szCs w:val="24"/>
          <w:lang w:val="en-US"/>
        </w:rPr>
        <w:t xml:space="preserve"> 95% confidence interval </w:t>
      </w:r>
      <w:r w:rsidR="000C5AE7">
        <w:rPr>
          <w:rFonts w:ascii="Times New Roman" w:hAnsi="Times New Roman" w:cs="Times New Roman"/>
          <w:sz w:val="24"/>
          <w:szCs w:val="24"/>
          <w:lang w:val="en-US"/>
        </w:rPr>
        <w:t>(</w:t>
      </w:r>
      <w:r w:rsidR="000C5AE7" w:rsidRPr="00133D3F">
        <w:rPr>
          <w:rFonts w:ascii="Times New Roman" w:hAnsi="Times New Roman" w:cs="Times New Roman"/>
          <w:sz w:val="24"/>
          <w:szCs w:val="24"/>
          <w:lang w:val="en-US"/>
        </w:rPr>
        <w:t>CI</w:t>
      </w:r>
      <w:r w:rsidR="000C5AE7">
        <w:rPr>
          <w:rFonts w:ascii="Times New Roman" w:hAnsi="Times New Roman" w:cs="Times New Roman"/>
          <w:sz w:val="24"/>
          <w:szCs w:val="24"/>
          <w:lang w:val="en-US"/>
        </w:rPr>
        <w:t xml:space="preserve">), which </w:t>
      </w:r>
      <w:r w:rsidR="000C5AE7" w:rsidRPr="00133D3F">
        <w:rPr>
          <w:rFonts w:ascii="Times New Roman" w:hAnsi="Times New Roman" w:cs="Times New Roman"/>
          <w:sz w:val="24"/>
          <w:szCs w:val="24"/>
          <w:lang w:val="en-US"/>
        </w:rPr>
        <w:t>is similar in concept to the odds ratio in case-control studies.</w:t>
      </w:r>
    </w:p>
    <w:p w14:paraId="5789ABB9" w14:textId="2C588647" w:rsidR="0092107F" w:rsidRPr="00DE58F2" w:rsidRDefault="006000A3" w:rsidP="00DE31C5">
      <w:pPr>
        <w:pStyle w:val="Sansinterligne"/>
        <w:spacing w:line="480" w:lineRule="auto"/>
        <w:jc w:val="both"/>
        <w:rPr>
          <w:rFonts w:ascii="Times New Roman" w:hAnsi="Times New Roman" w:cs="Times New Roman"/>
          <w:color w:val="000000" w:themeColor="text1"/>
          <w:sz w:val="24"/>
          <w:szCs w:val="24"/>
          <w:lang w:val="en-US"/>
        </w:rPr>
      </w:pPr>
      <w:r>
        <w:rPr>
          <w:rFonts w:ascii="Times New Roman" w:hAnsi="Times New Roman" w:cs="Times New Roman"/>
          <w:sz w:val="24"/>
          <w:szCs w:val="24"/>
          <w:lang w:val="en-US"/>
        </w:rPr>
        <w:t xml:space="preserve">Cases are reports </w:t>
      </w:r>
      <w:r w:rsidR="00192474">
        <w:rPr>
          <w:rFonts w:ascii="Times New Roman" w:hAnsi="Times New Roman" w:cs="Times New Roman"/>
          <w:sz w:val="24"/>
          <w:szCs w:val="24"/>
          <w:lang w:val="en-US"/>
        </w:rPr>
        <w:t xml:space="preserve">registered in </w:t>
      </w:r>
      <w:proofErr w:type="spellStart"/>
      <w:r w:rsidR="00192474">
        <w:rPr>
          <w:rFonts w:ascii="Times New Roman" w:hAnsi="Times New Roman" w:cs="Times New Roman"/>
          <w:sz w:val="24"/>
          <w:szCs w:val="24"/>
          <w:lang w:val="en-US"/>
        </w:rPr>
        <w:t>VigiBase</w:t>
      </w:r>
      <w:proofErr w:type="spellEnd"/>
      <w:r w:rsidR="00192474">
        <w:rPr>
          <w:rFonts w:ascii="Times New Roman" w:hAnsi="Times New Roman" w:cs="Times New Roman"/>
          <w:sz w:val="24"/>
          <w:szCs w:val="24"/>
          <w:lang w:val="en-US"/>
        </w:rPr>
        <w:t xml:space="preserve"> up to </w:t>
      </w:r>
      <w:r w:rsidR="00192474" w:rsidRPr="00192474">
        <w:rPr>
          <w:rFonts w:ascii="Times New Roman" w:hAnsi="Times New Roman" w:cs="Times New Roman"/>
          <w:sz w:val="24"/>
          <w:szCs w:val="24"/>
          <w:lang w:val="en-US"/>
        </w:rPr>
        <w:t xml:space="preserve">June </w:t>
      </w:r>
      <w:proofErr w:type="gramStart"/>
      <w:r w:rsidR="00192474" w:rsidRPr="00192474">
        <w:rPr>
          <w:rFonts w:ascii="Times New Roman" w:hAnsi="Times New Roman" w:cs="Times New Roman"/>
          <w:sz w:val="24"/>
          <w:szCs w:val="24"/>
          <w:lang w:val="en-US"/>
        </w:rPr>
        <w:t>30</w:t>
      </w:r>
      <w:r w:rsidR="00192474" w:rsidRPr="00DE31C5">
        <w:rPr>
          <w:rFonts w:ascii="Times New Roman" w:hAnsi="Times New Roman" w:cs="Times New Roman"/>
          <w:sz w:val="24"/>
          <w:szCs w:val="24"/>
          <w:vertAlign w:val="superscript"/>
          <w:lang w:val="en-US"/>
        </w:rPr>
        <w:t>th</w:t>
      </w:r>
      <w:proofErr w:type="gramEnd"/>
      <w:r w:rsidR="00192474" w:rsidRPr="00192474">
        <w:rPr>
          <w:rFonts w:ascii="Times New Roman" w:hAnsi="Times New Roman" w:cs="Times New Roman"/>
          <w:sz w:val="24"/>
          <w:szCs w:val="24"/>
          <w:lang w:val="en-US"/>
        </w:rPr>
        <w:t>, 2021</w:t>
      </w:r>
      <w:r w:rsidR="0019247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containing a HZ reaction with </w:t>
      </w:r>
      <w:r w:rsidRPr="00584ABE">
        <w:rPr>
          <w:rFonts w:ascii="Times New Roman" w:hAnsi="Times New Roman" w:cs="Times New Roman"/>
          <w:sz w:val="24"/>
          <w:szCs w:val="24"/>
          <w:lang w:val="en-US"/>
        </w:rPr>
        <w:t>BNT162b2</w:t>
      </w:r>
      <w:r>
        <w:rPr>
          <w:rFonts w:ascii="Times New Roman" w:hAnsi="Times New Roman" w:cs="Times New Roman"/>
          <w:sz w:val="24"/>
          <w:szCs w:val="24"/>
          <w:lang w:val="en-US"/>
        </w:rPr>
        <w:t xml:space="preserve"> or </w:t>
      </w:r>
      <w:r w:rsidRPr="00584ABE">
        <w:rPr>
          <w:rFonts w:ascii="Times New Roman" w:hAnsi="Times New Roman" w:cs="Times New Roman"/>
          <w:sz w:val="24"/>
          <w:szCs w:val="24"/>
          <w:lang w:val="en-US"/>
        </w:rPr>
        <w:t>mRNA-1273</w:t>
      </w:r>
      <w:r>
        <w:rPr>
          <w:rFonts w:ascii="Times New Roman" w:hAnsi="Times New Roman" w:cs="Times New Roman"/>
          <w:sz w:val="24"/>
          <w:szCs w:val="24"/>
          <w:lang w:val="en-US"/>
        </w:rPr>
        <w:t xml:space="preserve">, identified using ad-hoc terms from the </w:t>
      </w:r>
      <w:r w:rsidRPr="00133D3F">
        <w:rPr>
          <w:rFonts w:ascii="Times New Roman" w:hAnsi="Times New Roman" w:cs="Times New Roman"/>
          <w:sz w:val="24"/>
          <w:szCs w:val="24"/>
          <w:lang w:val="en-US"/>
        </w:rPr>
        <w:t xml:space="preserve">Medical Dictionary for Regulatory Activities </w:t>
      </w:r>
      <w:r>
        <w:rPr>
          <w:rFonts w:ascii="Times New Roman" w:hAnsi="Times New Roman" w:cs="Times New Roman"/>
          <w:sz w:val="24"/>
          <w:szCs w:val="24"/>
          <w:lang w:val="en-US"/>
        </w:rPr>
        <w:t>(</w:t>
      </w:r>
      <w:r w:rsidRPr="006875E9">
        <w:rPr>
          <w:rFonts w:ascii="Times New Roman" w:hAnsi="Times New Roman" w:cs="Times New Roman"/>
          <w:b/>
          <w:sz w:val="24"/>
          <w:szCs w:val="24"/>
          <w:lang w:val="en-US"/>
        </w:rPr>
        <w:t>Table S1</w:t>
      </w:r>
      <w:r>
        <w:rPr>
          <w:rFonts w:ascii="Times New Roman" w:hAnsi="Times New Roman" w:cs="Times New Roman"/>
          <w:sz w:val="24"/>
          <w:szCs w:val="24"/>
          <w:lang w:val="en-US"/>
        </w:rPr>
        <w:t xml:space="preserve">), whereas non-cases are reports including all other adverse reactions </w:t>
      </w:r>
      <w:r>
        <w:rPr>
          <w:rFonts w:ascii="Times New Roman" w:hAnsi="Times New Roman" w:cs="Times New Roman"/>
          <w:sz w:val="24"/>
          <w:szCs w:val="24"/>
          <w:lang w:val="en-US"/>
        </w:rPr>
        <w:lastRenderedPageBreak/>
        <w:t>with these vaccines.</w:t>
      </w:r>
      <w:r w:rsidRPr="00133D3F">
        <w:rPr>
          <w:rFonts w:ascii="Times New Roman" w:hAnsi="Times New Roman" w:cs="Times New Roman"/>
          <w:sz w:val="24"/>
          <w:szCs w:val="24"/>
          <w:lang w:val="en-US"/>
        </w:rPr>
        <w:t xml:space="preserve"> </w:t>
      </w:r>
      <w:r w:rsidR="00917108">
        <w:rPr>
          <w:rFonts w:ascii="Times New Roman" w:hAnsi="Times New Roman" w:cs="Times New Roman"/>
          <w:sz w:val="24"/>
          <w:szCs w:val="24"/>
          <w:lang w:val="en-US"/>
        </w:rPr>
        <w:t>C</w:t>
      </w:r>
      <w:r w:rsidR="00917108" w:rsidRPr="00133D3F">
        <w:rPr>
          <w:rFonts w:ascii="Times New Roman" w:hAnsi="Times New Roman" w:cs="Times New Roman"/>
          <w:sz w:val="24"/>
          <w:szCs w:val="24"/>
          <w:lang w:val="en-US"/>
        </w:rPr>
        <w:t xml:space="preserve">ases </w:t>
      </w:r>
      <w:proofErr w:type="gramStart"/>
      <w:r w:rsidR="00917108">
        <w:rPr>
          <w:rFonts w:ascii="Times New Roman" w:hAnsi="Times New Roman" w:cs="Times New Roman"/>
          <w:sz w:val="24"/>
          <w:szCs w:val="24"/>
          <w:lang w:val="en-US"/>
        </w:rPr>
        <w:t>were categorized</w:t>
      </w:r>
      <w:proofErr w:type="gramEnd"/>
      <w:r w:rsidR="00917108">
        <w:rPr>
          <w:rFonts w:ascii="Times New Roman" w:hAnsi="Times New Roman" w:cs="Times New Roman"/>
          <w:sz w:val="24"/>
          <w:szCs w:val="24"/>
          <w:lang w:val="en-US"/>
        </w:rPr>
        <w:t xml:space="preserve"> </w:t>
      </w:r>
      <w:r w:rsidR="00917108" w:rsidRPr="00133D3F">
        <w:rPr>
          <w:rFonts w:ascii="Times New Roman" w:hAnsi="Times New Roman" w:cs="Times New Roman"/>
          <w:sz w:val="24"/>
          <w:szCs w:val="24"/>
          <w:lang w:val="en-US"/>
        </w:rPr>
        <w:t>by clinical presentation</w:t>
      </w:r>
      <w:r w:rsidR="00917108">
        <w:rPr>
          <w:rFonts w:ascii="Times New Roman" w:hAnsi="Times New Roman" w:cs="Times New Roman"/>
          <w:sz w:val="24"/>
          <w:szCs w:val="24"/>
          <w:lang w:val="en-US"/>
        </w:rPr>
        <w:t>, such as</w:t>
      </w:r>
      <w:r w:rsidR="00917108" w:rsidRPr="00133D3F">
        <w:rPr>
          <w:rFonts w:ascii="Times New Roman" w:hAnsi="Times New Roman" w:cs="Times New Roman"/>
          <w:sz w:val="24"/>
          <w:szCs w:val="24"/>
          <w:lang w:val="en-US"/>
        </w:rPr>
        <w:t xml:space="preserve"> </w:t>
      </w:r>
      <w:r w:rsidR="00917108">
        <w:rPr>
          <w:rFonts w:ascii="Times New Roman" w:hAnsi="Times New Roman" w:cs="Times New Roman"/>
          <w:sz w:val="24"/>
          <w:szCs w:val="24"/>
          <w:lang w:val="en-US"/>
        </w:rPr>
        <w:t>skin rash,</w:t>
      </w:r>
      <w:r w:rsidR="00917108">
        <w:rPr>
          <w:rFonts w:ascii="Times New Roman" w:hAnsi="Times New Roman" w:cs="Times New Roman"/>
          <w:color w:val="000000" w:themeColor="text1"/>
          <w:sz w:val="24"/>
          <w:szCs w:val="24"/>
          <w:lang w:val="en-US"/>
        </w:rPr>
        <w:t xml:space="preserve"> herpes zoster </w:t>
      </w:r>
      <w:proofErr w:type="spellStart"/>
      <w:r w:rsidR="00917108">
        <w:rPr>
          <w:rFonts w:ascii="Times New Roman" w:hAnsi="Times New Roman" w:cs="Times New Roman"/>
          <w:color w:val="000000" w:themeColor="text1"/>
          <w:sz w:val="24"/>
          <w:szCs w:val="24"/>
          <w:lang w:val="en-US"/>
        </w:rPr>
        <w:t>ophtalmicus</w:t>
      </w:r>
      <w:proofErr w:type="spellEnd"/>
      <w:r w:rsidR="00917108">
        <w:rPr>
          <w:rFonts w:ascii="Times New Roman" w:hAnsi="Times New Roman" w:cs="Times New Roman"/>
          <w:color w:val="000000" w:themeColor="text1"/>
          <w:sz w:val="24"/>
          <w:szCs w:val="24"/>
          <w:lang w:val="en-US"/>
        </w:rPr>
        <w:t xml:space="preserve"> and </w:t>
      </w:r>
      <w:proofErr w:type="spellStart"/>
      <w:r w:rsidR="00917108">
        <w:rPr>
          <w:rFonts w:ascii="Times New Roman" w:hAnsi="Times New Roman" w:cs="Times New Roman"/>
          <w:color w:val="000000" w:themeColor="text1"/>
          <w:sz w:val="24"/>
          <w:szCs w:val="24"/>
          <w:lang w:val="en-US"/>
        </w:rPr>
        <w:t>oticus</w:t>
      </w:r>
      <w:proofErr w:type="spellEnd"/>
      <w:r w:rsidR="00917108">
        <w:rPr>
          <w:rFonts w:ascii="Times New Roman" w:hAnsi="Times New Roman" w:cs="Times New Roman"/>
          <w:color w:val="000000" w:themeColor="text1"/>
          <w:sz w:val="24"/>
          <w:szCs w:val="24"/>
          <w:lang w:val="en-US"/>
        </w:rPr>
        <w:t>, and central nervous system (CNS) injuries</w:t>
      </w:r>
      <w:r w:rsidR="00917108">
        <w:rPr>
          <w:rFonts w:ascii="Times New Roman" w:hAnsi="Times New Roman" w:cs="Times New Roman"/>
          <w:sz w:val="24"/>
          <w:szCs w:val="24"/>
          <w:lang w:val="en-US"/>
        </w:rPr>
        <w:t>.</w:t>
      </w:r>
      <w:r w:rsidR="00192474">
        <w:rPr>
          <w:rFonts w:ascii="Times New Roman" w:hAnsi="Times New Roman" w:cs="Times New Roman"/>
          <w:sz w:val="24"/>
          <w:szCs w:val="24"/>
          <w:lang w:val="en-US"/>
        </w:rPr>
        <w:t xml:space="preserve"> First </w:t>
      </w:r>
      <w:r w:rsidR="0058552F">
        <w:rPr>
          <w:rFonts w:ascii="Times New Roman" w:hAnsi="Times New Roman" w:cs="Times New Roman"/>
          <w:sz w:val="24"/>
          <w:szCs w:val="24"/>
          <w:lang w:val="en-US"/>
        </w:rPr>
        <w:t xml:space="preserve">disproportionality analysis </w:t>
      </w:r>
      <w:r w:rsidR="000C5AE7">
        <w:rPr>
          <w:rFonts w:ascii="Times New Roman" w:hAnsi="Times New Roman" w:cs="Times New Roman"/>
          <w:sz w:val="24"/>
          <w:szCs w:val="24"/>
          <w:lang w:val="en-US"/>
        </w:rPr>
        <w:t xml:space="preserve">was </w:t>
      </w:r>
      <w:r w:rsidR="0058552F">
        <w:rPr>
          <w:rFonts w:ascii="Times New Roman" w:hAnsi="Times New Roman" w:cs="Times New Roman"/>
          <w:sz w:val="24"/>
          <w:szCs w:val="24"/>
          <w:lang w:val="en-US"/>
        </w:rPr>
        <w:t xml:space="preserve">to assess the risk of HZ reporting compared to </w:t>
      </w:r>
      <w:r w:rsidR="005B4B31" w:rsidRPr="00133D3F">
        <w:rPr>
          <w:rFonts w:ascii="Times New Roman" w:hAnsi="Times New Roman" w:cs="Times New Roman"/>
          <w:sz w:val="24"/>
          <w:szCs w:val="24"/>
          <w:lang w:val="en-US"/>
        </w:rPr>
        <w:t xml:space="preserve">influenza vaccine (J07BB </w:t>
      </w:r>
      <w:r w:rsidR="005B4B31">
        <w:rPr>
          <w:rFonts w:ascii="Times New Roman" w:hAnsi="Times New Roman" w:cs="Times New Roman"/>
          <w:sz w:val="24"/>
          <w:szCs w:val="24"/>
          <w:lang w:val="en-US"/>
        </w:rPr>
        <w:t xml:space="preserve">using the </w:t>
      </w:r>
      <w:r w:rsidR="005B4B31" w:rsidRPr="00133D3F">
        <w:rPr>
          <w:rFonts w:ascii="Times New Roman" w:hAnsi="Times New Roman" w:cs="Times New Roman"/>
          <w:sz w:val="24"/>
          <w:szCs w:val="24"/>
          <w:lang w:val="en-US"/>
        </w:rPr>
        <w:t>Anatomical Therapeutic Chemical Classification System)</w:t>
      </w:r>
      <w:r w:rsidR="005B4B31">
        <w:rPr>
          <w:rFonts w:ascii="Times New Roman" w:hAnsi="Times New Roman" w:cs="Times New Roman"/>
          <w:sz w:val="24"/>
          <w:szCs w:val="24"/>
          <w:lang w:val="en-US"/>
        </w:rPr>
        <w:t xml:space="preserve"> </w:t>
      </w:r>
      <w:r w:rsidR="0058552F">
        <w:rPr>
          <w:rFonts w:ascii="Times New Roman" w:hAnsi="Times New Roman" w:cs="Times New Roman"/>
          <w:sz w:val="24"/>
          <w:szCs w:val="24"/>
          <w:lang w:val="en-US"/>
        </w:rPr>
        <w:t xml:space="preserve">recipients, </w:t>
      </w:r>
      <w:r w:rsidR="005B4B31">
        <w:rPr>
          <w:rFonts w:ascii="Times New Roman" w:hAnsi="Times New Roman" w:cs="Times New Roman"/>
          <w:sz w:val="24"/>
          <w:szCs w:val="24"/>
          <w:lang w:val="en-US"/>
        </w:rPr>
        <w:t>given the similarity of</w:t>
      </w:r>
      <w:r w:rsidR="005B4B31" w:rsidRPr="00133D3F">
        <w:rPr>
          <w:rFonts w:ascii="Times New Roman" w:hAnsi="Times New Roman" w:cs="Times New Roman"/>
          <w:sz w:val="24"/>
          <w:szCs w:val="24"/>
          <w:lang w:val="en-US"/>
        </w:rPr>
        <w:t xml:space="preserve"> </w:t>
      </w:r>
      <w:r w:rsidR="00545365">
        <w:rPr>
          <w:rFonts w:ascii="Times New Roman" w:hAnsi="Times New Roman" w:cs="Times New Roman"/>
          <w:sz w:val="24"/>
          <w:szCs w:val="24"/>
          <w:lang w:val="en-US"/>
        </w:rPr>
        <w:t xml:space="preserve">the </w:t>
      </w:r>
      <w:r w:rsidR="00950752">
        <w:rPr>
          <w:rFonts w:ascii="Times New Roman" w:hAnsi="Times New Roman" w:cs="Times New Roman"/>
          <w:sz w:val="24"/>
          <w:szCs w:val="24"/>
          <w:lang w:val="en-US"/>
        </w:rPr>
        <w:t>vaccine recipients</w:t>
      </w:r>
      <w:r w:rsidR="005B4B31" w:rsidRPr="00133D3F">
        <w:rPr>
          <w:rFonts w:ascii="Times New Roman" w:hAnsi="Times New Roman" w:cs="Times New Roman"/>
          <w:sz w:val="24"/>
          <w:szCs w:val="24"/>
          <w:lang w:val="en-US"/>
        </w:rPr>
        <w:t xml:space="preserve">, especially in the first months of </w:t>
      </w:r>
      <w:r w:rsidR="005B4B31">
        <w:rPr>
          <w:rFonts w:ascii="Times New Roman" w:hAnsi="Times New Roman" w:cs="Times New Roman"/>
          <w:sz w:val="24"/>
          <w:szCs w:val="24"/>
          <w:lang w:val="en-US"/>
        </w:rPr>
        <w:t xml:space="preserve">the </w:t>
      </w:r>
      <w:r w:rsidR="005B4B31" w:rsidRPr="00133D3F">
        <w:rPr>
          <w:rFonts w:ascii="Times New Roman" w:hAnsi="Times New Roman" w:cs="Times New Roman"/>
          <w:sz w:val="24"/>
          <w:szCs w:val="24"/>
          <w:lang w:val="en-US"/>
        </w:rPr>
        <w:t xml:space="preserve">campaign in early 2021. </w:t>
      </w:r>
      <w:r w:rsidR="000C5AE7">
        <w:rPr>
          <w:rFonts w:ascii="Times New Roman" w:hAnsi="Times New Roman" w:cs="Times New Roman"/>
          <w:sz w:val="24"/>
          <w:szCs w:val="24"/>
          <w:lang w:val="en-US"/>
        </w:rPr>
        <w:t xml:space="preserve">Second, disproportionality analysis was to assess a possible increased </w:t>
      </w:r>
      <w:r w:rsidR="00431F83">
        <w:rPr>
          <w:rFonts w:ascii="Times New Roman" w:hAnsi="Times New Roman" w:cs="Times New Roman"/>
          <w:sz w:val="24"/>
          <w:szCs w:val="24"/>
          <w:lang w:val="en-US"/>
        </w:rPr>
        <w:t>risk of HZ reporting in people</w:t>
      </w:r>
      <w:r w:rsidR="00295264">
        <w:rPr>
          <w:rFonts w:ascii="Times New Roman" w:hAnsi="Times New Roman" w:cs="Times New Roman"/>
          <w:sz w:val="24"/>
          <w:szCs w:val="24"/>
          <w:lang w:val="en-US"/>
        </w:rPr>
        <w:t xml:space="preserve"> under 40 year-old</w:t>
      </w:r>
      <w:r w:rsidR="00802F7A">
        <w:rPr>
          <w:rFonts w:ascii="Times New Roman" w:hAnsi="Times New Roman" w:cs="Times New Roman"/>
          <w:sz w:val="24"/>
          <w:szCs w:val="24"/>
          <w:lang w:val="en-US"/>
        </w:rPr>
        <w:t xml:space="preserve"> compared to older people, among mRNA COVID-19 vaccine recipients</w:t>
      </w:r>
      <w:r w:rsidR="00431F83">
        <w:rPr>
          <w:rFonts w:ascii="Times New Roman" w:hAnsi="Times New Roman" w:cs="Times New Roman"/>
          <w:sz w:val="24"/>
          <w:szCs w:val="24"/>
          <w:lang w:val="en-US"/>
        </w:rPr>
        <w:t>.</w:t>
      </w:r>
      <w:r w:rsidR="00431F83" w:rsidRPr="00431F83">
        <w:rPr>
          <w:rFonts w:ascii="Times New Roman" w:hAnsi="Times New Roman" w:cs="Times New Roman"/>
          <w:sz w:val="24"/>
          <w:szCs w:val="24"/>
          <w:lang w:val="en-US"/>
        </w:rPr>
        <w:t xml:space="preserve"> </w:t>
      </w:r>
      <w:r w:rsidR="00C57FE8" w:rsidRPr="00133D3F">
        <w:rPr>
          <w:rFonts w:ascii="Times New Roman" w:hAnsi="Times New Roman" w:cs="Times New Roman"/>
          <w:sz w:val="24"/>
          <w:szCs w:val="24"/>
          <w:lang w:val="en-US"/>
        </w:rPr>
        <w:t xml:space="preserve">We </w:t>
      </w:r>
      <w:r w:rsidR="00C31AFF">
        <w:rPr>
          <w:rFonts w:ascii="Times New Roman" w:hAnsi="Times New Roman" w:cs="Times New Roman"/>
          <w:sz w:val="24"/>
          <w:szCs w:val="24"/>
          <w:lang w:val="en-US"/>
        </w:rPr>
        <w:t>further</w:t>
      </w:r>
      <w:r w:rsidR="00C57FE8" w:rsidRPr="00133D3F">
        <w:rPr>
          <w:rFonts w:ascii="Times New Roman" w:hAnsi="Times New Roman" w:cs="Times New Roman"/>
          <w:sz w:val="24"/>
          <w:szCs w:val="24"/>
          <w:lang w:val="en-US"/>
        </w:rPr>
        <w:t xml:space="preserve"> performed sensitivity analyses, by restricting our disproportionality analysis to serious cases </w:t>
      </w:r>
      <w:r w:rsidR="00C31AFF">
        <w:rPr>
          <w:rFonts w:ascii="Times New Roman" w:hAnsi="Times New Roman" w:cs="Times New Roman"/>
          <w:sz w:val="24"/>
          <w:szCs w:val="24"/>
          <w:lang w:val="en-US"/>
        </w:rPr>
        <w:t xml:space="preserve">only </w:t>
      </w:r>
      <w:r w:rsidR="00C57FE8" w:rsidRPr="00133D3F">
        <w:rPr>
          <w:rFonts w:ascii="Times New Roman" w:hAnsi="Times New Roman" w:cs="Times New Roman"/>
          <w:sz w:val="24"/>
          <w:szCs w:val="24"/>
          <w:lang w:val="en-US"/>
        </w:rPr>
        <w:t xml:space="preserve">and to cases reported by healthcare professionals. </w:t>
      </w:r>
    </w:p>
    <w:p w14:paraId="2D0B0450" w14:textId="1CE704DD" w:rsidR="0080717A" w:rsidRPr="00133D3F" w:rsidRDefault="0080717A" w:rsidP="00BE5B4C">
      <w:pPr>
        <w:pStyle w:val="Sansinterligne"/>
        <w:spacing w:line="480" w:lineRule="auto"/>
        <w:ind w:firstLine="708"/>
        <w:jc w:val="both"/>
        <w:rPr>
          <w:rFonts w:ascii="Times New Roman" w:hAnsi="Times New Roman" w:cs="Times New Roman"/>
          <w:sz w:val="24"/>
          <w:szCs w:val="24"/>
          <w:lang w:val="en-US"/>
        </w:rPr>
      </w:pPr>
    </w:p>
    <w:p w14:paraId="13BD3C75" w14:textId="09C18859" w:rsidR="00BE5B4C" w:rsidRPr="00DE31C5" w:rsidRDefault="0080717A" w:rsidP="00BE5B4C">
      <w:pPr>
        <w:pStyle w:val="Sansinterligne"/>
        <w:spacing w:line="480" w:lineRule="auto"/>
        <w:ind w:firstLine="708"/>
        <w:jc w:val="both"/>
        <w:rPr>
          <w:rFonts w:ascii="Times New Roman" w:hAnsi="Times New Roman" w:cs="Times New Roman"/>
          <w:b/>
          <w:bCs/>
          <w:iCs/>
          <w:sz w:val="24"/>
          <w:szCs w:val="24"/>
          <w:lang w:val="en-US"/>
        </w:rPr>
      </w:pPr>
      <w:r w:rsidRPr="00DE31C5">
        <w:rPr>
          <w:rFonts w:ascii="Times New Roman" w:hAnsi="Times New Roman" w:cs="Times New Roman"/>
          <w:b/>
          <w:bCs/>
          <w:iCs/>
          <w:sz w:val="24"/>
          <w:szCs w:val="24"/>
          <w:lang w:val="en-US"/>
        </w:rPr>
        <w:t>Results</w:t>
      </w:r>
    </w:p>
    <w:p w14:paraId="0F255E3E" w14:textId="1DFB5E87" w:rsidR="001B61B7" w:rsidRPr="00133D3F" w:rsidRDefault="00C57435" w:rsidP="001D1DD0">
      <w:pPr>
        <w:pStyle w:val="Sansinterligne"/>
        <w:spacing w:line="480" w:lineRule="auto"/>
        <w:ind w:firstLine="708"/>
        <w:jc w:val="both"/>
        <w:rPr>
          <w:rFonts w:ascii="Times New Roman" w:hAnsi="Times New Roman" w:cs="Times New Roman"/>
          <w:sz w:val="24"/>
          <w:szCs w:val="24"/>
          <w:lang w:val="en-US"/>
        </w:rPr>
      </w:pPr>
      <w:r w:rsidRPr="00133D3F">
        <w:rPr>
          <w:rFonts w:ascii="Times New Roman" w:hAnsi="Times New Roman" w:cs="Times New Roman"/>
          <w:sz w:val="24"/>
          <w:szCs w:val="24"/>
          <w:lang w:val="en-US"/>
        </w:rPr>
        <w:t xml:space="preserve">Of </w:t>
      </w:r>
      <w:r w:rsidR="00632432" w:rsidRPr="00133D3F">
        <w:rPr>
          <w:rFonts w:ascii="Times New Roman" w:hAnsi="Times New Roman" w:cs="Times New Roman"/>
          <w:sz w:val="24"/>
          <w:szCs w:val="24"/>
          <w:lang w:val="en-US"/>
        </w:rPr>
        <w:t>26,24</w:t>
      </w:r>
      <w:r w:rsidR="00EC5C34" w:rsidRPr="00133D3F">
        <w:rPr>
          <w:rFonts w:ascii="Times New Roman" w:hAnsi="Times New Roman" w:cs="Times New Roman"/>
          <w:sz w:val="24"/>
          <w:szCs w:val="24"/>
          <w:lang w:val="en-US"/>
        </w:rPr>
        <w:t>6</w:t>
      </w:r>
      <w:r w:rsidR="00632432" w:rsidRPr="00133D3F">
        <w:rPr>
          <w:rFonts w:ascii="Times New Roman" w:hAnsi="Times New Roman" w:cs="Times New Roman"/>
          <w:sz w:val="24"/>
          <w:szCs w:val="24"/>
          <w:lang w:val="en-US"/>
        </w:rPr>
        <w:t>,</w:t>
      </w:r>
      <w:r w:rsidR="00EC5C34" w:rsidRPr="00133D3F">
        <w:rPr>
          <w:rFonts w:ascii="Times New Roman" w:hAnsi="Times New Roman" w:cs="Times New Roman"/>
          <w:sz w:val="24"/>
          <w:szCs w:val="24"/>
          <w:lang w:val="en-US"/>
        </w:rPr>
        <w:t>383</w:t>
      </w:r>
      <w:r w:rsidR="00265203" w:rsidRPr="00133D3F">
        <w:rPr>
          <w:rFonts w:ascii="Times New Roman" w:hAnsi="Times New Roman" w:cs="Times New Roman"/>
          <w:sz w:val="24"/>
          <w:szCs w:val="24"/>
          <w:lang w:val="en-US"/>
        </w:rPr>
        <w:t xml:space="preserve"> </w:t>
      </w:r>
      <w:r w:rsidR="00C63919" w:rsidRPr="00133D3F">
        <w:rPr>
          <w:rFonts w:ascii="Times New Roman" w:hAnsi="Times New Roman" w:cs="Times New Roman"/>
          <w:sz w:val="24"/>
          <w:szCs w:val="24"/>
          <w:lang w:val="en-US"/>
        </w:rPr>
        <w:t>reports</w:t>
      </w:r>
      <w:r w:rsidR="00265203" w:rsidRPr="00133D3F">
        <w:rPr>
          <w:rFonts w:ascii="Times New Roman" w:hAnsi="Times New Roman" w:cs="Times New Roman"/>
          <w:sz w:val="24"/>
          <w:szCs w:val="24"/>
          <w:lang w:val="en-US"/>
        </w:rPr>
        <w:t xml:space="preserve">, </w:t>
      </w:r>
      <w:r w:rsidR="001F232A" w:rsidRPr="00133D3F">
        <w:rPr>
          <w:rFonts w:ascii="Times New Roman" w:hAnsi="Times New Roman" w:cs="Times New Roman"/>
          <w:sz w:val="24"/>
          <w:szCs w:val="24"/>
          <w:lang w:val="en-US"/>
        </w:rPr>
        <w:t>716,928</w:t>
      </w:r>
      <w:r w:rsidR="00632432" w:rsidRPr="00133D3F">
        <w:rPr>
          <w:rFonts w:ascii="Times New Roman" w:hAnsi="Times New Roman" w:cs="Times New Roman"/>
          <w:sz w:val="24"/>
          <w:szCs w:val="24"/>
          <w:lang w:val="en-US"/>
        </w:rPr>
        <w:t xml:space="preserve"> </w:t>
      </w:r>
      <w:r w:rsidR="00C63919" w:rsidRPr="00133D3F">
        <w:rPr>
          <w:rFonts w:ascii="Times New Roman" w:hAnsi="Times New Roman" w:cs="Times New Roman"/>
          <w:sz w:val="24"/>
          <w:szCs w:val="24"/>
          <w:lang w:val="en-US"/>
        </w:rPr>
        <w:t>reports concerned</w:t>
      </w:r>
      <w:r w:rsidR="001F232A" w:rsidRPr="00133D3F">
        <w:rPr>
          <w:rFonts w:ascii="Times New Roman" w:hAnsi="Times New Roman" w:cs="Times New Roman"/>
          <w:sz w:val="24"/>
          <w:szCs w:val="24"/>
          <w:lang w:val="en-US"/>
        </w:rPr>
        <w:t xml:space="preserve"> mRNA</w:t>
      </w:r>
      <w:r w:rsidR="00632432" w:rsidRPr="00133D3F">
        <w:rPr>
          <w:rFonts w:ascii="Times New Roman" w:hAnsi="Times New Roman" w:cs="Times New Roman"/>
          <w:sz w:val="24"/>
          <w:szCs w:val="24"/>
          <w:lang w:val="en-US"/>
        </w:rPr>
        <w:t xml:space="preserve"> </w:t>
      </w:r>
      <w:r w:rsidR="00821B5F" w:rsidRPr="00133D3F">
        <w:rPr>
          <w:rFonts w:ascii="Times New Roman" w:hAnsi="Times New Roman" w:cs="Times New Roman"/>
          <w:sz w:val="24"/>
          <w:szCs w:val="24"/>
          <w:lang w:val="en-US"/>
        </w:rPr>
        <w:t>COVID</w:t>
      </w:r>
      <w:r w:rsidR="00632432" w:rsidRPr="00133D3F">
        <w:rPr>
          <w:rFonts w:ascii="Times New Roman" w:hAnsi="Times New Roman" w:cs="Times New Roman"/>
          <w:sz w:val="24"/>
          <w:szCs w:val="24"/>
          <w:lang w:val="en-US"/>
        </w:rPr>
        <w:t xml:space="preserve">-19 vaccines, among which we observed </w:t>
      </w:r>
      <w:r w:rsidR="001F232A" w:rsidRPr="00133D3F">
        <w:rPr>
          <w:rFonts w:ascii="Times New Roman" w:hAnsi="Times New Roman" w:cs="Times New Roman"/>
          <w:sz w:val="24"/>
          <w:szCs w:val="24"/>
          <w:lang w:val="en-US"/>
        </w:rPr>
        <w:t>5</w:t>
      </w:r>
      <w:r w:rsidR="00247D45">
        <w:rPr>
          <w:rFonts w:ascii="Times New Roman" w:hAnsi="Times New Roman" w:cs="Times New Roman"/>
          <w:sz w:val="24"/>
          <w:szCs w:val="24"/>
          <w:lang w:val="en-US"/>
        </w:rPr>
        <w:t>,</w:t>
      </w:r>
      <w:r w:rsidR="001F232A" w:rsidRPr="00133D3F">
        <w:rPr>
          <w:rFonts w:ascii="Times New Roman" w:hAnsi="Times New Roman" w:cs="Times New Roman"/>
          <w:sz w:val="24"/>
          <w:szCs w:val="24"/>
          <w:lang w:val="en-US"/>
        </w:rPr>
        <w:t xml:space="preserve">931 </w:t>
      </w:r>
      <w:r w:rsidR="00CA5428" w:rsidRPr="00133D3F">
        <w:rPr>
          <w:rFonts w:ascii="Times New Roman" w:hAnsi="Times New Roman" w:cs="Times New Roman"/>
          <w:sz w:val="24"/>
          <w:szCs w:val="24"/>
          <w:lang w:val="en-US"/>
        </w:rPr>
        <w:t>HZ</w:t>
      </w:r>
      <w:r w:rsidR="00C63919" w:rsidRPr="00133D3F">
        <w:rPr>
          <w:rFonts w:ascii="Times New Roman" w:hAnsi="Times New Roman" w:cs="Times New Roman"/>
          <w:sz w:val="24"/>
          <w:szCs w:val="24"/>
          <w:lang w:val="en-US"/>
        </w:rPr>
        <w:t xml:space="preserve"> cases</w:t>
      </w:r>
      <w:r w:rsidR="001F232A" w:rsidRPr="00133D3F">
        <w:rPr>
          <w:rFonts w:ascii="Times New Roman" w:hAnsi="Times New Roman" w:cs="Times New Roman"/>
          <w:sz w:val="24"/>
          <w:szCs w:val="24"/>
          <w:lang w:val="en-US"/>
        </w:rPr>
        <w:t xml:space="preserve"> with </w:t>
      </w:r>
      <w:r w:rsidR="0092714A" w:rsidRPr="00133D3F">
        <w:rPr>
          <w:rFonts w:ascii="Times New Roman" w:hAnsi="Times New Roman" w:cs="Times New Roman"/>
          <w:sz w:val="24"/>
          <w:szCs w:val="24"/>
          <w:lang w:val="en-US"/>
        </w:rPr>
        <w:t>BNT162b2</w:t>
      </w:r>
      <w:r w:rsidR="001F232A" w:rsidRPr="00133D3F">
        <w:rPr>
          <w:rFonts w:ascii="Times New Roman" w:hAnsi="Times New Roman" w:cs="Times New Roman"/>
          <w:sz w:val="24"/>
          <w:szCs w:val="24"/>
          <w:lang w:val="en-US"/>
        </w:rPr>
        <w:t xml:space="preserve"> and</w:t>
      </w:r>
      <w:r w:rsidR="00103E87" w:rsidRPr="00133D3F">
        <w:rPr>
          <w:rFonts w:ascii="Times New Roman" w:hAnsi="Times New Roman" w:cs="Times New Roman"/>
          <w:sz w:val="24"/>
          <w:szCs w:val="24"/>
          <w:lang w:val="en-US"/>
        </w:rPr>
        <w:t xml:space="preserve"> </w:t>
      </w:r>
      <w:r w:rsidR="001F232A" w:rsidRPr="00133D3F">
        <w:rPr>
          <w:rFonts w:ascii="Times New Roman" w:hAnsi="Times New Roman" w:cs="Times New Roman"/>
          <w:sz w:val="24"/>
          <w:szCs w:val="24"/>
          <w:lang w:val="en-US"/>
        </w:rPr>
        <w:t>1</w:t>
      </w:r>
      <w:r w:rsidR="00247D45">
        <w:rPr>
          <w:rFonts w:ascii="Times New Roman" w:hAnsi="Times New Roman" w:cs="Times New Roman"/>
          <w:sz w:val="24"/>
          <w:szCs w:val="24"/>
          <w:lang w:val="en-US"/>
        </w:rPr>
        <w:t>,</w:t>
      </w:r>
      <w:r w:rsidR="001F232A" w:rsidRPr="00133D3F">
        <w:rPr>
          <w:rFonts w:ascii="Times New Roman" w:hAnsi="Times New Roman" w:cs="Times New Roman"/>
          <w:sz w:val="24"/>
          <w:szCs w:val="24"/>
          <w:lang w:val="en-US"/>
        </w:rPr>
        <w:t>797</w:t>
      </w:r>
      <w:r w:rsidR="00C63919" w:rsidRPr="00133D3F">
        <w:rPr>
          <w:rFonts w:ascii="Times New Roman" w:hAnsi="Times New Roman" w:cs="Times New Roman"/>
          <w:sz w:val="24"/>
          <w:szCs w:val="24"/>
          <w:lang w:val="en-US"/>
        </w:rPr>
        <w:t xml:space="preserve"> </w:t>
      </w:r>
      <w:r w:rsidR="001F232A" w:rsidRPr="00133D3F">
        <w:rPr>
          <w:rFonts w:ascii="Times New Roman" w:hAnsi="Times New Roman" w:cs="Times New Roman"/>
          <w:sz w:val="24"/>
          <w:szCs w:val="24"/>
          <w:lang w:val="en-US"/>
        </w:rPr>
        <w:t xml:space="preserve">with </w:t>
      </w:r>
      <w:r w:rsidR="00020B99">
        <w:rPr>
          <w:rFonts w:ascii="Times New Roman" w:hAnsi="Times New Roman" w:cs="Times New Roman"/>
          <w:sz w:val="24"/>
          <w:szCs w:val="24"/>
          <w:lang w:val="en-US"/>
        </w:rPr>
        <w:t>m</w:t>
      </w:r>
      <w:r w:rsidR="0092714A" w:rsidRPr="00133D3F">
        <w:rPr>
          <w:rFonts w:ascii="Times New Roman" w:hAnsi="Times New Roman" w:cs="Times New Roman"/>
          <w:sz w:val="24"/>
          <w:szCs w:val="24"/>
          <w:lang w:val="en-US"/>
        </w:rPr>
        <w:t>RNA-1273</w:t>
      </w:r>
      <w:r w:rsidR="001B65F4" w:rsidRPr="00133D3F">
        <w:rPr>
          <w:rFonts w:ascii="Times New Roman" w:hAnsi="Times New Roman" w:cs="Times New Roman"/>
          <w:sz w:val="24"/>
          <w:szCs w:val="24"/>
          <w:lang w:val="en-US"/>
        </w:rPr>
        <w:t xml:space="preserve"> </w:t>
      </w:r>
      <w:r w:rsidR="00C63919" w:rsidRPr="00133D3F">
        <w:rPr>
          <w:rFonts w:ascii="Times New Roman" w:hAnsi="Times New Roman" w:cs="Times New Roman"/>
          <w:sz w:val="24"/>
          <w:szCs w:val="24"/>
          <w:lang w:val="en-US"/>
        </w:rPr>
        <w:t>(</w:t>
      </w:r>
      <w:r w:rsidR="00C63919" w:rsidRPr="006875E9">
        <w:rPr>
          <w:rFonts w:ascii="Times New Roman" w:hAnsi="Times New Roman" w:cs="Times New Roman"/>
          <w:b/>
          <w:bCs/>
          <w:sz w:val="24"/>
          <w:szCs w:val="24"/>
          <w:lang w:val="en-US"/>
        </w:rPr>
        <w:t>Table 1</w:t>
      </w:r>
      <w:r w:rsidR="00C63919" w:rsidRPr="00066FDB">
        <w:rPr>
          <w:rFonts w:ascii="Times New Roman" w:hAnsi="Times New Roman" w:cs="Times New Roman"/>
          <w:sz w:val="24"/>
          <w:szCs w:val="24"/>
          <w:lang w:val="en-US"/>
        </w:rPr>
        <w:t>)</w:t>
      </w:r>
      <w:r w:rsidR="00632432" w:rsidRPr="006875E9">
        <w:rPr>
          <w:rFonts w:ascii="Times New Roman" w:hAnsi="Times New Roman" w:cs="Times New Roman"/>
          <w:sz w:val="24"/>
          <w:szCs w:val="24"/>
          <w:lang w:val="en-US"/>
        </w:rPr>
        <w:t>.</w:t>
      </w:r>
      <w:r w:rsidRPr="00133D3F">
        <w:rPr>
          <w:rFonts w:ascii="Times New Roman" w:hAnsi="Times New Roman" w:cs="Times New Roman"/>
          <w:sz w:val="24"/>
          <w:szCs w:val="24"/>
          <w:lang w:val="en-US"/>
        </w:rPr>
        <w:t xml:space="preserve"> Of </w:t>
      </w:r>
      <w:r w:rsidR="00FD411A" w:rsidRPr="00133D3F">
        <w:rPr>
          <w:rFonts w:ascii="Times New Roman" w:hAnsi="Times New Roman" w:cs="Times New Roman"/>
          <w:sz w:val="24"/>
          <w:szCs w:val="24"/>
          <w:lang w:val="en-US"/>
        </w:rPr>
        <w:t xml:space="preserve">these </w:t>
      </w:r>
      <w:r w:rsidR="00A72CDE" w:rsidRPr="00133D3F">
        <w:rPr>
          <w:rFonts w:ascii="Times New Roman" w:hAnsi="Times New Roman" w:cs="Times New Roman"/>
          <w:sz w:val="24"/>
          <w:szCs w:val="24"/>
          <w:lang w:val="en-US"/>
        </w:rPr>
        <w:t>7</w:t>
      </w:r>
      <w:r w:rsidR="00247D45">
        <w:rPr>
          <w:rFonts w:ascii="Times New Roman" w:hAnsi="Times New Roman" w:cs="Times New Roman"/>
          <w:sz w:val="24"/>
          <w:szCs w:val="24"/>
          <w:lang w:val="en-US"/>
        </w:rPr>
        <w:t>,</w:t>
      </w:r>
      <w:r w:rsidR="00A72CDE" w:rsidRPr="00133D3F">
        <w:rPr>
          <w:rFonts w:ascii="Times New Roman" w:hAnsi="Times New Roman" w:cs="Times New Roman"/>
          <w:sz w:val="24"/>
          <w:szCs w:val="24"/>
          <w:lang w:val="en-US"/>
        </w:rPr>
        <w:t xml:space="preserve">728 </w:t>
      </w:r>
      <w:r w:rsidR="006D4FC7">
        <w:rPr>
          <w:rFonts w:ascii="Times New Roman" w:hAnsi="Times New Roman" w:cs="Times New Roman"/>
          <w:sz w:val="24"/>
          <w:szCs w:val="24"/>
          <w:lang w:val="en-US"/>
        </w:rPr>
        <w:t>cases</w:t>
      </w:r>
      <w:r w:rsidRPr="00133D3F">
        <w:rPr>
          <w:rFonts w:ascii="Times New Roman" w:hAnsi="Times New Roman" w:cs="Times New Roman"/>
          <w:sz w:val="24"/>
          <w:szCs w:val="24"/>
          <w:lang w:val="en-US"/>
        </w:rPr>
        <w:t xml:space="preserve">, </w:t>
      </w:r>
      <w:r w:rsidR="00A72CDE" w:rsidRPr="00133D3F">
        <w:rPr>
          <w:rFonts w:ascii="Times New Roman" w:hAnsi="Times New Roman" w:cs="Times New Roman"/>
          <w:sz w:val="24"/>
          <w:szCs w:val="24"/>
          <w:lang w:val="en-US"/>
        </w:rPr>
        <w:t>5</w:t>
      </w:r>
      <w:r w:rsidR="00247D45">
        <w:rPr>
          <w:rFonts w:ascii="Times New Roman" w:hAnsi="Times New Roman" w:cs="Times New Roman"/>
          <w:sz w:val="24"/>
          <w:szCs w:val="24"/>
          <w:lang w:val="en-US"/>
        </w:rPr>
        <w:t>,</w:t>
      </w:r>
      <w:r w:rsidR="00A72CDE" w:rsidRPr="00133D3F">
        <w:rPr>
          <w:rFonts w:ascii="Times New Roman" w:hAnsi="Times New Roman" w:cs="Times New Roman"/>
          <w:sz w:val="24"/>
          <w:szCs w:val="24"/>
          <w:lang w:val="en-US"/>
        </w:rPr>
        <w:t>135</w:t>
      </w:r>
      <w:r w:rsidRPr="00133D3F">
        <w:rPr>
          <w:rFonts w:ascii="Times New Roman" w:hAnsi="Times New Roman" w:cs="Times New Roman"/>
          <w:sz w:val="24"/>
          <w:szCs w:val="24"/>
          <w:lang w:val="en-US"/>
        </w:rPr>
        <w:t xml:space="preserve"> </w:t>
      </w:r>
      <w:r w:rsidR="006D4FC7" w:rsidRPr="00133D3F">
        <w:rPr>
          <w:rFonts w:ascii="Times New Roman" w:hAnsi="Times New Roman" w:cs="Times New Roman"/>
          <w:sz w:val="24"/>
          <w:szCs w:val="24"/>
          <w:lang w:val="en-US"/>
        </w:rPr>
        <w:t>(66.4%)</w:t>
      </w:r>
      <w:r w:rsidR="006D4FC7">
        <w:rPr>
          <w:rFonts w:ascii="Times New Roman" w:hAnsi="Times New Roman" w:cs="Times New Roman"/>
          <w:sz w:val="24"/>
          <w:szCs w:val="24"/>
          <w:lang w:val="en-US"/>
        </w:rPr>
        <w:t xml:space="preserve"> concerned</w:t>
      </w:r>
      <w:r w:rsidR="006D4FC7" w:rsidRPr="00133D3F">
        <w:rPr>
          <w:rFonts w:ascii="Times New Roman" w:hAnsi="Times New Roman" w:cs="Times New Roman"/>
          <w:sz w:val="24"/>
          <w:szCs w:val="24"/>
          <w:lang w:val="en-US"/>
        </w:rPr>
        <w:t xml:space="preserve"> </w:t>
      </w:r>
      <w:r w:rsidRPr="00133D3F">
        <w:rPr>
          <w:rFonts w:ascii="Times New Roman" w:hAnsi="Times New Roman" w:cs="Times New Roman"/>
          <w:sz w:val="24"/>
          <w:szCs w:val="24"/>
          <w:lang w:val="en-US"/>
        </w:rPr>
        <w:t>female</w:t>
      </w:r>
      <w:r w:rsidR="006D4FC7">
        <w:rPr>
          <w:rFonts w:ascii="Times New Roman" w:hAnsi="Times New Roman" w:cs="Times New Roman"/>
          <w:sz w:val="24"/>
          <w:szCs w:val="24"/>
          <w:lang w:val="en-US"/>
        </w:rPr>
        <w:t xml:space="preserve"> patients. M</w:t>
      </w:r>
      <w:r w:rsidRPr="00133D3F">
        <w:rPr>
          <w:rFonts w:ascii="Times New Roman" w:hAnsi="Times New Roman" w:cs="Times New Roman"/>
          <w:sz w:val="24"/>
          <w:szCs w:val="24"/>
          <w:lang w:val="en-US"/>
        </w:rPr>
        <w:t xml:space="preserve">edian (IQR) age was </w:t>
      </w:r>
      <w:r w:rsidR="001E076B">
        <w:rPr>
          <w:rFonts w:ascii="Times New Roman" w:hAnsi="Times New Roman" w:cs="Times New Roman"/>
          <w:sz w:val="24"/>
          <w:szCs w:val="24"/>
          <w:lang w:val="en-US"/>
        </w:rPr>
        <w:t>59.1</w:t>
      </w:r>
      <w:r w:rsidR="00A72CDE" w:rsidRPr="00133D3F">
        <w:rPr>
          <w:rFonts w:ascii="Times New Roman" w:hAnsi="Times New Roman" w:cs="Times New Roman"/>
          <w:sz w:val="24"/>
          <w:szCs w:val="24"/>
          <w:lang w:val="en-US"/>
        </w:rPr>
        <w:t xml:space="preserve"> (</w:t>
      </w:r>
      <w:r w:rsidR="00316BDB" w:rsidRPr="00133D3F">
        <w:rPr>
          <w:rFonts w:ascii="Times New Roman" w:hAnsi="Times New Roman" w:cs="Times New Roman"/>
          <w:sz w:val="24"/>
          <w:szCs w:val="24"/>
          <w:lang w:val="en-US"/>
        </w:rPr>
        <w:t>4</w:t>
      </w:r>
      <w:r w:rsidR="001E076B">
        <w:rPr>
          <w:rFonts w:ascii="Times New Roman" w:hAnsi="Times New Roman" w:cs="Times New Roman"/>
          <w:sz w:val="24"/>
          <w:szCs w:val="24"/>
          <w:lang w:val="en-US"/>
        </w:rPr>
        <w:t>6-72</w:t>
      </w:r>
      <w:r w:rsidRPr="00133D3F">
        <w:rPr>
          <w:rFonts w:ascii="Times New Roman" w:hAnsi="Times New Roman" w:cs="Times New Roman"/>
          <w:sz w:val="24"/>
          <w:szCs w:val="24"/>
          <w:lang w:val="en-US"/>
        </w:rPr>
        <w:t>)</w:t>
      </w:r>
      <w:r w:rsidR="001E076B">
        <w:rPr>
          <w:rFonts w:ascii="Times New Roman" w:hAnsi="Times New Roman" w:cs="Times New Roman"/>
          <w:sz w:val="24"/>
          <w:szCs w:val="24"/>
          <w:lang w:val="en-US"/>
        </w:rPr>
        <w:t xml:space="preserve"> years</w:t>
      </w:r>
      <w:r w:rsidRPr="00133D3F">
        <w:rPr>
          <w:rFonts w:ascii="Times New Roman" w:hAnsi="Times New Roman" w:cs="Times New Roman"/>
          <w:sz w:val="24"/>
          <w:szCs w:val="24"/>
          <w:lang w:val="en-US"/>
        </w:rPr>
        <w:t xml:space="preserve">. </w:t>
      </w:r>
      <w:proofErr w:type="gramStart"/>
      <w:r w:rsidR="00E330FA">
        <w:rPr>
          <w:rFonts w:ascii="Times New Roman" w:hAnsi="Times New Roman" w:cs="Times New Roman"/>
          <w:sz w:val="24"/>
          <w:szCs w:val="24"/>
          <w:lang w:val="en-US"/>
        </w:rPr>
        <w:t>A</w:t>
      </w:r>
      <w:proofErr w:type="gramEnd"/>
      <w:r w:rsidR="00E330FA">
        <w:rPr>
          <w:rFonts w:ascii="Times New Roman" w:hAnsi="Times New Roman" w:cs="Times New Roman"/>
          <w:sz w:val="24"/>
          <w:szCs w:val="24"/>
          <w:lang w:val="en-US"/>
        </w:rPr>
        <w:t xml:space="preserve"> </w:t>
      </w:r>
      <w:r w:rsidR="003B3F28">
        <w:rPr>
          <w:rFonts w:ascii="Times New Roman" w:hAnsi="Times New Roman" w:cs="Times New Roman"/>
          <w:sz w:val="24"/>
          <w:szCs w:val="24"/>
          <w:lang w:val="en-US"/>
        </w:rPr>
        <w:t>mRNA COVID-19 vaccine</w:t>
      </w:r>
      <w:r w:rsidR="003B3F28" w:rsidRPr="00133D3F">
        <w:rPr>
          <w:rFonts w:ascii="Times New Roman" w:hAnsi="Times New Roman" w:cs="Times New Roman"/>
          <w:sz w:val="24"/>
          <w:szCs w:val="24"/>
          <w:lang w:val="en-US"/>
        </w:rPr>
        <w:t xml:space="preserve"> </w:t>
      </w:r>
      <w:r w:rsidR="003B3F28">
        <w:rPr>
          <w:rFonts w:ascii="Times New Roman" w:hAnsi="Times New Roman" w:cs="Times New Roman"/>
          <w:sz w:val="24"/>
          <w:szCs w:val="24"/>
          <w:lang w:val="en-US"/>
        </w:rPr>
        <w:t xml:space="preserve">was the only suspected drug in all except 62 (0.8%) cases. </w:t>
      </w:r>
      <w:r w:rsidR="001E0754" w:rsidRPr="00133D3F">
        <w:rPr>
          <w:rFonts w:ascii="Times New Roman" w:hAnsi="Times New Roman" w:cs="Times New Roman"/>
          <w:sz w:val="24"/>
          <w:szCs w:val="24"/>
          <w:lang w:val="en-US"/>
        </w:rPr>
        <w:t>Most</w:t>
      </w:r>
      <w:r w:rsidR="001B61B7" w:rsidRPr="00133D3F">
        <w:rPr>
          <w:rFonts w:ascii="Times New Roman" w:hAnsi="Times New Roman" w:cs="Times New Roman"/>
          <w:sz w:val="24"/>
          <w:szCs w:val="24"/>
          <w:lang w:val="en-US"/>
        </w:rPr>
        <w:t xml:space="preserve"> cases </w:t>
      </w:r>
      <w:r w:rsidR="00B16AE7" w:rsidRPr="00133D3F">
        <w:rPr>
          <w:rFonts w:ascii="Times New Roman" w:hAnsi="Times New Roman" w:cs="Times New Roman"/>
          <w:sz w:val="24"/>
          <w:szCs w:val="24"/>
          <w:lang w:val="en-US"/>
        </w:rPr>
        <w:t>(</w:t>
      </w:r>
      <w:r w:rsidR="00B16AE7">
        <w:rPr>
          <w:rFonts w:ascii="Times New Roman" w:hAnsi="Times New Roman" w:cs="Times New Roman"/>
          <w:sz w:val="24"/>
          <w:szCs w:val="24"/>
          <w:lang w:val="en-US"/>
        </w:rPr>
        <w:t>7</w:t>
      </w:r>
      <w:r w:rsidR="00247D45">
        <w:rPr>
          <w:rFonts w:ascii="Times New Roman" w:hAnsi="Times New Roman" w:cs="Times New Roman"/>
          <w:sz w:val="24"/>
          <w:szCs w:val="24"/>
          <w:lang w:val="en-US"/>
        </w:rPr>
        <w:t>,</w:t>
      </w:r>
      <w:r w:rsidR="00B16AE7">
        <w:rPr>
          <w:rFonts w:ascii="Times New Roman" w:hAnsi="Times New Roman" w:cs="Times New Roman"/>
          <w:sz w:val="24"/>
          <w:szCs w:val="24"/>
          <w:lang w:val="en-US"/>
        </w:rPr>
        <w:t>494</w:t>
      </w:r>
      <w:r w:rsidR="00563298">
        <w:rPr>
          <w:rFonts w:ascii="Times New Roman" w:hAnsi="Times New Roman" w:cs="Times New Roman"/>
          <w:sz w:val="24"/>
          <w:szCs w:val="24"/>
          <w:lang w:val="en-US"/>
        </w:rPr>
        <w:t>,</w:t>
      </w:r>
      <w:r w:rsidR="00B16AE7" w:rsidRPr="00133D3F">
        <w:rPr>
          <w:rFonts w:ascii="Times New Roman" w:hAnsi="Times New Roman" w:cs="Times New Roman"/>
          <w:sz w:val="24"/>
          <w:szCs w:val="24"/>
          <w:lang w:val="en-US"/>
        </w:rPr>
        <w:t xml:space="preserve"> </w:t>
      </w:r>
      <w:r w:rsidR="00B16AE7">
        <w:rPr>
          <w:rFonts w:ascii="Times New Roman" w:hAnsi="Times New Roman" w:cs="Times New Roman"/>
          <w:sz w:val="24"/>
          <w:szCs w:val="24"/>
          <w:lang w:val="en-US"/>
        </w:rPr>
        <w:t>97.0</w:t>
      </w:r>
      <w:r w:rsidR="00B16AE7" w:rsidRPr="00133D3F">
        <w:rPr>
          <w:rFonts w:ascii="Times New Roman" w:hAnsi="Times New Roman" w:cs="Times New Roman"/>
          <w:sz w:val="24"/>
          <w:szCs w:val="24"/>
          <w:lang w:val="en-US"/>
        </w:rPr>
        <w:t xml:space="preserve">%) </w:t>
      </w:r>
      <w:r w:rsidR="001B61B7" w:rsidRPr="00133D3F">
        <w:rPr>
          <w:rFonts w:ascii="Times New Roman" w:hAnsi="Times New Roman" w:cs="Times New Roman"/>
          <w:sz w:val="24"/>
          <w:szCs w:val="24"/>
          <w:lang w:val="en-US"/>
        </w:rPr>
        <w:t xml:space="preserve">were </w:t>
      </w:r>
      <w:r w:rsidR="005B4B31">
        <w:rPr>
          <w:rFonts w:ascii="Times New Roman" w:hAnsi="Times New Roman" w:cs="Times New Roman"/>
          <w:sz w:val="24"/>
          <w:szCs w:val="24"/>
          <w:lang w:val="en-US"/>
        </w:rPr>
        <w:t>skin rash</w:t>
      </w:r>
      <w:r w:rsidR="001B61B7" w:rsidRPr="00133D3F">
        <w:rPr>
          <w:rFonts w:ascii="Times New Roman" w:hAnsi="Times New Roman" w:cs="Times New Roman"/>
          <w:sz w:val="24"/>
          <w:szCs w:val="24"/>
          <w:lang w:val="en-US"/>
        </w:rPr>
        <w:t xml:space="preserve">, with a median time to onset of </w:t>
      </w:r>
      <w:proofErr w:type="gramStart"/>
      <w:r w:rsidR="001B61B7" w:rsidRPr="00133D3F">
        <w:rPr>
          <w:rFonts w:ascii="Times New Roman" w:hAnsi="Times New Roman" w:cs="Times New Roman"/>
          <w:sz w:val="24"/>
          <w:szCs w:val="24"/>
          <w:lang w:val="en-US"/>
        </w:rPr>
        <w:t>7</w:t>
      </w:r>
      <w:proofErr w:type="gramEnd"/>
      <w:r w:rsidR="001B61B7" w:rsidRPr="00133D3F">
        <w:rPr>
          <w:rFonts w:ascii="Times New Roman" w:hAnsi="Times New Roman" w:cs="Times New Roman"/>
          <w:sz w:val="24"/>
          <w:szCs w:val="24"/>
          <w:lang w:val="en-US"/>
        </w:rPr>
        <w:t xml:space="preserve"> </w:t>
      </w:r>
      <w:r w:rsidR="001D1DD0" w:rsidRPr="001E076B">
        <w:rPr>
          <w:rFonts w:ascii="Times New Roman" w:hAnsi="Times New Roman" w:cs="Times New Roman"/>
          <w:sz w:val="24"/>
          <w:szCs w:val="24"/>
          <w:lang w:val="en-US"/>
        </w:rPr>
        <w:t>(</w:t>
      </w:r>
      <w:r w:rsidR="001E076B" w:rsidRPr="001E076B">
        <w:rPr>
          <w:rFonts w:ascii="Times New Roman" w:hAnsi="Times New Roman" w:cs="Times New Roman"/>
          <w:sz w:val="24"/>
          <w:szCs w:val="24"/>
          <w:lang w:val="en-US"/>
        </w:rPr>
        <w:t>2-15</w:t>
      </w:r>
      <w:r w:rsidR="001D1DD0" w:rsidRPr="001E076B">
        <w:rPr>
          <w:rFonts w:ascii="Times New Roman" w:hAnsi="Times New Roman" w:cs="Times New Roman"/>
          <w:sz w:val="24"/>
          <w:szCs w:val="24"/>
          <w:lang w:val="en-US"/>
        </w:rPr>
        <w:t xml:space="preserve">) </w:t>
      </w:r>
      <w:r w:rsidR="001B61B7" w:rsidRPr="001E076B">
        <w:rPr>
          <w:rFonts w:ascii="Times New Roman" w:hAnsi="Times New Roman" w:cs="Times New Roman"/>
          <w:sz w:val="24"/>
          <w:szCs w:val="24"/>
          <w:lang w:val="en-US"/>
        </w:rPr>
        <w:t xml:space="preserve">days and </w:t>
      </w:r>
      <w:r w:rsidR="001D1DD0" w:rsidRPr="001E076B">
        <w:rPr>
          <w:rFonts w:ascii="Times New Roman" w:hAnsi="Times New Roman" w:cs="Times New Roman"/>
          <w:sz w:val="24"/>
          <w:szCs w:val="24"/>
          <w:lang w:val="en-US"/>
        </w:rPr>
        <w:t xml:space="preserve">requiring hospitalization </w:t>
      </w:r>
      <w:r w:rsidR="005B4B31">
        <w:rPr>
          <w:rFonts w:ascii="Times New Roman" w:hAnsi="Times New Roman" w:cs="Times New Roman"/>
          <w:sz w:val="24"/>
          <w:szCs w:val="24"/>
          <w:lang w:val="en-US"/>
        </w:rPr>
        <w:t xml:space="preserve">in </w:t>
      </w:r>
      <w:r w:rsidR="001E076B" w:rsidRPr="001E076B">
        <w:rPr>
          <w:rFonts w:ascii="Times New Roman" w:hAnsi="Times New Roman" w:cs="Times New Roman"/>
          <w:sz w:val="24"/>
          <w:szCs w:val="24"/>
          <w:lang w:val="en-US"/>
        </w:rPr>
        <w:t>173</w:t>
      </w:r>
      <w:r w:rsidR="005B4B31">
        <w:rPr>
          <w:rFonts w:ascii="Times New Roman" w:hAnsi="Times New Roman" w:cs="Times New Roman"/>
          <w:sz w:val="24"/>
          <w:szCs w:val="24"/>
          <w:lang w:val="en-US"/>
        </w:rPr>
        <w:t>/</w:t>
      </w:r>
      <w:r w:rsidR="007750F5">
        <w:rPr>
          <w:rFonts w:ascii="Times New Roman" w:hAnsi="Times New Roman" w:cs="Times New Roman"/>
          <w:sz w:val="24"/>
          <w:szCs w:val="24"/>
          <w:lang w:val="en-US"/>
        </w:rPr>
        <w:t>7</w:t>
      </w:r>
      <w:r w:rsidR="009673F7">
        <w:rPr>
          <w:rFonts w:ascii="Times New Roman" w:hAnsi="Times New Roman" w:cs="Times New Roman"/>
          <w:sz w:val="24"/>
          <w:szCs w:val="24"/>
          <w:lang w:val="en-US"/>
        </w:rPr>
        <w:t>,</w:t>
      </w:r>
      <w:r w:rsidR="007750F5">
        <w:rPr>
          <w:rFonts w:ascii="Times New Roman" w:hAnsi="Times New Roman" w:cs="Times New Roman"/>
          <w:sz w:val="24"/>
          <w:szCs w:val="24"/>
          <w:lang w:val="en-US"/>
        </w:rPr>
        <w:t>494</w:t>
      </w:r>
      <w:r w:rsidR="001E076B" w:rsidRPr="001E076B">
        <w:rPr>
          <w:rFonts w:ascii="Times New Roman" w:hAnsi="Times New Roman" w:cs="Times New Roman"/>
          <w:sz w:val="24"/>
          <w:szCs w:val="24"/>
          <w:lang w:val="en-US"/>
        </w:rPr>
        <w:t xml:space="preserve"> </w:t>
      </w:r>
      <w:r w:rsidR="001D1DD0" w:rsidRPr="001E076B">
        <w:rPr>
          <w:rFonts w:ascii="Times New Roman" w:hAnsi="Times New Roman" w:cs="Times New Roman"/>
          <w:sz w:val="24"/>
          <w:szCs w:val="24"/>
          <w:lang w:val="en-US"/>
        </w:rPr>
        <w:t>(</w:t>
      </w:r>
      <w:r w:rsidR="001E076B" w:rsidRPr="001E076B">
        <w:rPr>
          <w:rFonts w:ascii="Times New Roman" w:hAnsi="Times New Roman" w:cs="Times New Roman"/>
          <w:sz w:val="24"/>
          <w:szCs w:val="24"/>
          <w:lang w:val="en-US"/>
        </w:rPr>
        <w:t>2.3%</w:t>
      </w:r>
      <w:r w:rsidR="001D1DD0" w:rsidRPr="001E076B">
        <w:rPr>
          <w:rFonts w:ascii="Times New Roman" w:hAnsi="Times New Roman" w:cs="Times New Roman"/>
          <w:sz w:val="24"/>
          <w:szCs w:val="24"/>
          <w:lang w:val="en-US"/>
        </w:rPr>
        <w:t>)</w:t>
      </w:r>
      <w:r w:rsidR="001D1DD0">
        <w:rPr>
          <w:rFonts w:ascii="Times New Roman" w:hAnsi="Times New Roman" w:cs="Times New Roman"/>
          <w:sz w:val="24"/>
          <w:szCs w:val="24"/>
          <w:lang w:val="en-US"/>
        </w:rPr>
        <w:t xml:space="preserve">. </w:t>
      </w:r>
      <w:r w:rsidR="005B4B31">
        <w:rPr>
          <w:rFonts w:ascii="Times New Roman" w:hAnsi="Times New Roman" w:cs="Times New Roman"/>
          <w:sz w:val="24"/>
          <w:szCs w:val="24"/>
          <w:lang w:val="en-US"/>
        </w:rPr>
        <w:t xml:space="preserve">Herpes zoster </w:t>
      </w:r>
      <w:proofErr w:type="spellStart"/>
      <w:r w:rsidR="005B4B31">
        <w:rPr>
          <w:rFonts w:ascii="Times New Roman" w:hAnsi="Times New Roman" w:cs="Times New Roman"/>
          <w:sz w:val="24"/>
          <w:szCs w:val="24"/>
          <w:lang w:val="en-US"/>
        </w:rPr>
        <w:t>ophtalmicus</w:t>
      </w:r>
      <w:proofErr w:type="spellEnd"/>
      <w:r w:rsidR="005B4B31">
        <w:rPr>
          <w:rFonts w:ascii="Times New Roman" w:hAnsi="Times New Roman" w:cs="Times New Roman"/>
          <w:sz w:val="24"/>
          <w:szCs w:val="24"/>
          <w:lang w:val="en-US"/>
        </w:rPr>
        <w:t xml:space="preserve"> and </w:t>
      </w:r>
      <w:proofErr w:type="spellStart"/>
      <w:r w:rsidR="007750F5">
        <w:rPr>
          <w:rFonts w:ascii="Times New Roman" w:hAnsi="Times New Roman" w:cs="Times New Roman"/>
          <w:sz w:val="24"/>
          <w:szCs w:val="24"/>
          <w:lang w:val="en-US"/>
        </w:rPr>
        <w:t>oticus</w:t>
      </w:r>
      <w:proofErr w:type="spellEnd"/>
      <w:r w:rsidR="007750F5">
        <w:rPr>
          <w:rFonts w:ascii="Times New Roman" w:hAnsi="Times New Roman" w:cs="Times New Roman"/>
          <w:sz w:val="24"/>
          <w:szCs w:val="24"/>
          <w:lang w:val="en-US"/>
        </w:rPr>
        <w:t xml:space="preserve"> involved</w:t>
      </w:r>
      <w:r w:rsidR="005B4B31">
        <w:rPr>
          <w:rFonts w:ascii="Times New Roman" w:hAnsi="Times New Roman" w:cs="Times New Roman"/>
          <w:sz w:val="24"/>
          <w:szCs w:val="24"/>
          <w:lang w:val="en-US"/>
        </w:rPr>
        <w:t xml:space="preserve"> respectively </w:t>
      </w:r>
      <w:r w:rsidR="001D1DD0">
        <w:rPr>
          <w:rFonts w:ascii="Times New Roman" w:hAnsi="Times New Roman" w:cs="Times New Roman"/>
          <w:sz w:val="24"/>
          <w:szCs w:val="24"/>
          <w:lang w:val="en-US"/>
        </w:rPr>
        <w:t>197 (2.5%) and 60 (0.8%)</w:t>
      </w:r>
      <w:r w:rsidR="00A43499">
        <w:rPr>
          <w:rFonts w:ascii="Times New Roman" w:hAnsi="Times New Roman" w:cs="Times New Roman"/>
          <w:sz w:val="24"/>
          <w:szCs w:val="24"/>
          <w:lang w:val="en-US"/>
        </w:rPr>
        <w:t xml:space="preserve"> cases</w:t>
      </w:r>
      <w:r w:rsidR="001D1DD0">
        <w:rPr>
          <w:rFonts w:ascii="Times New Roman" w:hAnsi="Times New Roman" w:cs="Times New Roman"/>
          <w:sz w:val="24"/>
          <w:szCs w:val="24"/>
          <w:lang w:val="en-US"/>
        </w:rPr>
        <w:t>.</w:t>
      </w:r>
      <w:r w:rsidR="00AE68A1" w:rsidRPr="00133D3F">
        <w:rPr>
          <w:rFonts w:ascii="Times New Roman" w:hAnsi="Times New Roman" w:cs="Times New Roman"/>
          <w:sz w:val="24"/>
          <w:szCs w:val="24"/>
          <w:lang w:val="en-US"/>
        </w:rPr>
        <w:t xml:space="preserve"> </w:t>
      </w:r>
      <w:r w:rsidR="005127CC">
        <w:rPr>
          <w:rFonts w:ascii="Times New Roman" w:hAnsi="Times New Roman" w:cs="Times New Roman"/>
          <w:sz w:val="24"/>
          <w:szCs w:val="24"/>
          <w:lang w:val="en-US"/>
        </w:rPr>
        <w:t>C</w:t>
      </w:r>
      <w:r w:rsidR="00751DC9">
        <w:rPr>
          <w:rFonts w:ascii="Times New Roman" w:hAnsi="Times New Roman" w:cs="Times New Roman"/>
          <w:sz w:val="24"/>
          <w:szCs w:val="24"/>
          <w:lang w:val="en-US"/>
        </w:rPr>
        <w:t>entral nervous system involvement, such as m</w:t>
      </w:r>
      <w:r w:rsidR="001D1DD0" w:rsidRPr="001D1DD0">
        <w:rPr>
          <w:rFonts w:ascii="Times New Roman" w:hAnsi="Times New Roman" w:cs="Times New Roman"/>
          <w:sz w:val="24"/>
          <w:szCs w:val="24"/>
          <w:lang w:val="en-US"/>
        </w:rPr>
        <w:t>eningitis</w:t>
      </w:r>
      <w:r w:rsidR="001D1DD0">
        <w:rPr>
          <w:rFonts w:ascii="Times New Roman" w:hAnsi="Times New Roman" w:cs="Times New Roman"/>
          <w:sz w:val="24"/>
          <w:szCs w:val="24"/>
          <w:lang w:val="en-US"/>
        </w:rPr>
        <w:t>, m</w:t>
      </w:r>
      <w:r w:rsidR="001D1DD0" w:rsidRPr="001D1DD0">
        <w:rPr>
          <w:rFonts w:ascii="Times New Roman" w:hAnsi="Times New Roman" w:cs="Times New Roman"/>
          <w:sz w:val="24"/>
          <w:szCs w:val="24"/>
          <w:lang w:val="en-US"/>
        </w:rPr>
        <w:t>eningoencephalitis</w:t>
      </w:r>
      <w:r w:rsidR="001D1DD0">
        <w:rPr>
          <w:rFonts w:ascii="Times New Roman" w:hAnsi="Times New Roman" w:cs="Times New Roman"/>
          <w:sz w:val="24"/>
          <w:szCs w:val="24"/>
          <w:lang w:val="en-US"/>
        </w:rPr>
        <w:t xml:space="preserve"> or </w:t>
      </w:r>
      <w:proofErr w:type="spellStart"/>
      <w:r w:rsidR="001D1DD0">
        <w:rPr>
          <w:rFonts w:ascii="Times New Roman" w:hAnsi="Times New Roman" w:cs="Times New Roman"/>
          <w:sz w:val="24"/>
          <w:szCs w:val="24"/>
          <w:lang w:val="en-US"/>
        </w:rPr>
        <w:t>m</w:t>
      </w:r>
      <w:r w:rsidR="001D1DD0" w:rsidRPr="001D1DD0">
        <w:rPr>
          <w:rFonts w:ascii="Times New Roman" w:hAnsi="Times New Roman" w:cs="Times New Roman"/>
          <w:sz w:val="24"/>
          <w:szCs w:val="24"/>
          <w:lang w:val="en-US"/>
        </w:rPr>
        <w:t>eningoradiculitis</w:t>
      </w:r>
      <w:proofErr w:type="spellEnd"/>
      <w:r w:rsidR="00A43499">
        <w:rPr>
          <w:rFonts w:ascii="Times New Roman" w:hAnsi="Times New Roman" w:cs="Times New Roman"/>
          <w:sz w:val="24"/>
          <w:szCs w:val="24"/>
          <w:lang w:val="en-US"/>
        </w:rPr>
        <w:t xml:space="preserve"> </w:t>
      </w:r>
      <w:r w:rsidR="00AE68A1" w:rsidRPr="00133D3F">
        <w:rPr>
          <w:rFonts w:ascii="Times New Roman" w:hAnsi="Times New Roman" w:cs="Times New Roman"/>
          <w:sz w:val="24"/>
          <w:szCs w:val="24"/>
          <w:lang w:val="en-US"/>
        </w:rPr>
        <w:t xml:space="preserve">accounted for 0.3% of cases for each mRNA </w:t>
      </w:r>
      <w:r w:rsidR="00F703ED" w:rsidRPr="00133D3F">
        <w:rPr>
          <w:rFonts w:ascii="Times New Roman" w:hAnsi="Times New Roman" w:cs="Times New Roman"/>
          <w:sz w:val="24"/>
          <w:szCs w:val="24"/>
          <w:lang w:val="en-US"/>
        </w:rPr>
        <w:t>vaccine</w:t>
      </w:r>
      <w:r w:rsidR="00176B25">
        <w:rPr>
          <w:rFonts w:ascii="Times New Roman" w:hAnsi="Times New Roman" w:cs="Times New Roman"/>
          <w:sz w:val="24"/>
          <w:szCs w:val="24"/>
          <w:lang w:val="en-US"/>
        </w:rPr>
        <w:t>. T</w:t>
      </w:r>
      <w:r w:rsidR="00AE68A1" w:rsidRPr="00133D3F">
        <w:rPr>
          <w:rFonts w:ascii="Times New Roman" w:hAnsi="Times New Roman" w:cs="Times New Roman"/>
          <w:sz w:val="24"/>
          <w:szCs w:val="24"/>
          <w:lang w:val="en-US"/>
        </w:rPr>
        <w:t xml:space="preserve">he time to onset was </w:t>
      </w:r>
      <w:r w:rsidR="00176B25" w:rsidRPr="00176B25">
        <w:rPr>
          <w:rFonts w:ascii="Times New Roman" w:hAnsi="Times New Roman" w:cs="Times New Roman"/>
          <w:sz w:val="24"/>
          <w:szCs w:val="24"/>
          <w:lang w:val="en-US"/>
        </w:rPr>
        <w:t>17.5 (12.5-29)</w:t>
      </w:r>
      <w:r w:rsidR="00176B25">
        <w:rPr>
          <w:rFonts w:ascii="Times New Roman" w:hAnsi="Times New Roman" w:cs="Times New Roman"/>
          <w:sz w:val="24"/>
          <w:szCs w:val="24"/>
          <w:lang w:val="en-US"/>
        </w:rPr>
        <w:t xml:space="preserve"> days following vaccination</w:t>
      </w:r>
      <w:r w:rsidR="00751DC9">
        <w:rPr>
          <w:rFonts w:ascii="Times New Roman" w:hAnsi="Times New Roman" w:cs="Times New Roman"/>
          <w:sz w:val="24"/>
          <w:szCs w:val="24"/>
          <w:lang w:val="en-US"/>
        </w:rPr>
        <w:t xml:space="preserve"> in this setting</w:t>
      </w:r>
      <w:r w:rsidR="00176B25">
        <w:rPr>
          <w:rFonts w:ascii="Times New Roman" w:hAnsi="Times New Roman" w:cs="Times New Roman"/>
          <w:sz w:val="24"/>
          <w:szCs w:val="24"/>
          <w:lang w:val="en-US"/>
        </w:rPr>
        <w:t xml:space="preserve">, </w:t>
      </w:r>
      <w:r w:rsidR="00751DC9">
        <w:rPr>
          <w:rFonts w:ascii="Times New Roman" w:hAnsi="Times New Roman" w:cs="Times New Roman"/>
          <w:sz w:val="24"/>
          <w:szCs w:val="24"/>
          <w:lang w:val="en-US"/>
        </w:rPr>
        <w:t>with</w:t>
      </w:r>
      <w:r w:rsidR="00176B25">
        <w:rPr>
          <w:rFonts w:ascii="Times New Roman" w:hAnsi="Times New Roman" w:cs="Times New Roman"/>
          <w:sz w:val="24"/>
          <w:szCs w:val="24"/>
          <w:lang w:val="en-US"/>
        </w:rPr>
        <w:t xml:space="preserve"> </w:t>
      </w:r>
      <w:r w:rsidR="00176B25" w:rsidRPr="00176B25">
        <w:rPr>
          <w:rFonts w:ascii="Times New Roman" w:hAnsi="Times New Roman" w:cs="Times New Roman"/>
          <w:sz w:val="24"/>
          <w:szCs w:val="24"/>
          <w:lang w:val="en-US"/>
        </w:rPr>
        <w:t>14 (56%)</w:t>
      </w:r>
      <w:r w:rsidR="00176B25">
        <w:rPr>
          <w:rFonts w:ascii="Times New Roman" w:hAnsi="Times New Roman" w:cs="Times New Roman"/>
          <w:sz w:val="24"/>
          <w:szCs w:val="24"/>
          <w:lang w:val="en-US"/>
        </w:rPr>
        <w:t xml:space="preserve"> vaccine recipients requi</w:t>
      </w:r>
      <w:r w:rsidR="00751DC9">
        <w:rPr>
          <w:rFonts w:ascii="Times New Roman" w:hAnsi="Times New Roman" w:cs="Times New Roman"/>
          <w:sz w:val="24"/>
          <w:szCs w:val="24"/>
          <w:lang w:val="en-US"/>
        </w:rPr>
        <w:t>ring</w:t>
      </w:r>
      <w:r w:rsidR="00176B25">
        <w:rPr>
          <w:rFonts w:ascii="Times New Roman" w:hAnsi="Times New Roman" w:cs="Times New Roman"/>
          <w:sz w:val="24"/>
          <w:szCs w:val="24"/>
          <w:lang w:val="en-US"/>
        </w:rPr>
        <w:t xml:space="preserve"> hospitalization</w:t>
      </w:r>
      <w:r w:rsidR="00751DC9">
        <w:rPr>
          <w:rFonts w:ascii="Times New Roman" w:hAnsi="Times New Roman" w:cs="Times New Roman"/>
          <w:sz w:val="24"/>
          <w:szCs w:val="24"/>
          <w:lang w:val="en-US"/>
        </w:rPr>
        <w:t xml:space="preserve">. </w:t>
      </w:r>
      <w:r w:rsidR="00176B25">
        <w:rPr>
          <w:rFonts w:ascii="Times New Roman" w:hAnsi="Times New Roman" w:cs="Times New Roman"/>
          <w:sz w:val="24"/>
          <w:szCs w:val="24"/>
          <w:lang w:val="en-US"/>
        </w:rPr>
        <w:t>N</w:t>
      </w:r>
      <w:r w:rsidR="00F703ED">
        <w:rPr>
          <w:rFonts w:ascii="Times New Roman" w:hAnsi="Times New Roman" w:cs="Times New Roman"/>
          <w:sz w:val="24"/>
          <w:szCs w:val="24"/>
          <w:lang w:val="en-US"/>
        </w:rPr>
        <w:t xml:space="preserve">o </w:t>
      </w:r>
      <w:r w:rsidR="00751DC9">
        <w:rPr>
          <w:rFonts w:ascii="Times New Roman" w:hAnsi="Times New Roman" w:cs="Times New Roman"/>
          <w:sz w:val="24"/>
          <w:szCs w:val="24"/>
          <w:lang w:val="en-US"/>
        </w:rPr>
        <w:t xml:space="preserve">HZ-related death </w:t>
      </w:r>
      <w:proofErr w:type="gramStart"/>
      <w:r w:rsidR="00751DC9">
        <w:rPr>
          <w:rFonts w:ascii="Times New Roman" w:hAnsi="Times New Roman" w:cs="Times New Roman"/>
          <w:sz w:val="24"/>
          <w:szCs w:val="24"/>
          <w:lang w:val="en-US"/>
        </w:rPr>
        <w:t>was reported</w:t>
      </w:r>
      <w:proofErr w:type="gramEnd"/>
      <w:r w:rsidR="00751DC9">
        <w:rPr>
          <w:rFonts w:ascii="Times New Roman" w:hAnsi="Times New Roman" w:cs="Times New Roman"/>
          <w:sz w:val="24"/>
          <w:szCs w:val="24"/>
          <w:lang w:val="en-US"/>
        </w:rPr>
        <w:t xml:space="preserve">. </w:t>
      </w:r>
    </w:p>
    <w:p w14:paraId="79161EE4" w14:textId="172251E1" w:rsidR="00946653" w:rsidRDefault="004C5655" w:rsidP="002C1C3F">
      <w:pPr>
        <w:pStyle w:val="Sansinterligne"/>
        <w:spacing w:line="480" w:lineRule="auto"/>
        <w:jc w:val="both"/>
        <w:rPr>
          <w:rFonts w:ascii="Times New Roman" w:hAnsi="Times New Roman" w:cs="Times New Roman"/>
          <w:color w:val="000000" w:themeColor="text1"/>
          <w:sz w:val="24"/>
          <w:szCs w:val="24"/>
          <w:lang w:val="en-US"/>
        </w:rPr>
      </w:pPr>
      <w:r w:rsidRPr="00A938AD">
        <w:rPr>
          <w:rFonts w:ascii="Times New Roman" w:hAnsi="Times New Roman" w:cs="Times New Roman"/>
          <w:sz w:val="24"/>
          <w:szCs w:val="24"/>
          <w:lang w:val="en-US"/>
        </w:rPr>
        <w:t>When compared with influenza vaccines,</w:t>
      </w:r>
      <w:r w:rsidRPr="00A938AD">
        <w:rPr>
          <w:rFonts w:ascii="Times New Roman" w:hAnsi="Times New Roman" w:cs="Times New Roman"/>
          <w:color w:val="000000" w:themeColor="text1"/>
          <w:sz w:val="24"/>
          <w:szCs w:val="24"/>
          <w:lang w:val="en-US"/>
        </w:rPr>
        <w:t xml:space="preserve"> </w:t>
      </w:r>
      <w:r w:rsidRPr="00A938AD">
        <w:rPr>
          <w:rFonts w:ascii="Times New Roman" w:hAnsi="Times New Roman" w:cs="Times New Roman"/>
          <w:sz w:val="24"/>
          <w:szCs w:val="24"/>
          <w:lang w:val="en-US"/>
        </w:rPr>
        <w:t xml:space="preserve">mRNA </w:t>
      </w:r>
      <w:r w:rsidR="00A73A29" w:rsidRPr="00A938AD">
        <w:rPr>
          <w:rFonts w:ascii="Times New Roman" w:hAnsi="Times New Roman" w:cs="Times New Roman"/>
          <w:color w:val="000000" w:themeColor="text1"/>
          <w:sz w:val="24"/>
          <w:szCs w:val="24"/>
          <w:lang w:val="en-US"/>
        </w:rPr>
        <w:t>COVID-19 vaccines were associated with</w:t>
      </w:r>
      <w:r w:rsidR="00A938AD" w:rsidRPr="00A938AD">
        <w:rPr>
          <w:rFonts w:ascii="Times New Roman" w:hAnsi="Times New Roman" w:cs="Times New Roman"/>
          <w:color w:val="000000" w:themeColor="text1"/>
          <w:sz w:val="24"/>
          <w:szCs w:val="24"/>
          <w:lang w:val="en-US"/>
        </w:rPr>
        <w:t xml:space="preserve"> </w:t>
      </w:r>
      <w:r w:rsidR="00563298">
        <w:rPr>
          <w:rFonts w:ascii="Times New Roman" w:hAnsi="Times New Roman" w:cs="Times New Roman"/>
          <w:color w:val="000000" w:themeColor="text1"/>
          <w:sz w:val="24"/>
          <w:szCs w:val="24"/>
          <w:lang w:val="en-US"/>
        </w:rPr>
        <w:t xml:space="preserve">an </w:t>
      </w:r>
      <w:r w:rsidR="00A73A29" w:rsidRPr="00A938AD">
        <w:rPr>
          <w:rFonts w:ascii="Times New Roman" w:hAnsi="Times New Roman" w:cs="Times New Roman"/>
          <w:color w:val="000000" w:themeColor="text1"/>
          <w:sz w:val="24"/>
          <w:szCs w:val="24"/>
          <w:lang w:val="en-US"/>
        </w:rPr>
        <w:t xml:space="preserve">increased </w:t>
      </w:r>
      <w:r w:rsidR="00CA5428" w:rsidRPr="00A938AD">
        <w:rPr>
          <w:rFonts w:ascii="Times New Roman" w:hAnsi="Times New Roman" w:cs="Times New Roman"/>
          <w:color w:val="000000" w:themeColor="text1"/>
          <w:sz w:val="24"/>
          <w:szCs w:val="24"/>
          <w:lang w:val="en-US"/>
        </w:rPr>
        <w:t>HZ</w:t>
      </w:r>
      <w:r w:rsidR="00751DC9" w:rsidRPr="00A938AD">
        <w:rPr>
          <w:rFonts w:ascii="Times New Roman" w:hAnsi="Times New Roman" w:cs="Times New Roman"/>
          <w:color w:val="000000" w:themeColor="text1"/>
          <w:sz w:val="24"/>
          <w:szCs w:val="24"/>
          <w:lang w:val="en-US"/>
        </w:rPr>
        <w:t xml:space="preserve"> reporting</w:t>
      </w:r>
      <w:r w:rsidR="00A73A29" w:rsidRPr="00A938AD">
        <w:rPr>
          <w:rFonts w:ascii="Times New Roman" w:hAnsi="Times New Roman" w:cs="Times New Roman"/>
          <w:color w:val="000000" w:themeColor="text1"/>
          <w:sz w:val="24"/>
          <w:szCs w:val="24"/>
          <w:lang w:val="en-US"/>
        </w:rPr>
        <w:t xml:space="preserve"> </w:t>
      </w:r>
      <w:r w:rsidR="00A938AD" w:rsidRPr="00A938AD">
        <w:rPr>
          <w:rFonts w:ascii="Times New Roman" w:hAnsi="Times New Roman" w:cs="Times New Roman"/>
          <w:sz w:val="24"/>
          <w:szCs w:val="24"/>
          <w:lang w:val="en-US"/>
        </w:rPr>
        <w:t xml:space="preserve">for BNT162b2 </w:t>
      </w:r>
      <w:r w:rsidR="00B46E7A">
        <w:rPr>
          <w:rFonts w:ascii="Times New Roman" w:hAnsi="Times New Roman" w:cs="Times New Roman"/>
          <w:color w:val="000000" w:themeColor="text1"/>
          <w:sz w:val="24"/>
          <w:szCs w:val="24"/>
          <w:lang w:val="en-US"/>
        </w:rPr>
        <w:t>(</w:t>
      </w:r>
      <w:r w:rsidR="00B46E7A" w:rsidRPr="00A938AD">
        <w:rPr>
          <w:rFonts w:ascii="Times New Roman" w:hAnsi="Times New Roman" w:cs="Times New Roman"/>
          <w:color w:val="000000" w:themeColor="text1"/>
          <w:sz w:val="24"/>
          <w:szCs w:val="24"/>
          <w:lang w:val="en-US"/>
        </w:rPr>
        <w:t xml:space="preserve">ROR </w:t>
      </w:r>
      <w:proofErr w:type="gramStart"/>
      <w:r w:rsidR="00B46E7A">
        <w:rPr>
          <w:rFonts w:ascii="Times New Roman" w:hAnsi="Times New Roman" w:cs="Times New Roman"/>
          <w:color w:val="000000" w:themeColor="text1"/>
          <w:sz w:val="24"/>
          <w:szCs w:val="24"/>
          <w:lang w:val="en-US"/>
        </w:rPr>
        <w:t>95%CI</w:t>
      </w:r>
      <w:proofErr w:type="gramEnd"/>
      <w:r w:rsidR="00B46E7A">
        <w:rPr>
          <w:rFonts w:ascii="Times New Roman" w:hAnsi="Times New Roman" w:cs="Times New Roman"/>
          <w:color w:val="000000" w:themeColor="text1"/>
          <w:sz w:val="24"/>
          <w:szCs w:val="24"/>
          <w:lang w:val="en-US"/>
        </w:rPr>
        <w:t xml:space="preserve">, </w:t>
      </w:r>
      <w:r w:rsidR="00B46E7A" w:rsidRPr="00A938AD">
        <w:rPr>
          <w:rFonts w:ascii="Times New Roman" w:hAnsi="Times New Roman" w:cs="Times New Roman"/>
          <w:color w:val="000000" w:themeColor="text1"/>
          <w:sz w:val="24"/>
          <w:szCs w:val="24"/>
          <w:lang w:val="en-US"/>
        </w:rPr>
        <w:t>2.0</w:t>
      </w:r>
      <w:r w:rsidR="00B46E7A">
        <w:rPr>
          <w:rFonts w:ascii="Times New Roman" w:hAnsi="Times New Roman" w:cs="Times New Roman"/>
          <w:color w:val="000000" w:themeColor="text1"/>
          <w:sz w:val="24"/>
          <w:szCs w:val="24"/>
          <w:lang w:val="en-US"/>
        </w:rPr>
        <w:t xml:space="preserve"> </w:t>
      </w:r>
      <w:r w:rsidR="00B46E7A" w:rsidRPr="00A938AD">
        <w:rPr>
          <w:rFonts w:ascii="Times New Roman" w:hAnsi="Times New Roman" w:cs="Times New Roman"/>
          <w:color w:val="000000" w:themeColor="text1"/>
          <w:sz w:val="24"/>
          <w:szCs w:val="24"/>
          <w:lang w:val="en-US"/>
        </w:rPr>
        <w:t>[1.8-2.2]</w:t>
      </w:r>
      <w:r w:rsidR="00B46E7A">
        <w:rPr>
          <w:rFonts w:ascii="Times New Roman" w:hAnsi="Times New Roman" w:cs="Times New Roman"/>
          <w:color w:val="000000" w:themeColor="text1"/>
          <w:sz w:val="24"/>
          <w:szCs w:val="24"/>
          <w:lang w:val="en-US"/>
        </w:rPr>
        <w:t>)</w:t>
      </w:r>
      <w:r w:rsidR="00345D6A" w:rsidRPr="00A938AD">
        <w:rPr>
          <w:rFonts w:ascii="Times New Roman" w:hAnsi="Times New Roman" w:cs="Times New Roman"/>
          <w:sz w:val="24"/>
          <w:szCs w:val="24"/>
          <w:lang w:val="en-US"/>
        </w:rPr>
        <w:t>, mRNA-1273</w:t>
      </w:r>
      <w:r w:rsidR="00345D6A">
        <w:rPr>
          <w:rFonts w:ascii="Times New Roman" w:hAnsi="Times New Roman" w:cs="Times New Roman"/>
          <w:sz w:val="24"/>
          <w:szCs w:val="24"/>
          <w:lang w:val="en-US"/>
        </w:rPr>
        <w:t xml:space="preserve"> (</w:t>
      </w:r>
      <w:r w:rsidR="00A938AD" w:rsidRPr="00A938AD">
        <w:rPr>
          <w:rFonts w:ascii="Times New Roman" w:hAnsi="Times New Roman" w:cs="Times New Roman"/>
          <w:color w:val="000000" w:themeColor="text1"/>
          <w:sz w:val="24"/>
          <w:szCs w:val="24"/>
          <w:lang w:val="en-US"/>
        </w:rPr>
        <w:t>ROR</w:t>
      </w:r>
      <w:r w:rsidR="00345D6A">
        <w:rPr>
          <w:rFonts w:ascii="Times New Roman" w:hAnsi="Times New Roman" w:cs="Times New Roman"/>
          <w:color w:val="000000" w:themeColor="text1"/>
          <w:sz w:val="24"/>
          <w:szCs w:val="24"/>
          <w:lang w:val="en-US"/>
        </w:rPr>
        <w:t xml:space="preserve"> 95%CI,</w:t>
      </w:r>
      <w:r w:rsidR="00A938AD" w:rsidRPr="00A938AD">
        <w:rPr>
          <w:rFonts w:ascii="Times New Roman" w:hAnsi="Times New Roman" w:cs="Times New Roman"/>
          <w:color w:val="000000" w:themeColor="text1"/>
          <w:sz w:val="24"/>
          <w:szCs w:val="24"/>
          <w:lang w:val="en-US"/>
        </w:rPr>
        <w:t xml:space="preserve"> </w:t>
      </w:r>
      <w:r w:rsidR="00DA0AF2" w:rsidRPr="00A938AD">
        <w:rPr>
          <w:rFonts w:ascii="Times New Roman" w:hAnsi="Times New Roman" w:cs="Times New Roman"/>
          <w:color w:val="000000" w:themeColor="text1"/>
          <w:sz w:val="24"/>
          <w:szCs w:val="24"/>
          <w:lang w:val="en-US"/>
        </w:rPr>
        <w:t>1.5</w:t>
      </w:r>
      <w:r w:rsidR="00DA0AF2">
        <w:rPr>
          <w:rFonts w:ascii="Times New Roman" w:hAnsi="Times New Roman" w:cs="Times New Roman"/>
          <w:color w:val="000000" w:themeColor="text1"/>
          <w:sz w:val="24"/>
          <w:szCs w:val="24"/>
          <w:lang w:val="en-US"/>
        </w:rPr>
        <w:t xml:space="preserve"> </w:t>
      </w:r>
      <w:r w:rsidR="00DA0AF2" w:rsidRPr="00A938AD">
        <w:rPr>
          <w:rFonts w:ascii="Times New Roman" w:hAnsi="Times New Roman" w:cs="Times New Roman"/>
          <w:color w:val="000000" w:themeColor="text1"/>
          <w:sz w:val="24"/>
          <w:szCs w:val="24"/>
          <w:lang w:val="en-US"/>
        </w:rPr>
        <w:t>[</w:t>
      </w:r>
      <w:r w:rsidR="00A938AD" w:rsidRPr="00A938AD">
        <w:rPr>
          <w:rFonts w:ascii="Times New Roman" w:hAnsi="Times New Roman" w:cs="Times New Roman"/>
          <w:color w:val="000000" w:themeColor="text1"/>
          <w:sz w:val="24"/>
          <w:szCs w:val="24"/>
          <w:lang w:val="en-US"/>
        </w:rPr>
        <w:t>1.2-1.8]</w:t>
      </w:r>
      <w:r w:rsidR="00345D6A">
        <w:rPr>
          <w:rFonts w:ascii="Times New Roman" w:hAnsi="Times New Roman" w:cs="Times New Roman"/>
          <w:color w:val="000000" w:themeColor="text1"/>
          <w:sz w:val="24"/>
          <w:szCs w:val="24"/>
          <w:lang w:val="en-US"/>
        </w:rPr>
        <w:t xml:space="preserve">) and overall </w:t>
      </w:r>
      <w:r w:rsidR="00B46E7A">
        <w:rPr>
          <w:rFonts w:ascii="Times New Roman" w:hAnsi="Times New Roman" w:cs="Times New Roman"/>
          <w:sz w:val="24"/>
          <w:szCs w:val="24"/>
          <w:lang w:val="en-US"/>
        </w:rPr>
        <w:t>(</w:t>
      </w:r>
      <w:r w:rsidR="00B46E7A" w:rsidRPr="00A938AD">
        <w:rPr>
          <w:rFonts w:ascii="Times New Roman" w:hAnsi="Times New Roman" w:cs="Times New Roman"/>
          <w:color w:val="000000" w:themeColor="text1"/>
          <w:sz w:val="24"/>
          <w:szCs w:val="24"/>
          <w:lang w:val="en-US"/>
        </w:rPr>
        <w:t>ROR 95%CI</w:t>
      </w:r>
      <w:r w:rsidR="00B46E7A">
        <w:rPr>
          <w:rFonts w:ascii="Times New Roman" w:hAnsi="Times New Roman" w:cs="Times New Roman"/>
          <w:color w:val="000000" w:themeColor="text1"/>
          <w:sz w:val="24"/>
          <w:szCs w:val="24"/>
          <w:lang w:val="en-US"/>
        </w:rPr>
        <w:t>,</w:t>
      </w:r>
      <w:r w:rsidR="00B46E7A" w:rsidRPr="00A938AD">
        <w:rPr>
          <w:rFonts w:ascii="Times New Roman" w:hAnsi="Times New Roman" w:cs="Times New Roman"/>
          <w:color w:val="000000" w:themeColor="text1"/>
          <w:sz w:val="24"/>
          <w:szCs w:val="24"/>
          <w:lang w:val="en-US"/>
        </w:rPr>
        <w:t xml:space="preserve"> 1.9 [1.8-2.1])</w:t>
      </w:r>
      <w:r w:rsidR="00345D6A" w:rsidRPr="00A938AD">
        <w:rPr>
          <w:rFonts w:ascii="Times New Roman" w:hAnsi="Times New Roman" w:cs="Times New Roman"/>
          <w:sz w:val="24"/>
          <w:szCs w:val="24"/>
          <w:lang w:val="en-US"/>
        </w:rPr>
        <w:t xml:space="preserve"> </w:t>
      </w:r>
      <w:r w:rsidR="00A938AD" w:rsidRPr="00A938AD">
        <w:rPr>
          <w:rFonts w:ascii="Times New Roman" w:hAnsi="Times New Roman" w:cs="Times New Roman"/>
          <w:sz w:val="24"/>
          <w:szCs w:val="24"/>
          <w:lang w:val="en-US"/>
        </w:rPr>
        <w:t>(</w:t>
      </w:r>
      <w:r w:rsidR="00A938AD" w:rsidRPr="00A938AD">
        <w:rPr>
          <w:rFonts w:ascii="Times New Roman" w:hAnsi="Times New Roman" w:cs="Times New Roman"/>
          <w:b/>
          <w:bCs/>
          <w:sz w:val="24"/>
          <w:szCs w:val="24"/>
          <w:lang w:val="en-US"/>
        </w:rPr>
        <w:t>Table 2</w:t>
      </w:r>
      <w:r w:rsidR="00A938AD" w:rsidRPr="00A938AD">
        <w:rPr>
          <w:rFonts w:ascii="Times New Roman" w:hAnsi="Times New Roman" w:cs="Times New Roman"/>
          <w:sz w:val="24"/>
          <w:szCs w:val="24"/>
          <w:lang w:val="en-US"/>
        </w:rPr>
        <w:t>).</w:t>
      </w:r>
      <w:r w:rsidR="00751DC9" w:rsidRPr="00A938AD">
        <w:rPr>
          <w:rFonts w:ascii="Times New Roman" w:hAnsi="Times New Roman" w:cs="Times New Roman"/>
          <w:sz w:val="24"/>
          <w:szCs w:val="24"/>
          <w:lang w:val="en-US"/>
        </w:rPr>
        <w:t xml:space="preserve"> </w:t>
      </w:r>
      <w:r w:rsidR="00C51CBE">
        <w:rPr>
          <w:rFonts w:ascii="Times New Roman" w:hAnsi="Times New Roman" w:cs="Times New Roman"/>
          <w:sz w:val="24"/>
          <w:szCs w:val="24"/>
          <w:lang w:val="en-US"/>
        </w:rPr>
        <w:t>Furthermore, a</w:t>
      </w:r>
      <w:r w:rsidR="00345D6A">
        <w:rPr>
          <w:rFonts w:ascii="Times New Roman" w:hAnsi="Times New Roman" w:cs="Times New Roman"/>
          <w:sz w:val="24"/>
          <w:szCs w:val="24"/>
          <w:lang w:val="en-US"/>
        </w:rPr>
        <w:t>mong mRNA COVID</w:t>
      </w:r>
      <w:r w:rsidR="00C51CBE">
        <w:rPr>
          <w:rFonts w:ascii="Times New Roman" w:hAnsi="Times New Roman" w:cs="Times New Roman"/>
          <w:sz w:val="24"/>
          <w:szCs w:val="24"/>
          <w:lang w:val="en-US"/>
        </w:rPr>
        <w:t xml:space="preserve">-19 recipients, we found a reduced </w:t>
      </w:r>
      <w:r w:rsidR="00FE197E" w:rsidRPr="00FE197E">
        <w:rPr>
          <w:rFonts w:ascii="Times New Roman" w:hAnsi="Times New Roman" w:cs="Times New Roman"/>
          <w:color w:val="000000" w:themeColor="text1"/>
          <w:sz w:val="24"/>
          <w:szCs w:val="24"/>
          <w:lang w:val="en-US"/>
        </w:rPr>
        <w:t xml:space="preserve">risk of </w:t>
      </w:r>
      <w:r w:rsidR="00FE197E">
        <w:rPr>
          <w:rFonts w:ascii="Times New Roman" w:hAnsi="Times New Roman" w:cs="Times New Roman"/>
          <w:color w:val="000000" w:themeColor="text1"/>
          <w:sz w:val="24"/>
          <w:szCs w:val="24"/>
          <w:lang w:val="en-US"/>
        </w:rPr>
        <w:t>reporting HZ</w:t>
      </w:r>
      <w:r w:rsidR="00FE197E" w:rsidRPr="00FE197E">
        <w:rPr>
          <w:rFonts w:ascii="Times New Roman" w:hAnsi="Times New Roman" w:cs="Times New Roman"/>
          <w:color w:val="000000" w:themeColor="text1"/>
          <w:sz w:val="24"/>
          <w:szCs w:val="24"/>
          <w:lang w:val="en-US"/>
        </w:rPr>
        <w:t xml:space="preserve"> among under 40 </w:t>
      </w:r>
      <w:r w:rsidR="006E34FA">
        <w:rPr>
          <w:rFonts w:ascii="Times New Roman" w:hAnsi="Times New Roman" w:cs="Times New Roman"/>
          <w:color w:val="000000" w:themeColor="text1"/>
          <w:sz w:val="24"/>
          <w:szCs w:val="24"/>
          <w:lang w:val="en-US"/>
        </w:rPr>
        <w:t xml:space="preserve">year-old </w:t>
      </w:r>
      <w:r w:rsidR="00C51CBE">
        <w:rPr>
          <w:rFonts w:ascii="Times New Roman" w:hAnsi="Times New Roman" w:cs="Times New Roman"/>
          <w:color w:val="000000" w:themeColor="text1"/>
          <w:sz w:val="24"/>
          <w:szCs w:val="24"/>
          <w:lang w:val="en-US"/>
        </w:rPr>
        <w:t xml:space="preserve">persons </w:t>
      </w:r>
      <w:r w:rsidR="00FE197E" w:rsidRPr="00FE197E">
        <w:rPr>
          <w:rFonts w:ascii="Times New Roman" w:hAnsi="Times New Roman" w:cs="Times New Roman"/>
          <w:color w:val="000000" w:themeColor="text1"/>
          <w:sz w:val="24"/>
          <w:szCs w:val="24"/>
          <w:lang w:val="en-US"/>
        </w:rPr>
        <w:t xml:space="preserve">compared to </w:t>
      </w:r>
      <w:r w:rsidR="00C51CBE">
        <w:rPr>
          <w:rFonts w:ascii="Times New Roman" w:hAnsi="Times New Roman" w:cs="Times New Roman"/>
          <w:color w:val="000000" w:themeColor="text1"/>
          <w:sz w:val="24"/>
          <w:szCs w:val="24"/>
          <w:lang w:val="en-US"/>
        </w:rPr>
        <w:t xml:space="preserve">older persons </w:t>
      </w:r>
      <w:r w:rsidR="00A529F7" w:rsidRPr="00A938AD">
        <w:rPr>
          <w:rFonts w:ascii="Times New Roman" w:hAnsi="Times New Roman" w:cs="Times New Roman"/>
          <w:color w:val="000000" w:themeColor="text1"/>
          <w:sz w:val="24"/>
          <w:szCs w:val="24"/>
          <w:lang w:val="en-US"/>
        </w:rPr>
        <w:t>(ROR</w:t>
      </w:r>
      <w:r w:rsidR="00C51CBE" w:rsidRPr="00A938AD">
        <w:rPr>
          <w:rFonts w:ascii="Times New Roman" w:hAnsi="Times New Roman" w:cs="Times New Roman"/>
          <w:color w:val="000000" w:themeColor="text1"/>
          <w:sz w:val="24"/>
          <w:szCs w:val="24"/>
          <w:lang w:val="en-US"/>
        </w:rPr>
        <w:t xml:space="preserve"> 95%CI</w:t>
      </w:r>
      <w:r w:rsidR="00C51CBE">
        <w:rPr>
          <w:rFonts w:ascii="Times New Roman" w:hAnsi="Times New Roman" w:cs="Times New Roman"/>
          <w:color w:val="000000" w:themeColor="text1"/>
          <w:sz w:val="24"/>
          <w:szCs w:val="24"/>
          <w:lang w:val="en-US"/>
        </w:rPr>
        <w:t>,</w:t>
      </w:r>
      <w:r w:rsidR="00C51CBE" w:rsidRPr="00A938AD">
        <w:rPr>
          <w:rFonts w:ascii="Times New Roman" w:hAnsi="Times New Roman" w:cs="Times New Roman"/>
          <w:color w:val="000000" w:themeColor="text1"/>
          <w:sz w:val="24"/>
          <w:szCs w:val="24"/>
          <w:lang w:val="en-US"/>
        </w:rPr>
        <w:t xml:space="preserve"> </w:t>
      </w:r>
      <w:r w:rsidR="00A529F7">
        <w:rPr>
          <w:rFonts w:ascii="Times New Roman" w:hAnsi="Times New Roman" w:cs="Times New Roman"/>
          <w:color w:val="000000" w:themeColor="text1"/>
          <w:sz w:val="24"/>
          <w:szCs w:val="24"/>
          <w:lang w:val="en-US"/>
        </w:rPr>
        <w:t>0</w:t>
      </w:r>
      <w:r w:rsidR="00A529F7" w:rsidRPr="00A938AD">
        <w:rPr>
          <w:rFonts w:ascii="Times New Roman" w:hAnsi="Times New Roman" w:cs="Times New Roman"/>
          <w:color w:val="000000" w:themeColor="text1"/>
          <w:sz w:val="24"/>
          <w:szCs w:val="24"/>
          <w:lang w:val="en-US"/>
        </w:rPr>
        <w:t>.</w:t>
      </w:r>
      <w:r w:rsidR="00A529F7">
        <w:rPr>
          <w:rFonts w:ascii="Times New Roman" w:hAnsi="Times New Roman" w:cs="Times New Roman"/>
          <w:color w:val="000000" w:themeColor="text1"/>
          <w:sz w:val="24"/>
          <w:szCs w:val="24"/>
          <w:lang w:val="en-US"/>
        </w:rPr>
        <w:t>3</w:t>
      </w:r>
      <w:r w:rsidR="00A529F7" w:rsidRPr="00A938AD">
        <w:rPr>
          <w:rFonts w:ascii="Times New Roman" w:hAnsi="Times New Roman" w:cs="Times New Roman"/>
          <w:color w:val="000000" w:themeColor="text1"/>
          <w:sz w:val="24"/>
          <w:szCs w:val="24"/>
          <w:lang w:val="en-US"/>
        </w:rPr>
        <w:t>9 [</w:t>
      </w:r>
      <w:r w:rsidR="00A529F7">
        <w:rPr>
          <w:rFonts w:ascii="Times New Roman" w:hAnsi="Times New Roman" w:cs="Times New Roman"/>
          <w:color w:val="000000" w:themeColor="text1"/>
          <w:sz w:val="24"/>
          <w:szCs w:val="24"/>
          <w:lang w:val="en-US"/>
        </w:rPr>
        <w:t>0</w:t>
      </w:r>
      <w:r w:rsidR="00A529F7" w:rsidRPr="00A938AD">
        <w:rPr>
          <w:rFonts w:ascii="Times New Roman" w:hAnsi="Times New Roman" w:cs="Times New Roman"/>
          <w:color w:val="000000" w:themeColor="text1"/>
          <w:sz w:val="24"/>
          <w:szCs w:val="24"/>
          <w:lang w:val="en-US"/>
        </w:rPr>
        <w:t>.</w:t>
      </w:r>
      <w:r w:rsidR="00A529F7">
        <w:rPr>
          <w:rFonts w:ascii="Times New Roman" w:hAnsi="Times New Roman" w:cs="Times New Roman"/>
          <w:color w:val="000000" w:themeColor="text1"/>
          <w:sz w:val="24"/>
          <w:szCs w:val="24"/>
          <w:lang w:val="en-US"/>
        </w:rPr>
        <w:t>36-0</w:t>
      </w:r>
      <w:r w:rsidR="00A529F7" w:rsidRPr="00A938AD">
        <w:rPr>
          <w:rFonts w:ascii="Times New Roman" w:hAnsi="Times New Roman" w:cs="Times New Roman"/>
          <w:color w:val="000000" w:themeColor="text1"/>
          <w:sz w:val="24"/>
          <w:szCs w:val="24"/>
          <w:lang w:val="en-US"/>
        </w:rPr>
        <w:t>.</w:t>
      </w:r>
      <w:r w:rsidR="00A529F7">
        <w:rPr>
          <w:rFonts w:ascii="Times New Roman" w:hAnsi="Times New Roman" w:cs="Times New Roman"/>
          <w:color w:val="000000" w:themeColor="text1"/>
          <w:sz w:val="24"/>
          <w:szCs w:val="24"/>
          <w:lang w:val="en-US"/>
        </w:rPr>
        <w:t>4</w:t>
      </w:r>
      <w:r w:rsidR="00A529F7" w:rsidRPr="00A938AD">
        <w:rPr>
          <w:rFonts w:ascii="Times New Roman" w:hAnsi="Times New Roman" w:cs="Times New Roman"/>
          <w:color w:val="000000" w:themeColor="text1"/>
          <w:sz w:val="24"/>
          <w:szCs w:val="24"/>
          <w:lang w:val="en-US"/>
        </w:rPr>
        <w:t>1])</w:t>
      </w:r>
      <w:r w:rsidR="007E4226">
        <w:rPr>
          <w:rFonts w:ascii="Times New Roman" w:hAnsi="Times New Roman" w:cs="Times New Roman"/>
          <w:color w:val="000000" w:themeColor="text1"/>
          <w:sz w:val="24"/>
          <w:szCs w:val="24"/>
          <w:lang w:val="en-US"/>
        </w:rPr>
        <w:t xml:space="preserve"> (</w:t>
      </w:r>
      <w:r w:rsidR="007E4226" w:rsidRPr="008D3BEB">
        <w:rPr>
          <w:rFonts w:ascii="Times New Roman" w:hAnsi="Times New Roman" w:cs="Times New Roman"/>
          <w:b/>
          <w:color w:val="000000" w:themeColor="text1"/>
          <w:sz w:val="24"/>
          <w:szCs w:val="24"/>
          <w:lang w:val="en-US"/>
        </w:rPr>
        <w:t>Table 2</w:t>
      </w:r>
      <w:r w:rsidR="007E4226">
        <w:rPr>
          <w:rFonts w:ascii="Times New Roman" w:hAnsi="Times New Roman" w:cs="Times New Roman"/>
          <w:color w:val="000000" w:themeColor="text1"/>
          <w:sz w:val="24"/>
          <w:szCs w:val="24"/>
          <w:lang w:val="en-US"/>
        </w:rPr>
        <w:t>)</w:t>
      </w:r>
      <w:r w:rsidR="00FE197E" w:rsidRPr="00FE197E">
        <w:rPr>
          <w:rFonts w:ascii="Times New Roman" w:hAnsi="Times New Roman" w:cs="Times New Roman"/>
          <w:color w:val="000000" w:themeColor="text1"/>
          <w:sz w:val="24"/>
          <w:szCs w:val="24"/>
          <w:lang w:val="en-US"/>
        </w:rPr>
        <w:t>.</w:t>
      </w:r>
      <w:r w:rsidR="00345D6A" w:rsidRPr="00345D6A">
        <w:rPr>
          <w:rFonts w:ascii="Times New Roman" w:hAnsi="Times New Roman" w:cs="Times New Roman"/>
          <w:sz w:val="24"/>
          <w:szCs w:val="24"/>
          <w:lang w:val="en-US"/>
        </w:rPr>
        <w:t xml:space="preserve"> </w:t>
      </w:r>
      <w:r w:rsidR="00345D6A" w:rsidRPr="00A938AD">
        <w:rPr>
          <w:rFonts w:ascii="Times New Roman" w:hAnsi="Times New Roman" w:cs="Times New Roman"/>
          <w:sz w:val="24"/>
          <w:szCs w:val="24"/>
          <w:lang w:val="en-US"/>
        </w:rPr>
        <w:t xml:space="preserve">These results were consistent with further </w:t>
      </w:r>
      <w:r w:rsidR="00345D6A" w:rsidRPr="00A938AD">
        <w:rPr>
          <w:rFonts w:ascii="Times New Roman" w:hAnsi="Times New Roman" w:cs="Times New Roman"/>
          <w:sz w:val="24"/>
          <w:szCs w:val="24"/>
          <w:lang w:val="en-US"/>
        </w:rPr>
        <w:lastRenderedPageBreak/>
        <w:t>sensitivity analyses restricted to serious reports and to reports originating from a healthcare provider</w:t>
      </w:r>
      <w:r w:rsidR="00345D6A">
        <w:rPr>
          <w:rFonts w:ascii="Times New Roman" w:hAnsi="Times New Roman" w:cs="Times New Roman"/>
          <w:sz w:val="24"/>
          <w:szCs w:val="24"/>
          <w:lang w:val="en-US"/>
        </w:rPr>
        <w:t xml:space="preserve"> (</w:t>
      </w:r>
      <w:r w:rsidR="00345D6A" w:rsidRPr="007E4226">
        <w:rPr>
          <w:rFonts w:ascii="Times New Roman" w:hAnsi="Times New Roman" w:cs="Times New Roman"/>
          <w:b/>
          <w:sz w:val="24"/>
          <w:szCs w:val="24"/>
          <w:lang w:val="en-US"/>
        </w:rPr>
        <w:t>Table S2</w:t>
      </w:r>
      <w:r w:rsidR="008E3C57">
        <w:rPr>
          <w:rFonts w:ascii="Times New Roman" w:hAnsi="Times New Roman" w:cs="Times New Roman"/>
          <w:b/>
          <w:sz w:val="24"/>
          <w:szCs w:val="24"/>
          <w:lang w:val="en-US"/>
        </w:rPr>
        <w:t>,</w:t>
      </w:r>
      <w:r w:rsidR="008E3C57" w:rsidRPr="008E3C57">
        <w:rPr>
          <w:rFonts w:ascii="Times New Roman" w:hAnsi="Times New Roman" w:cs="Times New Roman"/>
          <w:b/>
          <w:color w:val="000000" w:themeColor="text1"/>
          <w:sz w:val="24"/>
          <w:szCs w:val="24"/>
          <w:lang w:val="en-US"/>
        </w:rPr>
        <w:t xml:space="preserve"> </w:t>
      </w:r>
      <w:r w:rsidR="008E3C57">
        <w:rPr>
          <w:rFonts w:ascii="Times New Roman" w:hAnsi="Times New Roman" w:cs="Times New Roman"/>
          <w:b/>
          <w:color w:val="000000" w:themeColor="text1"/>
          <w:sz w:val="24"/>
          <w:szCs w:val="24"/>
          <w:lang w:val="en-US"/>
        </w:rPr>
        <w:t>Table S3</w:t>
      </w:r>
      <w:r w:rsidR="00345D6A">
        <w:rPr>
          <w:rFonts w:ascii="Times New Roman" w:hAnsi="Times New Roman" w:cs="Times New Roman"/>
          <w:sz w:val="24"/>
          <w:szCs w:val="24"/>
          <w:lang w:val="en-US"/>
        </w:rPr>
        <w:t>)</w:t>
      </w:r>
      <w:r w:rsidR="00345D6A" w:rsidRPr="00A938AD">
        <w:rPr>
          <w:rFonts w:ascii="Times New Roman" w:hAnsi="Times New Roman" w:cs="Times New Roman"/>
          <w:sz w:val="24"/>
          <w:szCs w:val="24"/>
          <w:lang w:val="en-US"/>
        </w:rPr>
        <w:t>.</w:t>
      </w:r>
      <w:r w:rsidR="002C1C3F">
        <w:rPr>
          <w:rFonts w:ascii="Times New Roman" w:hAnsi="Times New Roman" w:cs="Times New Roman"/>
          <w:sz w:val="24"/>
          <w:szCs w:val="24"/>
          <w:lang w:val="en-US"/>
        </w:rPr>
        <w:t xml:space="preserve"> Finally, w</w:t>
      </w:r>
      <w:r w:rsidR="00345D6A" w:rsidRPr="00A938AD">
        <w:rPr>
          <w:rFonts w:ascii="Times New Roman" w:hAnsi="Times New Roman" w:cs="Times New Roman"/>
          <w:sz w:val="24"/>
          <w:szCs w:val="24"/>
          <w:lang w:val="en-US"/>
        </w:rPr>
        <w:t xml:space="preserve">e also found a slightly increased in HZ reporting for </w:t>
      </w:r>
      <w:r w:rsidR="00345D6A" w:rsidRPr="00A938AD">
        <w:rPr>
          <w:rFonts w:ascii="Times New Roman" w:hAnsi="Times New Roman" w:cs="Times New Roman"/>
          <w:color w:val="000000" w:themeColor="text1"/>
          <w:sz w:val="24"/>
          <w:szCs w:val="24"/>
          <w:lang w:val="en-US"/>
        </w:rPr>
        <w:t>BNT162b2 compared to mRNA-1273, however not being confirmed by our sensitivity analyses</w:t>
      </w:r>
      <w:r w:rsidR="00345D6A">
        <w:rPr>
          <w:rFonts w:ascii="Times New Roman" w:hAnsi="Times New Roman" w:cs="Times New Roman"/>
          <w:color w:val="000000" w:themeColor="text1"/>
          <w:sz w:val="24"/>
          <w:szCs w:val="24"/>
          <w:lang w:val="en-US"/>
        </w:rPr>
        <w:t xml:space="preserve"> (</w:t>
      </w:r>
      <w:r w:rsidR="00345D6A">
        <w:rPr>
          <w:rFonts w:ascii="Times New Roman" w:hAnsi="Times New Roman" w:cs="Times New Roman"/>
          <w:b/>
          <w:color w:val="000000" w:themeColor="text1"/>
          <w:sz w:val="24"/>
          <w:szCs w:val="24"/>
          <w:lang w:val="en-US"/>
        </w:rPr>
        <w:t>Table S</w:t>
      </w:r>
      <w:r w:rsidR="002C1C3F">
        <w:rPr>
          <w:rFonts w:ascii="Times New Roman" w:hAnsi="Times New Roman" w:cs="Times New Roman"/>
          <w:b/>
          <w:color w:val="000000" w:themeColor="text1"/>
          <w:sz w:val="24"/>
          <w:szCs w:val="24"/>
          <w:lang w:val="en-US"/>
        </w:rPr>
        <w:t>4</w:t>
      </w:r>
      <w:r w:rsidR="00345D6A">
        <w:rPr>
          <w:rFonts w:ascii="Times New Roman" w:hAnsi="Times New Roman" w:cs="Times New Roman"/>
          <w:sz w:val="24"/>
          <w:szCs w:val="24"/>
          <w:lang w:val="en-US"/>
        </w:rPr>
        <w:t>)</w:t>
      </w:r>
      <w:r w:rsidR="00345D6A" w:rsidRPr="00A938AD">
        <w:rPr>
          <w:rFonts w:ascii="Times New Roman" w:hAnsi="Times New Roman" w:cs="Times New Roman"/>
          <w:color w:val="000000" w:themeColor="text1"/>
          <w:sz w:val="24"/>
          <w:szCs w:val="24"/>
          <w:lang w:val="en-US"/>
        </w:rPr>
        <w:t>.</w:t>
      </w:r>
    </w:p>
    <w:p w14:paraId="2F67A116" w14:textId="77777777" w:rsidR="005026A6" w:rsidRDefault="005026A6" w:rsidP="00DE31C5">
      <w:pPr>
        <w:pStyle w:val="Sansinterligne"/>
        <w:spacing w:line="480" w:lineRule="auto"/>
        <w:jc w:val="both"/>
        <w:rPr>
          <w:rFonts w:ascii="Times New Roman" w:hAnsi="Times New Roman" w:cs="Times New Roman"/>
          <w:lang w:val="en-US"/>
        </w:rPr>
      </w:pPr>
    </w:p>
    <w:p w14:paraId="6D05A08E" w14:textId="05EF53B3" w:rsidR="004C5655" w:rsidRPr="00DE31C5" w:rsidRDefault="00946653">
      <w:pPr>
        <w:pStyle w:val="Sansinterligne"/>
        <w:spacing w:line="480" w:lineRule="auto"/>
        <w:ind w:firstLine="708"/>
        <w:jc w:val="both"/>
        <w:rPr>
          <w:rFonts w:ascii="Times New Roman" w:hAnsi="Times New Roman" w:cs="Times New Roman"/>
          <w:b/>
          <w:bCs/>
          <w:iCs/>
          <w:sz w:val="24"/>
          <w:szCs w:val="24"/>
          <w:lang w:val="en-US"/>
        </w:rPr>
      </w:pPr>
      <w:r w:rsidRPr="00DE31C5">
        <w:rPr>
          <w:rFonts w:ascii="Times New Roman" w:hAnsi="Times New Roman" w:cs="Times New Roman"/>
          <w:b/>
          <w:bCs/>
          <w:iCs/>
          <w:sz w:val="24"/>
          <w:szCs w:val="24"/>
          <w:lang w:val="en-US"/>
        </w:rPr>
        <w:t>Discussion</w:t>
      </w:r>
    </w:p>
    <w:p w14:paraId="4D40135F" w14:textId="2B7581DD" w:rsidR="00137CE1" w:rsidRDefault="008B0FAE" w:rsidP="00A9645F">
      <w:pPr>
        <w:pStyle w:val="Sansinterligne"/>
        <w:spacing w:line="480" w:lineRule="auto"/>
        <w:ind w:firstLine="708"/>
        <w:jc w:val="both"/>
        <w:rPr>
          <w:rFonts w:ascii="Times New Roman" w:hAnsi="Times New Roman" w:cs="Times New Roman"/>
          <w:sz w:val="24"/>
          <w:szCs w:val="24"/>
          <w:lang w:val="en-US"/>
        </w:rPr>
      </w:pPr>
      <w:r w:rsidRPr="00FF738A">
        <w:rPr>
          <w:rFonts w:ascii="Times New Roman" w:hAnsi="Times New Roman" w:cs="Times New Roman"/>
          <w:sz w:val="24"/>
          <w:szCs w:val="24"/>
          <w:lang w:val="en-US"/>
        </w:rPr>
        <w:t xml:space="preserve">Our </w:t>
      </w:r>
      <w:r w:rsidR="00713C4C" w:rsidRPr="00FF738A">
        <w:rPr>
          <w:rFonts w:ascii="Times New Roman" w:hAnsi="Times New Roman" w:cs="Times New Roman"/>
          <w:sz w:val="24"/>
          <w:szCs w:val="24"/>
          <w:lang w:val="en-US"/>
        </w:rPr>
        <w:t xml:space="preserve">study </w:t>
      </w:r>
      <w:r w:rsidRPr="00FF738A">
        <w:rPr>
          <w:rFonts w:ascii="Times New Roman" w:hAnsi="Times New Roman" w:cs="Times New Roman"/>
          <w:sz w:val="24"/>
          <w:szCs w:val="24"/>
          <w:lang w:val="en-US"/>
        </w:rPr>
        <w:t xml:space="preserve">first </w:t>
      </w:r>
      <w:r w:rsidR="00713C4C" w:rsidRPr="00FF738A">
        <w:rPr>
          <w:rFonts w:ascii="Times New Roman" w:hAnsi="Times New Roman" w:cs="Times New Roman"/>
          <w:sz w:val="24"/>
          <w:szCs w:val="24"/>
          <w:lang w:val="en-US"/>
        </w:rPr>
        <w:t>describe</w:t>
      </w:r>
      <w:r w:rsidR="004C6C8C" w:rsidRPr="00FF738A">
        <w:rPr>
          <w:rFonts w:ascii="Times New Roman" w:hAnsi="Times New Roman" w:cs="Times New Roman"/>
          <w:sz w:val="24"/>
          <w:szCs w:val="24"/>
          <w:lang w:val="en-US"/>
        </w:rPr>
        <w:t>s</w:t>
      </w:r>
      <w:r w:rsidR="00713C4C" w:rsidRPr="00FF738A">
        <w:rPr>
          <w:rFonts w:ascii="Times New Roman" w:hAnsi="Times New Roman" w:cs="Times New Roman"/>
          <w:sz w:val="24"/>
          <w:szCs w:val="24"/>
          <w:lang w:val="en-US"/>
        </w:rPr>
        <w:t xml:space="preserve"> the occurrence of </w:t>
      </w:r>
      <w:r w:rsidR="00277BDD" w:rsidRPr="00FF738A">
        <w:rPr>
          <w:rFonts w:ascii="Times New Roman" w:hAnsi="Times New Roman" w:cs="Times New Roman"/>
          <w:sz w:val="24"/>
          <w:szCs w:val="24"/>
          <w:lang w:val="en-US"/>
        </w:rPr>
        <w:t>HZ</w:t>
      </w:r>
      <w:r w:rsidR="00713C4C" w:rsidRPr="00FF738A">
        <w:rPr>
          <w:rFonts w:ascii="Times New Roman" w:hAnsi="Times New Roman" w:cs="Times New Roman"/>
          <w:sz w:val="24"/>
          <w:szCs w:val="24"/>
          <w:lang w:val="en-US"/>
        </w:rPr>
        <w:t xml:space="preserve"> after </w:t>
      </w:r>
      <w:r w:rsidR="0008206E" w:rsidRPr="00FF738A">
        <w:rPr>
          <w:rFonts w:ascii="Times New Roman" w:hAnsi="Times New Roman" w:cs="Times New Roman"/>
          <w:sz w:val="24"/>
          <w:szCs w:val="24"/>
          <w:lang w:val="en-US"/>
        </w:rPr>
        <w:t xml:space="preserve">mRNA </w:t>
      </w:r>
      <w:r w:rsidR="004C6C8C" w:rsidRPr="00FF738A">
        <w:rPr>
          <w:rFonts w:ascii="Times New Roman" w:hAnsi="Times New Roman" w:cs="Times New Roman"/>
          <w:sz w:val="24"/>
          <w:szCs w:val="24"/>
          <w:lang w:val="en-US"/>
        </w:rPr>
        <w:t xml:space="preserve">COVID-19 </w:t>
      </w:r>
      <w:r w:rsidR="00713C4C" w:rsidRPr="00FF738A">
        <w:rPr>
          <w:rFonts w:ascii="Times New Roman" w:hAnsi="Times New Roman" w:cs="Times New Roman"/>
          <w:sz w:val="24"/>
          <w:szCs w:val="24"/>
          <w:lang w:val="en-US"/>
        </w:rPr>
        <w:t xml:space="preserve">vaccination </w:t>
      </w:r>
      <w:r w:rsidR="00CE3F56" w:rsidRPr="00FF738A">
        <w:rPr>
          <w:rFonts w:ascii="Times New Roman" w:hAnsi="Times New Roman" w:cs="Times New Roman"/>
          <w:sz w:val="24"/>
          <w:szCs w:val="24"/>
          <w:lang w:val="en-US"/>
        </w:rPr>
        <w:t>at a global level</w:t>
      </w:r>
      <w:r w:rsidR="002E241A">
        <w:rPr>
          <w:rFonts w:ascii="Times New Roman" w:hAnsi="Times New Roman" w:cs="Times New Roman"/>
          <w:sz w:val="24"/>
          <w:szCs w:val="24"/>
          <w:lang w:val="en-US"/>
        </w:rPr>
        <w:t xml:space="preserve"> and </w:t>
      </w:r>
      <w:r w:rsidR="00753F11">
        <w:rPr>
          <w:rFonts w:ascii="Times New Roman" w:hAnsi="Times New Roman" w:cs="Times New Roman"/>
          <w:sz w:val="24"/>
          <w:szCs w:val="24"/>
          <w:lang w:val="en-US"/>
        </w:rPr>
        <w:t>evidence an</w:t>
      </w:r>
      <w:r w:rsidR="002E241A">
        <w:rPr>
          <w:rFonts w:ascii="Times New Roman" w:hAnsi="Times New Roman" w:cs="Times New Roman"/>
          <w:sz w:val="24"/>
          <w:szCs w:val="24"/>
          <w:lang w:val="en-US"/>
        </w:rPr>
        <w:t xml:space="preserve"> increased relative risk of </w:t>
      </w:r>
      <w:r w:rsidR="00137CE1">
        <w:rPr>
          <w:rFonts w:ascii="Times New Roman" w:hAnsi="Times New Roman" w:cs="Times New Roman"/>
          <w:sz w:val="24"/>
          <w:szCs w:val="24"/>
          <w:lang w:val="en-US"/>
        </w:rPr>
        <w:t xml:space="preserve">HZ </w:t>
      </w:r>
      <w:r w:rsidR="002E241A">
        <w:rPr>
          <w:rFonts w:ascii="Times New Roman" w:hAnsi="Times New Roman" w:cs="Times New Roman"/>
          <w:sz w:val="24"/>
          <w:szCs w:val="24"/>
          <w:lang w:val="en-US"/>
        </w:rPr>
        <w:t>reporting in mRNA COVID-19 vaccine recipient</w:t>
      </w:r>
      <w:r w:rsidR="00137CE1">
        <w:rPr>
          <w:rFonts w:ascii="Times New Roman" w:hAnsi="Times New Roman" w:cs="Times New Roman"/>
          <w:sz w:val="24"/>
          <w:szCs w:val="24"/>
          <w:lang w:val="en-US"/>
        </w:rPr>
        <w:t>s</w:t>
      </w:r>
      <w:r w:rsidR="002E241A">
        <w:rPr>
          <w:rFonts w:ascii="Times New Roman" w:hAnsi="Times New Roman" w:cs="Times New Roman"/>
          <w:sz w:val="24"/>
          <w:szCs w:val="24"/>
          <w:lang w:val="en-US"/>
        </w:rPr>
        <w:t xml:space="preserve"> </w:t>
      </w:r>
      <w:r w:rsidR="00751DC9">
        <w:rPr>
          <w:rFonts w:ascii="Times New Roman" w:hAnsi="Times New Roman" w:cs="Times New Roman"/>
          <w:sz w:val="24"/>
          <w:szCs w:val="24"/>
          <w:lang w:val="en-US"/>
        </w:rPr>
        <w:t xml:space="preserve">as </w:t>
      </w:r>
      <w:r w:rsidR="002E241A">
        <w:rPr>
          <w:rFonts w:ascii="Times New Roman" w:hAnsi="Times New Roman" w:cs="Times New Roman"/>
          <w:sz w:val="24"/>
          <w:szCs w:val="24"/>
          <w:lang w:val="en-US"/>
        </w:rPr>
        <w:t>compared to influenza vaccin</w:t>
      </w:r>
      <w:r w:rsidR="00137CE1">
        <w:rPr>
          <w:rFonts w:ascii="Times New Roman" w:hAnsi="Times New Roman" w:cs="Times New Roman"/>
          <w:sz w:val="24"/>
          <w:szCs w:val="24"/>
          <w:lang w:val="en-US"/>
        </w:rPr>
        <w:t>e</w:t>
      </w:r>
      <w:r w:rsidR="002E241A">
        <w:rPr>
          <w:rFonts w:ascii="Times New Roman" w:hAnsi="Times New Roman" w:cs="Times New Roman"/>
          <w:sz w:val="24"/>
          <w:szCs w:val="24"/>
          <w:lang w:val="en-US"/>
        </w:rPr>
        <w:t xml:space="preserve"> recipients.</w:t>
      </w:r>
      <w:r w:rsidR="00137CE1">
        <w:rPr>
          <w:rFonts w:ascii="Times New Roman" w:hAnsi="Times New Roman" w:cs="Times New Roman"/>
          <w:sz w:val="24"/>
          <w:szCs w:val="24"/>
          <w:lang w:val="en-US"/>
        </w:rPr>
        <w:t xml:space="preserve"> </w:t>
      </w:r>
      <w:r w:rsidR="005026A6">
        <w:rPr>
          <w:rFonts w:ascii="Times New Roman" w:hAnsi="Times New Roman" w:cs="Times New Roman"/>
          <w:sz w:val="24"/>
          <w:szCs w:val="24"/>
          <w:lang w:val="en-US"/>
        </w:rPr>
        <w:t xml:space="preserve">Furthermore, as expected acknowledging the classical epidemiology of HZ reactions, this risk </w:t>
      </w:r>
      <w:proofErr w:type="gramStart"/>
      <w:r w:rsidR="005026A6">
        <w:rPr>
          <w:rFonts w:ascii="Times New Roman" w:hAnsi="Times New Roman" w:cs="Times New Roman"/>
          <w:sz w:val="24"/>
          <w:szCs w:val="24"/>
          <w:lang w:val="en-US"/>
        </w:rPr>
        <w:t>was reduced</w:t>
      </w:r>
      <w:proofErr w:type="gramEnd"/>
      <w:r w:rsidR="005026A6">
        <w:rPr>
          <w:rFonts w:ascii="Times New Roman" w:hAnsi="Times New Roman" w:cs="Times New Roman"/>
          <w:sz w:val="24"/>
          <w:szCs w:val="24"/>
          <w:lang w:val="en-US"/>
        </w:rPr>
        <w:t xml:space="preserve"> in patients under 40 </w:t>
      </w:r>
      <w:r w:rsidR="009673F7">
        <w:rPr>
          <w:rFonts w:ascii="Times New Roman" w:hAnsi="Times New Roman" w:cs="Times New Roman"/>
          <w:color w:val="000000" w:themeColor="text1"/>
          <w:sz w:val="24"/>
          <w:szCs w:val="24"/>
          <w:lang w:val="en-US"/>
        </w:rPr>
        <w:t>year-old</w:t>
      </w:r>
      <w:r w:rsidR="005026A6">
        <w:rPr>
          <w:rFonts w:ascii="Times New Roman" w:hAnsi="Times New Roman" w:cs="Times New Roman"/>
          <w:sz w:val="24"/>
          <w:szCs w:val="24"/>
          <w:lang w:val="en-US"/>
        </w:rPr>
        <w:t xml:space="preserve">. </w:t>
      </w:r>
      <w:r w:rsidR="00137CE1">
        <w:rPr>
          <w:rFonts w:ascii="Times New Roman" w:hAnsi="Times New Roman" w:cs="Times New Roman"/>
          <w:sz w:val="24"/>
          <w:szCs w:val="24"/>
          <w:lang w:val="en-US"/>
        </w:rPr>
        <w:t xml:space="preserve">HZ reactions </w:t>
      </w:r>
      <w:r w:rsidR="00B061F9">
        <w:rPr>
          <w:rFonts w:ascii="Times New Roman" w:hAnsi="Times New Roman" w:cs="Times New Roman"/>
          <w:sz w:val="24"/>
          <w:szCs w:val="24"/>
          <w:lang w:val="en-US"/>
        </w:rPr>
        <w:t>were mostly</w:t>
      </w:r>
      <w:r w:rsidR="00751DC9">
        <w:rPr>
          <w:rFonts w:ascii="Times New Roman" w:hAnsi="Times New Roman" w:cs="Times New Roman"/>
          <w:sz w:val="24"/>
          <w:szCs w:val="24"/>
          <w:lang w:val="en-US"/>
        </w:rPr>
        <w:t xml:space="preserve"> skin rash, and </w:t>
      </w:r>
      <w:r w:rsidR="00B061F9">
        <w:rPr>
          <w:rFonts w:ascii="Times New Roman" w:hAnsi="Times New Roman" w:cs="Times New Roman"/>
          <w:sz w:val="24"/>
          <w:szCs w:val="24"/>
          <w:lang w:val="en-US"/>
        </w:rPr>
        <w:t>occurred at all</w:t>
      </w:r>
      <w:r w:rsidR="00137CE1">
        <w:rPr>
          <w:rFonts w:ascii="Times New Roman" w:hAnsi="Times New Roman" w:cs="Times New Roman"/>
          <w:sz w:val="24"/>
          <w:szCs w:val="24"/>
          <w:lang w:val="en-US"/>
        </w:rPr>
        <w:t xml:space="preserve"> age groups</w:t>
      </w:r>
      <w:r w:rsidR="00342084" w:rsidRPr="00FF738A">
        <w:rPr>
          <w:rFonts w:ascii="Times New Roman" w:hAnsi="Times New Roman" w:cs="Times New Roman"/>
          <w:sz w:val="24"/>
          <w:szCs w:val="24"/>
          <w:lang w:val="en-US"/>
        </w:rPr>
        <w:t>.</w:t>
      </w:r>
      <w:r w:rsidR="00F33E7F" w:rsidRPr="00FF738A">
        <w:rPr>
          <w:rFonts w:ascii="Times New Roman" w:hAnsi="Times New Roman" w:cs="Times New Roman"/>
          <w:sz w:val="24"/>
          <w:szCs w:val="24"/>
          <w:lang w:val="en-US"/>
        </w:rPr>
        <w:t xml:space="preserve"> </w:t>
      </w:r>
      <w:r w:rsidR="003A11D4" w:rsidRPr="00FF738A">
        <w:rPr>
          <w:rFonts w:ascii="Times New Roman" w:hAnsi="Times New Roman" w:cs="Times New Roman"/>
          <w:sz w:val="24"/>
          <w:szCs w:val="24"/>
          <w:lang w:val="en-US"/>
        </w:rPr>
        <w:t>Time</w:t>
      </w:r>
      <w:r w:rsidR="009F13E3" w:rsidRPr="00FF738A">
        <w:rPr>
          <w:rFonts w:ascii="Times New Roman" w:hAnsi="Times New Roman" w:cs="Times New Roman"/>
          <w:sz w:val="24"/>
          <w:szCs w:val="24"/>
          <w:lang w:val="en-US"/>
        </w:rPr>
        <w:t xml:space="preserve"> to HZ onset</w:t>
      </w:r>
      <w:r w:rsidR="00137CE1">
        <w:rPr>
          <w:rFonts w:ascii="Times New Roman" w:hAnsi="Times New Roman" w:cs="Times New Roman"/>
          <w:sz w:val="24"/>
          <w:szCs w:val="24"/>
          <w:lang w:val="en-US"/>
        </w:rPr>
        <w:t xml:space="preserve"> following mRNA COVID-19 vaccination</w:t>
      </w:r>
      <w:r w:rsidR="009F13E3" w:rsidRPr="00FF738A">
        <w:rPr>
          <w:rFonts w:ascii="Times New Roman" w:hAnsi="Times New Roman" w:cs="Times New Roman"/>
          <w:sz w:val="24"/>
          <w:szCs w:val="24"/>
          <w:lang w:val="en-US"/>
        </w:rPr>
        <w:t xml:space="preserve"> </w:t>
      </w:r>
      <w:r w:rsidR="00F27F7F" w:rsidRPr="00FF738A">
        <w:rPr>
          <w:rFonts w:ascii="Times New Roman" w:hAnsi="Times New Roman" w:cs="Times New Roman"/>
          <w:sz w:val="24"/>
          <w:szCs w:val="24"/>
          <w:lang w:val="en-US"/>
        </w:rPr>
        <w:t xml:space="preserve">of one week after </w:t>
      </w:r>
      <w:r w:rsidR="00F27F7F">
        <w:rPr>
          <w:rFonts w:ascii="Times New Roman" w:hAnsi="Times New Roman" w:cs="Times New Roman"/>
          <w:sz w:val="24"/>
          <w:szCs w:val="24"/>
          <w:lang w:val="en-US"/>
        </w:rPr>
        <w:t>injection</w:t>
      </w:r>
      <w:r w:rsidR="00F27F7F" w:rsidRPr="00FF738A">
        <w:rPr>
          <w:rFonts w:ascii="Times New Roman" w:hAnsi="Times New Roman" w:cs="Times New Roman"/>
          <w:sz w:val="24"/>
          <w:szCs w:val="24"/>
          <w:lang w:val="en-US"/>
        </w:rPr>
        <w:t xml:space="preserve"> </w:t>
      </w:r>
      <w:r w:rsidR="009F13E3" w:rsidRPr="00FF738A">
        <w:rPr>
          <w:rFonts w:ascii="Times New Roman" w:hAnsi="Times New Roman" w:cs="Times New Roman"/>
          <w:sz w:val="24"/>
          <w:szCs w:val="24"/>
          <w:lang w:val="en-US"/>
        </w:rPr>
        <w:t xml:space="preserve">seems to be similar to that of HZ </w:t>
      </w:r>
      <w:r w:rsidR="009452CF">
        <w:rPr>
          <w:rFonts w:ascii="Times New Roman" w:hAnsi="Times New Roman" w:cs="Times New Roman"/>
          <w:sz w:val="24"/>
          <w:szCs w:val="24"/>
          <w:lang w:val="en-US"/>
        </w:rPr>
        <w:t>occurring</w:t>
      </w:r>
      <w:r w:rsidR="00751DC9">
        <w:rPr>
          <w:rFonts w:ascii="Times New Roman" w:hAnsi="Times New Roman" w:cs="Times New Roman"/>
          <w:sz w:val="24"/>
          <w:szCs w:val="24"/>
          <w:lang w:val="en-US"/>
        </w:rPr>
        <w:t xml:space="preserve"> as a consequence of </w:t>
      </w:r>
      <w:r w:rsidR="00751DC9">
        <w:rPr>
          <w:rFonts w:ascii="Times New Roman" w:hAnsi="Times New Roman" w:cs="Times New Roman"/>
          <w:color w:val="000000" w:themeColor="text1"/>
          <w:sz w:val="24"/>
          <w:szCs w:val="24"/>
          <w:lang w:val="en-US"/>
        </w:rPr>
        <w:t>C</w:t>
      </w:r>
      <w:r w:rsidR="009F13E3" w:rsidRPr="00FF738A">
        <w:rPr>
          <w:rFonts w:ascii="Times New Roman" w:hAnsi="Times New Roman" w:cs="Times New Roman"/>
          <w:color w:val="000000" w:themeColor="text1"/>
          <w:sz w:val="24"/>
          <w:szCs w:val="24"/>
          <w:lang w:val="en-US"/>
        </w:rPr>
        <w:t>OVID-19 infection</w:t>
      </w:r>
      <w:r w:rsidR="00D309E2">
        <w:rPr>
          <w:rFonts w:ascii="Times New Roman" w:hAnsi="Times New Roman" w:cs="Times New Roman"/>
          <w:color w:val="000000" w:themeColor="text1"/>
          <w:sz w:val="24"/>
          <w:szCs w:val="24"/>
          <w:lang w:val="en-US"/>
        </w:rPr>
        <w:t xml:space="preserve"> </w:t>
      </w:r>
      <w:r w:rsidR="002C39EA" w:rsidRPr="00FF738A">
        <w:rPr>
          <w:rFonts w:ascii="Times New Roman" w:hAnsi="Times New Roman" w:cs="Times New Roman"/>
          <w:color w:val="000000" w:themeColor="text1"/>
          <w:sz w:val="24"/>
          <w:szCs w:val="24"/>
          <w:lang w:val="en-US"/>
        </w:rPr>
        <w:fldChar w:fldCharType="begin"/>
      </w:r>
      <w:r w:rsidR="00B416E7">
        <w:rPr>
          <w:rFonts w:ascii="Times New Roman" w:hAnsi="Times New Roman" w:cs="Times New Roman"/>
          <w:color w:val="000000" w:themeColor="text1"/>
          <w:sz w:val="24"/>
          <w:szCs w:val="24"/>
          <w:lang w:val="en-US"/>
        </w:rPr>
        <w:instrText xml:space="preserve"> ADDIN ZOTERO_ITEM CSL_CITATION {"citationID":"99o6ZGBW","properties":{"formattedCitation":"(9)","plainCitation":"(9)","noteIndex":0},"citationItems":[{"id":"yxthfPoW/QbpGXbtN","uris":["http://zotero.org/users/5084208/items/6MC2N5P2"],"uri":["http://zotero.org/users/5084208/items/6MC2N5P2"],"itemData":{"id":6344,"type":"article-journal","container-title":"International Journal of Dermatology","DOI":"10.1111/ijd.15001","ISSN":"0011-9059, 1365-4632","issue":"8","journalAbbreviation":"Int J Dermatol","language":"en","page":"1028-1029","source":"DOI.org (Crossref)","title":"Herpes zoster in COVID‐19‐positive patients","volume":"59","author":[{"family":"Tartari","given":"Federico"},{"family":"Spadotto","given":"Alberto"},{"family":"Zengarini","given":"Corrado"},{"family":"Zanoni","given":"Rossana"},{"family":"Guglielmo","given":"Alba"},{"family":"Adorno","given":"Alexander"},{"family":"Valzania","given":"Cinzia"},{"family":"Pileri","given":"Alessandro"}],"issued":{"date-parts":[["2020",8]]}}}],"schema":"https://github.com/citation-style-language/schema/raw/master/csl-citation.json"} </w:instrText>
      </w:r>
      <w:r w:rsidR="002C39EA" w:rsidRPr="00FF738A">
        <w:rPr>
          <w:rFonts w:ascii="Times New Roman" w:hAnsi="Times New Roman" w:cs="Times New Roman"/>
          <w:color w:val="000000" w:themeColor="text1"/>
          <w:sz w:val="24"/>
          <w:szCs w:val="24"/>
          <w:lang w:val="en-US"/>
        </w:rPr>
        <w:fldChar w:fldCharType="separate"/>
      </w:r>
      <w:r w:rsidR="002E7878" w:rsidRPr="009F4E37">
        <w:rPr>
          <w:rFonts w:ascii="Times New Roman" w:hAnsi="Times New Roman" w:cs="Times New Roman"/>
          <w:sz w:val="24"/>
          <w:lang w:val="en-US"/>
        </w:rPr>
        <w:t>(9)</w:t>
      </w:r>
      <w:r w:rsidR="002C39EA" w:rsidRPr="00FF738A">
        <w:rPr>
          <w:rFonts w:ascii="Times New Roman" w:hAnsi="Times New Roman" w:cs="Times New Roman"/>
          <w:color w:val="000000" w:themeColor="text1"/>
          <w:sz w:val="24"/>
          <w:szCs w:val="24"/>
          <w:lang w:val="en-US"/>
        </w:rPr>
        <w:fldChar w:fldCharType="end"/>
      </w:r>
      <w:r w:rsidR="00D309E2">
        <w:rPr>
          <w:rFonts w:ascii="Times New Roman" w:hAnsi="Times New Roman" w:cs="Times New Roman"/>
          <w:color w:val="000000" w:themeColor="text1"/>
          <w:sz w:val="24"/>
          <w:szCs w:val="24"/>
          <w:lang w:val="en-US"/>
        </w:rPr>
        <w:t>.</w:t>
      </w:r>
      <w:r w:rsidR="00137CE1">
        <w:rPr>
          <w:rFonts w:ascii="Times New Roman" w:hAnsi="Times New Roman" w:cs="Times New Roman"/>
          <w:sz w:val="24"/>
          <w:szCs w:val="24"/>
          <w:lang w:val="en-US"/>
        </w:rPr>
        <w:t xml:space="preserve"> Some cases of </w:t>
      </w:r>
      <w:r w:rsidR="00B11E32">
        <w:rPr>
          <w:rFonts w:ascii="Times New Roman" w:hAnsi="Times New Roman" w:cs="Times New Roman"/>
          <w:sz w:val="24"/>
          <w:szCs w:val="24"/>
          <w:lang w:val="en-US"/>
        </w:rPr>
        <w:t xml:space="preserve">CNS </w:t>
      </w:r>
      <w:r w:rsidR="00137CE1">
        <w:rPr>
          <w:rFonts w:ascii="Times New Roman" w:hAnsi="Times New Roman" w:cs="Times New Roman"/>
          <w:sz w:val="24"/>
          <w:szCs w:val="24"/>
          <w:lang w:val="en-US"/>
        </w:rPr>
        <w:t xml:space="preserve">injuries were also observed </w:t>
      </w:r>
      <w:r w:rsidR="00973B0F" w:rsidRPr="00FF738A">
        <w:rPr>
          <w:rFonts w:ascii="Times New Roman" w:hAnsi="Times New Roman" w:cs="Times New Roman"/>
          <w:sz w:val="24"/>
          <w:szCs w:val="24"/>
          <w:lang w:val="en-US"/>
        </w:rPr>
        <w:t>with a later onset</w:t>
      </w:r>
      <w:r w:rsidR="00137CE1">
        <w:rPr>
          <w:rFonts w:ascii="Times New Roman" w:hAnsi="Times New Roman" w:cs="Times New Roman"/>
          <w:sz w:val="24"/>
          <w:szCs w:val="24"/>
          <w:lang w:val="en-US"/>
        </w:rPr>
        <w:t xml:space="preserve"> and noteworthy no fatal outcome </w:t>
      </w:r>
      <w:r w:rsidR="00E65556">
        <w:rPr>
          <w:rFonts w:ascii="Times New Roman" w:hAnsi="Times New Roman" w:cs="Times New Roman"/>
          <w:sz w:val="24"/>
          <w:szCs w:val="24"/>
          <w:lang w:val="en-US"/>
        </w:rPr>
        <w:t>were</w:t>
      </w:r>
      <w:r w:rsidR="00137CE1">
        <w:rPr>
          <w:rFonts w:ascii="Times New Roman" w:hAnsi="Times New Roman" w:cs="Times New Roman"/>
          <w:sz w:val="24"/>
          <w:szCs w:val="24"/>
          <w:lang w:val="en-US"/>
        </w:rPr>
        <w:t xml:space="preserve"> reporte</w:t>
      </w:r>
      <w:r w:rsidR="00E65556">
        <w:rPr>
          <w:rFonts w:ascii="Times New Roman" w:hAnsi="Times New Roman" w:cs="Times New Roman"/>
          <w:sz w:val="24"/>
          <w:szCs w:val="24"/>
          <w:lang w:val="en-US"/>
        </w:rPr>
        <w:t>d</w:t>
      </w:r>
      <w:r w:rsidR="00A9645F" w:rsidRPr="00FF738A">
        <w:rPr>
          <w:rFonts w:ascii="Times New Roman" w:hAnsi="Times New Roman" w:cs="Times New Roman"/>
          <w:sz w:val="24"/>
          <w:szCs w:val="24"/>
          <w:lang w:val="en-US"/>
        </w:rPr>
        <w:t>.</w:t>
      </w:r>
      <w:r w:rsidR="0033089B">
        <w:rPr>
          <w:rFonts w:ascii="Times New Roman" w:hAnsi="Times New Roman" w:cs="Times New Roman"/>
          <w:sz w:val="24"/>
          <w:szCs w:val="24"/>
          <w:lang w:val="en-US"/>
        </w:rPr>
        <w:t xml:space="preserve"> </w:t>
      </w:r>
      <w:r w:rsidR="00F71F32">
        <w:rPr>
          <w:rFonts w:ascii="Times New Roman" w:hAnsi="Times New Roman" w:cs="Times New Roman"/>
          <w:sz w:val="24"/>
          <w:szCs w:val="24"/>
          <w:lang w:val="en-US"/>
        </w:rPr>
        <w:t>A</w:t>
      </w:r>
      <w:r w:rsidR="0033089B">
        <w:rPr>
          <w:rFonts w:ascii="Times New Roman" w:hAnsi="Times New Roman" w:cs="Times New Roman"/>
          <w:sz w:val="24"/>
          <w:szCs w:val="24"/>
          <w:lang w:val="en-US"/>
        </w:rPr>
        <w:t xml:space="preserve"> significant different risk for HZ reporting between </w:t>
      </w:r>
      <w:r w:rsidR="0033089B" w:rsidRPr="00133D3F">
        <w:rPr>
          <w:rFonts w:ascii="Times New Roman" w:hAnsi="Times New Roman" w:cs="Times New Roman"/>
          <w:color w:val="000000" w:themeColor="text1"/>
          <w:sz w:val="24"/>
          <w:szCs w:val="24"/>
          <w:lang w:val="en-US"/>
        </w:rPr>
        <w:t xml:space="preserve">BNT162b2 </w:t>
      </w:r>
      <w:r w:rsidR="0033089B">
        <w:rPr>
          <w:rFonts w:ascii="Times New Roman" w:hAnsi="Times New Roman" w:cs="Times New Roman"/>
          <w:color w:val="000000" w:themeColor="text1"/>
          <w:sz w:val="24"/>
          <w:szCs w:val="24"/>
          <w:lang w:val="en-US"/>
        </w:rPr>
        <w:t>and m</w:t>
      </w:r>
      <w:r w:rsidR="0033089B" w:rsidRPr="00133D3F">
        <w:rPr>
          <w:rFonts w:ascii="Times New Roman" w:hAnsi="Times New Roman" w:cs="Times New Roman"/>
          <w:color w:val="000000" w:themeColor="text1"/>
          <w:sz w:val="24"/>
          <w:szCs w:val="24"/>
          <w:lang w:val="en-US"/>
        </w:rPr>
        <w:t>RNA-1273</w:t>
      </w:r>
      <w:r w:rsidR="0033089B">
        <w:rPr>
          <w:rFonts w:ascii="Times New Roman" w:hAnsi="Times New Roman" w:cs="Times New Roman"/>
          <w:color w:val="000000" w:themeColor="text1"/>
          <w:sz w:val="24"/>
          <w:szCs w:val="24"/>
          <w:lang w:val="en-US"/>
        </w:rPr>
        <w:t xml:space="preserve"> appears unlikely.</w:t>
      </w:r>
    </w:p>
    <w:p w14:paraId="56E75310" w14:textId="3EF4643B" w:rsidR="00EA5DFF" w:rsidRPr="00FF738A" w:rsidRDefault="005A52C6" w:rsidP="00A9645F">
      <w:pPr>
        <w:pStyle w:val="Sansinterligne"/>
        <w:spacing w:line="480" w:lineRule="auto"/>
        <w:ind w:firstLine="708"/>
        <w:jc w:val="both"/>
        <w:rPr>
          <w:rFonts w:ascii="Times New Roman" w:hAnsi="Times New Roman" w:cs="Times New Roman"/>
          <w:color w:val="000000" w:themeColor="text1"/>
          <w:sz w:val="24"/>
          <w:szCs w:val="24"/>
          <w:lang w:val="en-US"/>
        </w:rPr>
      </w:pPr>
      <w:r w:rsidRPr="00133D3F">
        <w:rPr>
          <w:rFonts w:ascii="Times New Roman" w:hAnsi="Times New Roman" w:cs="Times New Roman"/>
          <w:sz w:val="24"/>
          <w:szCs w:val="24"/>
          <w:lang w:val="en-US"/>
        </w:rPr>
        <w:t xml:space="preserve">Herpes zoster (HZ) may </w:t>
      </w:r>
      <w:r w:rsidR="00ED4ABD">
        <w:rPr>
          <w:rFonts w:ascii="Times New Roman" w:hAnsi="Times New Roman" w:cs="Times New Roman"/>
          <w:sz w:val="24"/>
          <w:szCs w:val="24"/>
          <w:lang w:val="en-US"/>
        </w:rPr>
        <w:t>occur</w:t>
      </w:r>
      <w:r w:rsidRPr="00133D3F">
        <w:rPr>
          <w:rFonts w:ascii="Times New Roman" w:hAnsi="Times New Roman" w:cs="Times New Roman"/>
          <w:sz w:val="24"/>
          <w:szCs w:val="24"/>
          <w:lang w:val="en-US"/>
        </w:rPr>
        <w:t xml:space="preserve"> in patients previously infected with varicella-zoster virus</w:t>
      </w:r>
      <w:r w:rsidR="00F71F32">
        <w:rPr>
          <w:rFonts w:ascii="Times New Roman" w:hAnsi="Times New Roman" w:cs="Times New Roman"/>
          <w:sz w:val="24"/>
          <w:szCs w:val="24"/>
          <w:lang w:val="en-US"/>
        </w:rPr>
        <w:t>,</w:t>
      </w:r>
      <w:r w:rsidRPr="00133D3F">
        <w:rPr>
          <w:rFonts w:ascii="Times New Roman" w:hAnsi="Times New Roman" w:cs="Times New Roman"/>
          <w:sz w:val="24"/>
          <w:szCs w:val="24"/>
          <w:lang w:val="en-US"/>
        </w:rPr>
        <w:t xml:space="preserve"> </w:t>
      </w:r>
      <w:r w:rsidR="00F71F32" w:rsidRPr="00133D3F">
        <w:rPr>
          <w:rFonts w:ascii="Times New Roman" w:hAnsi="Times New Roman" w:cs="Times New Roman"/>
          <w:sz w:val="24"/>
          <w:szCs w:val="24"/>
          <w:lang w:val="en-US"/>
        </w:rPr>
        <w:t xml:space="preserve">especially in </w:t>
      </w:r>
      <w:r w:rsidR="009C6B28">
        <w:rPr>
          <w:rFonts w:ascii="Times New Roman" w:hAnsi="Times New Roman" w:cs="Times New Roman"/>
          <w:sz w:val="24"/>
          <w:szCs w:val="24"/>
          <w:lang w:val="en-US"/>
        </w:rPr>
        <w:t xml:space="preserve">patients with cellular immune defects </w:t>
      </w:r>
      <w:r w:rsidR="00F71F32" w:rsidRPr="00133D3F">
        <w:rPr>
          <w:rFonts w:ascii="Times New Roman" w:hAnsi="Times New Roman" w:cs="Times New Roman"/>
          <w:sz w:val="24"/>
          <w:szCs w:val="24"/>
          <w:lang w:val="en-US"/>
        </w:rPr>
        <w:t xml:space="preserve">or older people </w:t>
      </w:r>
      <w:r w:rsidRPr="00133D3F">
        <w:rPr>
          <w:rFonts w:ascii="Times New Roman" w:hAnsi="Times New Roman" w:cs="Times New Roman"/>
          <w:sz w:val="24"/>
          <w:szCs w:val="24"/>
          <w:lang w:val="en-US"/>
        </w:rPr>
        <w:fldChar w:fldCharType="begin"/>
      </w:r>
      <w:r w:rsidR="00B416E7">
        <w:rPr>
          <w:rFonts w:ascii="Times New Roman" w:hAnsi="Times New Roman" w:cs="Times New Roman"/>
          <w:sz w:val="24"/>
          <w:szCs w:val="24"/>
          <w:lang w:val="en-US"/>
        </w:rPr>
        <w:instrText xml:space="preserve"> ADDIN ZOTERO_ITEM CSL_CITATION {"citationID":"r03gOYCk","properties":{"formattedCitation":"(10)","plainCitation":"(10)","noteIndex":0},"citationItems":[{"id":"yxthfPoW/sOxw6ivp","uris":["http://zotero.org/users/5084208/items/HN2SCLQH"],"uri":["http://zotero.org/users/5084208/items/HN2SCLQH"],"itemData":{"id":6332,"type":"article-journal","container-title":"Nature Reviews Disease Primers","DOI":"10.1038/nrdp.2015.16","ISSN":"2056-676X","issue":"1","journalAbbreviation":"Nat Rev Dis Primers","language":"en","page":"15016","source":"DOI.org (Crossref)","title":"Varicella zoster virus infection","volume":"1","author":[{"family":"Gershon","given":"Anne A."},{"family":"Breuer","given":"Judith"},{"family":"Cohen","given":"Jeffrey I."},{"family":"Cohrs","given":"Randall J."},{"family":"Gershon","given":"Michael D."},{"family":"Gilden","given":"Don"},{"family":"Grose","given":"Charles"},{"family":"Hambleton","given":"Sophie"},{"family":"Kennedy","given":"Peter G. E."},{"family":"Oxman","given":"Michael N."},{"family":"Seward","given":"Jane F."},{"family":"Yamanishi","given":"Koichi"}],"issued":{"date-parts":[["2015",12,17]]}}}],"schema":"https://github.com/citation-style-language/schema/raw/master/csl-citation.json"} </w:instrText>
      </w:r>
      <w:r w:rsidRPr="00133D3F">
        <w:rPr>
          <w:rFonts w:ascii="Times New Roman" w:hAnsi="Times New Roman" w:cs="Times New Roman"/>
          <w:sz w:val="24"/>
          <w:szCs w:val="24"/>
          <w:lang w:val="en-US"/>
        </w:rPr>
        <w:fldChar w:fldCharType="separate"/>
      </w:r>
      <w:r w:rsidR="002E7878" w:rsidRPr="009F4E37">
        <w:rPr>
          <w:rFonts w:ascii="Times New Roman" w:hAnsi="Times New Roman" w:cs="Times New Roman"/>
          <w:sz w:val="24"/>
          <w:lang w:val="en-US"/>
        </w:rPr>
        <w:t>(10)</w:t>
      </w:r>
      <w:r w:rsidRPr="00133D3F">
        <w:rPr>
          <w:rFonts w:ascii="Times New Roman" w:hAnsi="Times New Roman" w:cs="Times New Roman"/>
          <w:sz w:val="24"/>
          <w:szCs w:val="24"/>
          <w:lang w:val="en-US"/>
        </w:rPr>
        <w:fldChar w:fldCharType="end"/>
      </w:r>
      <w:r w:rsidRPr="00133D3F">
        <w:rPr>
          <w:rFonts w:ascii="Times New Roman" w:hAnsi="Times New Roman" w:cs="Times New Roman"/>
          <w:sz w:val="24"/>
          <w:szCs w:val="24"/>
          <w:lang w:val="en-US"/>
        </w:rPr>
        <w:t xml:space="preserve">. It </w:t>
      </w:r>
      <w:r w:rsidR="009C6B28">
        <w:rPr>
          <w:rFonts w:ascii="Times New Roman" w:hAnsi="Times New Roman" w:cs="Times New Roman"/>
          <w:sz w:val="24"/>
          <w:szCs w:val="24"/>
          <w:lang w:val="en-US"/>
        </w:rPr>
        <w:t>mainly</w:t>
      </w:r>
      <w:r w:rsidRPr="00133D3F">
        <w:rPr>
          <w:rFonts w:ascii="Times New Roman" w:hAnsi="Times New Roman" w:cs="Times New Roman"/>
          <w:sz w:val="24"/>
          <w:szCs w:val="24"/>
          <w:lang w:val="en-US"/>
        </w:rPr>
        <w:t xml:space="preserve"> present</w:t>
      </w:r>
      <w:r w:rsidR="009C6B28">
        <w:rPr>
          <w:rFonts w:ascii="Times New Roman" w:hAnsi="Times New Roman" w:cs="Times New Roman"/>
          <w:sz w:val="24"/>
          <w:szCs w:val="24"/>
          <w:lang w:val="en-US"/>
        </w:rPr>
        <w:t>s</w:t>
      </w:r>
      <w:r w:rsidRPr="00133D3F">
        <w:rPr>
          <w:rFonts w:ascii="Times New Roman" w:hAnsi="Times New Roman" w:cs="Times New Roman"/>
          <w:sz w:val="24"/>
          <w:szCs w:val="24"/>
          <w:lang w:val="en-US"/>
        </w:rPr>
        <w:t xml:space="preserve"> as shingles, cranial nerve palsy, meningitis, myelitis, retinitis, or hepatitis. </w:t>
      </w:r>
      <w:r w:rsidR="003300F7">
        <w:rPr>
          <w:rFonts w:ascii="Times New Roman" w:hAnsi="Times New Roman" w:cs="Times New Roman"/>
          <w:color w:val="000000" w:themeColor="text1"/>
          <w:sz w:val="24"/>
          <w:szCs w:val="24"/>
          <w:lang w:val="en-US"/>
        </w:rPr>
        <w:t xml:space="preserve">Recently, </w:t>
      </w:r>
      <w:proofErr w:type="spellStart"/>
      <w:r w:rsidR="003300F7" w:rsidRPr="00FF738A">
        <w:rPr>
          <w:rFonts w:ascii="Times New Roman" w:hAnsi="Times New Roman" w:cs="Times New Roman"/>
          <w:color w:val="000000" w:themeColor="text1"/>
          <w:sz w:val="24"/>
          <w:szCs w:val="24"/>
          <w:lang w:val="en-US"/>
        </w:rPr>
        <w:t>Barda</w:t>
      </w:r>
      <w:proofErr w:type="spellEnd"/>
      <w:r w:rsidR="003300F7" w:rsidRPr="00FF738A">
        <w:rPr>
          <w:rFonts w:ascii="Times New Roman" w:hAnsi="Times New Roman" w:cs="Times New Roman"/>
          <w:color w:val="000000" w:themeColor="text1"/>
          <w:sz w:val="24"/>
          <w:szCs w:val="24"/>
          <w:lang w:val="en-US"/>
        </w:rPr>
        <w:t xml:space="preserve"> et al. found an </w:t>
      </w:r>
      <w:r w:rsidR="003300F7">
        <w:rPr>
          <w:rFonts w:ascii="Times New Roman" w:hAnsi="Times New Roman" w:cs="Times New Roman"/>
          <w:color w:val="000000" w:themeColor="text1"/>
          <w:sz w:val="24"/>
          <w:szCs w:val="24"/>
          <w:lang w:val="en-US"/>
        </w:rPr>
        <w:t xml:space="preserve">excess of </w:t>
      </w:r>
      <w:r w:rsidR="003300F7" w:rsidRPr="00FF738A">
        <w:rPr>
          <w:rFonts w:ascii="Times New Roman" w:hAnsi="Times New Roman" w:cs="Times New Roman"/>
          <w:color w:val="000000" w:themeColor="text1"/>
          <w:sz w:val="24"/>
          <w:szCs w:val="24"/>
          <w:lang w:val="en-US"/>
        </w:rPr>
        <w:t>HZ infection</w:t>
      </w:r>
      <w:r w:rsidR="003300F7">
        <w:rPr>
          <w:rFonts w:ascii="Times New Roman" w:hAnsi="Times New Roman" w:cs="Times New Roman"/>
          <w:color w:val="000000" w:themeColor="text1"/>
          <w:sz w:val="24"/>
          <w:szCs w:val="24"/>
          <w:lang w:val="en-US"/>
        </w:rPr>
        <w:t xml:space="preserve"> of 15.8 (from 8.2 to 24.2) events per 100,000 persons during the 21 days following </w:t>
      </w:r>
      <w:r w:rsidR="003300F7" w:rsidRPr="00FF738A">
        <w:rPr>
          <w:rFonts w:ascii="Times New Roman" w:hAnsi="Times New Roman" w:cs="Times New Roman"/>
          <w:sz w:val="24"/>
          <w:szCs w:val="24"/>
          <w:lang w:val="en-US"/>
        </w:rPr>
        <w:t>BNT162b2</w:t>
      </w:r>
      <w:r w:rsidR="003300F7" w:rsidRPr="00FF738A">
        <w:rPr>
          <w:rFonts w:ascii="Times New Roman" w:hAnsi="Times New Roman" w:cs="Times New Roman"/>
          <w:color w:val="000000" w:themeColor="text1"/>
          <w:sz w:val="24"/>
          <w:szCs w:val="24"/>
          <w:lang w:val="en-US"/>
        </w:rPr>
        <w:t xml:space="preserve"> vaccination</w:t>
      </w:r>
      <w:r w:rsidR="003300F7">
        <w:rPr>
          <w:rFonts w:ascii="Times New Roman" w:hAnsi="Times New Roman" w:cs="Times New Roman"/>
          <w:color w:val="000000" w:themeColor="text1"/>
          <w:sz w:val="24"/>
          <w:szCs w:val="24"/>
          <w:lang w:val="en-US"/>
        </w:rPr>
        <w:t xml:space="preserve"> </w:t>
      </w:r>
      <w:r w:rsidR="003300F7" w:rsidRPr="003745A9">
        <w:rPr>
          <w:rFonts w:ascii="Times New Roman" w:hAnsi="Times New Roman" w:cs="Times New Roman"/>
          <w:sz w:val="24"/>
          <w:szCs w:val="24"/>
          <w:lang w:val="en-US"/>
        </w:rPr>
        <w:t xml:space="preserve">compared to non-vaccinated people </w:t>
      </w:r>
      <w:r w:rsidR="003300F7">
        <w:rPr>
          <w:rFonts w:ascii="Times New Roman" w:hAnsi="Times New Roman" w:cs="Times New Roman"/>
          <w:color w:val="000000" w:themeColor="text1"/>
          <w:sz w:val="24"/>
          <w:szCs w:val="24"/>
          <w:lang w:val="en-US"/>
        </w:rPr>
        <w:fldChar w:fldCharType="begin"/>
      </w:r>
      <w:r w:rsidR="00B416E7">
        <w:rPr>
          <w:rFonts w:ascii="Times New Roman" w:hAnsi="Times New Roman" w:cs="Times New Roman"/>
          <w:color w:val="000000" w:themeColor="text1"/>
          <w:sz w:val="24"/>
          <w:szCs w:val="24"/>
          <w:lang w:val="en-US"/>
        </w:rPr>
        <w:instrText xml:space="preserve"> ADDIN ZOTERO_ITEM CSL_CITATION {"citationID":"a2o31vol135","properties":{"formattedCitation":"(7)","plainCitation":"(7)","noteIndex":0},"citationItems":[{"id":"yxthfPoW/HqpCy4mQ","uris":["http://zotero.org/users/5084208/items/X9J8KAZ2"],"uri":["http://zotero.org/users/5084208/items/X9J8KAZ2"],"itemData":{"id":6334,"type":"article-journal","container-title":"New England Journal of Medicine","DOI":"10.1056/NEJMoa2110475","ISSN":"0028-4793, 1533-4406","journalAbbreviation":"N Engl J Med","language":"en","page":"NEJMoa2110475","source":"DOI.org (Crossref)","title":"Safety of the BNT162b2 mRNA Covid-19 Vaccine in a Nationwide Setting","author":[{"family":"Barda","given":"Noam"},{"family":"Dagan","given":"Noa"},{"family":"Ben-Shlomo","given":"Yatir"},{"family":"Kepten","given":"Eldad"},{"family":"Waxman","given":"Jacob"},{"family":"Ohana","given":"Reut"},{"family":"Hernán","given":"Miguel A."},{"family":"Lipsitch","given":"Marc"},{"family":"Kohane","given":"Isaac"},{"family":"Netzer","given":"Doron"},{"family":"Reis","given":"Ben Y."},{"family":"Balicer","given":"Ran D."}],"issued":{"date-parts":[["2021",8,25]]}}}],"schema":"https://github.com/citation-style-language/schema/raw/master/csl-citation.json"} </w:instrText>
      </w:r>
      <w:r w:rsidR="003300F7">
        <w:rPr>
          <w:rFonts w:ascii="Times New Roman" w:hAnsi="Times New Roman" w:cs="Times New Roman"/>
          <w:color w:val="000000" w:themeColor="text1"/>
          <w:sz w:val="24"/>
          <w:szCs w:val="24"/>
          <w:lang w:val="en-US"/>
        </w:rPr>
        <w:fldChar w:fldCharType="separate"/>
      </w:r>
      <w:r w:rsidR="003300F7" w:rsidRPr="00F85C6B">
        <w:rPr>
          <w:rFonts w:ascii="Times New Roman" w:hAnsi="Times New Roman" w:cs="Times New Roman"/>
          <w:sz w:val="24"/>
          <w:lang w:val="en-US"/>
        </w:rPr>
        <w:t>(7)</w:t>
      </w:r>
      <w:r w:rsidR="003300F7">
        <w:rPr>
          <w:rFonts w:ascii="Times New Roman" w:hAnsi="Times New Roman" w:cs="Times New Roman"/>
          <w:color w:val="000000" w:themeColor="text1"/>
          <w:sz w:val="24"/>
          <w:szCs w:val="24"/>
          <w:lang w:val="en-US"/>
        </w:rPr>
        <w:fldChar w:fldCharType="end"/>
      </w:r>
      <w:r w:rsidR="003300F7">
        <w:rPr>
          <w:rFonts w:ascii="Times New Roman" w:hAnsi="Times New Roman" w:cs="Times New Roman"/>
          <w:color w:val="000000" w:themeColor="text1"/>
          <w:sz w:val="24"/>
          <w:szCs w:val="24"/>
          <w:lang w:val="en-US"/>
        </w:rPr>
        <w:t xml:space="preserve">. This national study did not bring detailed description of HZ cases. </w:t>
      </w:r>
      <w:r w:rsidR="003300F7">
        <w:rPr>
          <w:rFonts w:ascii="Times New Roman" w:hAnsi="Times New Roman" w:cs="Times New Roman"/>
          <w:sz w:val="24"/>
          <w:szCs w:val="24"/>
          <w:lang w:val="en-US"/>
        </w:rPr>
        <w:t>O</w:t>
      </w:r>
      <w:r w:rsidR="00D52A00">
        <w:rPr>
          <w:rFonts w:ascii="Times New Roman" w:hAnsi="Times New Roman" w:cs="Times New Roman"/>
          <w:sz w:val="24"/>
          <w:szCs w:val="24"/>
          <w:lang w:val="en-US"/>
        </w:rPr>
        <w:t>ur study</w:t>
      </w:r>
      <w:r w:rsidR="003300F7">
        <w:rPr>
          <w:rFonts w:ascii="Times New Roman" w:hAnsi="Times New Roman" w:cs="Times New Roman"/>
          <w:sz w:val="24"/>
          <w:szCs w:val="24"/>
          <w:lang w:val="en-US"/>
        </w:rPr>
        <w:t xml:space="preserve"> shows that </w:t>
      </w:r>
      <w:r w:rsidR="00D52A00">
        <w:rPr>
          <w:rFonts w:ascii="Times New Roman" w:hAnsi="Times New Roman" w:cs="Times New Roman"/>
          <w:sz w:val="24"/>
          <w:szCs w:val="24"/>
          <w:lang w:val="en-US"/>
        </w:rPr>
        <w:t>p</w:t>
      </w:r>
      <w:r w:rsidR="003A11D4" w:rsidRPr="00FF738A">
        <w:rPr>
          <w:rFonts w:ascii="Times New Roman" w:hAnsi="Times New Roman" w:cs="Times New Roman"/>
          <w:sz w:val="24"/>
          <w:szCs w:val="24"/>
          <w:lang w:val="en-US"/>
        </w:rPr>
        <w:t xml:space="preserve">atients were </w:t>
      </w:r>
      <w:r w:rsidR="00570488" w:rsidRPr="00FF738A">
        <w:rPr>
          <w:rFonts w:ascii="Times New Roman" w:hAnsi="Times New Roman" w:cs="Times New Roman"/>
          <w:sz w:val="24"/>
          <w:szCs w:val="24"/>
          <w:lang w:val="en-US"/>
        </w:rPr>
        <w:t xml:space="preserve">younger in vaccine-associated HZ </w:t>
      </w:r>
      <w:r w:rsidR="009C6B28">
        <w:rPr>
          <w:rFonts w:ascii="Times New Roman" w:hAnsi="Times New Roman" w:cs="Times New Roman"/>
          <w:sz w:val="24"/>
          <w:szCs w:val="24"/>
          <w:lang w:val="en-US"/>
        </w:rPr>
        <w:t xml:space="preserve">as </w:t>
      </w:r>
      <w:r w:rsidR="00BF62A8">
        <w:rPr>
          <w:rFonts w:ascii="Times New Roman" w:hAnsi="Times New Roman" w:cs="Times New Roman"/>
          <w:sz w:val="24"/>
          <w:szCs w:val="24"/>
          <w:lang w:val="en-US"/>
        </w:rPr>
        <w:t xml:space="preserve">compared to HZ in general population, </w:t>
      </w:r>
      <w:r w:rsidR="004F1EE0" w:rsidRPr="00FF738A">
        <w:rPr>
          <w:rFonts w:ascii="Times New Roman" w:hAnsi="Times New Roman" w:cs="Times New Roman"/>
          <w:sz w:val="24"/>
          <w:szCs w:val="24"/>
          <w:lang w:val="en-US"/>
        </w:rPr>
        <w:t xml:space="preserve">suggesting </w:t>
      </w:r>
      <w:r w:rsidR="009E7B33" w:rsidRPr="00FF738A">
        <w:rPr>
          <w:rFonts w:ascii="Times New Roman" w:hAnsi="Times New Roman" w:cs="Times New Roman"/>
          <w:sz w:val="24"/>
          <w:szCs w:val="24"/>
          <w:lang w:val="en-US"/>
        </w:rPr>
        <w:t xml:space="preserve">a </w:t>
      </w:r>
      <w:r w:rsidR="004F1EE0" w:rsidRPr="00FF738A">
        <w:rPr>
          <w:rFonts w:ascii="Times New Roman" w:hAnsi="Times New Roman" w:cs="Times New Roman"/>
          <w:sz w:val="24"/>
          <w:szCs w:val="24"/>
          <w:lang w:val="en-US"/>
        </w:rPr>
        <w:t xml:space="preserve">specific </w:t>
      </w:r>
      <w:r w:rsidR="009E7B33" w:rsidRPr="00FF738A">
        <w:rPr>
          <w:rFonts w:ascii="Times New Roman" w:hAnsi="Times New Roman" w:cs="Times New Roman"/>
          <w:sz w:val="24"/>
          <w:szCs w:val="24"/>
          <w:lang w:val="en-US"/>
        </w:rPr>
        <w:t>pathophysiology</w:t>
      </w:r>
      <w:r w:rsidR="0076392C">
        <w:rPr>
          <w:rFonts w:ascii="Times New Roman" w:hAnsi="Times New Roman" w:cs="Times New Roman"/>
          <w:sz w:val="24"/>
          <w:szCs w:val="24"/>
          <w:lang w:val="en-US"/>
        </w:rPr>
        <w:t>, although</w:t>
      </w:r>
      <w:r w:rsidR="00701C0C">
        <w:rPr>
          <w:rFonts w:ascii="Times New Roman" w:hAnsi="Times New Roman" w:cs="Times New Roman"/>
          <w:sz w:val="24"/>
          <w:szCs w:val="24"/>
          <w:lang w:val="en-US"/>
        </w:rPr>
        <w:t xml:space="preserve"> </w:t>
      </w:r>
      <w:r w:rsidR="00F65B8A">
        <w:rPr>
          <w:rFonts w:ascii="Times New Roman" w:hAnsi="Times New Roman" w:cs="Times New Roman"/>
          <w:sz w:val="24"/>
          <w:szCs w:val="24"/>
          <w:lang w:val="en-US"/>
        </w:rPr>
        <w:t xml:space="preserve">we did not find </w:t>
      </w:r>
      <w:r w:rsidR="00762918">
        <w:rPr>
          <w:rFonts w:ascii="Times New Roman" w:hAnsi="Times New Roman" w:cs="Times New Roman"/>
          <w:sz w:val="24"/>
          <w:szCs w:val="24"/>
          <w:lang w:val="en-US"/>
        </w:rPr>
        <w:t xml:space="preserve">an increased risk in </w:t>
      </w:r>
      <w:r w:rsidR="00701C0C" w:rsidRPr="00753F11">
        <w:rPr>
          <w:rFonts w:ascii="Times New Roman" w:hAnsi="Times New Roman" w:cs="Times New Roman"/>
          <w:sz w:val="24"/>
          <w:szCs w:val="24"/>
          <w:lang w:val="en-US"/>
        </w:rPr>
        <w:t>people</w:t>
      </w:r>
      <w:r w:rsidR="00762918">
        <w:rPr>
          <w:rFonts w:ascii="Times New Roman" w:hAnsi="Times New Roman" w:cs="Times New Roman"/>
          <w:sz w:val="24"/>
          <w:szCs w:val="24"/>
          <w:lang w:val="en-US"/>
        </w:rPr>
        <w:t xml:space="preserve"> under 40 years</w:t>
      </w:r>
      <w:r w:rsidR="00701C0C" w:rsidRPr="00753F11">
        <w:rPr>
          <w:rFonts w:ascii="Times New Roman" w:hAnsi="Times New Roman" w:cs="Times New Roman"/>
          <w:sz w:val="24"/>
          <w:szCs w:val="24"/>
          <w:lang w:val="en-US"/>
        </w:rPr>
        <w:t>.</w:t>
      </w:r>
      <w:r w:rsidR="00701C0C">
        <w:rPr>
          <w:rFonts w:ascii="Times New Roman" w:hAnsi="Times New Roman" w:cs="Times New Roman"/>
          <w:sz w:val="24"/>
          <w:szCs w:val="24"/>
          <w:lang w:val="en-US"/>
        </w:rPr>
        <w:t xml:space="preserve"> </w:t>
      </w:r>
      <w:r w:rsidR="009E7B33" w:rsidRPr="00FF738A">
        <w:rPr>
          <w:rFonts w:ascii="Times New Roman" w:hAnsi="Times New Roman" w:cs="Times New Roman"/>
          <w:color w:val="000000" w:themeColor="text1"/>
          <w:sz w:val="24"/>
          <w:szCs w:val="24"/>
          <w:lang w:val="en-US"/>
        </w:rPr>
        <w:t xml:space="preserve">Mechanisms involved in post-vaccination HZ </w:t>
      </w:r>
      <w:r w:rsidR="009C6B28">
        <w:rPr>
          <w:rFonts w:ascii="Times New Roman" w:hAnsi="Times New Roman" w:cs="Times New Roman"/>
          <w:color w:val="000000" w:themeColor="text1"/>
          <w:sz w:val="24"/>
          <w:szCs w:val="24"/>
          <w:lang w:val="en-US"/>
        </w:rPr>
        <w:t>are</w:t>
      </w:r>
      <w:r w:rsidR="009E7B33" w:rsidRPr="00FF738A">
        <w:rPr>
          <w:rFonts w:ascii="Times New Roman" w:hAnsi="Times New Roman" w:cs="Times New Roman"/>
          <w:color w:val="000000" w:themeColor="text1"/>
          <w:sz w:val="24"/>
          <w:szCs w:val="24"/>
          <w:lang w:val="en-US"/>
        </w:rPr>
        <w:t xml:space="preserve"> not fully understood but might imp</w:t>
      </w:r>
      <w:r w:rsidR="00142954">
        <w:rPr>
          <w:rFonts w:ascii="Times New Roman" w:hAnsi="Times New Roman" w:cs="Times New Roman"/>
          <w:color w:val="000000" w:themeColor="text1"/>
          <w:sz w:val="24"/>
          <w:szCs w:val="24"/>
          <w:lang w:val="en-US"/>
        </w:rPr>
        <w:t xml:space="preserve">ly toll-like receptors (TLRs) 3 and </w:t>
      </w:r>
      <w:r w:rsidR="009E7B33" w:rsidRPr="00FF738A">
        <w:rPr>
          <w:rFonts w:ascii="Times New Roman" w:hAnsi="Times New Roman" w:cs="Times New Roman"/>
          <w:color w:val="000000" w:themeColor="text1"/>
          <w:sz w:val="24"/>
          <w:szCs w:val="24"/>
          <w:lang w:val="en-US"/>
        </w:rPr>
        <w:t>7 stimulation by mRNA vaccines</w:t>
      </w:r>
      <w:r w:rsidR="00561933" w:rsidRPr="00FF738A">
        <w:rPr>
          <w:rFonts w:ascii="Times New Roman" w:hAnsi="Times New Roman" w:cs="Times New Roman"/>
          <w:color w:val="000000" w:themeColor="text1"/>
          <w:sz w:val="24"/>
          <w:szCs w:val="24"/>
          <w:lang w:val="en-US"/>
        </w:rPr>
        <w:t xml:space="preserve"> </w:t>
      </w:r>
      <w:r w:rsidR="00561933" w:rsidRPr="00FF738A">
        <w:rPr>
          <w:rFonts w:ascii="Times New Roman" w:hAnsi="Times New Roman" w:cs="Times New Roman"/>
          <w:color w:val="000000" w:themeColor="text1"/>
          <w:sz w:val="24"/>
          <w:szCs w:val="24"/>
          <w:lang w:val="en-US"/>
        </w:rPr>
        <w:fldChar w:fldCharType="begin"/>
      </w:r>
      <w:r w:rsidR="00B416E7">
        <w:rPr>
          <w:rFonts w:ascii="Times New Roman" w:hAnsi="Times New Roman" w:cs="Times New Roman"/>
          <w:color w:val="000000" w:themeColor="text1"/>
          <w:sz w:val="24"/>
          <w:szCs w:val="24"/>
          <w:lang w:val="en-US"/>
        </w:rPr>
        <w:instrText xml:space="preserve"> ADDIN ZOTERO_ITEM CSL_CITATION {"citationID":"ynfOtnw5","properties":{"formattedCitation":"(11,12)","plainCitation":"(11,12)","noteIndex":0},"citationItems":[{"id":"yxthfPoW/PBskViaJ","uris":["http://zotero.org/users/5084208/items/GVUALTMH"],"uri":["http://zotero.org/users/5084208/items/GVUALTMH"],"itemData":{"id":6346,"type":"article-journal","container-title":"Frontiers in Immunology","DOI":"10.3389/fimmu.2019.00594","ISSN":"1664-3224","journalAbbreviation":"Front. Immunol.","page":"594","source":"DOI.org (Crossref)","title":"Advances in mRNA Vaccines for Infectious Diseases","volume":"10","author":[{"family":"Zhang","given":"Cuiling"},{"family":"Maruggi","given":"Giulietta"},{"family":"Shan","given":"Hu"},{"family":"Li","given":"Junwei"}],"issued":{"date-parts":[["2019",3,27]]}}},{"id":"yxthfPoW/XxByqYr5","uris":["http://zotero.org/users/5084208/items/RLIQXMWM"],"uri":["http://zotero.org/users/5084208/items/RLIQXMWM"],"itemData":{"id":6348,"type":"article-journal","container-title":"Frontiers in Cellular and Infection Microbiology","DOI":"10.3389/fcimb.2012.00122","ISSN":"2235-2988","journalAbbreviation":"Front. Cell. Inf. Microbio.","source":"DOI.org (Crossref)","title":"Toll-like receptor sensing of human herpesvirus infection","URL":"http://journal.frontiersin.org/article/10.3389/fcimb.2012.00122/abstract","volume":"2","author":[{"family":"West","given":"John A."},{"family":"Gregory","given":"Sean M."},{"family":"Damania","given":"Blossom"}],"accessed":{"date-parts":[["2021",9,1]]},"issued":{"date-parts":[["2012"]]}}}],"schema":"https://github.com/citation-style-language/schema/raw/master/csl-citation.json"} </w:instrText>
      </w:r>
      <w:r w:rsidR="00561933" w:rsidRPr="00FF738A">
        <w:rPr>
          <w:rFonts w:ascii="Times New Roman" w:hAnsi="Times New Roman" w:cs="Times New Roman"/>
          <w:color w:val="000000" w:themeColor="text1"/>
          <w:sz w:val="24"/>
          <w:szCs w:val="24"/>
          <w:lang w:val="en-US"/>
        </w:rPr>
        <w:fldChar w:fldCharType="separate"/>
      </w:r>
      <w:r w:rsidR="002E7878" w:rsidRPr="002E7878">
        <w:rPr>
          <w:rFonts w:ascii="Times New Roman" w:hAnsi="Times New Roman" w:cs="Times New Roman"/>
          <w:sz w:val="24"/>
        </w:rPr>
        <w:t>(11,12)</w:t>
      </w:r>
      <w:r w:rsidR="00561933" w:rsidRPr="00FF738A">
        <w:rPr>
          <w:rFonts w:ascii="Times New Roman" w:hAnsi="Times New Roman" w:cs="Times New Roman"/>
          <w:color w:val="000000" w:themeColor="text1"/>
          <w:sz w:val="24"/>
          <w:szCs w:val="24"/>
          <w:lang w:val="en-US"/>
        </w:rPr>
        <w:fldChar w:fldCharType="end"/>
      </w:r>
      <w:r w:rsidR="009E7B33" w:rsidRPr="00FF738A">
        <w:rPr>
          <w:rFonts w:ascii="Times New Roman" w:hAnsi="Times New Roman" w:cs="Times New Roman"/>
          <w:color w:val="000000" w:themeColor="text1"/>
          <w:sz w:val="24"/>
          <w:szCs w:val="24"/>
          <w:lang w:val="en-US"/>
        </w:rPr>
        <w:t xml:space="preserve"> as discussed by others</w:t>
      </w:r>
      <w:r w:rsidR="00561933" w:rsidRPr="00FF738A">
        <w:rPr>
          <w:rFonts w:ascii="Times New Roman" w:hAnsi="Times New Roman" w:cs="Times New Roman"/>
          <w:color w:val="000000" w:themeColor="text1"/>
          <w:sz w:val="24"/>
          <w:szCs w:val="24"/>
          <w:lang w:val="en-US"/>
        </w:rPr>
        <w:t xml:space="preserve"> </w:t>
      </w:r>
      <w:r w:rsidR="00561933" w:rsidRPr="00FF738A">
        <w:rPr>
          <w:rFonts w:ascii="Times New Roman" w:hAnsi="Times New Roman" w:cs="Times New Roman"/>
          <w:color w:val="000000" w:themeColor="text1"/>
          <w:sz w:val="24"/>
          <w:szCs w:val="24"/>
          <w:lang w:val="en-US"/>
        </w:rPr>
        <w:fldChar w:fldCharType="begin"/>
      </w:r>
      <w:r w:rsidR="00B416E7">
        <w:rPr>
          <w:rFonts w:ascii="Times New Roman" w:hAnsi="Times New Roman" w:cs="Times New Roman"/>
          <w:color w:val="000000" w:themeColor="text1"/>
          <w:sz w:val="24"/>
          <w:szCs w:val="24"/>
          <w:lang w:val="en-US"/>
        </w:rPr>
        <w:instrText xml:space="preserve"> ADDIN ZOTERO_ITEM CSL_CITATION {"citationID":"YVTNXT4c","properties":{"formattedCitation":"(4)","plainCitation":"(4)","noteIndex":0},"citationItems":[{"id":"yxthfPoW/RqiNGOWN","uris":["http://zotero.org/users/5084208/items/P93JKGTW"],"uri":["http://zotero.org/users/5084208/items/P93JKGTW"],"itemData":{"id":6335,"type":"article-journal","abstract":"Abstract\n            \n              Objectives\n              As global vaccination campaigns against COVID-19 disease commence, vaccine safety needs to be closely assessed. The safety profile of mRNA-based vaccines in patients with autoimmune inflammatory rheumatic diseases (AIIRD) is unknown. The objective of this report is to raise awareness of reactivation of herpes zoster (HZ) following the BNT162b2 mRNA vaccination in patients with AIIRD.\n            \n            \n              Methods\n              The safety of the BNT162b2 mRNA vaccination was assessed in an observational study monitoring post-vaccination adverse effects in patients with AIIRD (n = 491) and controls (n = 99), conducted in two rheumatology departments in Israel.\n            \n            \n              Results\n              The prevalence of HZ was 1.2% (n = 6) in patients with AIIRD compared with none in controls. Six female patients aged 49 ± 11 years with stable AIIRD: RA (n = 4), Sjogren’s syndrome (n = 1), and undifferentiated connective disease (n = 1), developed the first in a lifetime event of HZ within a short time after the first vaccine dose in five cases and after the second vaccine dose in one case. In the majority of cases, HZ infection was mild, except a case of HZ ophthalmicus, without corneal involvement, in an RA patient treated with tofacitinib. There were no cases of disseminated HZ disease or postherpetic neuralgia. All but one patient received antiviral treatment with a resolution of HZ-related symptoms up to 6 weeks. Five patients completed the second vaccine dose without other adverse effects.\n            \n            \n              Conclusion\n              Epidemiologic studies on the safety of the mRNA-based COVID-19 vaccines in patients with AIIRD are needed to clarify the association between the BNT162b2 mRNA vaccination and reactivation of zoster.","container-title":"Rheumatology","DOI":"10.1093/rheumatology/keab345","ISSN":"1462-0324, 1462-0332","language":"en","page":"keab345","source":"DOI.org (Crossref)","title":"Herpes zoster following BNT162b2 mRNA COVID-19 vaccination in patients with autoimmune inflammatory rheumatic diseases: a case series","title-short":"Herpes zoster following BNT162b2 mRNA COVID-19 vaccination in patients with autoimmune inflammatory rheumatic diseases","author":[{"family":"Furer","given":"Victoria"},{"family":"Zisman","given":"Devy"},{"family":"Kibari","given":"Adi"},{"family":"Rimar","given":"Doron"},{"family":"Paran","given":"Yael"},{"family":"Elkayam","given":"Ori"}],"issued":{"date-parts":[["2021",4,13]]}}}],"schema":"https://github.com/citation-style-language/schema/raw/master/csl-citation.json"} </w:instrText>
      </w:r>
      <w:r w:rsidR="00561933" w:rsidRPr="00FF738A">
        <w:rPr>
          <w:rFonts w:ascii="Times New Roman" w:hAnsi="Times New Roman" w:cs="Times New Roman"/>
          <w:color w:val="000000" w:themeColor="text1"/>
          <w:sz w:val="24"/>
          <w:szCs w:val="24"/>
          <w:lang w:val="en-US"/>
        </w:rPr>
        <w:fldChar w:fldCharType="separate"/>
      </w:r>
      <w:r w:rsidR="00A377D9" w:rsidRPr="00EA2052">
        <w:rPr>
          <w:rFonts w:ascii="Times New Roman" w:hAnsi="Times New Roman" w:cs="Times New Roman"/>
          <w:sz w:val="24"/>
          <w:lang w:val="en-US"/>
        </w:rPr>
        <w:t>(4)</w:t>
      </w:r>
      <w:r w:rsidR="00561933" w:rsidRPr="00FF738A">
        <w:rPr>
          <w:rFonts w:ascii="Times New Roman" w:hAnsi="Times New Roman" w:cs="Times New Roman"/>
          <w:color w:val="000000" w:themeColor="text1"/>
          <w:sz w:val="24"/>
          <w:szCs w:val="24"/>
          <w:lang w:val="en-US"/>
        </w:rPr>
        <w:fldChar w:fldCharType="end"/>
      </w:r>
      <w:r w:rsidR="009E7B33" w:rsidRPr="00FF738A">
        <w:rPr>
          <w:rFonts w:ascii="Times New Roman" w:hAnsi="Times New Roman" w:cs="Times New Roman"/>
          <w:color w:val="000000" w:themeColor="text1"/>
          <w:sz w:val="24"/>
          <w:szCs w:val="24"/>
          <w:lang w:val="en-US"/>
        </w:rPr>
        <w:t>.</w:t>
      </w:r>
      <w:r>
        <w:rPr>
          <w:rFonts w:ascii="Times New Roman" w:hAnsi="Times New Roman" w:cs="Times New Roman"/>
          <w:color w:val="000000" w:themeColor="text1"/>
          <w:sz w:val="24"/>
          <w:szCs w:val="24"/>
          <w:lang w:val="en-US"/>
        </w:rPr>
        <w:t xml:space="preserve"> Noteworthy, other neurological disorders have been reported following </w:t>
      </w:r>
      <w:r w:rsidR="00CB0AC2">
        <w:rPr>
          <w:rFonts w:ascii="Times New Roman" w:hAnsi="Times New Roman" w:cs="Times New Roman"/>
          <w:color w:val="000000" w:themeColor="text1"/>
          <w:sz w:val="24"/>
          <w:szCs w:val="24"/>
          <w:lang w:val="en-US"/>
        </w:rPr>
        <w:t xml:space="preserve">COVID-19 </w:t>
      </w:r>
      <w:r>
        <w:rPr>
          <w:rFonts w:ascii="Times New Roman" w:hAnsi="Times New Roman" w:cs="Times New Roman"/>
          <w:color w:val="000000" w:themeColor="text1"/>
          <w:sz w:val="24"/>
          <w:szCs w:val="24"/>
          <w:lang w:val="en-US"/>
        </w:rPr>
        <w:t xml:space="preserve">vaccination such </w:t>
      </w:r>
      <w:r w:rsidRPr="005A52C6">
        <w:rPr>
          <w:rFonts w:ascii="Times New Roman" w:hAnsi="Times New Roman" w:cs="Times New Roman"/>
          <w:color w:val="000000" w:themeColor="text1"/>
          <w:sz w:val="24"/>
          <w:szCs w:val="24"/>
          <w:lang w:val="en-US"/>
        </w:rPr>
        <w:t>facial-nerve palsy</w:t>
      </w:r>
      <w:r w:rsidR="001A125B">
        <w:rPr>
          <w:rFonts w:ascii="Times New Roman" w:hAnsi="Times New Roman" w:cs="Times New Roman"/>
          <w:color w:val="000000" w:themeColor="text1"/>
          <w:sz w:val="24"/>
          <w:szCs w:val="24"/>
          <w:lang w:val="en-US"/>
        </w:rPr>
        <w:t xml:space="preserve"> </w:t>
      </w:r>
      <w:r w:rsidR="001A125B">
        <w:rPr>
          <w:rFonts w:ascii="Times New Roman" w:hAnsi="Times New Roman" w:cs="Times New Roman"/>
          <w:color w:val="000000" w:themeColor="text1"/>
          <w:sz w:val="24"/>
          <w:szCs w:val="24"/>
          <w:lang w:val="en-US"/>
        </w:rPr>
        <w:fldChar w:fldCharType="begin"/>
      </w:r>
      <w:r w:rsidR="00B416E7">
        <w:rPr>
          <w:rFonts w:ascii="Times New Roman" w:hAnsi="Times New Roman" w:cs="Times New Roman"/>
          <w:color w:val="000000" w:themeColor="text1"/>
          <w:sz w:val="24"/>
          <w:szCs w:val="24"/>
          <w:lang w:val="en-US"/>
        </w:rPr>
        <w:instrText xml:space="preserve"> ADDIN ZOTERO_ITEM CSL_CITATION {"citationID":"gjUynqia","properties":{"formattedCitation":"(13)","plainCitation":"(13)","noteIndex":0},"citationItems":[{"id":"yxthfPoW/qRrGYPO2","uris":["http://zotero.org/users/5084208/items/BBV288VC"],"uri":["http://zotero.org/users/5084208/items/BBV288VC"],"itemData":{"id":6364,"type":"article-journal","container-title":"JAMA Internal Medicine","DOI":"10.1001/jamainternmed.2021.2219","ISSN":"2168-6106","journalAbbreviation":"JAMA Intern Med","language":"en","source":"DOI.org (Crossref)","title":"Association of Facial Paralysis With mRNA COVID-19 Vaccines: A Disproportionality Analysis Using the World Health Organization Pharmacovigilance Database","title-short":"Association of Facial Paralysis With mRNA COVID-19 Vaccines","URL":"https://jamanetwork.com/journals/jamainternalmedicine/fullarticle/2779389","author":[{"family":"Renoud","given":"Lucie"},{"family":"Khouri","given":"Charles"},{"family":"Revol","given":"Bruno"},{"family":"Lepelley","given":"Marion"},{"family":"Perez","given":"Justine"},{"family":"Roustit","given":"Matthieu"},{"family":"Cracowski","given":"Jean-Luc"}],"accessed":{"date-parts":[["2021",9,6]]},"issued":{"date-parts":[["2021",4,27]]}}}],"schema":"https://github.com/citation-style-language/schema/raw/master/csl-citation.json"} </w:instrText>
      </w:r>
      <w:r w:rsidR="001A125B">
        <w:rPr>
          <w:rFonts w:ascii="Times New Roman" w:hAnsi="Times New Roman" w:cs="Times New Roman"/>
          <w:color w:val="000000" w:themeColor="text1"/>
          <w:sz w:val="24"/>
          <w:szCs w:val="24"/>
          <w:lang w:val="en-US"/>
        </w:rPr>
        <w:fldChar w:fldCharType="separate"/>
      </w:r>
      <w:r w:rsidR="002E7878" w:rsidRPr="009F4E37">
        <w:rPr>
          <w:rFonts w:ascii="Times New Roman" w:hAnsi="Times New Roman" w:cs="Times New Roman"/>
          <w:sz w:val="24"/>
          <w:lang w:val="en-US"/>
        </w:rPr>
        <w:t>(13)</w:t>
      </w:r>
      <w:r w:rsidR="001A125B">
        <w:rPr>
          <w:rFonts w:ascii="Times New Roman" w:hAnsi="Times New Roman" w:cs="Times New Roman"/>
          <w:color w:val="000000" w:themeColor="text1"/>
          <w:sz w:val="24"/>
          <w:szCs w:val="24"/>
          <w:lang w:val="en-US"/>
        </w:rPr>
        <w:fldChar w:fldCharType="end"/>
      </w:r>
      <w:r w:rsidR="003300F7">
        <w:rPr>
          <w:rFonts w:ascii="Times New Roman" w:hAnsi="Times New Roman" w:cs="Times New Roman"/>
          <w:color w:val="000000" w:themeColor="text1"/>
          <w:sz w:val="24"/>
          <w:szCs w:val="24"/>
          <w:lang w:val="en-US"/>
        </w:rPr>
        <w:t>. T</w:t>
      </w:r>
      <w:r w:rsidR="001A125B" w:rsidRPr="00FF738A">
        <w:rPr>
          <w:rFonts w:ascii="Times New Roman" w:hAnsi="Times New Roman" w:cs="Times New Roman"/>
          <w:color w:val="000000" w:themeColor="text1"/>
          <w:sz w:val="24"/>
          <w:szCs w:val="24"/>
          <w:lang w:val="en-US"/>
        </w:rPr>
        <w:t xml:space="preserve">he hypothesis of a </w:t>
      </w:r>
      <w:r w:rsidR="001A125B" w:rsidRPr="00FF738A">
        <w:rPr>
          <w:rFonts w:ascii="Times New Roman" w:hAnsi="Times New Roman" w:cs="Times New Roman"/>
          <w:color w:val="000000" w:themeColor="text1"/>
          <w:sz w:val="24"/>
          <w:szCs w:val="24"/>
          <w:lang w:val="en-US"/>
        </w:rPr>
        <w:lastRenderedPageBreak/>
        <w:t>mechanism involving Type I interferons has been discussed</w:t>
      </w:r>
      <w:r w:rsidR="003300F7">
        <w:rPr>
          <w:rFonts w:ascii="Times New Roman" w:hAnsi="Times New Roman" w:cs="Times New Roman"/>
          <w:color w:val="000000" w:themeColor="text1"/>
          <w:sz w:val="24"/>
          <w:szCs w:val="24"/>
          <w:lang w:val="en-US"/>
        </w:rPr>
        <w:t xml:space="preserve"> with</w:t>
      </w:r>
      <w:r w:rsidR="00F57867">
        <w:rPr>
          <w:rFonts w:ascii="Times New Roman" w:hAnsi="Times New Roman" w:cs="Times New Roman"/>
          <w:color w:val="000000" w:themeColor="text1"/>
          <w:sz w:val="24"/>
          <w:szCs w:val="24"/>
          <w:lang w:val="en-US"/>
        </w:rPr>
        <w:t xml:space="preserve"> a possible role of</w:t>
      </w:r>
      <w:r w:rsidR="001A125B">
        <w:rPr>
          <w:rFonts w:ascii="Times New Roman" w:hAnsi="Times New Roman" w:cs="Times New Roman"/>
          <w:color w:val="000000" w:themeColor="text1"/>
          <w:sz w:val="24"/>
          <w:szCs w:val="24"/>
          <w:lang w:val="en-US"/>
        </w:rPr>
        <w:t xml:space="preserve"> </w:t>
      </w:r>
      <w:r w:rsidR="0033089B">
        <w:rPr>
          <w:rFonts w:ascii="Times New Roman" w:hAnsi="Times New Roman" w:cs="Times New Roman"/>
          <w:color w:val="000000" w:themeColor="text1"/>
          <w:sz w:val="24"/>
          <w:szCs w:val="24"/>
          <w:lang w:val="en-US"/>
        </w:rPr>
        <w:t xml:space="preserve">HZ infection </w:t>
      </w:r>
      <w:r w:rsidR="00F57867">
        <w:rPr>
          <w:rFonts w:ascii="Times New Roman" w:hAnsi="Times New Roman" w:cs="Times New Roman"/>
          <w:color w:val="000000" w:themeColor="text1"/>
          <w:sz w:val="24"/>
          <w:szCs w:val="24"/>
          <w:lang w:val="en-US"/>
        </w:rPr>
        <w:t>as</w:t>
      </w:r>
      <w:r w:rsidR="0033089B">
        <w:rPr>
          <w:rFonts w:ascii="Times New Roman" w:hAnsi="Times New Roman" w:cs="Times New Roman"/>
          <w:color w:val="000000" w:themeColor="text1"/>
          <w:sz w:val="24"/>
          <w:szCs w:val="24"/>
          <w:lang w:val="en-US"/>
        </w:rPr>
        <w:t xml:space="preserve"> potential </w:t>
      </w:r>
      <w:r w:rsidR="00F57867">
        <w:rPr>
          <w:rFonts w:ascii="Times New Roman" w:hAnsi="Times New Roman" w:cs="Times New Roman"/>
          <w:color w:val="000000" w:themeColor="text1"/>
          <w:sz w:val="24"/>
          <w:szCs w:val="24"/>
          <w:lang w:val="en-US"/>
        </w:rPr>
        <w:t>trigger for</w:t>
      </w:r>
      <w:r w:rsidR="0033089B">
        <w:rPr>
          <w:rFonts w:ascii="Times New Roman" w:hAnsi="Times New Roman" w:cs="Times New Roman"/>
          <w:color w:val="000000" w:themeColor="text1"/>
          <w:sz w:val="24"/>
          <w:szCs w:val="24"/>
          <w:lang w:val="en-US"/>
        </w:rPr>
        <w:t xml:space="preserve"> </w:t>
      </w:r>
      <w:r w:rsidRPr="00FF738A">
        <w:rPr>
          <w:rFonts w:ascii="Times New Roman" w:hAnsi="Times New Roman" w:cs="Times New Roman"/>
          <w:color w:val="000000" w:themeColor="text1"/>
          <w:sz w:val="24"/>
          <w:szCs w:val="24"/>
          <w:lang w:val="en-US"/>
        </w:rPr>
        <w:t>facial palsy</w:t>
      </w:r>
      <w:r w:rsidR="00215832">
        <w:rPr>
          <w:rFonts w:ascii="Times New Roman" w:hAnsi="Times New Roman" w:cs="Times New Roman"/>
          <w:color w:val="000000" w:themeColor="text1"/>
          <w:sz w:val="24"/>
          <w:szCs w:val="24"/>
          <w:lang w:val="en-US"/>
        </w:rPr>
        <w:t xml:space="preserve"> </w:t>
      </w:r>
      <w:r w:rsidR="00215832">
        <w:rPr>
          <w:rFonts w:ascii="Times New Roman" w:hAnsi="Times New Roman" w:cs="Times New Roman"/>
          <w:color w:val="000000" w:themeColor="text1"/>
          <w:sz w:val="24"/>
          <w:szCs w:val="24"/>
          <w:lang w:val="en-US"/>
        </w:rPr>
        <w:fldChar w:fldCharType="begin"/>
      </w:r>
      <w:r w:rsidR="00B416E7">
        <w:rPr>
          <w:rFonts w:ascii="Times New Roman" w:hAnsi="Times New Roman" w:cs="Times New Roman"/>
          <w:color w:val="000000" w:themeColor="text1"/>
          <w:sz w:val="24"/>
          <w:szCs w:val="24"/>
          <w:lang w:val="en-US"/>
        </w:rPr>
        <w:instrText xml:space="preserve"> ADDIN ZOTERO_ITEM CSL_CITATION {"citationID":"Ytt3JJ2o","properties":{"formattedCitation":"(7,14)","plainCitation":"(7,14)","noteIndex":0},"citationItems":[{"id":"yxthfPoW/HqpCy4mQ","uris":["http://zotero.org/users/5084208/items/X9J8KAZ2"],"uri":["http://zotero.org/users/5084208/items/X9J8KAZ2"],"itemData":{"id":6334,"type":"article-journal","container-title":"New England Journal of Medicine","DOI":"10.1056/NEJMoa2110475","ISSN":"0028-4793, 1533-4406","journalAbbreviation":"N Engl J Med","language":"en","page":"NEJMoa2110475","source":"DOI.org (Crossref)","title":"Safety of the BNT162b2 mRNA Covid-19 Vaccine in a Nationwide Setting","author":[{"family":"Barda","given":"Noam"},{"family":"Dagan","given":"Noa"},{"family":"Ben-Shlomo","given":"Yatir"},{"family":"Kepten","given":"Eldad"},{"family":"Waxman","given":"Jacob"},{"family":"Ohana","given":"Reut"},{"family":"Hernán","given":"Miguel A."},{"family":"Lipsitch","given":"Marc"},{"family":"Kohane","given":"Isaac"},{"family":"Netzer","given":"Doron"},{"family":"Reis","given":"Ben Y."},{"family":"Balicer","given":"Ran D."}],"issued":{"date-parts":[["2021",8,25]]}}},{"id":"yxthfPoW/Ebos5UbL","uris":["http://zotero.org/users/5084208/items/ZQZ7R75Y"],"uri":["http://zotero.org/users/5084208/items/ZQZ7R75Y"],"itemData":{"id":6354,"type":"article-journal","container-title":"Therapies","DOI":"10.1016/j.therap.2021.03.005","ISSN":"00405957","issue":"4","journalAbbreviation":"Therapies","language":"en","page":"365-367","source":"DOI.org (Crossref)","title":"Type I interferons as the potential mechanism linking mRNA COVID-19 vaccines to Bell's palsy","volume":"76","author":[{"family":"Soeiro","given":"Thomas"},{"family":"Salvo","given":"Francesco"},{"family":"Pariente","given":"Antoine"},{"family":"Grandvuillemin","given":"Aurélie"},{"family":"Jonville-Béra","given":"Annie-Pierre"},{"family":"Micallef","given":"Joëlle"}],"issued":{"date-parts":[["2021",7]]}}}],"schema":"https://github.com/citation-style-language/schema/raw/master/csl-citation.json"} </w:instrText>
      </w:r>
      <w:r w:rsidR="00215832">
        <w:rPr>
          <w:rFonts w:ascii="Times New Roman" w:hAnsi="Times New Roman" w:cs="Times New Roman"/>
          <w:color w:val="000000" w:themeColor="text1"/>
          <w:sz w:val="24"/>
          <w:szCs w:val="24"/>
          <w:lang w:val="en-US"/>
        </w:rPr>
        <w:fldChar w:fldCharType="separate"/>
      </w:r>
      <w:r w:rsidR="0052341A" w:rsidRPr="0052341A">
        <w:rPr>
          <w:rFonts w:ascii="Times New Roman" w:hAnsi="Times New Roman" w:cs="Times New Roman"/>
          <w:sz w:val="24"/>
        </w:rPr>
        <w:t>(7,14)</w:t>
      </w:r>
      <w:r w:rsidR="00215832">
        <w:rPr>
          <w:rFonts w:ascii="Times New Roman" w:hAnsi="Times New Roman" w:cs="Times New Roman"/>
          <w:color w:val="000000" w:themeColor="text1"/>
          <w:sz w:val="24"/>
          <w:szCs w:val="24"/>
          <w:lang w:val="en-US"/>
        </w:rPr>
        <w:fldChar w:fldCharType="end"/>
      </w:r>
      <w:r w:rsidR="00F57867">
        <w:rPr>
          <w:rFonts w:ascii="Times New Roman" w:hAnsi="Times New Roman" w:cs="Times New Roman"/>
          <w:color w:val="000000" w:themeColor="text1"/>
          <w:sz w:val="24"/>
          <w:szCs w:val="24"/>
          <w:lang w:val="en-US"/>
        </w:rPr>
        <w:t>.</w:t>
      </w:r>
    </w:p>
    <w:p w14:paraId="6A2B90F7" w14:textId="21E6C0C0" w:rsidR="00C76A34" w:rsidRPr="00FF738A" w:rsidRDefault="00230A61" w:rsidP="009C6B28">
      <w:pPr>
        <w:pStyle w:val="Sansinterligne"/>
        <w:spacing w:line="480" w:lineRule="auto"/>
        <w:ind w:firstLine="708"/>
        <w:jc w:val="both"/>
        <w:rPr>
          <w:rFonts w:ascii="Times New Roman" w:hAnsi="Times New Roman" w:cs="Times New Roman"/>
          <w:sz w:val="24"/>
          <w:szCs w:val="24"/>
          <w:lang w:val="en-US"/>
        </w:rPr>
      </w:pPr>
      <w:r w:rsidRPr="00FF738A">
        <w:rPr>
          <w:rFonts w:ascii="Times New Roman" w:hAnsi="Times New Roman" w:cs="Times New Roman"/>
          <w:sz w:val="24"/>
          <w:szCs w:val="24"/>
          <w:lang w:val="en-US"/>
        </w:rPr>
        <w:t xml:space="preserve">Several limitations </w:t>
      </w:r>
      <w:proofErr w:type="gramStart"/>
      <w:r w:rsidRPr="00FF738A">
        <w:rPr>
          <w:rFonts w:ascii="Times New Roman" w:hAnsi="Times New Roman" w:cs="Times New Roman"/>
          <w:sz w:val="24"/>
          <w:szCs w:val="24"/>
          <w:lang w:val="en-US"/>
        </w:rPr>
        <w:t>must be acknowledged</w:t>
      </w:r>
      <w:proofErr w:type="gramEnd"/>
      <w:r w:rsidRPr="00FF738A">
        <w:rPr>
          <w:rFonts w:ascii="Times New Roman" w:hAnsi="Times New Roman" w:cs="Times New Roman"/>
          <w:sz w:val="24"/>
          <w:szCs w:val="24"/>
          <w:lang w:val="en-US"/>
        </w:rPr>
        <w:t xml:space="preserve">. </w:t>
      </w:r>
      <w:r w:rsidR="001F6E55" w:rsidRPr="00FF738A">
        <w:rPr>
          <w:rFonts w:ascii="Times New Roman" w:hAnsi="Times New Roman" w:cs="Times New Roman"/>
          <w:sz w:val="24"/>
          <w:szCs w:val="24"/>
          <w:lang w:val="en-US"/>
        </w:rPr>
        <w:t xml:space="preserve">First, </w:t>
      </w:r>
      <w:proofErr w:type="spellStart"/>
      <w:r w:rsidR="00BF5C27" w:rsidRPr="00BF5C27">
        <w:rPr>
          <w:rFonts w:ascii="Times New Roman" w:hAnsi="Times New Roman" w:cs="Times New Roman"/>
          <w:sz w:val="24"/>
          <w:szCs w:val="24"/>
          <w:lang w:val="en-US"/>
        </w:rPr>
        <w:t>VigiBase</w:t>
      </w:r>
      <w:proofErr w:type="spellEnd"/>
      <w:r w:rsidR="00BF5C27" w:rsidRPr="00BF5C27">
        <w:rPr>
          <w:rFonts w:ascii="Times New Roman" w:hAnsi="Times New Roman" w:cs="Times New Roman"/>
          <w:sz w:val="24"/>
          <w:szCs w:val="24"/>
          <w:lang w:val="en-US"/>
        </w:rPr>
        <w:t xml:space="preserve"> </w:t>
      </w:r>
      <w:r w:rsidR="00BF5C27">
        <w:rPr>
          <w:rFonts w:ascii="Times New Roman" w:hAnsi="Times New Roman" w:cs="Times New Roman"/>
          <w:sz w:val="24"/>
          <w:szCs w:val="24"/>
          <w:lang w:val="en-US"/>
        </w:rPr>
        <w:t>is</w:t>
      </w:r>
      <w:r w:rsidR="00BF5C27" w:rsidRPr="00BF5C27">
        <w:rPr>
          <w:rFonts w:ascii="Times New Roman" w:hAnsi="Times New Roman" w:cs="Times New Roman"/>
          <w:sz w:val="24"/>
          <w:szCs w:val="24"/>
          <w:lang w:val="en-US"/>
        </w:rPr>
        <w:t xml:space="preserve"> based on spontaneous reports</w:t>
      </w:r>
      <w:r w:rsidR="00BF5C27">
        <w:rPr>
          <w:rFonts w:ascii="Times New Roman" w:hAnsi="Times New Roman" w:cs="Times New Roman"/>
          <w:sz w:val="24"/>
          <w:szCs w:val="24"/>
          <w:lang w:val="en-US"/>
        </w:rPr>
        <w:t xml:space="preserve">, which </w:t>
      </w:r>
      <w:r w:rsidR="00BF5C27" w:rsidRPr="00BF5C27">
        <w:rPr>
          <w:rFonts w:ascii="Times New Roman" w:hAnsi="Times New Roman" w:cs="Times New Roman"/>
          <w:sz w:val="24"/>
          <w:szCs w:val="24"/>
          <w:lang w:val="en-US"/>
        </w:rPr>
        <w:t>will likely feature under-reporting of total real-world cases and variable data quality, all of which are inherent to any pharmacovigilance system</w:t>
      </w:r>
      <w:r w:rsidR="00BF5C27">
        <w:rPr>
          <w:rFonts w:ascii="Times New Roman" w:hAnsi="Times New Roman" w:cs="Times New Roman"/>
          <w:sz w:val="24"/>
          <w:szCs w:val="24"/>
          <w:lang w:val="en-US"/>
        </w:rPr>
        <w:t xml:space="preserve">. </w:t>
      </w:r>
      <w:r w:rsidR="00BF5C27" w:rsidRPr="00BF5C27">
        <w:rPr>
          <w:rFonts w:ascii="Times New Roman" w:hAnsi="Times New Roman" w:cs="Times New Roman"/>
          <w:sz w:val="24"/>
          <w:szCs w:val="24"/>
          <w:lang w:val="en-US"/>
        </w:rPr>
        <w:t xml:space="preserve">However, </w:t>
      </w:r>
      <w:proofErr w:type="spellStart"/>
      <w:r w:rsidR="00BF5C27" w:rsidRPr="00BF5C27">
        <w:rPr>
          <w:rFonts w:ascii="Times New Roman" w:hAnsi="Times New Roman" w:cs="Times New Roman"/>
          <w:sz w:val="24"/>
          <w:szCs w:val="24"/>
          <w:lang w:val="en-US"/>
        </w:rPr>
        <w:t>VigiBase</w:t>
      </w:r>
      <w:proofErr w:type="spellEnd"/>
      <w:r w:rsidR="00BF5C27" w:rsidRPr="00BF5C27">
        <w:rPr>
          <w:rFonts w:ascii="Times New Roman" w:hAnsi="Times New Roman" w:cs="Times New Roman"/>
          <w:sz w:val="24"/>
          <w:szCs w:val="24"/>
          <w:lang w:val="en-US"/>
        </w:rPr>
        <w:t xml:space="preserve">, covering more than 90% of the world’s population, provides a unique opportunity to analyze rare adverse events </w:t>
      </w:r>
      <w:r w:rsidR="00BF5C27">
        <w:rPr>
          <w:rFonts w:ascii="Times New Roman" w:hAnsi="Times New Roman" w:cs="Times New Roman"/>
          <w:sz w:val="24"/>
          <w:szCs w:val="24"/>
          <w:lang w:val="en-US"/>
        </w:rPr>
        <w:t>at</w:t>
      </w:r>
      <w:r w:rsidR="00BF5C27" w:rsidRPr="00BF5C27">
        <w:rPr>
          <w:rFonts w:ascii="Times New Roman" w:hAnsi="Times New Roman" w:cs="Times New Roman"/>
          <w:sz w:val="24"/>
          <w:szCs w:val="24"/>
          <w:lang w:val="en-US"/>
        </w:rPr>
        <w:t xml:space="preserve"> a global scale. Furthermore, disproportionality analysis on </w:t>
      </w:r>
      <w:proofErr w:type="spellStart"/>
      <w:r w:rsidR="00BF5C27" w:rsidRPr="00BF5C27">
        <w:rPr>
          <w:rFonts w:ascii="Times New Roman" w:hAnsi="Times New Roman" w:cs="Times New Roman"/>
          <w:sz w:val="24"/>
          <w:szCs w:val="24"/>
          <w:lang w:val="en-US"/>
        </w:rPr>
        <w:t>VigiBase</w:t>
      </w:r>
      <w:proofErr w:type="spellEnd"/>
      <w:r w:rsidR="00BF5C27" w:rsidRPr="00BF5C27">
        <w:rPr>
          <w:rFonts w:ascii="Times New Roman" w:hAnsi="Times New Roman" w:cs="Times New Roman"/>
          <w:sz w:val="24"/>
          <w:szCs w:val="24"/>
          <w:lang w:val="en-US"/>
        </w:rPr>
        <w:t xml:space="preserve"> has proven its value in detecting increased risk of events. Their estimates correlate well with relative risks calculated from meta-analyses of the same intervention </w:t>
      </w:r>
      <w:r w:rsidR="004B053E">
        <w:rPr>
          <w:lang w:val="en-US"/>
        </w:rPr>
        <w:fldChar w:fldCharType="begin"/>
      </w:r>
      <w:r w:rsidR="00515C5F">
        <w:rPr>
          <w:lang w:val="en-US"/>
        </w:rPr>
        <w:instrText xml:space="preserve"> ADDIN ZOTERO_ITEM CSL_CITATION {"citationID":"TvasshIc","properties":{"formattedCitation":"(8)","plainCitation":"(8)","noteIndex":0},"citationItems":[{"id":11929,"uris":["http://zotero.org/users/2734582/items/CWKXYXPQ"],"uri":["http://zotero.org/users/2734582/items/CWKXYXPQ"],"itemData":{"id":11929,"type":"article-journal","abstract":"OBJECTIVE: We aimed at testing if a correlation between adverse drug reactions relative risks estimated from meta-analyses and disproportionality analyses calculated from pharmacovigilance spontaneous reporting systems databases exist, and if methodological choices modify this correlation.\nSTUDY DESIGN: We extracted adverse drug reactions (ADR) odds ratios (ORs) from meta-analyses used as reference and calculated corresponding Reporting Odds Ratios (RORs) from the WHO pharmacovigilance database according to five different designs. We also calculated the relative bias and agreement of ROR compared to ORs.\nRESULTS: We selected five meta-analyses which displayed a panel of 13 ADRs. A significant correlation for 7 out of the 13 ADRs studied in the primary analysis was found. The methods for ROR calculation impacted the results but none systematically improved the correlations. Whereas correlation was found between OR and ROR, agreement was poor and relative bias was important.\nCONCLUSION: Despite the large variation in disproportionality analyses results due to design specification, this study provides further evidence that relative risks obtained from meta-analyses and from disproportionality analyses correlate in most cases, in particular for objective ADR not associated with the underlying pathology.","container-title":"Journal of Clinical Epidemiology","DOI":"10.1016/j.jclinepi.2021.01.015","ISSN":"1878-5921","journalAbbreviation":"J Clin Epidemiol","language":"eng","note":"PMID: 33508405","page":"14-21","source":"PubMed","title":"Adverse drug reaction risks obtained from meta-analyses and pharmacovigilance disproportionality analyses are correlated in most cases","volume":"134","author":[{"family":"Khouri","given":"Charles"},{"family":"Petit","given":"Camille"},{"family":"Tod","given":"Michel"},{"family":"Lepelley","given":"Marion"},{"family":"Revol","given":"Bruno"},{"family":"Roustit","given":"Matthieu"},{"family":"Cracowski","given":"Jean-Luc"}],"issued":{"date-parts":[["2021",6]]}}}],"schema":"https://github.com/citation-style-language/schema/raw/master/csl-citation.json"} </w:instrText>
      </w:r>
      <w:r w:rsidR="004B053E">
        <w:rPr>
          <w:lang w:val="en-US"/>
        </w:rPr>
        <w:fldChar w:fldCharType="separate"/>
      </w:r>
      <w:r w:rsidR="0052341A" w:rsidRPr="00F85C6B">
        <w:rPr>
          <w:rFonts w:ascii="Calibri" w:hAnsi="Calibri" w:cs="Calibri"/>
          <w:lang w:val="en-US"/>
        </w:rPr>
        <w:t>(8)</w:t>
      </w:r>
      <w:r w:rsidR="004B053E">
        <w:rPr>
          <w:lang w:val="en-US"/>
        </w:rPr>
        <w:fldChar w:fldCharType="end"/>
      </w:r>
      <w:r w:rsidR="00BF5C27" w:rsidRPr="00BF5C27">
        <w:rPr>
          <w:rFonts w:ascii="Times New Roman" w:hAnsi="Times New Roman" w:cs="Times New Roman"/>
          <w:sz w:val="24"/>
          <w:szCs w:val="24"/>
          <w:lang w:val="en-US"/>
        </w:rPr>
        <w:t xml:space="preserve">. </w:t>
      </w:r>
      <w:r w:rsidR="00BF5C27">
        <w:rPr>
          <w:rFonts w:ascii="Times New Roman" w:hAnsi="Times New Roman" w:cs="Times New Roman"/>
          <w:sz w:val="24"/>
          <w:szCs w:val="24"/>
          <w:lang w:val="en-US"/>
        </w:rPr>
        <w:t>Second, d</w:t>
      </w:r>
      <w:r w:rsidR="001C2DFD" w:rsidRPr="00FF738A">
        <w:rPr>
          <w:rFonts w:ascii="Times New Roman" w:hAnsi="Times New Roman" w:cs="Times New Roman"/>
          <w:sz w:val="24"/>
          <w:szCs w:val="24"/>
          <w:lang w:val="en-US"/>
        </w:rPr>
        <w:t xml:space="preserve">isproportionality studies are subject </w:t>
      </w:r>
      <w:r w:rsidR="00455F25" w:rsidRPr="00FF738A">
        <w:rPr>
          <w:rFonts w:ascii="Times New Roman" w:hAnsi="Times New Roman" w:cs="Times New Roman"/>
          <w:sz w:val="24"/>
          <w:szCs w:val="24"/>
          <w:lang w:val="en-US"/>
        </w:rPr>
        <w:t>to notoriety bias</w:t>
      </w:r>
      <w:r w:rsidR="00BF5C27">
        <w:rPr>
          <w:rFonts w:ascii="Times New Roman" w:hAnsi="Times New Roman" w:cs="Times New Roman"/>
          <w:sz w:val="24"/>
          <w:szCs w:val="24"/>
          <w:lang w:val="en-US"/>
        </w:rPr>
        <w:t xml:space="preserve"> and to residual confounders. </w:t>
      </w:r>
      <w:r w:rsidR="004B053E">
        <w:rPr>
          <w:rFonts w:ascii="Times New Roman" w:hAnsi="Times New Roman" w:cs="Times New Roman"/>
          <w:sz w:val="24"/>
          <w:szCs w:val="24"/>
          <w:lang w:val="en-US"/>
        </w:rPr>
        <w:t xml:space="preserve">To address these issues, </w:t>
      </w:r>
      <w:r w:rsidR="009C6B28">
        <w:rPr>
          <w:rFonts w:ascii="Times New Roman" w:hAnsi="Times New Roman" w:cs="Times New Roman"/>
          <w:sz w:val="24"/>
          <w:szCs w:val="24"/>
          <w:lang w:val="en-US"/>
        </w:rPr>
        <w:t xml:space="preserve">we restricted the study period </w:t>
      </w:r>
      <w:r w:rsidR="004B053E" w:rsidRPr="004B053E">
        <w:rPr>
          <w:rFonts w:ascii="Times New Roman" w:hAnsi="Times New Roman" w:cs="Times New Roman"/>
          <w:sz w:val="24"/>
          <w:szCs w:val="24"/>
          <w:lang w:val="en-US"/>
        </w:rPr>
        <w:t xml:space="preserve">to a time </w:t>
      </w:r>
      <w:r w:rsidR="009C6B28">
        <w:rPr>
          <w:rFonts w:ascii="Times New Roman" w:hAnsi="Times New Roman" w:cs="Times New Roman"/>
          <w:sz w:val="24"/>
          <w:szCs w:val="24"/>
          <w:lang w:val="en-US"/>
        </w:rPr>
        <w:t>frame</w:t>
      </w:r>
      <w:r w:rsidR="004B053E" w:rsidRPr="004B053E">
        <w:rPr>
          <w:rFonts w:ascii="Times New Roman" w:hAnsi="Times New Roman" w:cs="Times New Roman"/>
          <w:sz w:val="24"/>
          <w:szCs w:val="24"/>
          <w:lang w:val="en-US"/>
        </w:rPr>
        <w:t xml:space="preserve"> </w:t>
      </w:r>
      <w:r w:rsidR="009C6B28">
        <w:rPr>
          <w:rFonts w:ascii="Times New Roman" w:hAnsi="Times New Roman" w:cs="Times New Roman"/>
          <w:sz w:val="24"/>
          <w:szCs w:val="24"/>
          <w:lang w:val="en-US"/>
        </w:rPr>
        <w:t xml:space="preserve">that limited </w:t>
      </w:r>
      <w:r w:rsidR="004B053E" w:rsidRPr="004B053E">
        <w:rPr>
          <w:rFonts w:ascii="Times New Roman" w:hAnsi="Times New Roman" w:cs="Times New Roman"/>
          <w:sz w:val="24"/>
          <w:szCs w:val="24"/>
          <w:lang w:val="en-US"/>
        </w:rPr>
        <w:t xml:space="preserve">these biases, and </w:t>
      </w:r>
      <w:r w:rsidR="009C6B28">
        <w:rPr>
          <w:rFonts w:ascii="Times New Roman" w:hAnsi="Times New Roman" w:cs="Times New Roman"/>
          <w:sz w:val="24"/>
          <w:szCs w:val="24"/>
          <w:lang w:val="en-US"/>
        </w:rPr>
        <w:t>selected a</w:t>
      </w:r>
      <w:r w:rsidR="004B053E" w:rsidRPr="004B053E">
        <w:rPr>
          <w:rFonts w:ascii="Times New Roman" w:hAnsi="Times New Roman" w:cs="Times New Roman"/>
          <w:sz w:val="24"/>
          <w:szCs w:val="24"/>
          <w:lang w:val="en-US"/>
        </w:rPr>
        <w:t>n active comparator based on influenza vaccine recipients</w:t>
      </w:r>
      <w:r w:rsidR="00515C5F">
        <w:rPr>
          <w:rFonts w:ascii="Times New Roman" w:hAnsi="Times New Roman" w:cs="Times New Roman"/>
          <w:sz w:val="24"/>
          <w:szCs w:val="24"/>
          <w:lang w:val="en-US"/>
        </w:rPr>
        <w:t xml:space="preserve"> </w:t>
      </w:r>
      <w:r w:rsidR="00515C5F">
        <w:rPr>
          <w:color w:val="C00000"/>
          <w:lang w:val="en-US"/>
        </w:rPr>
        <w:fldChar w:fldCharType="begin"/>
      </w:r>
      <w:r w:rsidR="00515C5F">
        <w:rPr>
          <w:color w:val="C00000"/>
          <w:lang w:val="en-US"/>
        </w:rPr>
        <w:instrText xml:space="preserve"> ADDIN ZOTERO_ITEM CSL_CITATION {"citationID":"JRJWb8ZS","properties":{"formattedCitation":"(15)","plainCitation":"(15)","noteIndex":0},"citationItems":[{"id":2104,"uris":["http://zotero.org/users/2734582/items/HW2K7Z9R"],"uri":["http://zotero.org/users/2734582/items/HW2K7Z9R"],"itemData":{"id":2104,"type":"article-journal","abstract":"BACKGROUND: Disproportionality analysis of spontaneous reporting is increasingly used, but it may be influenced in unknown ways by safety alerts (notoriety bias).\nOBJECTIVE: To explore the consequences of safety alerts on reporting disproportionality.\nMETHODS: Within the French national pharmacovigilance database, disproportionality of reporting was tested, using the reporting odds ratio (ROR) and its 95% confidence interval, before and after four safety alerts: valvulopathies with pergolide; tuberculosis with infliximab; strokes with atypical antipsychotics; and rhabdomyolysis with HMG-CoA reductase inhibitors (statins) [after cerivastatin withdrawal].\nRESULTS: No cases of valvulopathy were reported in association with pergolide before the safety alert and 63 cases were reported after the alert, (ROR 9400; 95% CI 4300, 20 000), of which five had occurred before the alert. Twenty-five reports mentioned rhabdomyolysis associated with statins (not including cerivastatin) before the safety alert (ROR 5.8; 95% CI 3.8, 9.0), and 63 did so after the alert (ROR 9.4; 95% CI 7.0, 13.0). Approximately 280 cases involving cerivastatin were reported after its withdrawal. There were two reports of tuberculosis associated with infliximab before the alert (ROR 1500; 95% CI 130, 18 000) and seven after the alert (ROR 430; 95% CI 110, 1700). There was one report of a stroke in association with atypical antipsychotic treatment before the safety alert (ROR 0.10; 95% CI 0.01, 0.63) and 16 after the alert (ROR 1.10; 95% CI 0.70, 1.90). After excluding events involving treatment with anticoagulant agents, the RORs for stroke in association with atypical antipsychotic treatment were 0.14 (95% CI 0.02, 1.00) before the alert and 2.0 (95% CI 1.2, 3.4) after the alert.\nCONCLUSION: Disproportionality in spontaneous reporting databases increases after a safety alert because of increased reporting of the event of interest, including reports of such events that occurred before the alert. This may overflow to increased reporting of the event in association with other drugs.","container-title":"Drug Safety","DOI":"10.2165/00002018-200730100-00007","ISSN":"0114-5916","issue":"10","journalAbbreviation":"Drug Saf","language":"eng","note":"PMID: 17867726","page":"891-898","source":"PubMed","title":"Impact of safety alerts on measures of disproportionality in spontaneous reporting databases: the notoriety bias","title-short":"Impact of safety alerts on measures of disproportionality in spontaneous reporting databases","volume":"30","author":[{"family":"Pariente","given":"Antoine"},{"family":"Gregoire","given":"Fleur"},{"family":"Fourrier-Reglat","given":"Annie"},{"family":"Haramburu","given":"Françoise"},{"family":"Moore","given":"Nicholas"}],"issued":{"date-parts":[["2007"]]}}}],"schema":"https://github.com/citation-style-language/schema/raw/master/csl-citation.json"} </w:instrText>
      </w:r>
      <w:r w:rsidR="00515C5F">
        <w:rPr>
          <w:color w:val="C00000"/>
          <w:lang w:val="en-US"/>
        </w:rPr>
        <w:fldChar w:fldCharType="separate"/>
      </w:r>
      <w:r w:rsidR="00515C5F" w:rsidRPr="00515C5F">
        <w:rPr>
          <w:rFonts w:ascii="Calibri" w:hAnsi="Calibri" w:cs="Calibri"/>
        </w:rPr>
        <w:t>(15)</w:t>
      </w:r>
      <w:r w:rsidR="00515C5F">
        <w:rPr>
          <w:color w:val="C00000"/>
          <w:lang w:val="en-US"/>
        </w:rPr>
        <w:fldChar w:fldCharType="end"/>
      </w:r>
      <w:r w:rsidR="004B053E">
        <w:rPr>
          <w:color w:val="C00000"/>
          <w:lang w:val="en-US"/>
        </w:rPr>
        <w:t>.</w:t>
      </w:r>
      <w:r w:rsidR="007D282D" w:rsidRPr="00FF738A">
        <w:rPr>
          <w:rFonts w:ascii="Times New Roman" w:hAnsi="Times New Roman" w:cs="Times New Roman"/>
          <w:sz w:val="24"/>
          <w:szCs w:val="24"/>
          <w:lang w:val="en-US"/>
        </w:rPr>
        <w:t xml:space="preserve"> </w:t>
      </w:r>
      <w:r w:rsidR="001F6E55" w:rsidRPr="00FF738A">
        <w:rPr>
          <w:rFonts w:ascii="Times New Roman" w:hAnsi="Times New Roman" w:cs="Times New Roman"/>
          <w:sz w:val="24"/>
          <w:szCs w:val="24"/>
          <w:lang w:val="en-US"/>
        </w:rPr>
        <w:t xml:space="preserve">Last, </w:t>
      </w:r>
      <w:r w:rsidR="00C76A34" w:rsidRPr="00FF738A">
        <w:rPr>
          <w:rFonts w:ascii="Times New Roman" w:hAnsi="Times New Roman" w:cs="Times New Roman"/>
          <w:sz w:val="24"/>
          <w:szCs w:val="24"/>
          <w:lang w:val="en-US"/>
        </w:rPr>
        <w:t xml:space="preserve">the available data </w:t>
      </w:r>
      <w:r w:rsidR="003E07EF" w:rsidRPr="00FF738A">
        <w:rPr>
          <w:rFonts w:ascii="Times New Roman" w:hAnsi="Times New Roman" w:cs="Times New Roman"/>
          <w:sz w:val="24"/>
          <w:szCs w:val="24"/>
          <w:lang w:val="en-US"/>
        </w:rPr>
        <w:t xml:space="preserve">did not allow us to investigate whether the risk of HZ </w:t>
      </w:r>
      <w:r w:rsidR="007B08A9" w:rsidRPr="00FF738A">
        <w:rPr>
          <w:rFonts w:ascii="Times New Roman" w:hAnsi="Times New Roman" w:cs="Times New Roman"/>
          <w:sz w:val="24"/>
          <w:szCs w:val="24"/>
          <w:lang w:val="en-US"/>
        </w:rPr>
        <w:t xml:space="preserve">was greater after the first or second dose of vaccine. </w:t>
      </w:r>
    </w:p>
    <w:p w14:paraId="7FF87DDC" w14:textId="77777777" w:rsidR="00F525A0" w:rsidRPr="00133D3F" w:rsidRDefault="00F525A0" w:rsidP="00F36155">
      <w:pPr>
        <w:spacing w:line="480" w:lineRule="auto"/>
        <w:jc w:val="both"/>
        <w:rPr>
          <w:lang w:val="en-US"/>
        </w:rPr>
      </w:pPr>
    </w:p>
    <w:p w14:paraId="34DDEDFC" w14:textId="47D726CC" w:rsidR="00272205" w:rsidRDefault="00AB2A72" w:rsidP="0099558F">
      <w:pPr>
        <w:spacing w:line="480" w:lineRule="auto"/>
        <w:ind w:firstLine="708"/>
        <w:jc w:val="both"/>
        <w:rPr>
          <w:lang w:val="en-US"/>
        </w:rPr>
      </w:pPr>
      <w:r w:rsidRPr="00133D3F">
        <w:rPr>
          <w:lang w:val="en-US"/>
        </w:rPr>
        <w:t>Overall, o</w:t>
      </w:r>
      <w:r w:rsidR="00E769EA" w:rsidRPr="00133D3F">
        <w:rPr>
          <w:lang w:val="en-US"/>
        </w:rPr>
        <w:t xml:space="preserve">ur study </w:t>
      </w:r>
      <w:r w:rsidR="009C6B28">
        <w:rPr>
          <w:lang w:val="en-US"/>
        </w:rPr>
        <w:t xml:space="preserve">shows </w:t>
      </w:r>
      <w:r w:rsidR="004B053E">
        <w:rPr>
          <w:lang w:val="en-US"/>
        </w:rPr>
        <w:t>that</w:t>
      </w:r>
      <w:r w:rsidR="00E769EA" w:rsidRPr="00FF738A">
        <w:rPr>
          <w:lang w:val="en-US"/>
        </w:rPr>
        <w:t xml:space="preserve"> </w:t>
      </w:r>
      <w:r w:rsidR="004413F4">
        <w:rPr>
          <w:lang w:val="en-US"/>
        </w:rPr>
        <w:t>HZ</w:t>
      </w:r>
      <w:r w:rsidR="004B053E">
        <w:rPr>
          <w:lang w:val="en-US"/>
        </w:rPr>
        <w:t xml:space="preserve"> </w:t>
      </w:r>
      <w:r w:rsidR="008D0E11">
        <w:rPr>
          <w:lang w:val="en-US"/>
        </w:rPr>
        <w:t xml:space="preserve">may </w:t>
      </w:r>
      <w:r w:rsidR="004B053E">
        <w:rPr>
          <w:lang w:val="en-US"/>
        </w:rPr>
        <w:t xml:space="preserve">occur shortly after </w:t>
      </w:r>
      <w:r w:rsidR="0099558F" w:rsidRPr="00FF738A">
        <w:rPr>
          <w:lang w:val="en-US"/>
        </w:rPr>
        <w:t xml:space="preserve">mRNA </w:t>
      </w:r>
      <w:r w:rsidR="00F80100" w:rsidRPr="00FF738A">
        <w:rPr>
          <w:lang w:val="en-US"/>
        </w:rPr>
        <w:t>COVID-19 vaccin</w:t>
      </w:r>
      <w:r w:rsidR="004B053E">
        <w:rPr>
          <w:lang w:val="en-US"/>
        </w:rPr>
        <w:t>ation</w:t>
      </w:r>
      <w:r w:rsidR="009C6B28">
        <w:rPr>
          <w:lang w:val="en-US"/>
        </w:rPr>
        <w:t xml:space="preserve">, at higher frequency than </w:t>
      </w:r>
      <w:r w:rsidR="004B053E">
        <w:rPr>
          <w:lang w:val="en-US"/>
        </w:rPr>
        <w:t xml:space="preserve">reported </w:t>
      </w:r>
      <w:r w:rsidR="009C6B28">
        <w:rPr>
          <w:lang w:val="en-US"/>
        </w:rPr>
        <w:t>with</w:t>
      </w:r>
      <w:r w:rsidR="00C61D2A">
        <w:rPr>
          <w:lang w:val="en-US"/>
        </w:rPr>
        <w:t xml:space="preserve"> influenza vaccination.</w:t>
      </w:r>
      <w:r w:rsidR="00000587">
        <w:rPr>
          <w:lang w:val="en-US"/>
        </w:rPr>
        <w:t xml:space="preserve"> HZ </w:t>
      </w:r>
      <w:r w:rsidR="00515C5F">
        <w:rPr>
          <w:lang w:val="en-US"/>
        </w:rPr>
        <w:t xml:space="preserve">reactions </w:t>
      </w:r>
      <w:r w:rsidR="00000587">
        <w:rPr>
          <w:lang w:val="en-US"/>
        </w:rPr>
        <w:t xml:space="preserve">following </w:t>
      </w:r>
      <w:r w:rsidR="00515C5F">
        <w:rPr>
          <w:lang w:val="en-US"/>
        </w:rPr>
        <w:t xml:space="preserve">mRNA </w:t>
      </w:r>
      <w:r w:rsidR="0091777F">
        <w:rPr>
          <w:lang w:val="en-US"/>
        </w:rPr>
        <w:t>COVID-19</w:t>
      </w:r>
      <w:r w:rsidR="00000587">
        <w:rPr>
          <w:lang w:val="en-US"/>
        </w:rPr>
        <w:t xml:space="preserve"> </w:t>
      </w:r>
      <w:r w:rsidR="00DF4F9F">
        <w:rPr>
          <w:lang w:val="en-US"/>
        </w:rPr>
        <w:t xml:space="preserve">vaccination </w:t>
      </w:r>
      <w:r w:rsidR="00000587">
        <w:rPr>
          <w:lang w:val="en-US"/>
        </w:rPr>
        <w:t xml:space="preserve">remain usually mild, without reported case-related mortality, and </w:t>
      </w:r>
      <w:r w:rsidR="009D1DFB" w:rsidRPr="00FF738A">
        <w:rPr>
          <w:lang w:val="en-US"/>
        </w:rPr>
        <w:t xml:space="preserve">rare </w:t>
      </w:r>
      <w:r w:rsidR="00000587">
        <w:rPr>
          <w:lang w:val="en-US"/>
        </w:rPr>
        <w:t>as mirrored to</w:t>
      </w:r>
      <w:r w:rsidR="009D1DFB" w:rsidRPr="00FF738A">
        <w:rPr>
          <w:lang w:val="en-US"/>
        </w:rPr>
        <w:t xml:space="preserve"> the </w:t>
      </w:r>
      <w:r w:rsidR="00845EB2" w:rsidRPr="00FF738A">
        <w:rPr>
          <w:lang w:val="en-US"/>
        </w:rPr>
        <w:t>billion</w:t>
      </w:r>
      <w:r w:rsidR="00F57867">
        <w:rPr>
          <w:lang w:val="en-US"/>
        </w:rPr>
        <w:t>s</w:t>
      </w:r>
      <w:r w:rsidR="00845EB2" w:rsidRPr="00FF738A">
        <w:rPr>
          <w:lang w:val="en-US"/>
        </w:rPr>
        <w:t xml:space="preserve"> </w:t>
      </w:r>
      <w:r w:rsidR="009D1DFB" w:rsidRPr="00FF738A">
        <w:rPr>
          <w:lang w:val="en-US"/>
        </w:rPr>
        <w:t>doses administered so far.</w:t>
      </w:r>
      <w:bookmarkEnd w:id="1"/>
      <w:r w:rsidR="004B053E">
        <w:rPr>
          <w:lang w:val="en-US"/>
        </w:rPr>
        <w:t xml:space="preserve"> </w:t>
      </w:r>
      <w:r w:rsidR="00514BFB" w:rsidRPr="00FF738A">
        <w:rPr>
          <w:lang w:val="en-US"/>
        </w:rPr>
        <w:t xml:space="preserve">Further clinical data are needed to confirm this </w:t>
      </w:r>
      <w:proofErr w:type="gramStart"/>
      <w:r w:rsidR="00514BFB" w:rsidRPr="00FF738A">
        <w:rPr>
          <w:lang w:val="en-US"/>
        </w:rPr>
        <w:t>signal</w:t>
      </w:r>
      <w:r w:rsidR="00514BFB">
        <w:rPr>
          <w:lang w:val="en-US"/>
        </w:rPr>
        <w:t>, that</w:t>
      </w:r>
      <w:proofErr w:type="gramEnd"/>
      <w:r w:rsidR="00514BFB">
        <w:rPr>
          <w:lang w:val="en-US"/>
        </w:rPr>
        <w:t xml:space="preserve"> should not hamper the use of</w:t>
      </w:r>
      <w:r w:rsidR="00514BFB" w:rsidRPr="00FF738A">
        <w:rPr>
          <w:lang w:val="en-US"/>
        </w:rPr>
        <w:t xml:space="preserve"> mRNA COVID-19 vaccine</w:t>
      </w:r>
      <w:r w:rsidR="00514BFB">
        <w:rPr>
          <w:lang w:val="en-US"/>
        </w:rPr>
        <w:t xml:space="preserve">s, whose </w:t>
      </w:r>
      <w:r w:rsidR="00514BFB" w:rsidRPr="00FF738A">
        <w:rPr>
          <w:lang w:val="en-US"/>
        </w:rPr>
        <w:t>benefits dramatically overweight this risk</w:t>
      </w:r>
      <w:r w:rsidR="0007524C">
        <w:rPr>
          <w:lang w:val="en-US"/>
        </w:rPr>
        <w:t>.</w:t>
      </w:r>
    </w:p>
    <w:p w14:paraId="23F82C50" w14:textId="77777777" w:rsidR="0007524C" w:rsidRDefault="0007524C" w:rsidP="0099558F">
      <w:pPr>
        <w:spacing w:line="480" w:lineRule="auto"/>
        <w:ind w:firstLine="708"/>
        <w:jc w:val="both"/>
        <w:rPr>
          <w:lang w:val="en-US"/>
        </w:rPr>
      </w:pPr>
    </w:p>
    <w:p w14:paraId="15A3D62B" w14:textId="77777777" w:rsidR="0007524C" w:rsidRDefault="0007524C">
      <w:pPr>
        <w:spacing w:after="200" w:line="276" w:lineRule="auto"/>
        <w:rPr>
          <w:rFonts w:eastAsiaTheme="minorHAnsi"/>
          <w:b/>
          <w:u w:val="single"/>
          <w:lang w:val="en-US" w:eastAsia="en-US"/>
        </w:rPr>
      </w:pPr>
      <w:r>
        <w:rPr>
          <w:b/>
          <w:u w:val="single"/>
          <w:lang w:val="en-US"/>
        </w:rPr>
        <w:br w:type="page"/>
      </w:r>
    </w:p>
    <w:p w14:paraId="3C554AE7" w14:textId="26D35D02" w:rsidR="000D6172" w:rsidRPr="006608F9" w:rsidRDefault="009B7C0F" w:rsidP="009B7C0F">
      <w:pPr>
        <w:pStyle w:val="Sansinterligne"/>
        <w:spacing w:line="480" w:lineRule="auto"/>
        <w:jc w:val="both"/>
        <w:rPr>
          <w:rFonts w:ascii="Times New Roman" w:hAnsi="Times New Roman" w:cs="Times New Roman"/>
          <w:b/>
          <w:sz w:val="24"/>
          <w:szCs w:val="24"/>
          <w:lang w:val="en-US"/>
        </w:rPr>
      </w:pPr>
      <w:r w:rsidRPr="006608F9">
        <w:rPr>
          <w:rFonts w:ascii="Times New Roman" w:hAnsi="Times New Roman" w:cs="Times New Roman"/>
          <w:b/>
          <w:sz w:val="24"/>
          <w:szCs w:val="24"/>
          <w:lang w:val="en-US"/>
        </w:rPr>
        <w:lastRenderedPageBreak/>
        <w:t>Acknowledgements</w:t>
      </w:r>
    </w:p>
    <w:p w14:paraId="2C3075AC" w14:textId="51C805B1" w:rsidR="00B3674E" w:rsidRDefault="00B270B7" w:rsidP="00AF1057">
      <w:pPr>
        <w:pStyle w:val="Sansinterligne"/>
        <w:spacing w:line="480" w:lineRule="auto"/>
        <w:jc w:val="both"/>
        <w:rPr>
          <w:rFonts w:ascii="Times New Roman" w:eastAsia="Times New Roman" w:hAnsi="Times New Roman" w:cs="Times New Roman"/>
          <w:sz w:val="24"/>
          <w:szCs w:val="24"/>
          <w:lang w:val="en-US" w:eastAsia="fr-FR"/>
        </w:rPr>
      </w:pPr>
      <w:proofErr w:type="gramStart"/>
      <w:r w:rsidRPr="00C42E42">
        <w:rPr>
          <w:rFonts w:ascii="Times New Roman" w:eastAsia="Times New Roman" w:hAnsi="Times New Roman" w:cs="Times New Roman"/>
          <w:sz w:val="24"/>
          <w:szCs w:val="24"/>
          <w:lang w:val="en-US" w:eastAsia="fr-FR"/>
        </w:rPr>
        <w:t>The authors thank</w:t>
      </w:r>
      <w:r w:rsidR="00D4050C" w:rsidRPr="00C42E42">
        <w:rPr>
          <w:rFonts w:ascii="Times New Roman" w:eastAsia="Times New Roman" w:hAnsi="Times New Roman" w:cs="Times New Roman"/>
          <w:sz w:val="24"/>
          <w:szCs w:val="24"/>
          <w:lang w:val="en-US" w:eastAsia="fr-FR"/>
        </w:rPr>
        <w:t xml:space="preserve"> </w:t>
      </w:r>
      <w:r w:rsidRPr="00C42E42">
        <w:rPr>
          <w:rFonts w:ascii="Times New Roman" w:eastAsia="Times New Roman" w:hAnsi="Times New Roman" w:cs="Times New Roman"/>
          <w:sz w:val="24"/>
          <w:szCs w:val="24"/>
          <w:lang w:val="en-US" w:eastAsia="fr-FR"/>
        </w:rPr>
        <w:t xml:space="preserve">all the healthcare workers and the French Pharmacovigilance Network involved in large immunization campaign and in its safety monitoring, especially the experts for the French National Medicine Agency (ANSM): </w:t>
      </w:r>
      <w:proofErr w:type="spellStart"/>
      <w:r w:rsidR="00867A8D" w:rsidRPr="00C42E42">
        <w:rPr>
          <w:rFonts w:ascii="Times New Roman" w:eastAsia="Times New Roman" w:hAnsi="Times New Roman" w:cs="Times New Roman"/>
          <w:sz w:val="24"/>
          <w:szCs w:val="24"/>
          <w:lang w:val="en-US" w:eastAsia="fr-FR"/>
        </w:rPr>
        <w:t>Dr</w:t>
      </w:r>
      <w:proofErr w:type="spellEnd"/>
      <w:r w:rsidR="00867A8D" w:rsidRPr="00C42E42">
        <w:rPr>
          <w:rFonts w:ascii="Times New Roman" w:eastAsia="Times New Roman" w:hAnsi="Times New Roman" w:cs="Times New Roman"/>
          <w:sz w:val="24"/>
          <w:szCs w:val="24"/>
          <w:lang w:val="en-US" w:eastAsia="fr-FR"/>
        </w:rPr>
        <w:t xml:space="preserve"> Marina </w:t>
      </w:r>
      <w:proofErr w:type="spellStart"/>
      <w:r w:rsidR="00867A8D" w:rsidRPr="00C42E42">
        <w:rPr>
          <w:rFonts w:ascii="Times New Roman" w:eastAsia="Times New Roman" w:hAnsi="Times New Roman" w:cs="Times New Roman"/>
          <w:sz w:val="24"/>
          <w:szCs w:val="24"/>
          <w:lang w:val="en-US" w:eastAsia="fr-FR"/>
        </w:rPr>
        <w:t>Atzenhoffer</w:t>
      </w:r>
      <w:proofErr w:type="spellEnd"/>
      <w:r w:rsidR="00867A8D" w:rsidRPr="00C42E42">
        <w:rPr>
          <w:rFonts w:ascii="Times New Roman" w:eastAsia="Times New Roman" w:hAnsi="Times New Roman" w:cs="Times New Roman"/>
          <w:sz w:val="24"/>
          <w:szCs w:val="24"/>
          <w:lang w:val="en-US" w:eastAsia="fr-FR"/>
        </w:rPr>
        <w:t xml:space="preserve">, </w:t>
      </w:r>
      <w:proofErr w:type="spellStart"/>
      <w:r w:rsidR="00F57867" w:rsidRPr="00C42E42">
        <w:rPr>
          <w:rFonts w:ascii="Times New Roman" w:eastAsia="Times New Roman" w:hAnsi="Times New Roman" w:cs="Times New Roman"/>
          <w:sz w:val="24"/>
          <w:szCs w:val="24"/>
          <w:lang w:val="en-US" w:eastAsia="fr-FR"/>
        </w:rPr>
        <w:t>Dr</w:t>
      </w:r>
      <w:proofErr w:type="spellEnd"/>
      <w:r w:rsidR="00F57867" w:rsidRPr="00C42E42">
        <w:rPr>
          <w:rFonts w:ascii="Times New Roman" w:eastAsia="Times New Roman" w:hAnsi="Times New Roman" w:cs="Times New Roman"/>
          <w:sz w:val="24"/>
          <w:szCs w:val="24"/>
          <w:lang w:val="en-US" w:eastAsia="fr-FR"/>
        </w:rPr>
        <w:t xml:space="preserve"> </w:t>
      </w:r>
      <w:proofErr w:type="spellStart"/>
      <w:r w:rsidR="00F57867" w:rsidRPr="00C42E42">
        <w:rPr>
          <w:rFonts w:ascii="Times New Roman" w:eastAsia="Times New Roman" w:hAnsi="Times New Roman" w:cs="Times New Roman"/>
          <w:sz w:val="24"/>
          <w:szCs w:val="24"/>
          <w:lang w:val="en-US" w:eastAsia="fr-FR"/>
        </w:rPr>
        <w:t>Haleh</w:t>
      </w:r>
      <w:proofErr w:type="spellEnd"/>
      <w:r w:rsidR="00F57867" w:rsidRPr="00C42E42">
        <w:rPr>
          <w:rFonts w:ascii="Times New Roman" w:eastAsia="Times New Roman" w:hAnsi="Times New Roman" w:cs="Times New Roman"/>
          <w:sz w:val="24"/>
          <w:szCs w:val="24"/>
          <w:lang w:val="en-US" w:eastAsia="fr-FR"/>
        </w:rPr>
        <w:t xml:space="preserve"> </w:t>
      </w:r>
      <w:proofErr w:type="spellStart"/>
      <w:r w:rsidR="00F57867" w:rsidRPr="00C42E42">
        <w:rPr>
          <w:rFonts w:ascii="Times New Roman" w:eastAsia="Times New Roman" w:hAnsi="Times New Roman" w:cs="Times New Roman"/>
          <w:sz w:val="24"/>
          <w:szCs w:val="24"/>
          <w:lang w:val="en-US" w:eastAsia="fr-FR"/>
        </w:rPr>
        <w:t>Bagheri</w:t>
      </w:r>
      <w:proofErr w:type="spellEnd"/>
      <w:r w:rsidR="00F57867" w:rsidRPr="00C42E42">
        <w:rPr>
          <w:rFonts w:ascii="Times New Roman" w:eastAsia="Times New Roman" w:hAnsi="Times New Roman" w:cs="Times New Roman"/>
          <w:sz w:val="24"/>
          <w:szCs w:val="24"/>
          <w:lang w:val="en-US" w:eastAsia="fr-FR"/>
        </w:rPr>
        <w:t xml:space="preserve">, </w:t>
      </w:r>
      <w:proofErr w:type="spellStart"/>
      <w:r w:rsidRPr="00C42E42">
        <w:rPr>
          <w:rFonts w:ascii="Times New Roman" w:eastAsia="Times New Roman" w:hAnsi="Times New Roman" w:cs="Times New Roman"/>
          <w:sz w:val="24"/>
          <w:szCs w:val="24"/>
          <w:lang w:val="en-US" w:eastAsia="fr-FR"/>
        </w:rPr>
        <w:t>Dr</w:t>
      </w:r>
      <w:proofErr w:type="spellEnd"/>
      <w:r w:rsidRPr="00C42E42">
        <w:rPr>
          <w:rFonts w:ascii="Times New Roman" w:eastAsia="Times New Roman" w:hAnsi="Times New Roman" w:cs="Times New Roman"/>
          <w:sz w:val="24"/>
          <w:szCs w:val="24"/>
          <w:lang w:val="en-US" w:eastAsia="fr-FR"/>
        </w:rPr>
        <w:t xml:space="preserve"> Sophie Gautier, </w:t>
      </w:r>
      <w:proofErr w:type="spellStart"/>
      <w:r w:rsidRPr="00C42E42">
        <w:rPr>
          <w:rFonts w:ascii="Times New Roman" w:eastAsia="Times New Roman" w:hAnsi="Times New Roman" w:cs="Times New Roman"/>
          <w:sz w:val="24"/>
          <w:szCs w:val="24"/>
          <w:lang w:val="en-US" w:eastAsia="fr-FR"/>
        </w:rPr>
        <w:t>Dr</w:t>
      </w:r>
      <w:proofErr w:type="spellEnd"/>
      <w:r w:rsidRPr="00C42E42">
        <w:rPr>
          <w:rFonts w:ascii="Times New Roman" w:eastAsia="Times New Roman" w:hAnsi="Times New Roman" w:cs="Times New Roman"/>
          <w:sz w:val="24"/>
          <w:szCs w:val="24"/>
          <w:lang w:val="en-US" w:eastAsia="fr-FR"/>
        </w:rPr>
        <w:t xml:space="preserve"> </w:t>
      </w:r>
      <w:proofErr w:type="spellStart"/>
      <w:r w:rsidRPr="00C42E42">
        <w:rPr>
          <w:rFonts w:ascii="Times New Roman" w:eastAsia="Times New Roman" w:hAnsi="Times New Roman" w:cs="Times New Roman"/>
          <w:sz w:val="24"/>
          <w:szCs w:val="24"/>
          <w:lang w:val="en-US" w:eastAsia="fr-FR"/>
        </w:rPr>
        <w:t>Valérie</w:t>
      </w:r>
      <w:proofErr w:type="spellEnd"/>
      <w:r w:rsidRPr="00C42E42">
        <w:rPr>
          <w:rFonts w:ascii="Times New Roman" w:eastAsia="Times New Roman" w:hAnsi="Times New Roman" w:cs="Times New Roman"/>
          <w:sz w:val="24"/>
          <w:szCs w:val="24"/>
          <w:lang w:val="en-US" w:eastAsia="fr-FR"/>
        </w:rPr>
        <w:t xml:space="preserve"> Gras-</w:t>
      </w:r>
      <w:proofErr w:type="spellStart"/>
      <w:r w:rsidRPr="00C42E42">
        <w:rPr>
          <w:rFonts w:ascii="Times New Roman" w:eastAsia="Times New Roman" w:hAnsi="Times New Roman" w:cs="Times New Roman"/>
          <w:sz w:val="24"/>
          <w:szCs w:val="24"/>
          <w:lang w:val="en-US" w:eastAsia="fr-FR"/>
        </w:rPr>
        <w:t>Champel</w:t>
      </w:r>
      <w:proofErr w:type="spellEnd"/>
      <w:r w:rsidRPr="00C42E42">
        <w:rPr>
          <w:rFonts w:ascii="Times New Roman" w:eastAsia="Times New Roman" w:hAnsi="Times New Roman" w:cs="Times New Roman"/>
          <w:sz w:val="24"/>
          <w:szCs w:val="24"/>
          <w:lang w:val="en-US" w:eastAsia="fr-FR"/>
        </w:rPr>
        <w:t xml:space="preserve">, </w:t>
      </w:r>
      <w:proofErr w:type="spellStart"/>
      <w:r w:rsidR="00867A8D" w:rsidRPr="00C42E42">
        <w:rPr>
          <w:rFonts w:ascii="Times New Roman" w:eastAsia="Times New Roman" w:hAnsi="Times New Roman" w:cs="Times New Roman"/>
          <w:sz w:val="24"/>
          <w:szCs w:val="24"/>
          <w:lang w:val="en-US" w:eastAsia="fr-FR"/>
        </w:rPr>
        <w:t>Dr</w:t>
      </w:r>
      <w:proofErr w:type="spellEnd"/>
      <w:r w:rsidR="00867A8D" w:rsidRPr="00C42E42">
        <w:rPr>
          <w:rFonts w:ascii="Times New Roman" w:eastAsia="Times New Roman" w:hAnsi="Times New Roman" w:cs="Times New Roman"/>
          <w:sz w:val="24"/>
          <w:szCs w:val="24"/>
          <w:lang w:val="en-US" w:eastAsia="fr-FR"/>
        </w:rPr>
        <w:t xml:space="preserve"> Marion </w:t>
      </w:r>
      <w:proofErr w:type="spellStart"/>
      <w:r w:rsidR="00867A8D" w:rsidRPr="00C42E42">
        <w:rPr>
          <w:rFonts w:ascii="Times New Roman" w:eastAsia="Times New Roman" w:hAnsi="Times New Roman" w:cs="Times New Roman"/>
          <w:sz w:val="24"/>
          <w:szCs w:val="24"/>
          <w:lang w:val="en-US" w:eastAsia="fr-FR"/>
        </w:rPr>
        <w:t>Lepelley</w:t>
      </w:r>
      <w:proofErr w:type="spellEnd"/>
      <w:r w:rsidR="00867A8D" w:rsidRPr="00C42E42">
        <w:rPr>
          <w:rFonts w:ascii="Times New Roman" w:eastAsia="Times New Roman" w:hAnsi="Times New Roman" w:cs="Times New Roman"/>
          <w:sz w:val="24"/>
          <w:szCs w:val="24"/>
          <w:lang w:val="en-US" w:eastAsia="fr-FR"/>
        </w:rPr>
        <w:t xml:space="preserve">, </w:t>
      </w:r>
      <w:proofErr w:type="spellStart"/>
      <w:r w:rsidRPr="00C42E42">
        <w:rPr>
          <w:rFonts w:ascii="Times New Roman" w:eastAsia="Times New Roman" w:hAnsi="Times New Roman" w:cs="Times New Roman"/>
          <w:sz w:val="24"/>
          <w:szCs w:val="24"/>
          <w:lang w:val="en-US" w:eastAsia="fr-FR"/>
        </w:rPr>
        <w:t>Dr</w:t>
      </w:r>
      <w:proofErr w:type="spellEnd"/>
      <w:r w:rsidRPr="00C42E42">
        <w:rPr>
          <w:rFonts w:ascii="Times New Roman" w:eastAsia="Times New Roman" w:hAnsi="Times New Roman" w:cs="Times New Roman"/>
          <w:sz w:val="24"/>
          <w:szCs w:val="24"/>
          <w:lang w:val="en-US" w:eastAsia="fr-FR"/>
        </w:rPr>
        <w:t xml:space="preserve"> Nathalie Massy, </w:t>
      </w:r>
      <w:proofErr w:type="spellStart"/>
      <w:r w:rsidR="00F57867" w:rsidRPr="00C42E42">
        <w:rPr>
          <w:rFonts w:ascii="Times New Roman" w:eastAsia="Times New Roman" w:hAnsi="Times New Roman" w:cs="Times New Roman"/>
          <w:sz w:val="24"/>
          <w:szCs w:val="24"/>
          <w:lang w:val="en-US" w:eastAsia="fr-FR"/>
        </w:rPr>
        <w:t>P</w:t>
      </w:r>
      <w:r w:rsidRPr="00C42E42">
        <w:rPr>
          <w:rFonts w:ascii="Times New Roman" w:eastAsia="Times New Roman" w:hAnsi="Times New Roman" w:cs="Times New Roman"/>
          <w:sz w:val="24"/>
          <w:szCs w:val="24"/>
          <w:lang w:val="en-US" w:eastAsia="fr-FR"/>
        </w:rPr>
        <w:t>r</w:t>
      </w:r>
      <w:proofErr w:type="spellEnd"/>
      <w:r w:rsidRPr="00C42E42">
        <w:rPr>
          <w:rFonts w:ascii="Times New Roman" w:eastAsia="Times New Roman" w:hAnsi="Times New Roman" w:cs="Times New Roman"/>
          <w:sz w:val="24"/>
          <w:szCs w:val="24"/>
          <w:lang w:val="en-US" w:eastAsia="fr-FR"/>
        </w:rPr>
        <w:t xml:space="preserve"> Joelle </w:t>
      </w:r>
      <w:proofErr w:type="spellStart"/>
      <w:r w:rsidRPr="00C42E42">
        <w:rPr>
          <w:rFonts w:ascii="Times New Roman" w:eastAsia="Times New Roman" w:hAnsi="Times New Roman" w:cs="Times New Roman"/>
          <w:sz w:val="24"/>
          <w:szCs w:val="24"/>
          <w:lang w:val="en-US" w:eastAsia="fr-FR"/>
        </w:rPr>
        <w:t>Micallef</w:t>
      </w:r>
      <w:proofErr w:type="spellEnd"/>
      <w:r w:rsidRPr="00C42E42">
        <w:rPr>
          <w:rFonts w:ascii="Times New Roman" w:eastAsia="Times New Roman" w:hAnsi="Times New Roman" w:cs="Times New Roman"/>
          <w:sz w:val="24"/>
          <w:szCs w:val="24"/>
          <w:lang w:val="en-US" w:eastAsia="fr-FR"/>
        </w:rPr>
        <w:t xml:space="preserve">, </w:t>
      </w:r>
      <w:proofErr w:type="spellStart"/>
      <w:r w:rsidR="00F57867" w:rsidRPr="00C42E42">
        <w:rPr>
          <w:rFonts w:ascii="Times New Roman" w:eastAsia="Times New Roman" w:hAnsi="Times New Roman" w:cs="Times New Roman"/>
          <w:sz w:val="24"/>
          <w:szCs w:val="24"/>
          <w:lang w:val="en-US" w:eastAsia="fr-FR"/>
        </w:rPr>
        <w:t>P</w:t>
      </w:r>
      <w:r w:rsidRPr="00C42E42">
        <w:rPr>
          <w:rFonts w:ascii="Times New Roman" w:eastAsia="Times New Roman" w:hAnsi="Times New Roman" w:cs="Times New Roman"/>
          <w:sz w:val="24"/>
          <w:szCs w:val="24"/>
          <w:lang w:val="en-US" w:eastAsia="fr-FR"/>
        </w:rPr>
        <w:t>r</w:t>
      </w:r>
      <w:proofErr w:type="spellEnd"/>
      <w:r w:rsidRPr="00C42E42">
        <w:rPr>
          <w:rFonts w:ascii="Times New Roman" w:eastAsia="Times New Roman" w:hAnsi="Times New Roman" w:cs="Times New Roman"/>
          <w:sz w:val="24"/>
          <w:szCs w:val="24"/>
          <w:lang w:val="en-US" w:eastAsia="fr-FR"/>
        </w:rPr>
        <w:t xml:space="preserve"> Antoine </w:t>
      </w:r>
      <w:proofErr w:type="spellStart"/>
      <w:r w:rsidRPr="00C42E42">
        <w:rPr>
          <w:rFonts w:ascii="Times New Roman" w:eastAsia="Times New Roman" w:hAnsi="Times New Roman" w:cs="Times New Roman"/>
          <w:sz w:val="24"/>
          <w:szCs w:val="24"/>
          <w:lang w:val="en-US" w:eastAsia="fr-FR"/>
        </w:rPr>
        <w:t>Pariente</w:t>
      </w:r>
      <w:proofErr w:type="spellEnd"/>
      <w:r w:rsidRPr="00C42E42">
        <w:rPr>
          <w:rFonts w:ascii="Times New Roman" w:eastAsia="Times New Roman" w:hAnsi="Times New Roman" w:cs="Times New Roman"/>
          <w:sz w:val="24"/>
          <w:szCs w:val="24"/>
          <w:lang w:val="en-US" w:eastAsia="fr-FR"/>
        </w:rPr>
        <w:t xml:space="preserve">, </w:t>
      </w:r>
      <w:proofErr w:type="spellStart"/>
      <w:r w:rsidR="00F57867" w:rsidRPr="00C42E42">
        <w:rPr>
          <w:rFonts w:ascii="Times New Roman" w:eastAsia="Times New Roman" w:hAnsi="Times New Roman" w:cs="Times New Roman"/>
          <w:sz w:val="24"/>
          <w:szCs w:val="24"/>
          <w:lang w:val="en-US" w:eastAsia="fr-FR"/>
        </w:rPr>
        <w:t>Dr</w:t>
      </w:r>
      <w:proofErr w:type="spellEnd"/>
      <w:r w:rsidR="00F57867" w:rsidRPr="00C42E42">
        <w:rPr>
          <w:rFonts w:ascii="Times New Roman" w:eastAsia="Times New Roman" w:hAnsi="Times New Roman" w:cs="Times New Roman"/>
          <w:sz w:val="24"/>
          <w:szCs w:val="24"/>
          <w:lang w:val="en-US" w:eastAsia="fr-FR"/>
        </w:rPr>
        <w:t xml:space="preserve"> Martine </w:t>
      </w:r>
      <w:proofErr w:type="spellStart"/>
      <w:r w:rsidR="00F57867" w:rsidRPr="00C42E42">
        <w:rPr>
          <w:rFonts w:ascii="Times New Roman" w:eastAsia="Times New Roman" w:hAnsi="Times New Roman" w:cs="Times New Roman"/>
          <w:sz w:val="24"/>
          <w:szCs w:val="24"/>
          <w:lang w:val="en-US" w:eastAsia="fr-FR"/>
        </w:rPr>
        <w:t>Tebacher</w:t>
      </w:r>
      <w:proofErr w:type="spellEnd"/>
      <w:r w:rsidR="00F57867" w:rsidRPr="00C42E42">
        <w:rPr>
          <w:rFonts w:ascii="Times New Roman" w:eastAsia="Times New Roman" w:hAnsi="Times New Roman" w:cs="Times New Roman"/>
          <w:sz w:val="24"/>
          <w:szCs w:val="24"/>
          <w:lang w:val="en-US" w:eastAsia="fr-FR"/>
        </w:rPr>
        <w:t xml:space="preserve">-Alt and </w:t>
      </w:r>
      <w:proofErr w:type="spellStart"/>
      <w:r w:rsidRPr="00C42E42">
        <w:rPr>
          <w:rFonts w:ascii="Times New Roman" w:eastAsia="Times New Roman" w:hAnsi="Times New Roman" w:cs="Times New Roman"/>
          <w:sz w:val="24"/>
          <w:szCs w:val="24"/>
          <w:lang w:val="en-US" w:eastAsia="fr-FR"/>
        </w:rPr>
        <w:t>Dr</w:t>
      </w:r>
      <w:proofErr w:type="spellEnd"/>
      <w:r w:rsidRPr="00C42E42">
        <w:rPr>
          <w:rFonts w:ascii="Times New Roman" w:eastAsia="Times New Roman" w:hAnsi="Times New Roman" w:cs="Times New Roman"/>
          <w:sz w:val="24"/>
          <w:szCs w:val="24"/>
          <w:lang w:val="en-US" w:eastAsia="fr-FR"/>
        </w:rPr>
        <w:t xml:space="preserve"> Marie-Blanche </w:t>
      </w:r>
      <w:proofErr w:type="spellStart"/>
      <w:r w:rsidRPr="00C42E42">
        <w:rPr>
          <w:rFonts w:ascii="Times New Roman" w:eastAsia="Times New Roman" w:hAnsi="Times New Roman" w:cs="Times New Roman"/>
          <w:sz w:val="24"/>
          <w:szCs w:val="24"/>
          <w:lang w:val="en-US" w:eastAsia="fr-FR"/>
        </w:rPr>
        <w:t>Valnet-Rabier</w:t>
      </w:r>
      <w:proofErr w:type="spellEnd"/>
      <w:r w:rsidR="00A64D2D">
        <w:rPr>
          <w:rFonts w:ascii="Times New Roman" w:eastAsia="Times New Roman" w:hAnsi="Times New Roman" w:cs="Times New Roman"/>
          <w:sz w:val="24"/>
          <w:szCs w:val="24"/>
          <w:lang w:val="en-US" w:eastAsia="fr-FR"/>
        </w:rPr>
        <w:t>.</w:t>
      </w:r>
      <w:proofErr w:type="gramEnd"/>
      <w:r w:rsidR="00A64D2D">
        <w:rPr>
          <w:rFonts w:ascii="Times New Roman" w:eastAsia="Times New Roman" w:hAnsi="Times New Roman" w:cs="Times New Roman"/>
          <w:sz w:val="24"/>
          <w:szCs w:val="24"/>
          <w:lang w:val="en-US" w:eastAsia="fr-FR"/>
        </w:rPr>
        <w:t xml:space="preserve"> The authors also thank Camille </w:t>
      </w:r>
      <w:proofErr w:type="spellStart"/>
      <w:r w:rsidR="00A64D2D">
        <w:rPr>
          <w:rFonts w:ascii="Times New Roman" w:eastAsia="Times New Roman" w:hAnsi="Times New Roman" w:cs="Times New Roman"/>
          <w:sz w:val="24"/>
          <w:szCs w:val="24"/>
          <w:lang w:val="en-US" w:eastAsia="fr-FR"/>
        </w:rPr>
        <w:t>Mettle</w:t>
      </w:r>
      <w:r w:rsidR="009467D1">
        <w:rPr>
          <w:rFonts w:ascii="Times New Roman" w:eastAsia="Times New Roman" w:hAnsi="Times New Roman" w:cs="Times New Roman"/>
          <w:sz w:val="24"/>
          <w:szCs w:val="24"/>
          <w:lang w:val="en-US" w:eastAsia="fr-FR"/>
        </w:rPr>
        <w:t>r</w:t>
      </w:r>
      <w:proofErr w:type="spellEnd"/>
      <w:r w:rsidR="00A64D2D">
        <w:rPr>
          <w:rFonts w:ascii="Times New Roman" w:eastAsia="Times New Roman" w:hAnsi="Times New Roman" w:cs="Times New Roman"/>
          <w:sz w:val="24"/>
          <w:szCs w:val="24"/>
          <w:lang w:val="en-US" w:eastAsia="fr-FR"/>
        </w:rPr>
        <w:t xml:space="preserve">, </w:t>
      </w:r>
      <w:proofErr w:type="spellStart"/>
      <w:r w:rsidR="00A64D2D">
        <w:rPr>
          <w:rFonts w:ascii="Times New Roman" w:eastAsia="Times New Roman" w:hAnsi="Times New Roman" w:cs="Times New Roman"/>
          <w:sz w:val="24"/>
          <w:szCs w:val="24"/>
          <w:lang w:val="en-US" w:eastAsia="fr-FR"/>
        </w:rPr>
        <w:t>MSci</w:t>
      </w:r>
      <w:proofErr w:type="spellEnd"/>
      <w:r w:rsidR="00A64D2D">
        <w:rPr>
          <w:rFonts w:ascii="Times New Roman" w:eastAsia="Times New Roman" w:hAnsi="Times New Roman" w:cs="Times New Roman"/>
          <w:sz w:val="24"/>
          <w:szCs w:val="24"/>
          <w:lang w:val="en-US" w:eastAsia="fr-FR"/>
        </w:rPr>
        <w:t xml:space="preserve"> for her assistance.</w:t>
      </w:r>
    </w:p>
    <w:p w14:paraId="018F2E12" w14:textId="77777777" w:rsidR="00533187" w:rsidRPr="00C42E42" w:rsidRDefault="00533187" w:rsidP="00AF1057">
      <w:pPr>
        <w:pStyle w:val="Sansinterligne"/>
        <w:spacing w:line="480" w:lineRule="auto"/>
        <w:jc w:val="both"/>
        <w:rPr>
          <w:rFonts w:ascii="Times New Roman" w:eastAsia="Times New Roman" w:hAnsi="Times New Roman" w:cs="Times New Roman"/>
          <w:sz w:val="24"/>
          <w:szCs w:val="24"/>
          <w:lang w:val="en-US" w:eastAsia="fr-FR"/>
        </w:rPr>
      </w:pPr>
    </w:p>
    <w:p w14:paraId="5A419280" w14:textId="77777777" w:rsidR="00533187" w:rsidRDefault="00533187" w:rsidP="00533187">
      <w:pPr>
        <w:pStyle w:val="Sansinterligne"/>
        <w:spacing w:line="48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Disclosure statement</w:t>
      </w:r>
      <w:r w:rsidRPr="00711405">
        <w:rPr>
          <w:rFonts w:ascii="Times New Roman" w:hAnsi="Times New Roman" w:cs="Times New Roman"/>
          <w:b/>
          <w:bCs/>
          <w:sz w:val="24"/>
          <w:szCs w:val="24"/>
          <w:lang w:val="en-US"/>
        </w:rPr>
        <w:t>:</w:t>
      </w:r>
      <w:r w:rsidRPr="00711405">
        <w:rPr>
          <w:rFonts w:ascii="Times New Roman" w:hAnsi="Times New Roman" w:cs="Times New Roman"/>
          <w:sz w:val="24"/>
          <w:szCs w:val="24"/>
          <w:lang w:val="en-US"/>
        </w:rPr>
        <w:t xml:space="preserve"> </w:t>
      </w:r>
      <w:r>
        <w:rPr>
          <w:rFonts w:ascii="Times New Roman" w:hAnsi="Times New Roman" w:cs="Times New Roman"/>
          <w:sz w:val="24"/>
          <w:szCs w:val="24"/>
          <w:lang w:val="en-US"/>
        </w:rPr>
        <w:t>N</w:t>
      </w:r>
      <w:r w:rsidRPr="0043398B">
        <w:rPr>
          <w:rFonts w:ascii="Times New Roman" w:hAnsi="Times New Roman" w:cs="Times New Roman"/>
          <w:sz w:val="24"/>
          <w:szCs w:val="24"/>
          <w:lang w:val="en-US"/>
        </w:rPr>
        <w:t>o author has conflict of interest</w:t>
      </w:r>
      <w:r>
        <w:rPr>
          <w:rFonts w:ascii="Times New Roman" w:hAnsi="Times New Roman" w:cs="Times New Roman"/>
          <w:sz w:val="24"/>
          <w:szCs w:val="24"/>
          <w:lang w:val="en-US"/>
        </w:rPr>
        <w:t>.</w:t>
      </w:r>
    </w:p>
    <w:p w14:paraId="209E2BD1" w14:textId="18044538" w:rsidR="00533187" w:rsidRDefault="00533187" w:rsidP="00533187">
      <w:pPr>
        <w:pStyle w:val="Sansinterligne"/>
        <w:spacing w:line="480" w:lineRule="auto"/>
        <w:jc w:val="both"/>
        <w:rPr>
          <w:rFonts w:ascii="Times New Roman" w:hAnsi="Times New Roman" w:cs="Times New Roman"/>
          <w:sz w:val="24"/>
          <w:szCs w:val="24"/>
          <w:lang w:val="en-US"/>
        </w:rPr>
      </w:pPr>
      <w:r w:rsidRPr="002874B3">
        <w:rPr>
          <w:rFonts w:ascii="Times New Roman" w:hAnsi="Times New Roman" w:cs="Times New Roman"/>
          <w:b/>
          <w:sz w:val="24"/>
          <w:szCs w:val="24"/>
          <w:lang w:val="en-US"/>
        </w:rPr>
        <w:t>Funding statement</w:t>
      </w:r>
      <w:r>
        <w:rPr>
          <w:rFonts w:ascii="Times New Roman" w:hAnsi="Times New Roman" w:cs="Times New Roman"/>
          <w:sz w:val="24"/>
          <w:szCs w:val="24"/>
          <w:lang w:val="en-US"/>
        </w:rPr>
        <w:t xml:space="preserve">: </w:t>
      </w:r>
      <w:r w:rsidRPr="0007524C">
        <w:rPr>
          <w:rFonts w:ascii="Times New Roman" w:hAnsi="Times New Roman" w:cs="Times New Roman"/>
          <w:sz w:val="24"/>
          <w:szCs w:val="24"/>
          <w:lang w:val="en-US"/>
        </w:rPr>
        <w:t xml:space="preserve">No specific funding </w:t>
      </w:r>
      <w:proofErr w:type="gramStart"/>
      <w:r w:rsidRPr="0007524C">
        <w:rPr>
          <w:rFonts w:ascii="Times New Roman" w:hAnsi="Times New Roman" w:cs="Times New Roman"/>
          <w:sz w:val="24"/>
          <w:szCs w:val="24"/>
          <w:lang w:val="en-US"/>
        </w:rPr>
        <w:t>was received</w:t>
      </w:r>
      <w:proofErr w:type="gramEnd"/>
      <w:r w:rsidRPr="0007524C">
        <w:rPr>
          <w:rFonts w:ascii="Times New Roman" w:hAnsi="Times New Roman" w:cs="Times New Roman"/>
          <w:sz w:val="24"/>
          <w:szCs w:val="24"/>
          <w:lang w:val="en-US"/>
        </w:rPr>
        <w:t xml:space="preserve"> from any bodies in the public, commercial or not-for-profit sectors to carry out the work described in this article.</w:t>
      </w:r>
    </w:p>
    <w:p w14:paraId="7BD4F6A6" w14:textId="77777777" w:rsidR="00284145" w:rsidRPr="00133D3F" w:rsidRDefault="00284145" w:rsidP="00284145">
      <w:pPr>
        <w:pStyle w:val="Sansinterligne"/>
        <w:spacing w:line="480" w:lineRule="auto"/>
        <w:jc w:val="both"/>
        <w:rPr>
          <w:rFonts w:ascii="Times New Roman" w:hAnsi="Times New Roman" w:cs="Times New Roman"/>
          <w:sz w:val="24"/>
          <w:szCs w:val="24"/>
          <w:lang w:val="en-US"/>
        </w:rPr>
      </w:pPr>
      <w:r w:rsidRPr="00133D3F">
        <w:rPr>
          <w:rFonts w:ascii="Times New Roman" w:hAnsi="Times New Roman" w:cs="Times New Roman"/>
          <w:b/>
          <w:bCs/>
          <w:sz w:val="24"/>
          <w:szCs w:val="24"/>
          <w:lang w:val="en-US"/>
        </w:rPr>
        <w:t>Ethical approval information and data sharing statement:</w:t>
      </w:r>
      <w:r w:rsidRPr="00133D3F">
        <w:rPr>
          <w:rFonts w:ascii="Times New Roman" w:hAnsi="Times New Roman" w:cs="Times New Roman"/>
          <w:sz w:val="24"/>
          <w:szCs w:val="24"/>
          <w:lang w:val="en-US"/>
        </w:rPr>
        <w:t xml:space="preserve"> </w:t>
      </w:r>
      <w:proofErr w:type="spellStart"/>
      <w:r w:rsidRPr="00133D3F">
        <w:rPr>
          <w:rFonts w:ascii="Times New Roman" w:hAnsi="Times New Roman" w:cs="Times New Roman"/>
          <w:sz w:val="24"/>
          <w:szCs w:val="24"/>
          <w:lang w:val="en-US"/>
        </w:rPr>
        <w:t>Vigibase</w:t>
      </w:r>
      <w:proofErr w:type="spellEnd"/>
      <w:r w:rsidRPr="00133D3F">
        <w:rPr>
          <w:rFonts w:ascii="Times New Roman" w:hAnsi="Times New Roman" w:cs="Times New Roman"/>
          <w:sz w:val="24"/>
          <w:szCs w:val="24"/>
          <w:lang w:val="en-US"/>
        </w:rPr>
        <w:t xml:space="preserve"> is a fully anonymized database of spontane</w:t>
      </w:r>
      <w:r>
        <w:rPr>
          <w:rFonts w:ascii="Times New Roman" w:hAnsi="Times New Roman" w:cs="Times New Roman"/>
          <w:sz w:val="24"/>
          <w:szCs w:val="24"/>
          <w:lang w:val="en-US"/>
        </w:rPr>
        <w:t xml:space="preserve">ous reports from WHO, access </w:t>
      </w:r>
      <w:proofErr w:type="gramStart"/>
      <w:r>
        <w:rPr>
          <w:rFonts w:ascii="Times New Roman" w:hAnsi="Times New Roman" w:cs="Times New Roman"/>
          <w:sz w:val="24"/>
          <w:szCs w:val="24"/>
          <w:lang w:val="en-US"/>
        </w:rPr>
        <w:t xml:space="preserve">is </w:t>
      </w:r>
      <w:r w:rsidRPr="00133D3F">
        <w:rPr>
          <w:rFonts w:ascii="Times New Roman" w:hAnsi="Times New Roman" w:cs="Times New Roman"/>
          <w:sz w:val="24"/>
          <w:szCs w:val="24"/>
          <w:lang w:val="en-US"/>
        </w:rPr>
        <w:t>granted</w:t>
      </w:r>
      <w:proofErr w:type="gramEnd"/>
      <w:r w:rsidRPr="00133D3F">
        <w:rPr>
          <w:rFonts w:ascii="Times New Roman" w:hAnsi="Times New Roman" w:cs="Times New Roman"/>
          <w:sz w:val="24"/>
          <w:szCs w:val="24"/>
          <w:lang w:val="en-US"/>
        </w:rPr>
        <w:t xml:space="preserve"> for national or regional pharmacovigilance centers, as our team. The information within </w:t>
      </w:r>
      <w:proofErr w:type="spellStart"/>
      <w:r w:rsidRPr="00133D3F">
        <w:rPr>
          <w:rFonts w:ascii="Times New Roman" w:hAnsi="Times New Roman" w:cs="Times New Roman"/>
          <w:sz w:val="24"/>
          <w:szCs w:val="24"/>
          <w:lang w:val="en-US"/>
        </w:rPr>
        <w:t>VigiBase</w:t>
      </w:r>
      <w:proofErr w:type="spellEnd"/>
      <w:r w:rsidRPr="00133D3F">
        <w:rPr>
          <w:rFonts w:ascii="Times New Roman" w:hAnsi="Times New Roman" w:cs="Times New Roman"/>
          <w:sz w:val="24"/>
          <w:szCs w:val="24"/>
          <w:lang w:val="en-US"/>
        </w:rPr>
        <w:t xml:space="preserve">, the WHO global pharmacovigilance database, comes from a variety of sources, and the probability that the suspected adverse effect is drug-related is not the same in all cases. The present analysis does not represent the opinion of the UMC or the World Health Organization and only reflects the </w:t>
      </w:r>
      <w:proofErr w:type="gramStart"/>
      <w:r w:rsidRPr="00133D3F">
        <w:rPr>
          <w:rFonts w:ascii="Times New Roman" w:hAnsi="Times New Roman" w:cs="Times New Roman"/>
          <w:sz w:val="24"/>
          <w:szCs w:val="24"/>
          <w:lang w:val="en-US"/>
        </w:rPr>
        <w:t>authors</w:t>
      </w:r>
      <w:proofErr w:type="gramEnd"/>
      <w:r w:rsidRPr="00133D3F">
        <w:rPr>
          <w:rFonts w:ascii="Times New Roman" w:hAnsi="Times New Roman" w:cs="Times New Roman"/>
          <w:sz w:val="24"/>
          <w:szCs w:val="24"/>
          <w:lang w:val="en-US"/>
        </w:rPr>
        <w:t xml:space="preserve"> opinion. </w:t>
      </w:r>
    </w:p>
    <w:p w14:paraId="4E10158C" w14:textId="77777777" w:rsidR="0021768E" w:rsidRPr="00C42E42" w:rsidRDefault="0021768E" w:rsidP="00AF1057">
      <w:pPr>
        <w:pStyle w:val="Sansinterligne"/>
        <w:spacing w:line="480" w:lineRule="auto"/>
        <w:jc w:val="both"/>
        <w:rPr>
          <w:rFonts w:ascii="Times New Roman" w:eastAsia="Times New Roman" w:hAnsi="Times New Roman" w:cs="Times New Roman"/>
          <w:sz w:val="24"/>
          <w:szCs w:val="24"/>
          <w:lang w:val="en-GB" w:eastAsia="fr-FR"/>
        </w:rPr>
      </w:pPr>
    </w:p>
    <w:p w14:paraId="4115449C" w14:textId="5D452359" w:rsidR="0021768E" w:rsidRPr="00E827B1" w:rsidRDefault="00E827B1" w:rsidP="0021768E">
      <w:pPr>
        <w:pStyle w:val="Sansinterligne"/>
        <w:spacing w:line="480" w:lineRule="auto"/>
        <w:jc w:val="both"/>
        <w:rPr>
          <w:rFonts w:ascii="Times New Roman" w:eastAsia="Times New Roman" w:hAnsi="Times New Roman" w:cs="Times New Roman"/>
          <w:b/>
          <w:bCs/>
          <w:sz w:val="24"/>
          <w:szCs w:val="24"/>
          <w:lang w:val="en-US" w:eastAsia="fr-FR"/>
        </w:rPr>
      </w:pPr>
      <w:r w:rsidRPr="00E827B1">
        <w:rPr>
          <w:rFonts w:ascii="Times New Roman" w:eastAsia="Times New Roman" w:hAnsi="Times New Roman" w:cs="Times New Roman"/>
          <w:b/>
          <w:bCs/>
          <w:sz w:val="24"/>
          <w:szCs w:val="24"/>
          <w:lang w:val="en-US" w:eastAsia="fr-FR"/>
        </w:rPr>
        <w:t>Author Contributions</w:t>
      </w:r>
    </w:p>
    <w:p w14:paraId="67F5E66B" w14:textId="0D6CCAF6" w:rsidR="0021768E" w:rsidRPr="009B2BDE" w:rsidRDefault="0021768E" w:rsidP="009D31FE">
      <w:pPr>
        <w:pStyle w:val="Sansinterligne"/>
        <w:spacing w:line="480" w:lineRule="auto"/>
        <w:jc w:val="both"/>
        <w:rPr>
          <w:rFonts w:ascii="Times New Roman" w:eastAsia="Times New Roman" w:hAnsi="Times New Roman" w:cs="Times New Roman"/>
          <w:sz w:val="24"/>
          <w:szCs w:val="24"/>
          <w:lang w:val="en-US" w:eastAsia="fr-FR"/>
        </w:rPr>
      </w:pPr>
      <w:r w:rsidRPr="009B2BDE">
        <w:rPr>
          <w:rFonts w:ascii="Times New Roman" w:eastAsia="Times New Roman" w:hAnsi="Times New Roman" w:cs="Times New Roman"/>
          <w:sz w:val="24"/>
          <w:szCs w:val="24"/>
          <w:lang w:val="en-US" w:eastAsia="fr-FR"/>
        </w:rPr>
        <w:t xml:space="preserve">Concept and design: </w:t>
      </w:r>
      <w:proofErr w:type="spellStart"/>
      <w:r w:rsidR="00381C1C" w:rsidRPr="003438FA">
        <w:rPr>
          <w:rFonts w:ascii="Times New Roman" w:eastAsia="Times New Roman" w:hAnsi="Times New Roman" w:cs="Times New Roman"/>
          <w:sz w:val="24"/>
          <w:szCs w:val="24"/>
          <w:lang w:val="en-US" w:eastAsia="fr-FR"/>
        </w:rPr>
        <w:t>Pré</w:t>
      </w:r>
      <w:r w:rsidR="00F57867" w:rsidRPr="009B2BDE">
        <w:rPr>
          <w:rFonts w:ascii="Times New Roman" w:eastAsia="Times New Roman" w:hAnsi="Times New Roman" w:cs="Times New Roman"/>
          <w:sz w:val="24"/>
          <w:szCs w:val="24"/>
          <w:lang w:val="en-US" w:eastAsia="fr-FR"/>
        </w:rPr>
        <w:t>ta</w:t>
      </w:r>
      <w:proofErr w:type="spellEnd"/>
      <w:r w:rsidR="00F57867" w:rsidRPr="009B2BDE">
        <w:rPr>
          <w:rFonts w:ascii="Times New Roman" w:eastAsia="Times New Roman" w:hAnsi="Times New Roman" w:cs="Times New Roman"/>
          <w:sz w:val="24"/>
          <w:szCs w:val="24"/>
          <w:lang w:val="en-US" w:eastAsia="fr-FR"/>
        </w:rPr>
        <w:t xml:space="preserve">, </w:t>
      </w:r>
      <w:proofErr w:type="spellStart"/>
      <w:r w:rsidR="00F57867" w:rsidRPr="009B2BDE">
        <w:rPr>
          <w:rFonts w:ascii="Times New Roman" w:eastAsia="Times New Roman" w:hAnsi="Times New Roman" w:cs="Times New Roman"/>
          <w:sz w:val="24"/>
          <w:szCs w:val="24"/>
          <w:lang w:val="en-US" w:eastAsia="fr-FR"/>
        </w:rPr>
        <w:t>Contejean</w:t>
      </w:r>
      <w:proofErr w:type="spellEnd"/>
      <w:r w:rsidR="00F57867" w:rsidRPr="009B2BDE">
        <w:rPr>
          <w:rFonts w:ascii="Times New Roman" w:eastAsia="Times New Roman" w:hAnsi="Times New Roman" w:cs="Times New Roman"/>
          <w:sz w:val="24"/>
          <w:szCs w:val="24"/>
          <w:lang w:val="en-US" w:eastAsia="fr-FR"/>
        </w:rPr>
        <w:t xml:space="preserve">, </w:t>
      </w:r>
      <w:proofErr w:type="spellStart"/>
      <w:r w:rsidR="00F57867" w:rsidRPr="009B2BDE">
        <w:rPr>
          <w:rFonts w:ascii="Times New Roman" w:eastAsia="Times New Roman" w:hAnsi="Times New Roman" w:cs="Times New Roman"/>
          <w:sz w:val="24"/>
          <w:szCs w:val="24"/>
          <w:lang w:val="en-US" w:eastAsia="fr-FR"/>
        </w:rPr>
        <w:t>Chouchana</w:t>
      </w:r>
      <w:proofErr w:type="spellEnd"/>
    </w:p>
    <w:p w14:paraId="040BDC8B" w14:textId="74A44C52" w:rsidR="0021768E" w:rsidRPr="00DE58F2" w:rsidRDefault="0021768E" w:rsidP="009D31FE">
      <w:pPr>
        <w:pStyle w:val="Sansinterligne"/>
        <w:spacing w:line="480" w:lineRule="auto"/>
        <w:jc w:val="both"/>
        <w:rPr>
          <w:rFonts w:ascii="Times New Roman" w:eastAsia="Times New Roman" w:hAnsi="Times New Roman" w:cs="Times New Roman"/>
          <w:sz w:val="24"/>
          <w:szCs w:val="24"/>
          <w:lang w:val="en-US" w:eastAsia="fr-FR"/>
        </w:rPr>
      </w:pPr>
      <w:r w:rsidRPr="00DE58F2">
        <w:rPr>
          <w:rFonts w:ascii="Times New Roman" w:eastAsia="Times New Roman" w:hAnsi="Times New Roman" w:cs="Times New Roman"/>
          <w:sz w:val="24"/>
          <w:szCs w:val="24"/>
          <w:lang w:val="en-US" w:eastAsia="fr-FR"/>
        </w:rPr>
        <w:t xml:space="preserve">Acquisition, analysis, or interpretation of data: </w:t>
      </w:r>
      <w:proofErr w:type="spellStart"/>
      <w:r w:rsidR="00381C1C">
        <w:rPr>
          <w:rFonts w:ascii="Times New Roman" w:eastAsia="Times New Roman" w:hAnsi="Times New Roman" w:cs="Times New Roman"/>
          <w:sz w:val="24"/>
          <w:szCs w:val="24"/>
          <w:lang w:val="en-US" w:eastAsia="fr-FR"/>
        </w:rPr>
        <w:t>Pré</w:t>
      </w:r>
      <w:r w:rsidR="00F57867" w:rsidRPr="00DE58F2">
        <w:rPr>
          <w:rFonts w:ascii="Times New Roman" w:eastAsia="Times New Roman" w:hAnsi="Times New Roman" w:cs="Times New Roman"/>
          <w:sz w:val="24"/>
          <w:szCs w:val="24"/>
          <w:lang w:val="en-US" w:eastAsia="fr-FR"/>
        </w:rPr>
        <w:t>ta</w:t>
      </w:r>
      <w:proofErr w:type="spellEnd"/>
      <w:r w:rsidR="00F57867" w:rsidRPr="00DE58F2">
        <w:rPr>
          <w:rFonts w:ascii="Times New Roman" w:eastAsia="Times New Roman" w:hAnsi="Times New Roman" w:cs="Times New Roman"/>
          <w:sz w:val="24"/>
          <w:szCs w:val="24"/>
          <w:lang w:val="en-US" w:eastAsia="fr-FR"/>
        </w:rPr>
        <w:t xml:space="preserve">, </w:t>
      </w:r>
      <w:proofErr w:type="spellStart"/>
      <w:r w:rsidR="00F57867" w:rsidRPr="00DE58F2">
        <w:rPr>
          <w:rFonts w:ascii="Times New Roman" w:eastAsia="Times New Roman" w:hAnsi="Times New Roman" w:cs="Times New Roman"/>
          <w:sz w:val="24"/>
          <w:szCs w:val="24"/>
          <w:lang w:val="en-US" w:eastAsia="fr-FR"/>
        </w:rPr>
        <w:t>Contejean</w:t>
      </w:r>
      <w:proofErr w:type="spellEnd"/>
      <w:r w:rsidR="00F57867" w:rsidRPr="00DE58F2">
        <w:rPr>
          <w:rFonts w:ascii="Times New Roman" w:eastAsia="Times New Roman" w:hAnsi="Times New Roman" w:cs="Times New Roman"/>
          <w:sz w:val="24"/>
          <w:szCs w:val="24"/>
          <w:lang w:val="en-US" w:eastAsia="fr-FR"/>
        </w:rPr>
        <w:t xml:space="preserve">, </w:t>
      </w:r>
      <w:proofErr w:type="spellStart"/>
      <w:r w:rsidR="00F57867" w:rsidRPr="00DE58F2">
        <w:rPr>
          <w:rFonts w:ascii="Times New Roman" w:eastAsia="Times New Roman" w:hAnsi="Times New Roman" w:cs="Times New Roman"/>
          <w:sz w:val="24"/>
          <w:szCs w:val="24"/>
          <w:lang w:val="en-US" w:eastAsia="fr-FR"/>
        </w:rPr>
        <w:t>Chouchana</w:t>
      </w:r>
      <w:proofErr w:type="spellEnd"/>
    </w:p>
    <w:p w14:paraId="5F2E2FBD" w14:textId="46DBAF79" w:rsidR="009D31FE" w:rsidRDefault="0021768E" w:rsidP="009D31FE">
      <w:pPr>
        <w:spacing w:line="480" w:lineRule="auto"/>
        <w:jc w:val="both"/>
        <w:rPr>
          <w:color w:val="000000" w:themeColor="text1"/>
          <w:lang w:val="en-GB"/>
        </w:rPr>
      </w:pPr>
      <w:r w:rsidRPr="00CA2C4A">
        <w:rPr>
          <w:lang w:val="en-US"/>
        </w:rPr>
        <w:t>Drafting of the manuscrip</w:t>
      </w:r>
      <w:r w:rsidRPr="00EC5C34">
        <w:rPr>
          <w:lang w:val="en-US"/>
        </w:rPr>
        <w:t xml:space="preserve">t: </w:t>
      </w:r>
      <w:proofErr w:type="spellStart"/>
      <w:r w:rsidR="00F57867">
        <w:rPr>
          <w:lang w:val="en-US"/>
        </w:rPr>
        <w:t>Pr</w:t>
      </w:r>
      <w:r w:rsidR="00381C1C">
        <w:rPr>
          <w:lang w:val="en-US"/>
        </w:rPr>
        <w:t>é</w:t>
      </w:r>
      <w:r w:rsidR="00F57867">
        <w:rPr>
          <w:lang w:val="en-US"/>
        </w:rPr>
        <w:t>ta</w:t>
      </w:r>
      <w:proofErr w:type="spellEnd"/>
      <w:r w:rsidR="00F57867">
        <w:rPr>
          <w:lang w:val="en-US"/>
        </w:rPr>
        <w:t xml:space="preserve">, </w:t>
      </w:r>
      <w:proofErr w:type="spellStart"/>
      <w:r w:rsidR="00F57867">
        <w:rPr>
          <w:lang w:val="en-US"/>
        </w:rPr>
        <w:t>Contejean</w:t>
      </w:r>
      <w:proofErr w:type="spellEnd"/>
    </w:p>
    <w:p w14:paraId="5D4C38F4" w14:textId="15441B61" w:rsidR="009D1DFB" w:rsidRPr="00307138" w:rsidRDefault="009D1DFB" w:rsidP="009D31FE">
      <w:pPr>
        <w:spacing w:line="480" w:lineRule="auto"/>
        <w:jc w:val="both"/>
        <w:rPr>
          <w:lang w:val="en-US"/>
        </w:rPr>
      </w:pPr>
      <w:r w:rsidRPr="00307138">
        <w:rPr>
          <w:lang w:val="en-US"/>
        </w:rPr>
        <w:t xml:space="preserve">Critically review the manuscripts: </w:t>
      </w:r>
      <w:proofErr w:type="spellStart"/>
      <w:r w:rsidR="00381C1C" w:rsidRPr="00307138">
        <w:rPr>
          <w:lang w:val="en-US"/>
        </w:rPr>
        <w:t>Pré</w:t>
      </w:r>
      <w:r w:rsidR="00F57867" w:rsidRPr="00307138">
        <w:rPr>
          <w:lang w:val="en-US"/>
        </w:rPr>
        <w:t>ta</w:t>
      </w:r>
      <w:proofErr w:type="spellEnd"/>
      <w:r w:rsidR="00F57867" w:rsidRPr="00307138">
        <w:rPr>
          <w:lang w:val="en-US"/>
        </w:rPr>
        <w:t xml:space="preserve">, </w:t>
      </w:r>
      <w:proofErr w:type="spellStart"/>
      <w:r w:rsidR="00F57867" w:rsidRPr="00307138">
        <w:rPr>
          <w:lang w:val="en-US"/>
        </w:rPr>
        <w:t>Contejean</w:t>
      </w:r>
      <w:proofErr w:type="spellEnd"/>
      <w:r w:rsidR="00F57867" w:rsidRPr="00307138">
        <w:rPr>
          <w:lang w:val="en-US"/>
        </w:rPr>
        <w:t xml:space="preserve">, </w:t>
      </w:r>
      <w:r w:rsidR="00381C1C" w:rsidRPr="00307138">
        <w:rPr>
          <w:lang w:val="en-US"/>
        </w:rPr>
        <w:t xml:space="preserve">Salvo, </w:t>
      </w:r>
      <w:proofErr w:type="spellStart"/>
      <w:r w:rsidR="00F57867" w:rsidRPr="00307138">
        <w:rPr>
          <w:lang w:val="en-US"/>
        </w:rPr>
        <w:t>Chouchana</w:t>
      </w:r>
      <w:proofErr w:type="spellEnd"/>
      <w:r w:rsidR="00F57867" w:rsidRPr="00307138">
        <w:rPr>
          <w:lang w:val="en-US"/>
        </w:rPr>
        <w:t xml:space="preserve">, </w:t>
      </w:r>
      <w:proofErr w:type="spellStart"/>
      <w:r w:rsidR="00F57867" w:rsidRPr="00307138">
        <w:rPr>
          <w:lang w:val="en-US"/>
        </w:rPr>
        <w:t>Charlier</w:t>
      </w:r>
      <w:proofErr w:type="spellEnd"/>
      <w:r w:rsidR="00F57867" w:rsidRPr="00307138">
        <w:rPr>
          <w:lang w:val="en-US"/>
        </w:rPr>
        <w:t xml:space="preserve">, </w:t>
      </w:r>
      <w:proofErr w:type="spellStart"/>
      <w:proofErr w:type="gramStart"/>
      <w:r w:rsidR="00F57867" w:rsidRPr="00307138">
        <w:rPr>
          <w:lang w:val="en-US"/>
        </w:rPr>
        <w:t>Treluyer</w:t>
      </w:r>
      <w:proofErr w:type="spellEnd"/>
      <w:proofErr w:type="gramEnd"/>
    </w:p>
    <w:p w14:paraId="4FD1F681" w14:textId="4991EA53" w:rsidR="00F57867" w:rsidRDefault="0021768E" w:rsidP="009D31FE">
      <w:pPr>
        <w:pStyle w:val="Sansinterligne"/>
        <w:spacing w:line="480" w:lineRule="auto"/>
        <w:jc w:val="both"/>
        <w:rPr>
          <w:rFonts w:ascii="Times New Roman" w:eastAsia="Times New Roman" w:hAnsi="Times New Roman" w:cs="Times New Roman"/>
          <w:sz w:val="24"/>
          <w:szCs w:val="24"/>
          <w:lang w:val="en-US" w:eastAsia="fr-FR"/>
        </w:rPr>
      </w:pPr>
      <w:r w:rsidRPr="00307138">
        <w:rPr>
          <w:rFonts w:ascii="Times New Roman" w:eastAsia="Times New Roman" w:hAnsi="Times New Roman" w:cs="Times New Roman"/>
          <w:sz w:val="24"/>
          <w:szCs w:val="24"/>
          <w:lang w:val="en-US" w:eastAsia="fr-FR"/>
        </w:rPr>
        <w:t xml:space="preserve">Supervision: </w:t>
      </w:r>
      <w:proofErr w:type="spellStart"/>
      <w:r w:rsidR="00F57867" w:rsidRPr="00307138">
        <w:rPr>
          <w:rFonts w:ascii="Times New Roman" w:eastAsia="Times New Roman" w:hAnsi="Times New Roman" w:cs="Times New Roman"/>
          <w:sz w:val="24"/>
          <w:szCs w:val="24"/>
          <w:lang w:val="en-US" w:eastAsia="fr-FR"/>
        </w:rPr>
        <w:t>Chouchana</w:t>
      </w:r>
      <w:proofErr w:type="spellEnd"/>
    </w:p>
    <w:p w14:paraId="7DD75761" w14:textId="7E6F861F" w:rsidR="009467D1" w:rsidRDefault="009467D1" w:rsidP="009D31FE">
      <w:pPr>
        <w:pStyle w:val="Sansinterligne"/>
        <w:spacing w:line="480" w:lineRule="auto"/>
        <w:jc w:val="both"/>
        <w:rPr>
          <w:rFonts w:ascii="Times New Roman" w:eastAsia="Times New Roman" w:hAnsi="Times New Roman" w:cs="Times New Roman"/>
          <w:sz w:val="24"/>
          <w:szCs w:val="24"/>
          <w:lang w:val="en-US" w:eastAsia="fr-FR"/>
        </w:rPr>
      </w:pPr>
    </w:p>
    <w:p w14:paraId="7E30CB4F" w14:textId="4C779C45" w:rsidR="00C62FB7" w:rsidRPr="000F7E00" w:rsidRDefault="00C62FB7" w:rsidP="000F7E00">
      <w:pPr>
        <w:spacing w:after="200" w:line="276" w:lineRule="auto"/>
        <w:rPr>
          <w:rFonts w:eastAsiaTheme="minorHAnsi"/>
          <w:b/>
          <w:bCs/>
          <w:color w:val="000000" w:themeColor="text1"/>
          <w:lang w:val="en-US" w:eastAsia="en-US"/>
        </w:rPr>
      </w:pPr>
    </w:p>
    <w:p w14:paraId="131DE3EA" w14:textId="758EE6CD" w:rsidR="004718A9" w:rsidRPr="00EC5C34" w:rsidRDefault="00C62FB7" w:rsidP="00C62FB7">
      <w:pPr>
        <w:pStyle w:val="Titre1"/>
        <w:spacing w:before="0" w:line="480" w:lineRule="auto"/>
        <w:jc w:val="both"/>
        <w:rPr>
          <w:rFonts w:ascii="Times New Roman" w:hAnsi="Times New Roman" w:cs="Times New Roman"/>
          <w:i/>
          <w:iCs/>
          <w:color w:val="000000" w:themeColor="text1"/>
          <w:sz w:val="22"/>
          <w:szCs w:val="22"/>
          <w:u w:val="single"/>
          <w:lang w:val="en-US"/>
        </w:rPr>
      </w:pPr>
      <w:bookmarkStart w:id="3" w:name="_Hlk81553796"/>
      <w:r w:rsidRPr="00EC5C34">
        <w:rPr>
          <w:rFonts w:ascii="Times New Roman" w:hAnsi="Times New Roman" w:cs="Times New Roman"/>
          <w:i/>
          <w:iCs/>
          <w:color w:val="000000" w:themeColor="text1"/>
          <w:sz w:val="22"/>
          <w:szCs w:val="22"/>
          <w:u w:val="single"/>
          <w:lang w:val="en-US"/>
        </w:rPr>
        <w:lastRenderedPageBreak/>
        <w:t>References</w:t>
      </w:r>
      <w:r w:rsidR="004718A9" w:rsidRPr="00EC5C34">
        <w:rPr>
          <w:rFonts w:ascii="Times New Roman" w:hAnsi="Times New Roman" w:cs="Times New Roman"/>
          <w:i/>
          <w:iCs/>
          <w:color w:val="000000" w:themeColor="text1"/>
          <w:sz w:val="22"/>
          <w:szCs w:val="22"/>
          <w:u w:val="single"/>
          <w:lang w:val="en-US"/>
        </w:rPr>
        <w:t xml:space="preserve"> </w:t>
      </w:r>
    </w:p>
    <w:p w14:paraId="6D0F267C" w14:textId="77777777" w:rsidR="00B416E7" w:rsidRPr="000F7E00" w:rsidRDefault="004718A9" w:rsidP="00B416E7">
      <w:pPr>
        <w:pStyle w:val="Bibliographie"/>
        <w:rPr>
          <w:lang w:val="en-US"/>
        </w:rPr>
      </w:pPr>
      <w:r w:rsidRPr="00EC5C34">
        <w:rPr>
          <w:rFonts w:asciiTheme="minorHAnsi" w:hAnsiTheme="minorHAnsi" w:cstheme="minorBidi"/>
          <w:i/>
          <w:iCs/>
          <w:color w:val="000000" w:themeColor="text1"/>
          <w:lang w:val="en-US"/>
        </w:rPr>
        <w:fldChar w:fldCharType="begin"/>
      </w:r>
      <w:r w:rsidR="00B416E7">
        <w:rPr>
          <w:i/>
          <w:iCs/>
          <w:color w:val="000000" w:themeColor="text1"/>
          <w:lang w:val="en-US"/>
        </w:rPr>
        <w:instrText xml:space="preserve"> ADDIN ZOTERO_BIBL {"uncited":[],"omitted":[],"custom":[]} CSL_BIBLIOGRAPHY </w:instrText>
      </w:r>
      <w:r w:rsidRPr="00EC5C34">
        <w:rPr>
          <w:rFonts w:asciiTheme="minorHAnsi" w:hAnsiTheme="minorHAnsi" w:cstheme="minorBidi"/>
          <w:i/>
          <w:iCs/>
          <w:color w:val="000000" w:themeColor="text1"/>
          <w:lang w:val="en-US"/>
        </w:rPr>
        <w:fldChar w:fldCharType="separate"/>
      </w:r>
      <w:r w:rsidR="00B416E7" w:rsidRPr="000F7E00">
        <w:rPr>
          <w:lang w:val="en-US"/>
        </w:rPr>
        <w:t xml:space="preserve">1. </w:t>
      </w:r>
      <w:r w:rsidR="00B416E7" w:rsidRPr="000F7E00">
        <w:rPr>
          <w:lang w:val="en-US"/>
        </w:rPr>
        <w:tab/>
        <w:t xml:space="preserve">Polack FP, Thomas SJ, Kitchin N, Absalon J, Gurtman A, Lockhart S, et al. Safety and Efficacy of the BNT162b2 mRNA Covid-19 Vaccine. N Engl J Med. 2020 Dec 31;383(27):2603–15. </w:t>
      </w:r>
    </w:p>
    <w:p w14:paraId="79444B7E" w14:textId="77777777" w:rsidR="00B416E7" w:rsidRPr="000F7E00" w:rsidRDefault="00B416E7" w:rsidP="00B416E7">
      <w:pPr>
        <w:pStyle w:val="Bibliographie"/>
        <w:rPr>
          <w:lang w:val="en-US"/>
        </w:rPr>
      </w:pPr>
      <w:r w:rsidRPr="000F7E00">
        <w:rPr>
          <w:lang w:val="en-US"/>
        </w:rPr>
        <w:t xml:space="preserve">2. </w:t>
      </w:r>
      <w:r w:rsidRPr="000F7E00">
        <w:rPr>
          <w:lang w:val="en-US"/>
        </w:rPr>
        <w:tab/>
        <w:t xml:space="preserve">Baden LR, El Sahly HM, Essink B, Kotloff K, Frey S, Novak R, et al. Efficacy and Safety of the mRNA-1273 SARS-CoV-2 Vaccine. N Engl J Med. 2021 Feb 4;384(5):403–16. </w:t>
      </w:r>
    </w:p>
    <w:p w14:paraId="4C112911" w14:textId="77777777" w:rsidR="00B416E7" w:rsidRPr="000F7E00" w:rsidRDefault="00B416E7" w:rsidP="00B416E7">
      <w:pPr>
        <w:pStyle w:val="Bibliographie"/>
        <w:rPr>
          <w:lang w:val="en-US"/>
        </w:rPr>
      </w:pPr>
      <w:r w:rsidRPr="000F7E00">
        <w:rPr>
          <w:lang w:val="en-US"/>
        </w:rPr>
        <w:t xml:space="preserve">3. </w:t>
      </w:r>
      <w:r w:rsidRPr="000F7E00">
        <w:rPr>
          <w:lang w:val="en-US"/>
        </w:rPr>
        <w:tab/>
        <w:t xml:space="preserve">Zuber PLF, Gruber M, Kaslow DC, Chen RT, Giersing BK, Friede MH. Evolving pharmacovigilance requirements with novel vaccines and vaccine components. BMJ Glob Health. 2021 May;6(Suppl 2):e003403. </w:t>
      </w:r>
    </w:p>
    <w:p w14:paraId="49615A9A" w14:textId="77777777" w:rsidR="00B416E7" w:rsidRPr="000F7E00" w:rsidRDefault="00B416E7" w:rsidP="00B416E7">
      <w:pPr>
        <w:pStyle w:val="Bibliographie"/>
        <w:rPr>
          <w:lang w:val="en-US"/>
        </w:rPr>
      </w:pPr>
      <w:r w:rsidRPr="000F7E00">
        <w:rPr>
          <w:lang w:val="en-US"/>
        </w:rPr>
        <w:t xml:space="preserve">4. </w:t>
      </w:r>
      <w:r w:rsidRPr="000F7E00">
        <w:rPr>
          <w:lang w:val="en-US"/>
        </w:rPr>
        <w:tab/>
        <w:t xml:space="preserve">Furer V, Zisman D, Kibari A, Rimar D, Paran Y, Elkayam O. Herpes zoster following BNT162b2 mRNA COVID-19 vaccination in patients with autoimmune inflammatory rheumatic diseases: a case series. Rheumatology. 2021 Apr 13;keab345. </w:t>
      </w:r>
    </w:p>
    <w:p w14:paraId="36DD8F3A" w14:textId="77777777" w:rsidR="00B416E7" w:rsidRPr="000F7E00" w:rsidRDefault="00B416E7" w:rsidP="00B416E7">
      <w:pPr>
        <w:pStyle w:val="Bibliographie"/>
        <w:rPr>
          <w:lang w:val="en-US"/>
        </w:rPr>
      </w:pPr>
      <w:r w:rsidRPr="000F7E00">
        <w:rPr>
          <w:lang w:val="en-US"/>
        </w:rPr>
        <w:t xml:space="preserve">5. </w:t>
      </w:r>
      <w:r w:rsidRPr="000F7E00">
        <w:rPr>
          <w:lang w:val="en-US"/>
        </w:rPr>
        <w:tab/>
        <w:t xml:space="preserve">McMahon DE, Amerson E, Rosenbach M, Lipoff JB, Moustafa D, Tyagi A, et al. Cutaneous reactions reported after Moderna and Pfizer COVID-19 vaccination: A registry-based study of 414 cases. J Am Acad Dermatol. 2021 Jul;85(1):46–55. </w:t>
      </w:r>
    </w:p>
    <w:p w14:paraId="6CCC7045" w14:textId="77777777" w:rsidR="00B416E7" w:rsidRPr="000F7E00" w:rsidRDefault="00B416E7" w:rsidP="00B416E7">
      <w:pPr>
        <w:pStyle w:val="Bibliographie"/>
        <w:rPr>
          <w:lang w:val="en-US"/>
        </w:rPr>
      </w:pPr>
      <w:r w:rsidRPr="000F7E00">
        <w:rPr>
          <w:lang w:val="en-US"/>
        </w:rPr>
        <w:t xml:space="preserve">6. </w:t>
      </w:r>
      <w:r w:rsidRPr="000F7E00">
        <w:rPr>
          <w:lang w:val="en-US"/>
        </w:rPr>
        <w:tab/>
        <w:t xml:space="preserve">Català A, Muñoz‐Santos C, Galván‐Casas C, Roncero Riesco M, Revilla Nebreda D, Solá‐Truyols A, et al. Cutaneous reactions after SARS‐COV‐2 vaccination: A cross‐sectional Spanish nationwide study of 405 cases. Br J Dermatol. 2021 Jul 13;bjd.20639. </w:t>
      </w:r>
    </w:p>
    <w:p w14:paraId="79FBFCDA" w14:textId="77777777" w:rsidR="00B416E7" w:rsidRPr="000F7E00" w:rsidRDefault="00B416E7" w:rsidP="00B416E7">
      <w:pPr>
        <w:pStyle w:val="Bibliographie"/>
        <w:rPr>
          <w:lang w:val="en-US"/>
        </w:rPr>
      </w:pPr>
      <w:r w:rsidRPr="000F7E00">
        <w:rPr>
          <w:lang w:val="en-US"/>
        </w:rPr>
        <w:t xml:space="preserve">7. </w:t>
      </w:r>
      <w:r w:rsidRPr="000F7E00">
        <w:rPr>
          <w:lang w:val="en-US"/>
        </w:rPr>
        <w:tab/>
        <w:t xml:space="preserve">Barda N, Dagan N, Ben-Shlomo Y, Kepten E, Waxman J, Ohana R, et al. Safety of the BNT162b2 mRNA Covid-19 Vaccine in a Nationwide Setting. N Engl J Med. 2021 Aug 25;NEJMoa2110475. </w:t>
      </w:r>
    </w:p>
    <w:p w14:paraId="532025B7" w14:textId="77777777" w:rsidR="00B416E7" w:rsidRPr="000F7E00" w:rsidRDefault="00B416E7" w:rsidP="00B416E7">
      <w:pPr>
        <w:pStyle w:val="Bibliographie"/>
        <w:rPr>
          <w:lang w:val="en-US"/>
        </w:rPr>
      </w:pPr>
      <w:r w:rsidRPr="000F7E00">
        <w:rPr>
          <w:lang w:val="en-US"/>
        </w:rPr>
        <w:t xml:space="preserve">8. </w:t>
      </w:r>
      <w:r w:rsidRPr="000F7E00">
        <w:rPr>
          <w:lang w:val="en-US"/>
        </w:rPr>
        <w:tab/>
        <w:t xml:space="preserve">Khouri C, Petit C, Tod M, Lepelley M, Revol B, Roustit M, et al. Adverse drug reaction risks obtained from meta-analyses and pharmacovigilance disproportionality analyses are correlated in most cases. J Clin Epidemiol. 2021 Jun;134:14–21. </w:t>
      </w:r>
    </w:p>
    <w:p w14:paraId="1353B453" w14:textId="77777777" w:rsidR="00B416E7" w:rsidRPr="000F7E00" w:rsidRDefault="00B416E7" w:rsidP="00B416E7">
      <w:pPr>
        <w:pStyle w:val="Bibliographie"/>
        <w:rPr>
          <w:lang w:val="en-US"/>
        </w:rPr>
      </w:pPr>
      <w:r w:rsidRPr="000F7E00">
        <w:rPr>
          <w:lang w:val="en-US"/>
        </w:rPr>
        <w:t xml:space="preserve">9. </w:t>
      </w:r>
      <w:r w:rsidRPr="000F7E00">
        <w:rPr>
          <w:lang w:val="en-US"/>
        </w:rPr>
        <w:tab/>
        <w:t xml:space="preserve">Tartari F, Spadotto A, Zengarini C, Zanoni R, Guglielmo A, Adorno A, et al. Herpes zoster in COVID‐19‐positive patients. Int J Dermatol. 2020 Aug;59(8):1028–9. </w:t>
      </w:r>
    </w:p>
    <w:p w14:paraId="0D399BA3" w14:textId="77777777" w:rsidR="00B416E7" w:rsidRPr="000F7E00" w:rsidRDefault="00B416E7" w:rsidP="00B416E7">
      <w:pPr>
        <w:pStyle w:val="Bibliographie"/>
        <w:rPr>
          <w:lang w:val="en-US"/>
        </w:rPr>
      </w:pPr>
      <w:r w:rsidRPr="000F7E00">
        <w:rPr>
          <w:lang w:val="en-US"/>
        </w:rPr>
        <w:t xml:space="preserve">10. </w:t>
      </w:r>
      <w:r w:rsidRPr="000F7E00">
        <w:rPr>
          <w:lang w:val="en-US"/>
        </w:rPr>
        <w:tab/>
        <w:t xml:space="preserve">Gershon AA, Breuer J, Cohen JI, Cohrs RJ, Gershon MD, Gilden D, et al. Varicella zoster virus infection. Nat Rev Dis Primer. 2015 Dec 17;1(1):15016. </w:t>
      </w:r>
    </w:p>
    <w:p w14:paraId="76147AA1" w14:textId="77777777" w:rsidR="00B416E7" w:rsidRPr="000F7E00" w:rsidRDefault="00B416E7" w:rsidP="00B416E7">
      <w:pPr>
        <w:pStyle w:val="Bibliographie"/>
        <w:rPr>
          <w:lang w:val="en-US"/>
        </w:rPr>
      </w:pPr>
      <w:r w:rsidRPr="000F7E00">
        <w:rPr>
          <w:lang w:val="en-US"/>
        </w:rPr>
        <w:t xml:space="preserve">11. </w:t>
      </w:r>
      <w:r w:rsidRPr="000F7E00">
        <w:rPr>
          <w:lang w:val="en-US"/>
        </w:rPr>
        <w:tab/>
        <w:t xml:space="preserve">Zhang C, Maruggi G, Shan H, Li J. Advances in mRNA Vaccines for Infectious Diseases. Front Immunol. 2019 Mar 27;10:594. </w:t>
      </w:r>
    </w:p>
    <w:p w14:paraId="0AB15818" w14:textId="77777777" w:rsidR="00B416E7" w:rsidRPr="000F7E00" w:rsidRDefault="00B416E7" w:rsidP="00B416E7">
      <w:pPr>
        <w:pStyle w:val="Bibliographie"/>
        <w:rPr>
          <w:lang w:val="en-US"/>
        </w:rPr>
      </w:pPr>
      <w:r w:rsidRPr="000F7E00">
        <w:rPr>
          <w:lang w:val="en-US"/>
        </w:rPr>
        <w:t xml:space="preserve">12. </w:t>
      </w:r>
      <w:r w:rsidRPr="000F7E00">
        <w:rPr>
          <w:lang w:val="en-US"/>
        </w:rPr>
        <w:tab/>
        <w:t>West JA, Gregory SM, Damania B. Toll-like receptor sensing of human herpesvirus infection. Front Cell Infect Microbiol [Internet]. 2012 [cited 2021 Sep 1];2. Available from: http://journal.frontiersin.org/article/10.3389/fcimb.2012.00122/abstract</w:t>
      </w:r>
    </w:p>
    <w:p w14:paraId="508D4FE2" w14:textId="77777777" w:rsidR="00B416E7" w:rsidRPr="000F7E00" w:rsidRDefault="00B416E7" w:rsidP="00B416E7">
      <w:pPr>
        <w:pStyle w:val="Bibliographie"/>
        <w:rPr>
          <w:lang w:val="en-US"/>
        </w:rPr>
      </w:pPr>
      <w:r w:rsidRPr="00B416E7">
        <w:t xml:space="preserve">13. </w:t>
      </w:r>
      <w:r w:rsidRPr="00B416E7">
        <w:tab/>
        <w:t xml:space="preserve">Renoud L, Khouri C, Revol B, Lepelley M, Perez J, Roustit M, et al. </w:t>
      </w:r>
      <w:r w:rsidRPr="000F7E00">
        <w:rPr>
          <w:lang w:val="en-US"/>
        </w:rPr>
        <w:t>Association of Facial Paralysis With mRNA COVID-19 Vaccines: A Disproportionality Analysis Using the World Health Organization Pharmacovigilance Database. JAMA Intern Med [Internet]. 2021 Apr 27 [cited 2021 Sep 6]; Available from: https://jamanetwork.com/journals/jamainternalmedicine/fullarticle/2779389</w:t>
      </w:r>
    </w:p>
    <w:p w14:paraId="583E6FA9" w14:textId="77777777" w:rsidR="00B416E7" w:rsidRPr="000F7E00" w:rsidRDefault="00B416E7" w:rsidP="00B416E7">
      <w:pPr>
        <w:pStyle w:val="Bibliographie"/>
        <w:rPr>
          <w:lang w:val="en-US"/>
        </w:rPr>
      </w:pPr>
      <w:r w:rsidRPr="000F7E00">
        <w:rPr>
          <w:lang w:val="en-US"/>
        </w:rPr>
        <w:t xml:space="preserve">14. </w:t>
      </w:r>
      <w:r w:rsidRPr="000F7E00">
        <w:rPr>
          <w:lang w:val="en-US"/>
        </w:rPr>
        <w:tab/>
        <w:t xml:space="preserve">Soeiro T, Salvo F, Pariente A, Grandvuillemin A, Jonville-Béra A-P, Micallef J. Type I interferons as the potential mechanism linking mRNA COVID-19 vaccines to Bell’s palsy. Therapies. 2021 Jul;76(4):365–7. </w:t>
      </w:r>
    </w:p>
    <w:p w14:paraId="6E4E8913" w14:textId="77777777" w:rsidR="00B416E7" w:rsidRPr="00B416E7" w:rsidRDefault="00B416E7" w:rsidP="00B416E7">
      <w:pPr>
        <w:pStyle w:val="Bibliographie"/>
      </w:pPr>
      <w:r w:rsidRPr="000F7E00">
        <w:rPr>
          <w:lang w:val="en-US"/>
        </w:rPr>
        <w:lastRenderedPageBreak/>
        <w:t xml:space="preserve">15. </w:t>
      </w:r>
      <w:r w:rsidRPr="000F7E00">
        <w:rPr>
          <w:lang w:val="en-US"/>
        </w:rPr>
        <w:tab/>
        <w:t xml:space="preserve">Pariente A, Gregoire F, Fourrier-Reglat A, Haramburu F, Moore N. Impact of safety alerts on measures of disproportionality in spontaneous reporting databases: the notoriety bias. </w:t>
      </w:r>
      <w:r w:rsidRPr="00B416E7">
        <w:t xml:space="preserve">Drug Saf. 2007;30(10):891–8. </w:t>
      </w:r>
    </w:p>
    <w:p w14:paraId="422128EE" w14:textId="07FA14AF" w:rsidR="00684A8E" w:rsidRDefault="004718A9" w:rsidP="006E6491">
      <w:pPr>
        <w:spacing w:line="480" w:lineRule="auto"/>
        <w:jc w:val="both"/>
        <w:rPr>
          <w:i/>
          <w:iCs/>
          <w:color w:val="000000" w:themeColor="text1"/>
          <w:lang w:val="en-US"/>
        </w:rPr>
      </w:pPr>
      <w:r w:rsidRPr="00EC5C34">
        <w:rPr>
          <w:i/>
          <w:iCs/>
          <w:color w:val="000000" w:themeColor="text1"/>
          <w:lang w:val="en-US"/>
        </w:rPr>
        <w:fldChar w:fldCharType="end"/>
      </w:r>
      <w:bookmarkEnd w:id="3"/>
    </w:p>
    <w:p w14:paraId="1FF83998" w14:textId="77777777" w:rsidR="00684A8E" w:rsidRDefault="00684A8E">
      <w:pPr>
        <w:spacing w:after="200" w:line="276" w:lineRule="auto"/>
        <w:rPr>
          <w:i/>
          <w:iCs/>
          <w:color w:val="000000" w:themeColor="text1"/>
          <w:lang w:val="en-US"/>
        </w:rPr>
      </w:pPr>
      <w:r>
        <w:rPr>
          <w:i/>
          <w:iCs/>
          <w:color w:val="000000" w:themeColor="text1"/>
          <w:lang w:val="en-US"/>
        </w:rPr>
        <w:br w:type="page"/>
      </w:r>
    </w:p>
    <w:p w14:paraId="576B42F4" w14:textId="77777777" w:rsidR="00D45377" w:rsidRPr="00A33AAA" w:rsidRDefault="00D45377" w:rsidP="00970AB7">
      <w:pPr>
        <w:suppressLineNumbers/>
        <w:spacing w:line="276" w:lineRule="auto"/>
        <w:rPr>
          <w:b/>
          <w:lang w:val="en-US"/>
        </w:rPr>
      </w:pPr>
      <w:r w:rsidRPr="00A33AAA">
        <w:rPr>
          <w:b/>
          <w:lang w:val="en-US"/>
        </w:rPr>
        <w:lastRenderedPageBreak/>
        <w:t xml:space="preserve">Table 1. Characteristics of </w:t>
      </w:r>
      <w:r>
        <w:rPr>
          <w:b/>
          <w:lang w:val="en-US"/>
        </w:rPr>
        <w:t>herpes zoster</w:t>
      </w:r>
      <w:r w:rsidRPr="00A33AAA">
        <w:rPr>
          <w:b/>
          <w:lang w:val="en-US"/>
        </w:rPr>
        <w:t xml:space="preserve"> cases reported </w:t>
      </w:r>
      <w:r>
        <w:rPr>
          <w:b/>
          <w:lang w:val="en-US"/>
        </w:rPr>
        <w:t xml:space="preserve">with mRNA COVID-19 vaccines </w:t>
      </w:r>
      <w:r w:rsidRPr="00A33AAA">
        <w:rPr>
          <w:b/>
          <w:lang w:val="en-US"/>
        </w:rPr>
        <w:t>in the WHO global safety database</w:t>
      </w:r>
    </w:p>
    <w:tbl>
      <w:tblPr>
        <w:tblStyle w:val="Grilledetableauclaire1"/>
        <w:tblW w:w="9493" w:type="dxa"/>
        <w:tblBorders>
          <w:top w:val="single" w:sz="12" w:space="0" w:color="auto"/>
          <w:left w:val="none" w:sz="0" w:space="0" w:color="auto"/>
          <w:bottom w:val="single" w:sz="12"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964"/>
        <w:gridCol w:w="1843"/>
        <w:gridCol w:w="1843"/>
        <w:gridCol w:w="1843"/>
      </w:tblGrid>
      <w:tr w:rsidR="00D45377" w:rsidRPr="00A33AAA" w14:paraId="63D0C821" w14:textId="77777777" w:rsidTr="00213239">
        <w:tc>
          <w:tcPr>
            <w:tcW w:w="3964" w:type="dxa"/>
          </w:tcPr>
          <w:p w14:paraId="48F47EB4" w14:textId="77777777" w:rsidR="00D45377" w:rsidRPr="00A33AAA" w:rsidRDefault="00D45377" w:rsidP="00970AB7">
            <w:pPr>
              <w:rPr>
                <w:b/>
                <w:sz w:val="22"/>
                <w:lang w:val="en-US"/>
              </w:rPr>
            </w:pPr>
            <w:r w:rsidRPr="00A33AAA">
              <w:rPr>
                <w:b/>
                <w:sz w:val="22"/>
                <w:lang w:val="en-US"/>
              </w:rPr>
              <w:t>Reporting characteristics</w:t>
            </w:r>
          </w:p>
        </w:tc>
        <w:tc>
          <w:tcPr>
            <w:tcW w:w="1843" w:type="dxa"/>
          </w:tcPr>
          <w:p w14:paraId="66ADA717" w14:textId="77777777" w:rsidR="00D45377" w:rsidRPr="00A33AAA" w:rsidRDefault="00D45377" w:rsidP="00970AB7">
            <w:pPr>
              <w:jc w:val="center"/>
              <w:rPr>
                <w:b/>
                <w:sz w:val="22"/>
                <w:lang w:val="en-US"/>
              </w:rPr>
            </w:pPr>
            <w:r w:rsidRPr="00032102">
              <w:rPr>
                <w:b/>
                <w:sz w:val="22"/>
                <w:lang w:val="en-US"/>
              </w:rPr>
              <w:t xml:space="preserve">BNT162b2 </w:t>
            </w:r>
            <w:r>
              <w:rPr>
                <w:b/>
                <w:sz w:val="22"/>
                <w:lang w:val="en-US"/>
              </w:rPr>
              <w:t>(n=5931</w:t>
            </w:r>
            <w:r w:rsidRPr="00A33AAA">
              <w:rPr>
                <w:b/>
                <w:sz w:val="22"/>
                <w:lang w:val="en-US"/>
              </w:rPr>
              <w:t>)</w:t>
            </w:r>
          </w:p>
        </w:tc>
        <w:tc>
          <w:tcPr>
            <w:tcW w:w="1843" w:type="dxa"/>
          </w:tcPr>
          <w:p w14:paraId="2EF0062E" w14:textId="77777777" w:rsidR="00D45377" w:rsidRPr="00A33AAA" w:rsidRDefault="00D45377" w:rsidP="00970AB7">
            <w:pPr>
              <w:jc w:val="center"/>
              <w:rPr>
                <w:b/>
                <w:sz w:val="22"/>
                <w:lang w:val="en-US"/>
              </w:rPr>
            </w:pPr>
            <w:r w:rsidRPr="00032102">
              <w:rPr>
                <w:b/>
                <w:sz w:val="22"/>
                <w:lang w:val="en-US"/>
              </w:rPr>
              <w:t xml:space="preserve">mRNA-1273 </w:t>
            </w:r>
            <w:r>
              <w:rPr>
                <w:b/>
                <w:sz w:val="22"/>
                <w:lang w:val="en-US"/>
              </w:rPr>
              <w:t>(n=1797</w:t>
            </w:r>
            <w:r w:rsidRPr="00A33AAA">
              <w:rPr>
                <w:b/>
                <w:sz w:val="22"/>
                <w:lang w:val="en-US"/>
              </w:rPr>
              <w:t>)</w:t>
            </w:r>
          </w:p>
        </w:tc>
        <w:tc>
          <w:tcPr>
            <w:tcW w:w="1843" w:type="dxa"/>
          </w:tcPr>
          <w:p w14:paraId="4929F0F8" w14:textId="77777777" w:rsidR="00D45377" w:rsidRDefault="00D45377" w:rsidP="00970AB7">
            <w:pPr>
              <w:jc w:val="center"/>
              <w:rPr>
                <w:b/>
                <w:sz w:val="22"/>
                <w:lang w:val="en-US"/>
              </w:rPr>
            </w:pPr>
            <w:r>
              <w:rPr>
                <w:b/>
                <w:sz w:val="22"/>
                <w:lang w:val="en-US"/>
              </w:rPr>
              <w:t>Overall</w:t>
            </w:r>
          </w:p>
          <w:p w14:paraId="690E4743" w14:textId="77777777" w:rsidR="00D45377" w:rsidRPr="00A33AAA" w:rsidRDefault="00D45377" w:rsidP="00970AB7">
            <w:pPr>
              <w:jc w:val="center"/>
              <w:rPr>
                <w:b/>
                <w:sz w:val="22"/>
                <w:lang w:val="en-US"/>
              </w:rPr>
            </w:pPr>
            <w:r>
              <w:rPr>
                <w:b/>
                <w:sz w:val="22"/>
                <w:lang w:val="en-US"/>
              </w:rPr>
              <w:t>(n=7728</w:t>
            </w:r>
            <w:r w:rsidRPr="00A33AAA">
              <w:rPr>
                <w:b/>
                <w:sz w:val="22"/>
                <w:lang w:val="en-US"/>
              </w:rPr>
              <w:t>)</w:t>
            </w:r>
          </w:p>
        </w:tc>
      </w:tr>
      <w:tr w:rsidR="00D45377" w:rsidRPr="00A33AAA" w14:paraId="3E534741" w14:textId="77777777" w:rsidTr="00213239">
        <w:trPr>
          <w:trHeight w:val="873"/>
        </w:trPr>
        <w:tc>
          <w:tcPr>
            <w:tcW w:w="3964" w:type="dxa"/>
          </w:tcPr>
          <w:p w14:paraId="5B9A7E51" w14:textId="77777777" w:rsidR="00D45377" w:rsidRPr="00A33AAA" w:rsidRDefault="00D45377" w:rsidP="00970AB7">
            <w:pPr>
              <w:rPr>
                <w:sz w:val="22"/>
                <w:lang w:val="en-US"/>
              </w:rPr>
            </w:pPr>
            <w:r w:rsidRPr="00A33AAA">
              <w:rPr>
                <w:sz w:val="22"/>
                <w:lang w:val="en-US"/>
              </w:rPr>
              <w:t>Continent of reporting</w:t>
            </w:r>
          </w:p>
          <w:p w14:paraId="50ECCB95" w14:textId="77777777" w:rsidR="00D45377" w:rsidRPr="00A33AAA" w:rsidRDefault="00D45377" w:rsidP="00970AB7">
            <w:pPr>
              <w:pStyle w:val="Paragraphedeliste"/>
              <w:rPr>
                <w:sz w:val="22"/>
                <w:lang w:val="en-US"/>
              </w:rPr>
            </w:pPr>
            <w:r>
              <w:rPr>
                <w:sz w:val="22"/>
                <w:lang w:val="en-US"/>
              </w:rPr>
              <w:t>Africa</w:t>
            </w:r>
          </w:p>
          <w:p w14:paraId="274AEB06" w14:textId="77777777" w:rsidR="00D45377" w:rsidRDefault="00D45377" w:rsidP="00970AB7">
            <w:pPr>
              <w:pStyle w:val="Paragraphedeliste"/>
              <w:rPr>
                <w:sz w:val="22"/>
                <w:lang w:val="en-US"/>
              </w:rPr>
            </w:pPr>
            <w:r>
              <w:rPr>
                <w:sz w:val="22"/>
                <w:lang w:val="en-US"/>
              </w:rPr>
              <w:t>Asia-</w:t>
            </w:r>
            <w:r w:rsidRPr="00A33AAA">
              <w:rPr>
                <w:sz w:val="22"/>
                <w:lang w:val="en-US"/>
              </w:rPr>
              <w:t>Oceania</w:t>
            </w:r>
            <w:r>
              <w:rPr>
                <w:sz w:val="22"/>
                <w:lang w:val="en-US"/>
              </w:rPr>
              <w:t xml:space="preserve"> </w:t>
            </w:r>
          </w:p>
          <w:p w14:paraId="0026FB22" w14:textId="77777777" w:rsidR="00D45377" w:rsidRPr="00A33AAA" w:rsidRDefault="00D45377" w:rsidP="00970AB7">
            <w:pPr>
              <w:pStyle w:val="Paragraphedeliste"/>
              <w:rPr>
                <w:sz w:val="22"/>
                <w:lang w:val="en-US"/>
              </w:rPr>
            </w:pPr>
            <w:r w:rsidRPr="00A33AAA">
              <w:rPr>
                <w:sz w:val="22"/>
                <w:lang w:val="en-US"/>
              </w:rPr>
              <w:t>Europ</w:t>
            </w:r>
            <w:r>
              <w:rPr>
                <w:sz w:val="22"/>
                <w:lang w:val="en-US"/>
              </w:rPr>
              <w:t>e</w:t>
            </w:r>
          </w:p>
          <w:p w14:paraId="727CF26F" w14:textId="77777777" w:rsidR="00D45377" w:rsidRPr="00A33AAA" w:rsidRDefault="00D45377" w:rsidP="00970AB7">
            <w:pPr>
              <w:pStyle w:val="Paragraphedeliste"/>
              <w:rPr>
                <w:sz w:val="22"/>
                <w:lang w:val="en-US"/>
              </w:rPr>
            </w:pPr>
            <w:r w:rsidRPr="00A33AAA">
              <w:rPr>
                <w:sz w:val="22"/>
                <w:lang w:val="en-US"/>
              </w:rPr>
              <w:t>North America</w:t>
            </w:r>
          </w:p>
          <w:p w14:paraId="3E6D772D" w14:textId="77777777" w:rsidR="00D45377" w:rsidRPr="00A33AAA" w:rsidRDefault="00D45377" w:rsidP="00970AB7">
            <w:pPr>
              <w:pStyle w:val="Paragraphedeliste"/>
              <w:rPr>
                <w:sz w:val="22"/>
                <w:lang w:val="en-US"/>
              </w:rPr>
            </w:pPr>
            <w:r>
              <w:rPr>
                <w:sz w:val="22"/>
                <w:lang w:val="en-US"/>
              </w:rPr>
              <w:t>South</w:t>
            </w:r>
            <w:r w:rsidRPr="00A33AAA">
              <w:rPr>
                <w:sz w:val="22"/>
                <w:lang w:val="en-US"/>
              </w:rPr>
              <w:t xml:space="preserve"> America</w:t>
            </w:r>
          </w:p>
        </w:tc>
        <w:tc>
          <w:tcPr>
            <w:tcW w:w="1843" w:type="dxa"/>
          </w:tcPr>
          <w:p w14:paraId="0881BBF6" w14:textId="77777777" w:rsidR="00D45377" w:rsidRDefault="00D45377" w:rsidP="00970AB7">
            <w:pPr>
              <w:jc w:val="center"/>
              <w:rPr>
                <w:sz w:val="22"/>
                <w:lang w:val="en-US"/>
              </w:rPr>
            </w:pPr>
          </w:p>
          <w:p w14:paraId="74149233" w14:textId="77777777" w:rsidR="00D45377" w:rsidRDefault="00D45377" w:rsidP="00970AB7">
            <w:pPr>
              <w:jc w:val="center"/>
              <w:rPr>
                <w:sz w:val="22"/>
                <w:lang w:val="en-US"/>
              </w:rPr>
            </w:pPr>
            <w:r>
              <w:rPr>
                <w:sz w:val="22"/>
                <w:lang w:val="en-US"/>
              </w:rPr>
              <w:t>13 (0.2%)</w:t>
            </w:r>
          </w:p>
          <w:p w14:paraId="54399374" w14:textId="77777777" w:rsidR="00D45377" w:rsidRDefault="00D45377" w:rsidP="00970AB7">
            <w:pPr>
              <w:jc w:val="center"/>
              <w:rPr>
                <w:sz w:val="22"/>
                <w:lang w:val="en-US"/>
              </w:rPr>
            </w:pPr>
            <w:r>
              <w:rPr>
                <w:sz w:val="22"/>
                <w:lang w:val="en-US"/>
              </w:rPr>
              <w:t>112 (1.9%)</w:t>
            </w:r>
          </w:p>
          <w:p w14:paraId="3FDABCC1" w14:textId="77777777" w:rsidR="00D45377" w:rsidRDefault="00D45377" w:rsidP="00970AB7">
            <w:pPr>
              <w:jc w:val="center"/>
              <w:rPr>
                <w:sz w:val="22"/>
                <w:lang w:val="en-US"/>
              </w:rPr>
            </w:pPr>
            <w:r>
              <w:rPr>
                <w:sz w:val="22"/>
                <w:lang w:val="en-US"/>
              </w:rPr>
              <w:t>3616 (61.0%)</w:t>
            </w:r>
          </w:p>
          <w:p w14:paraId="45881C5E" w14:textId="77777777" w:rsidR="00D45377" w:rsidRDefault="00D45377" w:rsidP="00970AB7">
            <w:pPr>
              <w:jc w:val="center"/>
              <w:rPr>
                <w:sz w:val="22"/>
                <w:lang w:val="en-US"/>
              </w:rPr>
            </w:pPr>
            <w:r>
              <w:rPr>
                <w:sz w:val="22"/>
                <w:lang w:val="en-US"/>
              </w:rPr>
              <w:t>2173 (36.6%)</w:t>
            </w:r>
          </w:p>
          <w:p w14:paraId="11B51D57" w14:textId="77777777" w:rsidR="00D45377" w:rsidRPr="00A33AAA" w:rsidRDefault="00D45377" w:rsidP="00970AB7">
            <w:pPr>
              <w:jc w:val="center"/>
              <w:rPr>
                <w:sz w:val="22"/>
                <w:lang w:val="en-US"/>
              </w:rPr>
            </w:pPr>
            <w:r>
              <w:rPr>
                <w:sz w:val="22"/>
                <w:lang w:val="en-US"/>
              </w:rPr>
              <w:t>17 (0.3%)</w:t>
            </w:r>
          </w:p>
        </w:tc>
        <w:tc>
          <w:tcPr>
            <w:tcW w:w="1843" w:type="dxa"/>
          </w:tcPr>
          <w:p w14:paraId="6C334840" w14:textId="77777777" w:rsidR="00D45377" w:rsidRDefault="00D45377" w:rsidP="00970AB7">
            <w:pPr>
              <w:jc w:val="center"/>
              <w:rPr>
                <w:sz w:val="22"/>
                <w:lang w:val="en-US"/>
              </w:rPr>
            </w:pPr>
          </w:p>
          <w:p w14:paraId="0667C18E" w14:textId="77777777" w:rsidR="00D45377" w:rsidRDefault="00D45377" w:rsidP="00970AB7">
            <w:pPr>
              <w:jc w:val="center"/>
              <w:rPr>
                <w:sz w:val="22"/>
                <w:lang w:val="en-US"/>
              </w:rPr>
            </w:pPr>
            <w:r>
              <w:rPr>
                <w:sz w:val="22"/>
                <w:lang w:val="en-US"/>
              </w:rPr>
              <w:t>-</w:t>
            </w:r>
          </w:p>
          <w:p w14:paraId="55791344" w14:textId="77777777" w:rsidR="00D45377" w:rsidRDefault="00D45377" w:rsidP="00970AB7">
            <w:pPr>
              <w:jc w:val="center"/>
              <w:rPr>
                <w:sz w:val="22"/>
                <w:lang w:val="en-US"/>
              </w:rPr>
            </w:pPr>
            <w:r>
              <w:rPr>
                <w:sz w:val="22"/>
                <w:lang w:val="en-US"/>
              </w:rPr>
              <w:t>1 (0.1%)</w:t>
            </w:r>
          </w:p>
          <w:p w14:paraId="20E4F7C3" w14:textId="77777777" w:rsidR="00D45377" w:rsidRDefault="00D45377" w:rsidP="00970AB7">
            <w:pPr>
              <w:jc w:val="center"/>
              <w:rPr>
                <w:sz w:val="22"/>
                <w:lang w:val="en-US"/>
              </w:rPr>
            </w:pPr>
            <w:r>
              <w:rPr>
                <w:sz w:val="22"/>
                <w:lang w:val="en-US"/>
              </w:rPr>
              <w:t>358 (19.9%)</w:t>
            </w:r>
          </w:p>
          <w:p w14:paraId="0B01C870" w14:textId="77777777" w:rsidR="00D45377" w:rsidRDefault="00D45377" w:rsidP="00970AB7">
            <w:pPr>
              <w:jc w:val="center"/>
              <w:rPr>
                <w:sz w:val="22"/>
                <w:lang w:val="en-US"/>
              </w:rPr>
            </w:pPr>
            <w:r>
              <w:rPr>
                <w:sz w:val="22"/>
                <w:lang w:val="en-US"/>
              </w:rPr>
              <w:t>1438 (80.0%)</w:t>
            </w:r>
          </w:p>
          <w:p w14:paraId="5E7326EF" w14:textId="77777777" w:rsidR="00D45377" w:rsidRPr="00A33AAA" w:rsidRDefault="00D45377" w:rsidP="00970AB7">
            <w:pPr>
              <w:jc w:val="center"/>
              <w:rPr>
                <w:sz w:val="22"/>
                <w:lang w:val="en-US"/>
              </w:rPr>
            </w:pPr>
            <w:r>
              <w:rPr>
                <w:sz w:val="22"/>
                <w:lang w:val="en-US"/>
              </w:rPr>
              <w:t>-</w:t>
            </w:r>
          </w:p>
        </w:tc>
        <w:tc>
          <w:tcPr>
            <w:tcW w:w="1843" w:type="dxa"/>
          </w:tcPr>
          <w:p w14:paraId="02A98C26" w14:textId="77777777" w:rsidR="00D45377" w:rsidRDefault="00D45377" w:rsidP="00970AB7">
            <w:pPr>
              <w:jc w:val="center"/>
              <w:rPr>
                <w:sz w:val="22"/>
                <w:lang w:val="en-US"/>
              </w:rPr>
            </w:pPr>
          </w:p>
          <w:p w14:paraId="3D7241CE" w14:textId="77777777" w:rsidR="00D45377" w:rsidRDefault="00D45377" w:rsidP="00970AB7">
            <w:pPr>
              <w:jc w:val="center"/>
              <w:rPr>
                <w:sz w:val="22"/>
                <w:lang w:val="en-US"/>
              </w:rPr>
            </w:pPr>
            <w:r>
              <w:rPr>
                <w:sz w:val="22"/>
                <w:lang w:val="en-US"/>
              </w:rPr>
              <w:t>13 (0.2%)</w:t>
            </w:r>
          </w:p>
          <w:p w14:paraId="635357EC" w14:textId="77777777" w:rsidR="00D45377" w:rsidRDefault="00D45377" w:rsidP="00970AB7">
            <w:pPr>
              <w:jc w:val="center"/>
              <w:rPr>
                <w:sz w:val="22"/>
                <w:lang w:val="en-US"/>
              </w:rPr>
            </w:pPr>
            <w:r>
              <w:rPr>
                <w:sz w:val="22"/>
                <w:lang w:val="en-US"/>
              </w:rPr>
              <w:t>113 (1.5%)</w:t>
            </w:r>
          </w:p>
          <w:p w14:paraId="0F60F2A5" w14:textId="77777777" w:rsidR="00D45377" w:rsidRDefault="00D45377" w:rsidP="00970AB7">
            <w:pPr>
              <w:jc w:val="center"/>
              <w:rPr>
                <w:sz w:val="22"/>
                <w:lang w:val="en-US"/>
              </w:rPr>
            </w:pPr>
            <w:r>
              <w:rPr>
                <w:sz w:val="22"/>
                <w:lang w:val="en-US"/>
              </w:rPr>
              <w:t>3974 (51.4%)</w:t>
            </w:r>
          </w:p>
          <w:p w14:paraId="15496BBA" w14:textId="77777777" w:rsidR="00D45377" w:rsidRDefault="00D45377" w:rsidP="00970AB7">
            <w:pPr>
              <w:jc w:val="center"/>
              <w:rPr>
                <w:sz w:val="22"/>
                <w:lang w:val="en-US"/>
              </w:rPr>
            </w:pPr>
            <w:r>
              <w:rPr>
                <w:sz w:val="22"/>
                <w:lang w:val="en-US"/>
              </w:rPr>
              <w:t>3611 (46.7%)</w:t>
            </w:r>
          </w:p>
          <w:p w14:paraId="3CB6727F" w14:textId="77777777" w:rsidR="00D45377" w:rsidRDefault="00D45377" w:rsidP="00970AB7">
            <w:pPr>
              <w:jc w:val="center"/>
              <w:rPr>
                <w:sz w:val="22"/>
                <w:lang w:val="en-US"/>
              </w:rPr>
            </w:pPr>
            <w:r>
              <w:rPr>
                <w:sz w:val="22"/>
                <w:lang w:val="en-US"/>
              </w:rPr>
              <w:t>17 (0.2%)</w:t>
            </w:r>
          </w:p>
        </w:tc>
      </w:tr>
      <w:tr w:rsidR="00D45377" w:rsidRPr="00A33AAA" w14:paraId="04E502FA" w14:textId="77777777" w:rsidTr="00213239">
        <w:tc>
          <w:tcPr>
            <w:tcW w:w="3964" w:type="dxa"/>
          </w:tcPr>
          <w:p w14:paraId="1BE16FA4" w14:textId="77777777" w:rsidR="00D45377" w:rsidRPr="00A33AAA" w:rsidRDefault="00D45377" w:rsidP="00970AB7">
            <w:pPr>
              <w:rPr>
                <w:sz w:val="22"/>
                <w:lang w:val="en-US"/>
              </w:rPr>
            </w:pPr>
            <w:r w:rsidRPr="00A33AAA">
              <w:rPr>
                <w:sz w:val="22"/>
                <w:lang w:val="en-US"/>
              </w:rPr>
              <w:t>Type of reporter</w:t>
            </w:r>
          </w:p>
          <w:p w14:paraId="3284B70D" w14:textId="77777777" w:rsidR="00D45377" w:rsidRPr="00A33AAA" w:rsidRDefault="00D45377" w:rsidP="00970AB7">
            <w:pPr>
              <w:pStyle w:val="Paragraphedeliste"/>
              <w:rPr>
                <w:sz w:val="22"/>
                <w:lang w:val="en-US"/>
              </w:rPr>
            </w:pPr>
            <w:r w:rsidRPr="00A33AAA">
              <w:rPr>
                <w:sz w:val="22"/>
                <w:lang w:val="en-US"/>
              </w:rPr>
              <w:t>Pharmacist</w:t>
            </w:r>
          </w:p>
          <w:p w14:paraId="286F4AB6" w14:textId="77777777" w:rsidR="00D45377" w:rsidRPr="00A33AAA" w:rsidRDefault="00D45377" w:rsidP="00970AB7">
            <w:pPr>
              <w:pStyle w:val="Paragraphedeliste"/>
              <w:rPr>
                <w:sz w:val="22"/>
                <w:lang w:val="en-US"/>
              </w:rPr>
            </w:pPr>
            <w:r w:rsidRPr="00A33AAA">
              <w:rPr>
                <w:sz w:val="22"/>
                <w:lang w:val="en-US"/>
              </w:rPr>
              <w:t>Physician</w:t>
            </w:r>
          </w:p>
          <w:p w14:paraId="5091EB8D" w14:textId="77777777" w:rsidR="00D45377" w:rsidRPr="00A33AAA" w:rsidRDefault="00D45377" w:rsidP="00970AB7">
            <w:pPr>
              <w:pStyle w:val="Paragraphedeliste"/>
              <w:rPr>
                <w:sz w:val="22"/>
                <w:lang w:val="en-US"/>
              </w:rPr>
            </w:pPr>
            <w:r w:rsidRPr="00A33AAA">
              <w:rPr>
                <w:sz w:val="22"/>
                <w:lang w:val="en-US"/>
              </w:rPr>
              <w:t>Other health professional</w:t>
            </w:r>
          </w:p>
          <w:p w14:paraId="09066C59" w14:textId="77777777" w:rsidR="00D45377" w:rsidRPr="00A33AAA" w:rsidRDefault="00D45377" w:rsidP="00970AB7">
            <w:pPr>
              <w:pStyle w:val="Paragraphedeliste"/>
              <w:rPr>
                <w:sz w:val="22"/>
                <w:lang w:val="en-US"/>
              </w:rPr>
            </w:pPr>
            <w:r w:rsidRPr="00A33AAA">
              <w:rPr>
                <w:sz w:val="22"/>
                <w:lang w:val="en-US"/>
              </w:rPr>
              <w:t>Consumer</w:t>
            </w:r>
          </w:p>
          <w:p w14:paraId="567749EE" w14:textId="77777777" w:rsidR="00D45377" w:rsidRPr="00A33AAA" w:rsidRDefault="00D45377" w:rsidP="00970AB7">
            <w:pPr>
              <w:pStyle w:val="Paragraphedeliste"/>
              <w:rPr>
                <w:sz w:val="22"/>
                <w:lang w:val="en-US"/>
              </w:rPr>
            </w:pPr>
            <w:r w:rsidRPr="00A33AAA">
              <w:rPr>
                <w:sz w:val="22"/>
                <w:lang w:val="en-US"/>
              </w:rPr>
              <w:t>Unknown</w:t>
            </w:r>
          </w:p>
        </w:tc>
        <w:tc>
          <w:tcPr>
            <w:tcW w:w="1843" w:type="dxa"/>
          </w:tcPr>
          <w:p w14:paraId="395C00C2" w14:textId="77777777" w:rsidR="00D45377" w:rsidRDefault="00D45377" w:rsidP="00970AB7">
            <w:pPr>
              <w:jc w:val="center"/>
              <w:rPr>
                <w:sz w:val="22"/>
                <w:lang w:val="en-US"/>
              </w:rPr>
            </w:pPr>
          </w:p>
          <w:p w14:paraId="1995EF64" w14:textId="77777777" w:rsidR="00D45377" w:rsidRDefault="00D45377" w:rsidP="00970AB7">
            <w:pPr>
              <w:jc w:val="center"/>
              <w:rPr>
                <w:sz w:val="22"/>
                <w:lang w:val="en-US"/>
              </w:rPr>
            </w:pPr>
            <w:r>
              <w:rPr>
                <w:sz w:val="22"/>
                <w:lang w:val="en-US"/>
              </w:rPr>
              <w:t>162 (2.7%)</w:t>
            </w:r>
          </w:p>
          <w:p w14:paraId="280D8BCC" w14:textId="77777777" w:rsidR="00D45377" w:rsidRDefault="00D45377" w:rsidP="00970AB7">
            <w:pPr>
              <w:jc w:val="center"/>
              <w:rPr>
                <w:sz w:val="22"/>
                <w:lang w:val="en-US"/>
              </w:rPr>
            </w:pPr>
            <w:r>
              <w:rPr>
                <w:sz w:val="22"/>
                <w:lang w:val="en-US"/>
              </w:rPr>
              <w:t>1431 (24.1%)</w:t>
            </w:r>
          </w:p>
          <w:p w14:paraId="2AB8DAFE" w14:textId="77777777" w:rsidR="00D45377" w:rsidRDefault="00D45377" w:rsidP="00970AB7">
            <w:pPr>
              <w:jc w:val="center"/>
              <w:rPr>
                <w:sz w:val="22"/>
                <w:lang w:val="en-US"/>
              </w:rPr>
            </w:pPr>
            <w:r>
              <w:rPr>
                <w:sz w:val="22"/>
                <w:lang w:val="en-US"/>
              </w:rPr>
              <w:t>252 (4.2%)</w:t>
            </w:r>
          </w:p>
          <w:p w14:paraId="10B5F980" w14:textId="77777777" w:rsidR="00D45377" w:rsidRDefault="00D45377" w:rsidP="00970AB7">
            <w:pPr>
              <w:jc w:val="center"/>
              <w:rPr>
                <w:sz w:val="22"/>
                <w:lang w:val="en-US"/>
              </w:rPr>
            </w:pPr>
            <w:r>
              <w:rPr>
                <w:sz w:val="22"/>
                <w:lang w:val="en-US"/>
              </w:rPr>
              <w:t>1869 (32.5%)</w:t>
            </w:r>
          </w:p>
          <w:p w14:paraId="303151F5" w14:textId="77777777" w:rsidR="00D45377" w:rsidRPr="00A33AAA" w:rsidRDefault="00D45377" w:rsidP="00970AB7">
            <w:pPr>
              <w:jc w:val="center"/>
              <w:rPr>
                <w:sz w:val="22"/>
                <w:lang w:val="en-US"/>
              </w:rPr>
            </w:pPr>
            <w:r>
              <w:rPr>
                <w:sz w:val="22"/>
                <w:lang w:val="en-US"/>
              </w:rPr>
              <w:t>2217 (37.4%)</w:t>
            </w:r>
          </w:p>
        </w:tc>
        <w:tc>
          <w:tcPr>
            <w:tcW w:w="1843" w:type="dxa"/>
          </w:tcPr>
          <w:p w14:paraId="6F21EF28" w14:textId="77777777" w:rsidR="00D45377" w:rsidRDefault="00D45377" w:rsidP="00970AB7">
            <w:pPr>
              <w:jc w:val="center"/>
              <w:rPr>
                <w:sz w:val="22"/>
                <w:lang w:val="en-US"/>
              </w:rPr>
            </w:pPr>
          </w:p>
          <w:p w14:paraId="03E0B27E" w14:textId="77777777" w:rsidR="00D45377" w:rsidRDefault="00D45377" w:rsidP="00970AB7">
            <w:pPr>
              <w:jc w:val="center"/>
              <w:rPr>
                <w:sz w:val="22"/>
                <w:lang w:val="en-US"/>
              </w:rPr>
            </w:pPr>
            <w:r>
              <w:rPr>
                <w:sz w:val="22"/>
                <w:lang w:val="en-US"/>
              </w:rPr>
              <w:t>19 (1.1%)</w:t>
            </w:r>
          </w:p>
          <w:p w14:paraId="5E2C410C" w14:textId="77777777" w:rsidR="00D45377" w:rsidRDefault="00D45377" w:rsidP="00970AB7">
            <w:pPr>
              <w:jc w:val="center"/>
              <w:rPr>
                <w:sz w:val="22"/>
                <w:lang w:val="en-US"/>
              </w:rPr>
            </w:pPr>
            <w:r>
              <w:rPr>
                <w:sz w:val="22"/>
                <w:lang w:val="en-US"/>
              </w:rPr>
              <w:t>192 (10.7%)</w:t>
            </w:r>
          </w:p>
          <w:p w14:paraId="62C848D1" w14:textId="77777777" w:rsidR="00D45377" w:rsidRDefault="00D45377" w:rsidP="00970AB7">
            <w:pPr>
              <w:jc w:val="center"/>
              <w:rPr>
                <w:sz w:val="22"/>
                <w:lang w:val="en-US"/>
              </w:rPr>
            </w:pPr>
            <w:r>
              <w:rPr>
                <w:sz w:val="22"/>
                <w:lang w:val="en-US"/>
              </w:rPr>
              <w:t>5 (0.3%)</w:t>
            </w:r>
          </w:p>
          <w:p w14:paraId="389E6380" w14:textId="77777777" w:rsidR="00D45377" w:rsidRDefault="00D45377" w:rsidP="00970AB7">
            <w:pPr>
              <w:jc w:val="center"/>
              <w:rPr>
                <w:sz w:val="22"/>
                <w:lang w:val="en-US"/>
              </w:rPr>
            </w:pPr>
            <w:r>
              <w:rPr>
                <w:sz w:val="22"/>
                <w:lang w:val="en-US"/>
              </w:rPr>
              <w:t>144 (8.0%)</w:t>
            </w:r>
          </w:p>
          <w:p w14:paraId="2F5BFCB8" w14:textId="77777777" w:rsidR="00D45377" w:rsidRPr="00A33AAA" w:rsidRDefault="00D45377" w:rsidP="00970AB7">
            <w:pPr>
              <w:jc w:val="center"/>
              <w:rPr>
                <w:sz w:val="22"/>
                <w:lang w:val="en-US"/>
              </w:rPr>
            </w:pPr>
            <w:r>
              <w:rPr>
                <w:sz w:val="22"/>
                <w:lang w:val="en-US"/>
              </w:rPr>
              <w:t>1437 (80.0%)</w:t>
            </w:r>
          </w:p>
        </w:tc>
        <w:tc>
          <w:tcPr>
            <w:tcW w:w="1843" w:type="dxa"/>
          </w:tcPr>
          <w:p w14:paraId="76FAE2CD" w14:textId="77777777" w:rsidR="00D45377" w:rsidRDefault="00D45377" w:rsidP="00970AB7">
            <w:pPr>
              <w:jc w:val="center"/>
              <w:rPr>
                <w:sz w:val="22"/>
                <w:lang w:val="en-US"/>
              </w:rPr>
            </w:pPr>
          </w:p>
          <w:p w14:paraId="11DBC903" w14:textId="77777777" w:rsidR="00D45377" w:rsidRDefault="00D45377" w:rsidP="00970AB7">
            <w:pPr>
              <w:jc w:val="center"/>
              <w:rPr>
                <w:sz w:val="22"/>
                <w:lang w:val="en-US"/>
              </w:rPr>
            </w:pPr>
            <w:r>
              <w:rPr>
                <w:sz w:val="22"/>
                <w:lang w:val="en-US"/>
              </w:rPr>
              <w:t>181 (2.3%)</w:t>
            </w:r>
          </w:p>
          <w:p w14:paraId="37BB395A" w14:textId="77777777" w:rsidR="00D45377" w:rsidRDefault="00D45377" w:rsidP="00970AB7">
            <w:pPr>
              <w:jc w:val="center"/>
              <w:rPr>
                <w:sz w:val="22"/>
                <w:lang w:val="en-US"/>
              </w:rPr>
            </w:pPr>
            <w:r>
              <w:rPr>
                <w:sz w:val="22"/>
                <w:lang w:val="en-US"/>
              </w:rPr>
              <w:t>1623 (21.0%)</w:t>
            </w:r>
          </w:p>
          <w:p w14:paraId="2494138E" w14:textId="77777777" w:rsidR="00D45377" w:rsidRDefault="00D45377" w:rsidP="00970AB7">
            <w:pPr>
              <w:jc w:val="center"/>
              <w:rPr>
                <w:sz w:val="22"/>
                <w:lang w:val="en-US"/>
              </w:rPr>
            </w:pPr>
            <w:r>
              <w:rPr>
                <w:sz w:val="22"/>
                <w:lang w:val="en-US"/>
              </w:rPr>
              <w:t>257 (3.3%)</w:t>
            </w:r>
          </w:p>
          <w:p w14:paraId="5FBEEA9A" w14:textId="77777777" w:rsidR="00D45377" w:rsidRDefault="00D45377" w:rsidP="00970AB7">
            <w:pPr>
              <w:jc w:val="center"/>
              <w:rPr>
                <w:sz w:val="22"/>
                <w:lang w:val="en-US"/>
              </w:rPr>
            </w:pPr>
            <w:r>
              <w:rPr>
                <w:sz w:val="22"/>
                <w:lang w:val="en-US"/>
              </w:rPr>
              <w:t>2013 (26.0%)</w:t>
            </w:r>
          </w:p>
          <w:p w14:paraId="3A3B02BE" w14:textId="77777777" w:rsidR="00D45377" w:rsidRDefault="00D45377" w:rsidP="00970AB7">
            <w:pPr>
              <w:jc w:val="center"/>
              <w:rPr>
                <w:sz w:val="22"/>
                <w:lang w:val="en-US"/>
              </w:rPr>
            </w:pPr>
            <w:r>
              <w:rPr>
                <w:sz w:val="22"/>
                <w:lang w:val="en-US"/>
              </w:rPr>
              <w:t>3654 (47.3%)</w:t>
            </w:r>
          </w:p>
        </w:tc>
      </w:tr>
      <w:tr w:rsidR="00D45377" w:rsidRPr="00A33AAA" w14:paraId="2156A9F4" w14:textId="77777777" w:rsidTr="00213239">
        <w:tc>
          <w:tcPr>
            <w:tcW w:w="3964" w:type="dxa"/>
          </w:tcPr>
          <w:p w14:paraId="60AFDD07" w14:textId="77777777" w:rsidR="00D45377" w:rsidRPr="00A33AAA" w:rsidRDefault="00D45377" w:rsidP="00970AB7">
            <w:pPr>
              <w:rPr>
                <w:sz w:val="22"/>
                <w:lang w:val="en-US"/>
              </w:rPr>
            </w:pPr>
            <w:r w:rsidRPr="00A33AAA">
              <w:rPr>
                <w:sz w:val="22"/>
                <w:lang w:val="en-US"/>
              </w:rPr>
              <w:t xml:space="preserve">Sex – </w:t>
            </w:r>
            <w:r>
              <w:rPr>
                <w:sz w:val="22"/>
                <w:lang w:val="en-US"/>
              </w:rPr>
              <w:t>fe</w:t>
            </w:r>
            <w:r w:rsidRPr="00A33AAA">
              <w:rPr>
                <w:sz w:val="22"/>
                <w:lang w:val="en-US"/>
              </w:rPr>
              <w:t>male</w:t>
            </w:r>
          </w:p>
        </w:tc>
        <w:tc>
          <w:tcPr>
            <w:tcW w:w="1843" w:type="dxa"/>
          </w:tcPr>
          <w:p w14:paraId="55BF35D3" w14:textId="77777777" w:rsidR="00D45377" w:rsidRPr="00B47499" w:rsidRDefault="00D45377" w:rsidP="00970AB7">
            <w:pPr>
              <w:jc w:val="center"/>
              <w:rPr>
                <w:color w:val="000000" w:themeColor="text1"/>
                <w:sz w:val="22"/>
                <w:lang w:val="en-US"/>
              </w:rPr>
            </w:pPr>
            <w:r>
              <w:rPr>
                <w:color w:val="000000" w:themeColor="text1"/>
                <w:sz w:val="22"/>
                <w:lang w:val="en-US"/>
              </w:rPr>
              <w:t>3903</w:t>
            </w:r>
            <w:r w:rsidRPr="002105CB">
              <w:rPr>
                <w:color w:val="000000" w:themeColor="text1"/>
                <w:sz w:val="22"/>
                <w:lang w:val="en-US"/>
              </w:rPr>
              <w:t xml:space="preserve"> (6</w:t>
            </w:r>
            <w:r>
              <w:rPr>
                <w:color w:val="000000" w:themeColor="text1"/>
                <w:sz w:val="22"/>
                <w:lang w:val="en-US"/>
              </w:rPr>
              <w:t>5</w:t>
            </w:r>
            <w:r w:rsidRPr="002105CB">
              <w:rPr>
                <w:color w:val="000000" w:themeColor="text1"/>
                <w:sz w:val="22"/>
                <w:lang w:val="en-US"/>
              </w:rPr>
              <w:t>.</w:t>
            </w:r>
            <w:r>
              <w:rPr>
                <w:color w:val="000000" w:themeColor="text1"/>
                <w:sz w:val="22"/>
                <w:lang w:val="en-US"/>
              </w:rPr>
              <w:t>8</w:t>
            </w:r>
            <w:r w:rsidRPr="002105CB">
              <w:rPr>
                <w:color w:val="000000" w:themeColor="text1"/>
                <w:sz w:val="22"/>
                <w:lang w:val="en-US"/>
              </w:rPr>
              <w:t>%)</w:t>
            </w:r>
          </w:p>
        </w:tc>
        <w:tc>
          <w:tcPr>
            <w:tcW w:w="1843" w:type="dxa"/>
          </w:tcPr>
          <w:p w14:paraId="2380C927" w14:textId="77777777" w:rsidR="00D45377" w:rsidRPr="00A33AAA" w:rsidRDefault="00D45377" w:rsidP="00970AB7">
            <w:pPr>
              <w:jc w:val="center"/>
              <w:rPr>
                <w:sz w:val="22"/>
                <w:lang w:val="en-US"/>
              </w:rPr>
            </w:pPr>
            <w:r>
              <w:rPr>
                <w:sz w:val="22"/>
                <w:lang w:val="en-US"/>
              </w:rPr>
              <w:t>1232 (68.6%)</w:t>
            </w:r>
          </w:p>
        </w:tc>
        <w:tc>
          <w:tcPr>
            <w:tcW w:w="1843" w:type="dxa"/>
          </w:tcPr>
          <w:p w14:paraId="1EB1AD6B" w14:textId="77777777" w:rsidR="00D45377" w:rsidRDefault="00D45377" w:rsidP="00970AB7">
            <w:pPr>
              <w:jc w:val="center"/>
              <w:rPr>
                <w:sz w:val="22"/>
                <w:lang w:val="en-US"/>
              </w:rPr>
            </w:pPr>
            <w:r>
              <w:rPr>
                <w:sz w:val="22"/>
                <w:lang w:val="en-US"/>
              </w:rPr>
              <w:t>5135 (66.4%)</w:t>
            </w:r>
          </w:p>
        </w:tc>
      </w:tr>
      <w:tr w:rsidR="00D45377" w:rsidRPr="00A33AAA" w14:paraId="318973D2" w14:textId="77777777" w:rsidTr="00213239">
        <w:tc>
          <w:tcPr>
            <w:tcW w:w="3964" w:type="dxa"/>
          </w:tcPr>
          <w:p w14:paraId="14C2C571" w14:textId="77777777" w:rsidR="00D45377" w:rsidRPr="00A33AAA" w:rsidRDefault="00D45377" w:rsidP="00970AB7">
            <w:pPr>
              <w:rPr>
                <w:sz w:val="22"/>
                <w:lang w:val="en-US"/>
              </w:rPr>
            </w:pPr>
            <w:r w:rsidRPr="00A33AAA">
              <w:rPr>
                <w:sz w:val="22"/>
                <w:lang w:val="en-US"/>
              </w:rPr>
              <w:t>Age – years</w:t>
            </w:r>
          </w:p>
        </w:tc>
        <w:tc>
          <w:tcPr>
            <w:tcW w:w="1843" w:type="dxa"/>
          </w:tcPr>
          <w:p w14:paraId="0F1D44B0" w14:textId="77777777" w:rsidR="00D45377" w:rsidRPr="00A33AAA" w:rsidRDefault="00D45377" w:rsidP="00970AB7">
            <w:pPr>
              <w:jc w:val="center"/>
              <w:rPr>
                <w:sz w:val="22"/>
                <w:lang w:val="en-US"/>
              </w:rPr>
            </w:pPr>
            <w:r>
              <w:rPr>
                <w:sz w:val="22"/>
                <w:lang w:val="en-US"/>
              </w:rPr>
              <w:t>59.7 (46-73)</w:t>
            </w:r>
          </w:p>
        </w:tc>
        <w:tc>
          <w:tcPr>
            <w:tcW w:w="1843" w:type="dxa"/>
          </w:tcPr>
          <w:p w14:paraId="70E0D619" w14:textId="77777777" w:rsidR="00D45377" w:rsidRPr="00A33AAA" w:rsidRDefault="00D45377" w:rsidP="00970AB7">
            <w:pPr>
              <w:jc w:val="center"/>
              <w:rPr>
                <w:sz w:val="22"/>
                <w:lang w:val="en-US"/>
              </w:rPr>
            </w:pPr>
            <w:r>
              <w:rPr>
                <w:sz w:val="22"/>
                <w:lang w:val="en-US"/>
              </w:rPr>
              <w:t>57.0 (44-70)</w:t>
            </w:r>
          </w:p>
        </w:tc>
        <w:tc>
          <w:tcPr>
            <w:tcW w:w="1843" w:type="dxa"/>
          </w:tcPr>
          <w:p w14:paraId="7C8265D4" w14:textId="77777777" w:rsidR="00D45377" w:rsidRDefault="00D45377" w:rsidP="00970AB7">
            <w:pPr>
              <w:jc w:val="center"/>
              <w:rPr>
                <w:sz w:val="22"/>
                <w:lang w:val="en-US"/>
              </w:rPr>
            </w:pPr>
            <w:r>
              <w:rPr>
                <w:sz w:val="22"/>
                <w:lang w:val="en-US"/>
              </w:rPr>
              <w:t>59.1 (46-72)</w:t>
            </w:r>
          </w:p>
        </w:tc>
      </w:tr>
      <w:tr w:rsidR="00D45377" w:rsidRPr="00A33AAA" w14:paraId="54F887DF" w14:textId="77777777" w:rsidTr="00213239">
        <w:tc>
          <w:tcPr>
            <w:tcW w:w="3964" w:type="dxa"/>
          </w:tcPr>
          <w:p w14:paraId="012D183C" w14:textId="77777777" w:rsidR="00D45377" w:rsidRDefault="00D45377" w:rsidP="00970AB7">
            <w:pPr>
              <w:rPr>
                <w:sz w:val="22"/>
                <w:lang w:val="en-US"/>
              </w:rPr>
            </w:pPr>
            <w:r w:rsidRPr="00A33AAA">
              <w:rPr>
                <w:sz w:val="22"/>
                <w:lang w:val="en-US"/>
              </w:rPr>
              <w:t>Age – ranges</w:t>
            </w:r>
          </w:p>
          <w:p w14:paraId="3A075A36" w14:textId="77777777" w:rsidR="00D45377" w:rsidRPr="00B13DA1" w:rsidRDefault="00D45377" w:rsidP="00970AB7">
            <w:pPr>
              <w:pStyle w:val="Paragraphedeliste"/>
              <w:rPr>
                <w:sz w:val="22"/>
                <w:lang w:val="en-US"/>
              </w:rPr>
            </w:pPr>
            <w:r>
              <w:rPr>
                <w:sz w:val="22"/>
                <w:lang w:val="en-US"/>
              </w:rPr>
              <w:t>&lt; 12</w:t>
            </w:r>
            <w:r w:rsidRPr="00A33AAA">
              <w:rPr>
                <w:sz w:val="22"/>
                <w:lang w:val="en-US"/>
              </w:rPr>
              <w:t xml:space="preserve"> years</w:t>
            </w:r>
          </w:p>
          <w:p w14:paraId="471CAE19" w14:textId="77777777" w:rsidR="00D45377" w:rsidRPr="00A33AAA" w:rsidRDefault="00D45377" w:rsidP="00970AB7">
            <w:pPr>
              <w:pStyle w:val="Paragraphedeliste"/>
              <w:rPr>
                <w:sz w:val="22"/>
                <w:lang w:val="en-US"/>
              </w:rPr>
            </w:pPr>
            <w:r w:rsidRPr="00A33AAA">
              <w:rPr>
                <w:sz w:val="22"/>
                <w:lang w:val="en-US"/>
              </w:rPr>
              <w:t>12 - 17 years</w:t>
            </w:r>
          </w:p>
          <w:p w14:paraId="324FCA47" w14:textId="77777777" w:rsidR="00D45377" w:rsidRPr="00955FFE" w:rsidRDefault="00D45377" w:rsidP="00970AB7">
            <w:pPr>
              <w:pStyle w:val="Paragraphedeliste"/>
              <w:rPr>
                <w:sz w:val="22"/>
                <w:lang w:val="en-US"/>
              </w:rPr>
            </w:pPr>
            <w:r>
              <w:rPr>
                <w:sz w:val="22"/>
                <w:lang w:val="en-US"/>
              </w:rPr>
              <w:t>18 - 39</w:t>
            </w:r>
            <w:r w:rsidRPr="00955FFE">
              <w:rPr>
                <w:sz w:val="22"/>
                <w:lang w:val="en-US"/>
              </w:rPr>
              <w:t xml:space="preserve"> years</w:t>
            </w:r>
          </w:p>
          <w:p w14:paraId="3A0FCD6D" w14:textId="77777777" w:rsidR="00D45377" w:rsidRPr="00955FFE" w:rsidRDefault="00D45377" w:rsidP="00970AB7">
            <w:pPr>
              <w:pStyle w:val="Paragraphedeliste"/>
              <w:rPr>
                <w:sz w:val="22"/>
                <w:lang w:val="en-US"/>
              </w:rPr>
            </w:pPr>
            <w:r>
              <w:rPr>
                <w:sz w:val="22"/>
                <w:lang w:val="en-US"/>
              </w:rPr>
              <w:t>40</w:t>
            </w:r>
            <w:r w:rsidRPr="00955FFE">
              <w:rPr>
                <w:sz w:val="22"/>
                <w:lang w:val="en-US"/>
              </w:rPr>
              <w:t xml:space="preserve"> - 64 years</w:t>
            </w:r>
          </w:p>
          <w:p w14:paraId="0B489AF4" w14:textId="77777777" w:rsidR="00D45377" w:rsidRPr="00A33AAA" w:rsidRDefault="00D45377" w:rsidP="00970AB7">
            <w:pPr>
              <w:pStyle w:val="Paragraphedeliste"/>
              <w:rPr>
                <w:sz w:val="22"/>
                <w:lang w:val="en-US"/>
              </w:rPr>
            </w:pPr>
            <w:r w:rsidRPr="00955FFE">
              <w:rPr>
                <w:sz w:val="22"/>
                <w:lang w:val="en-US"/>
              </w:rPr>
              <w:t>65 - 74 years</w:t>
            </w:r>
          </w:p>
          <w:p w14:paraId="7B6D39A2" w14:textId="77777777" w:rsidR="00D45377" w:rsidRPr="00A33AAA" w:rsidRDefault="00D45377" w:rsidP="00970AB7">
            <w:pPr>
              <w:pStyle w:val="Paragraphedeliste"/>
              <w:rPr>
                <w:sz w:val="22"/>
                <w:lang w:val="en-US"/>
              </w:rPr>
            </w:pPr>
            <w:r w:rsidRPr="00A33AAA">
              <w:rPr>
                <w:sz w:val="22"/>
                <w:lang w:val="en-US"/>
              </w:rPr>
              <w:t>≥ 75 years</w:t>
            </w:r>
          </w:p>
          <w:p w14:paraId="2849087E" w14:textId="77777777" w:rsidR="00D45377" w:rsidRPr="00A33AAA" w:rsidRDefault="00D45377" w:rsidP="00970AB7">
            <w:pPr>
              <w:pStyle w:val="Paragraphedeliste"/>
              <w:rPr>
                <w:sz w:val="22"/>
                <w:lang w:val="en-US"/>
              </w:rPr>
            </w:pPr>
            <w:r w:rsidRPr="00A33AAA">
              <w:rPr>
                <w:sz w:val="22"/>
                <w:lang w:val="en-US"/>
              </w:rPr>
              <w:t>Unknown</w:t>
            </w:r>
          </w:p>
        </w:tc>
        <w:tc>
          <w:tcPr>
            <w:tcW w:w="1843" w:type="dxa"/>
          </w:tcPr>
          <w:p w14:paraId="14D7A15E" w14:textId="77777777" w:rsidR="00D45377" w:rsidRDefault="00D45377" w:rsidP="00970AB7">
            <w:pPr>
              <w:jc w:val="center"/>
              <w:rPr>
                <w:sz w:val="22"/>
                <w:lang w:val="en-US"/>
              </w:rPr>
            </w:pPr>
          </w:p>
          <w:p w14:paraId="2F565397" w14:textId="77777777" w:rsidR="00D45377" w:rsidRDefault="00D45377" w:rsidP="00970AB7">
            <w:pPr>
              <w:jc w:val="center"/>
              <w:rPr>
                <w:sz w:val="22"/>
                <w:lang w:val="en-US"/>
              </w:rPr>
            </w:pPr>
            <w:r>
              <w:rPr>
                <w:sz w:val="22"/>
                <w:lang w:val="en-US"/>
              </w:rPr>
              <w:t>10 (0.2%)</w:t>
            </w:r>
          </w:p>
          <w:p w14:paraId="1DD1836D" w14:textId="77777777" w:rsidR="00D45377" w:rsidRDefault="00D45377" w:rsidP="00970AB7">
            <w:pPr>
              <w:jc w:val="center"/>
              <w:rPr>
                <w:sz w:val="22"/>
                <w:lang w:val="en-US"/>
              </w:rPr>
            </w:pPr>
            <w:r>
              <w:rPr>
                <w:sz w:val="22"/>
                <w:lang w:val="en-US"/>
              </w:rPr>
              <w:t>13 (0.2%)</w:t>
            </w:r>
          </w:p>
          <w:p w14:paraId="09ABAF96" w14:textId="77777777" w:rsidR="00D45377" w:rsidRDefault="00D45377" w:rsidP="00970AB7">
            <w:pPr>
              <w:jc w:val="center"/>
              <w:rPr>
                <w:sz w:val="22"/>
                <w:lang w:val="en-US"/>
              </w:rPr>
            </w:pPr>
            <w:r>
              <w:rPr>
                <w:sz w:val="22"/>
                <w:lang w:val="en-US"/>
              </w:rPr>
              <w:t>831 (14.0%)</w:t>
            </w:r>
          </w:p>
          <w:p w14:paraId="1A7BCFCE" w14:textId="77777777" w:rsidR="00D45377" w:rsidRDefault="00D45377" w:rsidP="00970AB7">
            <w:pPr>
              <w:jc w:val="center"/>
              <w:rPr>
                <w:sz w:val="22"/>
                <w:lang w:val="en-US"/>
              </w:rPr>
            </w:pPr>
            <w:r>
              <w:rPr>
                <w:sz w:val="22"/>
                <w:lang w:val="en-US"/>
              </w:rPr>
              <w:t>2230 (37.6%)</w:t>
            </w:r>
          </w:p>
          <w:p w14:paraId="1ADFE229" w14:textId="77777777" w:rsidR="00D45377" w:rsidRDefault="00D45377" w:rsidP="00970AB7">
            <w:pPr>
              <w:jc w:val="center"/>
              <w:rPr>
                <w:sz w:val="22"/>
                <w:lang w:val="en-US"/>
              </w:rPr>
            </w:pPr>
            <w:r>
              <w:rPr>
                <w:sz w:val="22"/>
                <w:lang w:val="en-US"/>
              </w:rPr>
              <w:t>1188 (20.0%)</w:t>
            </w:r>
          </w:p>
          <w:p w14:paraId="19F40DF2" w14:textId="77777777" w:rsidR="00D45377" w:rsidRDefault="00D45377" w:rsidP="00970AB7">
            <w:pPr>
              <w:jc w:val="center"/>
              <w:rPr>
                <w:sz w:val="22"/>
                <w:lang w:val="en-US"/>
              </w:rPr>
            </w:pPr>
            <w:r>
              <w:rPr>
                <w:sz w:val="22"/>
                <w:lang w:val="en-US"/>
              </w:rPr>
              <w:t>1200 (20.2%)</w:t>
            </w:r>
          </w:p>
          <w:p w14:paraId="42C7C897" w14:textId="77777777" w:rsidR="00D45377" w:rsidRPr="00A33AAA" w:rsidRDefault="00D45377" w:rsidP="00970AB7">
            <w:pPr>
              <w:jc w:val="center"/>
              <w:rPr>
                <w:sz w:val="22"/>
                <w:lang w:val="en-US"/>
              </w:rPr>
            </w:pPr>
            <w:r>
              <w:rPr>
                <w:sz w:val="22"/>
                <w:lang w:val="en-US"/>
              </w:rPr>
              <w:t>459 (7.7%)</w:t>
            </w:r>
          </w:p>
        </w:tc>
        <w:tc>
          <w:tcPr>
            <w:tcW w:w="1843" w:type="dxa"/>
          </w:tcPr>
          <w:p w14:paraId="0567343B" w14:textId="77777777" w:rsidR="00D45377" w:rsidRDefault="00D45377" w:rsidP="00970AB7">
            <w:pPr>
              <w:jc w:val="center"/>
              <w:rPr>
                <w:sz w:val="22"/>
                <w:lang w:val="en-US"/>
              </w:rPr>
            </w:pPr>
          </w:p>
          <w:p w14:paraId="634B7A12" w14:textId="77777777" w:rsidR="00D45377" w:rsidRDefault="00D45377" w:rsidP="00970AB7">
            <w:pPr>
              <w:jc w:val="center"/>
              <w:rPr>
                <w:sz w:val="22"/>
                <w:lang w:val="en-US"/>
              </w:rPr>
            </w:pPr>
            <w:r>
              <w:rPr>
                <w:sz w:val="22"/>
                <w:lang w:val="en-US"/>
              </w:rPr>
              <w:t>-</w:t>
            </w:r>
          </w:p>
          <w:p w14:paraId="6196FF0C" w14:textId="77777777" w:rsidR="00D45377" w:rsidRDefault="00D45377" w:rsidP="00970AB7">
            <w:pPr>
              <w:jc w:val="center"/>
              <w:rPr>
                <w:sz w:val="22"/>
                <w:lang w:val="en-US"/>
              </w:rPr>
            </w:pPr>
            <w:r>
              <w:rPr>
                <w:sz w:val="22"/>
                <w:lang w:val="en-US"/>
              </w:rPr>
              <w:t>1 (0.1%)</w:t>
            </w:r>
          </w:p>
          <w:p w14:paraId="78C34885" w14:textId="77777777" w:rsidR="00D45377" w:rsidRDefault="00D45377" w:rsidP="00970AB7">
            <w:pPr>
              <w:jc w:val="center"/>
              <w:rPr>
                <w:sz w:val="22"/>
                <w:lang w:val="en-US"/>
              </w:rPr>
            </w:pPr>
            <w:r>
              <w:rPr>
                <w:sz w:val="22"/>
                <w:lang w:val="en-US"/>
              </w:rPr>
              <w:t>312 (17.4%)</w:t>
            </w:r>
          </w:p>
          <w:p w14:paraId="76C21C5C" w14:textId="77777777" w:rsidR="00D45377" w:rsidRDefault="00D45377" w:rsidP="00970AB7">
            <w:pPr>
              <w:jc w:val="center"/>
              <w:rPr>
                <w:sz w:val="22"/>
                <w:lang w:val="en-US"/>
              </w:rPr>
            </w:pPr>
            <w:r>
              <w:rPr>
                <w:sz w:val="22"/>
                <w:lang w:val="en-US"/>
              </w:rPr>
              <w:t>780 (43.4%)</w:t>
            </w:r>
          </w:p>
          <w:p w14:paraId="0FC6F3FB" w14:textId="77777777" w:rsidR="00D45377" w:rsidRDefault="00D45377" w:rsidP="00970AB7">
            <w:pPr>
              <w:jc w:val="center"/>
              <w:rPr>
                <w:sz w:val="22"/>
                <w:lang w:val="en-US"/>
              </w:rPr>
            </w:pPr>
            <w:r>
              <w:rPr>
                <w:sz w:val="22"/>
                <w:lang w:val="en-US"/>
              </w:rPr>
              <w:t>374 (20.8%)</w:t>
            </w:r>
          </w:p>
          <w:p w14:paraId="5E8A8FB7" w14:textId="77777777" w:rsidR="00D45377" w:rsidRDefault="00D45377" w:rsidP="00970AB7">
            <w:pPr>
              <w:jc w:val="center"/>
              <w:rPr>
                <w:sz w:val="22"/>
                <w:lang w:val="en-US"/>
              </w:rPr>
            </w:pPr>
            <w:r>
              <w:rPr>
                <w:sz w:val="22"/>
                <w:lang w:val="en-US"/>
              </w:rPr>
              <w:t>288 (16.0%)</w:t>
            </w:r>
          </w:p>
          <w:p w14:paraId="04B84DC7" w14:textId="77777777" w:rsidR="00D45377" w:rsidRPr="00A33AAA" w:rsidRDefault="00D45377" w:rsidP="00970AB7">
            <w:pPr>
              <w:jc w:val="center"/>
              <w:rPr>
                <w:sz w:val="22"/>
                <w:lang w:val="en-US"/>
              </w:rPr>
            </w:pPr>
            <w:r>
              <w:rPr>
                <w:sz w:val="22"/>
                <w:lang w:val="en-US"/>
              </w:rPr>
              <w:t>42 (2.3%)</w:t>
            </w:r>
          </w:p>
        </w:tc>
        <w:tc>
          <w:tcPr>
            <w:tcW w:w="1843" w:type="dxa"/>
          </w:tcPr>
          <w:p w14:paraId="2D8C8D28" w14:textId="77777777" w:rsidR="00D45377" w:rsidRDefault="00D45377" w:rsidP="00970AB7">
            <w:pPr>
              <w:jc w:val="center"/>
              <w:rPr>
                <w:sz w:val="22"/>
                <w:lang w:val="en-US"/>
              </w:rPr>
            </w:pPr>
          </w:p>
          <w:p w14:paraId="04100469" w14:textId="77777777" w:rsidR="00D45377" w:rsidRDefault="00D45377" w:rsidP="00970AB7">
            <w:pPr>
              <w:jc w:val="center"/>
              <w:rPr>
                <w:sz w:val="22"/>
                <w:lang w:val="en-US"/>
              </w:rPr>
            </w:pPr>
            <w:r>
              <w:rPr>
                <w:sz w:val="22"/>
                <w:lang w:val="en-US"/>
              </w:rPr>
              <w:t>10 (0.1%)</w:t>
            </w:r>
          </w:p>
          <w:p w14:paraId="7585F18E" w14:textId="77777777" w:rsidR="00D45377" w:rsidRDefault="00D45377" w:rsidP="00970AB7">
            <w:pPr>
              <w:jc w:val="center"/>
              <w:rPr>
                <w:sz w:val="22"/>
                <w:lang w:val="en-US"/>
              </w:rPr>
            </w:pPr>
            <w:r>
              <w:rPr>
                <w:sz w:val="22"/>
                <w:lang w:val="en-US"/>
              </w:rPr>
              <w:t>14 (0.2%)</w:t>
            </w:r>
          </w:p>
          <w:p w14:paraId="2E90C461" w14:textId="77777777" w:rsidR="00D45377" w:rsidRDefault="00D45377" w:rsidP="00970AB7">
            <w:pPr>
              <w:jc w:val="center"/>
              <w:rPr>
                <w:sz w:val="22"/>
                <w:lang w:val="en-US"/>
              </w:rPr>
            </w:pPr>
            <w:r>
              <w:rPr>
                <w:sz w:val="22"/>
                <w:lang w:val="en-US"/>
              </w:rPr>
              <w:t>1143 (14.8%)</w:t>
            </w:r>
          </w:p>
          <w:p w14:paraId="02CA9762" w14:textId="77777777" w:rsidR="00D45377" w:rsidRDefault="00D45377" w:rsidP="00970AB7">
            <w:pPr>
              <w:jc w:val="center"/>
              <w:rPr>
                <w:sz w:val="22"/>
                <w:lang w:val="en-US"/>
              </w:rPr>
            </w:pPr>
            <w:r>
              <w:rPr>
                <w:sz w:val="22"/>
                <w:lang w:val="en-US"/>
              </w:rPr>
              <w:t>3010 (38.9%)</w:t>
            </w:r>
          </w:p>
          <w:p w14:paraId="311E2B6C" w14:textId="77777777" w:rsidR="00D45377" w:rsidRDefault="00D45377" w:rsidP="00970AB7">
            <w:pPr>
              <w:jc w:val="center"/>
              <w:rPr>
                <w:sz w:val="22"/>
                <w:lang w:val="en-US"/>
              </w:rPr>
            </w:pPr>
            <w:r>
              <w:rPr>
                <w:sz w:val="22"/>
                <w:lang w:val="en-US"/>
              </w:rPr>
              <w:t>1562 (20.2%)</w:t>
            </w:r>
          </w:p>
          <w:p w14:paraId="6D749724" w14:textId="77777777" w:rsidR="00D45377" w:rsidRDefault="00D45377" w:rsidP="00970AB7">
            <w:pPr>
              <w:jc w:val="center"/>
              <w:rPr>
                <w:sz w:val="22"/>
                <w:lang w:val="en-US"/>
              </w:rPr>
            </w:pPr>
            <w:r>
              <w:rPr>
                <w:sz w:val="22"/>
                <w:lang w:val="en-US"/>
              </w:rPr>
              <w:t>1488 (19.3%)</w:t>
            </w:r>
          </w:p>
          <w:p w14:paraId="2CD726CE" w14:textId="77777777" w:rsidR="00D45377" w:rsidRDefault="00D45377" w:rsidP="00970AB7">
            <w:pPr>
              <w:jc w:val="center"/>
              <w:rPr>
                <w:sz w:val="22"/>
                <w:lang w:val="en-US"/>
              </w:rPr>
            </w:pPr>
            <w:r>
              <w:rPr>
                <w:sz w:val="22"/>
                <w:lang w:val="en-US"/>
              </w:rPr>
              <w:t>501 (6.5%)</w:t>
            </w:r>
          </w:p>
        </w:tc>
      </w:tr>
      <w:tr w:rsidR="00D45377" w:rsidRPr="00A33AAA" w14:paraId="719632CC" w14:textId="77777777" w:rsidTr="00213239">
        <w:trPr>
          <w:trHeight w:val="1104"/>
        </w:trPr>
        <w:tc>
          <w:tcPr>
            <w:tcW w:w="3964" w:type="dxa"/>
          </w:tcPr>
          <w:p w14:paraId="5D816A73" w14:textId="77777777" w:rsidR="00D45377" w:rsidRDefault="00D45377" w:rsidP="00970AB7">
            <w:pPr>
              <w:rPr>
                <w:sz w:val="22"/>
                <w:lang w:val="en-US"/>
              </w:rPr>
            </w:pPr>
            <w:r>
              <w:rPr>
                <w:sz w:val="22"/>
                <w:lang w:val="en-US"/>
              </w:rPr>
              <w:t xml:space="preserve">Type of injury: </w:t>
            </w:r>
            <w:r>
              <w:rPr>
                <w:bCs/>
                <w:sz w:val="22"/>
                <w:lang w:val="en-US"/>
              </w:rPr>
              <w:t>skin rash*</w:t>
            </w:r>
          </w:p>
          <w:p w14:paraId="48DDA1F5" w14:textId="77777777" w:rsidR="00D45377" w:rsidRPr="00013073" w:rsidRDefault="00D45377" w:rsidP="00970AB7">
            <w:pPr>
              <w:rPr>
                <w:sz w:val="22"/>
                <w:lang w:val="en-US"/>
              </w:rPr>
            </w:pPr>
          </w:p>
          <w:p w14:paraId="799B0838" w14:textId="77777777" w:rsidR="00D45377" w:rsidRDefault="00D45377" w:rsidP="00970AB7">
            <w:pPr>
              <w:pStyle w:val="Paragraphedeliste"/>
              <w:rPr>
                <w:sz w:val="22"/>
                <w:lang w:val="en-US"/>
              </w:rPr>
            </w:pPr>
            <w:r>
              <w:rPr>
                <w:sz w:val="22"/>
                <w:lang w:val="en-US"/>
              </w:rPr>
              <w:t>Age - years</w:t>
            </w:r>
          </w:p>
          <w:p w14:paraId="4B9752D7" w14:textId="77777777" w:rsidR="00D45377" w:rsidRPr="00013073" w:rsidRDefault="00D45377" w:rsidP="00970AB7">
            <w:pPr>
              <w:pStyle w:val="Paragraphedeliste"/>
              <w:rPr>
                <w:sz w:val="22"/>
                <w:lang w:val="en-US"/>
              </w:rPr>
            </w:pPr>
            <w:r w:rsidRPr="00A33AAA">
              <w:rPr>
                <w:sz w:val="22"/>
                <w:lang w:val="en-US"/>
              </w:rPr>
              <w:t>Time to reaction onset – days</w:t>
            </w:r>
          </w:p>
          <w:p w14:paraId="0751DDBF" w14:textId="77777777" w:rsidR="00D45377" w:rsidRPr="00752F94" w:rsidRDefault="00D45377" w:rsidP="00970AB7">
            <w:pPr>
              <w:pStyle w:val="Paragraphedeliste"/>
              <w:rPr>
                <w:sz w:val="22"/>
                <w:lang w:val="en-US"/>
              </w:rPr>
            </w:pPr>
            <w:r>
              <w:rPr>
                <w:sz w:val="22"/>
                <w:lang w:val="en-US"/>
              </w:rPr>
              <w:t>R</w:t>
            </w:r>
            <w:r w:rsidRPr="0092574E">
              <w:rPr>
                <w:sz w:val="22"/>
                <w:lang w:val="en-US"/>
              </w:rPr>
              <w:t>equiring hospitalization</w:t>
            </w:r>
          </w:p>
        </w:tc>
        <w:tc>
          <w:tcPr>
            <w:tcW w:w="1843" w:type="dxa"/>
          </w:tcPr>
          <w:p w14:paraId="6AB4A17B" w14:textId="77777777" w:rsidR="00D45377" w:rsidRPr="00612EFB" w:rsidRDefault="00D45377" w:rsidP="00970AB7">
            <w:pPr>
              <w:jc w:val="center"/>
              <w:rPr>
                <w:bCs/>
                <w:sz w:val="22"/>
                <w:lang w:val="en-US"/>
              </w:rPr>
            </w:pPr>
            <w:r>
              <w:rPr>
                <w:bCs/>
                <w:sz w:val="22"/>
                <w:lang w:val="en-US"/>
              </w:rPr>
              <w:t>5733</w:t>
            </w:r>
            <w:r w:rsidRPr="00612EFB">
              <w:rPr>
                <w:bCs/>
                <w:sz w:val="22"/>
                <w:lang w:val="en-US"/>
              </w:rPr>
              <w:t xml:space="preserve"> (96.6%)</w:t>
            </w:r>
          </w:p>
          <w:p w14:paraId="2EA3D542" w14:textId="77777777" w:rsidR="00D45377" w:rsidRDefault="00D45377" w:rsidP="00970AB7">
            <w:pPr>
              <w:jc w:val="center"/>
              <w:rPr>
                <w:bCs/>
                <w:sz w:val="22"/>
                <w:lang w:val="en-US"/>
              </w:rPr>
            </w:pPr>
          </w:p>
          <w:p w14:paraId="5E391C31" w14:textId="77777777" w:rsidR="00D45377" w:rsidRPr="007B6E09" w:rsidRDefault="00D45377" w:rsidP="00970AB7">
            <w:pPr>
              <w:jc w:val="center"/>
              <w:rPr>
                <w:bCs/>
                <w:sz w:val="22"/>
                <w:lang w:val="en-US"/>
              </w:rPr>
            </w:pPr>
            <w:r>
              <w:rPr>
                <w:bCs/>
                <w:sz w:val="22"/>
                <w:lang w:val="en-US"/>
              </w:rPr>
              <w:t>61 (46-73)</w:t>
            </w:r>
          </w:p>
          <w:p w14:paraId="4FFB6E20" w14:textId="77777777" w:rsidR="00D45377" w:rsidRPr="007B6E09" w:rsidRDefault="00D45377" w:rsidP="00970AB7">
            <w:pPr>
              <w:jc w:val="center"/>
              <w:rPr>
                <w:bCs/>
                <w:sz w:val="22"/>
                <w:lang w:val="en-US"/>
              </w:rPr>
            </w:pPr>
            <w:r w:rsidRPr="007B6E09">
              <w:rPr>
                <w:bCs/>
                <w:sz w:val="22"/>
                <w:lang w:val="en-US"/>
              </w:rPr>
              <w:t>7 (2-14)</w:t>
            </w:r>
          </w:p>
          <w:p w14:paraId="7BBC91CC" w14:textId="77777777" w:rsidR="00D45377" w:rsidRPr="004660FB" w:rsidRDefault="00D45377" w:rsidP="00970AB7">
            <w:pPr>
              <w:jc w:val="center"/>
              <w:rPr>
                <w:bCs/>
                <w:sz w:val="22"/>
                <w:lang w:val="en-US"/>
              </w:rPr>
            </w:pPr>
            <w:r w:rsidRPr="004660FB">
              <w:rPr>
                <w:bCs/>
                <w:sz w:val="22"/>
                <w:lang w:val="en-US"/>
              </w:rPr>
              <w:t>131 (2.3%)</w:t>
            </w:r>
          </w:p>
        </w:tc>
        <w:tc>
          <w:tcPr>
            <w:tcW w:w="1843" w:type="dxa"/>
          </w:tcPr>
          <w:p w14:paraId="0C322697" w14:textId="77777777" w:rsidR="00D45377" w:rsidRPr="00612EFB" w:rsidRDefault="00D45377" w:rsidP="00970AB7">
            <w:pPr>
              <w:jc w:val="center"/>
              <w:rPr>
                <w:bCs/>
                <w:sz w:val="22"/>
                <w:lang w:val="en-US"/>
              </w:rPr>
            </w:pPr>
            <w:r w:rsidRPr="00612EFB">
              <w:rPr>
                <w:bCs/>
                <w:sz w:val="22"/>
                <w:lang w:val="en-US"/>
              </w:rPr>
              <w:t>1761 (98.0%)</w:t>
            </w:r>
          </w:p>
          <w:p w14:paraId="7AFF1C7C" w14:textId="77777777" w:rsidR="00D45377" w:rsidRDefault="00D45377" w:rsidP="00970AB7">
            <w:pPr>
              <w:jc w:val="center"/>
              <w:rPr>
                <w:bCs/>
                <w:sz w:val="22"/>
                <w:lang w:val="en-US"/>
              </w:rPr>
            </w:pPr>
          </w:p>
          <w:p w14:paraId="27F4B2A4" w14:textId="77777777" w:rsidR="00D45377" w:rsidRPr="007B6E09" w:rsidRDefault="00D45377" w:rsidP="00970AB7">
            <w:pPr>
              <w:jc w:val="center"/>
              <w:rPr>
                <w:bCs/>
                <w:sz w:val="22"/>
                <w:lang w:val="en-US"/>
              </w:rPr>
            </w:pPr>
            <w:r>
              <w:rPr>
                <w:bCs/>
                <w:sz w:val="22"/>
                <w:lang w:val="en-US"/>
              </w:rPr>
              <w:t>57 (44-70)</w:t>
            </w:r>
          </w:p>
          <w:p w14:paraId="7175FF23" w14:textId="77777777" w:rsidR="00D45377" w:rsidRPr="007B6E09" w:rsidRDefault="00D45377" w:rsidP="00970AB7">
            <w:pPr>
              <w:jc w:val="center"/>
              <w:rPr>
                <w:bCs/>
                <w:sz w:val="22"/>
                <w:lang w:val="en-US"/>
              </w:rPr>
            </w:pPr>
            <w:r w:rsidRPr="007B6E09">
              <w:rPr>
                <w:bCs/>
                <w:sz w:val="22"/>
                <w:lang w:val="en-US"/>
              </w:rPr>
              <w:t>7 (2-16)</w:t>
            </w:r>
          </w:p>
          <w:p w14:paraId="56C9DF72" w14:textId="77777777" w:rsidR="00D45377" w:rsidRPr="004660FB" w:rsidRDefault="00D45377" w:rsidP="00970AB7">
            <w:pPr>
              <w:jc w:val="center"/>
              <w:rPr>
                <w:bCs/>
                <w:sz w:val="22"/>
                <w:lang w:val="en-US"/>
              </w:rPr>
            </w:pPr>
            <w:r w:rsidRPr="004660FB">
              <w:rPr>
                <w:bCs/>
                <w:sz w:val="22"/>
                <w:lang w:val="en-US"/>
              </w:rPr>
              <w:t>42 (2.4%)</w:t>
            </w:r>
          </w:p>
        </w:tc>
        <w:tc>
          <w:tcPr>
            <w:tcW w:w="1843" w:type="dxa"/>
          </w:tcPr>
          <w:p w14:paraId="198DEA77" w14:textId="77777777" w:rsidR="00D45377" w:rsidRDefault="00D45377" w:rsidP="00970AB7">
            <w:pPr>
              <w:jc w:val="center"/>
              <w:rPr>
                <w:bCs/>
                <w:sz w:val="22"/>
                <w:lang w:val="en-US"/>
              </w:rPr>
            </w:pPr>
            <w:r>
              <w:rPr>
                <w:bCs/>
                <w:sz w:val="22"/>
                <w:lang w:val="en-US"/>
              </w:rPr>
              <w:t>7494</w:t>
            </w:r>
            <w:r w:rsidRPr="0033003E">
              <w:rPr>
                <w:bCs/>
                <w:sz w:val="22"/>
                <w:lang w:val="en-US"/>
              </w:rPr>
              <w:t xml:space="preserve"> (</w:t>
            </w:r>
            <w:r>
              <w:rPr>
                <w:bCs/>
                <w:sz w:val="22"/>
                <w:lang w:val="en-US"/>
              </w:rPr>
              <w:t>97.0</w:t>
            </w:r>
            <w:r w:rsidRPr="0033003E">
              <w:rPr>
                <w:bCs/>
                <w:sz w:val="22"/>
                <w:lang w:val="en-US"/>
              </w:rPr>
              <w:t>%)</w:t>
            </w:r>
          </w:p>
          <w:p w14:paraId="746886BB" w14:textId="77777777" w:rsidR="00D45377" w:rsidRDefault="00D45377" w:rsidP="00970AB7">
            <w:pPr>
              <w:rPr>
                <w:bCs/>
                <w:sz w:val="22"/>
                <w:lang w:val="en-US"/>
              </w:rPr>
            </w:pPr>
          </w:p>
          <w:p w14:paraId="6905BA47" w14:textId="77777777" w:rsidR="00D45377" w:rsidRDefault="00D45377" w:rsidP="00970AB7">
            <w:pPr>
              <w:jc w:val="center"/>
              <w:rPr>
                <w:bCs/>
                <w:sz w:val="22"/>
                <w:lang w:val="en-US"/>
              </w:rPr>
            </w:pPr>
            <w:r>
              <w:rPr>
                <w:bCs/>
                <w:sz w:val="22"/>
                <w:lang w:val="en-US"/>
              </w:rPr>
              <w:t>60 (45-72)</w:t>
            </w:r>
          </w:p>
          <w:p w14:paraId="1BC829DC" w14:textId="77777777" w:rsidR="00D45377" w:rsidRDefault="00D45377" w:rsidP="00970AB7">
            <w:pPr>
              <w:jc w:val="center"/>
              <w:rPr>
                <w:sz w:val="22"/>
                <w:lang w:val="en-US"/>
              </w:rPr>
            </w:pPr>
            <w:r>
              <w:rPr>
                <w:sz w:val="22"/>
                <w:lang w:val="en-US"/>
              </w:rPr>
              <w:t>7 (2-15)</w:t>
            </w:r>
          </w:p>
          <w:p w14:paraId="68FA9E42" w14:textId="77777777" w:rsidR="00D45377" w:rsidRPr="00575F7B" w:rsidRDefault="00D45377" w:rsidP="00970AB7">
            <w:pPr>
              <w:jc w:val="center"/>
              <w:rPr>
                <w:sz w:val="22"/>
                <w:lang w:val="en-US"/>
              </w:rPr>
            </w:pPr>
            <w:r>
              <w:rPr>
                <w:sz w:val="22"/>
                <w:lang w:val="en-US"/>
              </w:rPr>
              <w:t>173 (2.3%)</w:t>
            </w:r>
          </w:p>
        </w:tc>
      </w:tr>
      <w:tr w:rsidR="00D45377" w:rsidRPr="00F173D4" w14:paraId="046A5C74" w14:textId="77777777" w:rsidTr="00213239">
        <w:tc>
          <w:tcPr>
            <w:tcW w:w="3964" w:type="dxa"/>
          </w:tcPr>
          <w:p w14:paraId="2A27C0BC" w14:textId="77777777" w:rsidR="00D45377" w:rsidRDefault="00D45377" w:rsidP="00970AB7">
            <w:pPr>
              <w:rPr>
                <w:sz w:val="22"/>
                <w:lang w:val="en-US"/>
              </w:rPr>
            </w:pPr>
            <w:r>
              <w:rPr>
                <w:sz w:val="22"/>
                <w:lang w:val="en-US"/>
              </w:rPr>
              <w:t xml:space="preserve">Type of injury: </w:t>
            </w:r>
            <w:proofErr w:type="spellStart"/>
            <w:r w:rsidRPr="0033003E">
              <w:rPr>
                <w:bCs/>
                <w:sz w:val="22"/>
                <w:lang w:val="en-US"/>
              </w:rPr>
              <w:t>ophtalmic</w:t>
            </w:r>
            <w:r>
              <w:rPr>
                <w:bCs/>
                <w:sz w:val="22"/>
                <w:lang w:val="en-US"/>
              </w:rPr>
              <w:t>us</w:t>
            </w:r>
            <w:proofErr w:type="spellEnd"/>
          </w:p>
          <w:p w14:paraId="5219B341" w14:textId="77777777" w:rsidR="00D45377" w:rsidRPr="00013073" w:rsidRDefault="00D45377" w:rsidP="00970AB7">
            <w:pPr>
              <w:rPr>
                <w:sz w:val="22"/>
                <w:lang w:val="en-US"/>
              </w:rPr>
            </w:pPr>
          </w:p>
          <w:p w14:paraId="3EFE9EFA" w14:textId="77777777" w:rsidR="00D45377" w:rsidRPr="00674A89" w:rsidRDefault="00D45377" w:rsidP="00970AB7">
            <w:pPr>
              <w:pStyle w:val="Paragraphedeliste"/>
              <w:rPr>
                <w:sz w:val="22"/>
                <w:lang w:val="en-US"/>
              </w:rPr>
            </w:pPr>
            <w:r>
              <w:rPr>
                <w:sz w:val="22"/>
                <w:lang w:val="en-US"/>
              </w:rPr>
              <w:t>Age - years</w:t>
            </w:r>
          </w:p>
          <w:p w14:paraId="4925B8E8" w14:textId="77777777" w:rsidR="00D45377" w:rsidRPr="00013073" w:rsidRDefault="00D45377" w:rsidP="00970AB7">
            <w:pPr>
              <w:pStyle w:val="Paragraphedeliste"/>
              <w:rPr>
                <w:sz w:val="22"/>
                <w:lang w:val="en-US"/>
              </w:rPr>
            </w:pPr>
            <w:r w:rsidRPr="00A33AAA">
              <w:rPr>
                <w:sz w:val="22"/>
                <w:lang w:val="en-US"/>
              </w:rPr>
              <w:t>Time to reaction onset – days</w:t>
            </w:r>
          </w:p>
          <w:p w14:paraId="47337F30" w14:textId="77777777" w:rsidR="00D45377" w:rsidRPr="00203798" w:rsidRDefault="00D45377" w:rsidP="00970AB7">
            <w:pPr>
              <w:pStyle w:val="Paragraphedeliste"/>
              <w:rPr>
                <w:sz w:val="22"/>
                <w:lang w:val="en-US"/>
              </w:rPr>
            </w:pPr>
            <w:r>
              <w:rPr>
                <w:sz w:val="22"/>
                <w:lang w:val="en-US"/>
              </w:rPr>
              <w:t>R</w:t>
            </w:r>
            <w:r w:rsidRPr="0092574E">
              <w:rPr>
                <w:sz w:val="22"/>
                <w:lang w:val="en-US"/>
              </w:rPr>
              <w:t>equiring hospitalization</w:t>
            </w:r>
          </w:p>
        </w:tc>
        <w:tc>
          <w:tcPr>
            <w:tcW w:w="1843" w:type="dxa"/>
          </w:tcPr>
          <w:p w14:paraId="1DA3254A" w14:textId="77777777" w:rsidR="00D45377" w:rsidRPr="0033003E" w:rsidRDefault="00D45377" w:rsidP="00970AB7">
            <w:pPr>
              <w:jc w:val="center"/>
              <w:rPr>
                <w:bCs/>
                <w:sz w:val="22"/>
                <w:lang w:val="en-US"/>
              </w:rPr>
            </w:pPr>
            <w:r w:rsidRPr="0033003E">
              <w:rPr>
                <w:bCs/>
                <w:sz w:val="22"/>
                <w:lang w:val="en-US"/>
              </w:rPr>
              <w:t>165 (2.8%)</w:t>
            </w:r>
          </w:p>
          <w:p w14:paraId="16DA3AFD" w14:textId="77777777" w:rsidR="00D45377" w:rsidRPr="007B6E09" w:rsidRDefault="00D45377" w:rsidP="00970AB7">
            <w:pPr>
              <w:jc w:val="center"/>
              <w:rPr>
                <w:bCs/>
                <w:sz w:val="22"/>
                <w:lang w:val="en-US"/>
              </w:rPr>
            </w:pPr>
          </w:p>
          <w:p w14:paraId="4D15AABD" w14:textId="77777777" w:rsidR="00D45377" w:rsidRDefault="00D45377" w:rsidP="00970AB7">
            <w:pPr>
              <w:jc w:val="center"/>
              <w:rPr>
                <w:bCs/>
                <w:sz w:val="22"/>
                <w:lang w:val="en-US"/>
              </w:rPr>
            </w:pPr>
            <w:r>
              <w:rPr>
                <w:bCs/>
                <w:sz w:val="22"/>
                <w:lang w:val="en-US"/>
              </w:rPr>
              <w:t>68 (56-78)</w:t>
            </w:r>
          </w:p>
          <w:p w14:paraId="534402A7" w14:textId="77777777" w:rsidR="00D45377" w:rsidRPr="007B6E09" w:rsidRDefault="00D45377" w:rsidP="00970AB7">
            <w:pPr>
              <w:jc w:val="center"/>
              <w:rPr>
                <w:bCs/>
                <w:sz w:val="22"/>
                <w:lang w:val="en-US"/>
              </w:rPr>
            </w:pPr>
            <w:r w:rsidRPr="007B6E09">
              <w:rPr>
                <w:bCs/>
                <w:sz w:val="22"/>
                <w:lang w:val="en-US"/>
              </w:rPr>
              <w:t>8 (2.75-15)</w:t>
            </w:r>
          </w:p>
          <w:p w14:paraId="7326B361" w14:textId="77777777" w:rsidR="00D45377" w:rsidRPr="004660FB" w:rsidRDefault="00D45377" w:rsidP="00970AB7">
            <w:pPr>
              <w:jc w:val="center"/>
              <w:rPr>
                <w:bCs/>
                <w:sz w:val="22"/>
                <w:lang w:val="en-US"/>
              </w:rPr>
            </w:pPr>
            <w:r w:rsidRPr="004660FB">
              <w:rPr>
                <w:bCs/>
                <w:sz w:val="22"/>
                <w:lang w:val="en-US"/>
              </w:rPr>
              <w:t>21 (12.7%)</w:t>
            </w:r>
          </w:p>
        </w:tc>
        <w:tc>
          <w:tcPr>
            <w:tcW w:w="1843" w:type="dxa"/>
          </w:tcPr>
          <w:p w14:paraId="2EBC93F7" w14:textId="77777777" w:rsidR="00D45377" w:rsidRPr="0033003E" w:rsidRDefault="00D45377" w:rsidP="00970AB7">
            <w:pPr>
              <w:jc w:val="center"/>
              <w:rPr>
                <w:bCs/>
                <w:sz w:val="22"/>
                <w:lang w:val="en-US"/>
              </w:rPr>
            </w:pPr>
            <w:r w:rsidRPr="0033003E">
              <w:rPr>
                <w:bCs/>
                <w:sz w:val="22"/>
                <w:lang w:val="en-US"/>
              </w:rPr>
              <w:t>32 (1.8%)</w:t>
            </w:r>
          </w:p>
          <w:p w14:paraId="13852ACC" w14:textId="77777777" w:rsidR="00D45377" w:rsidRPr="007B6E09" w:rsidRDefault="00D45377" w:rsidP="00970AB7">
            <w:pPr>
              <w:jc w:val="center"/>
              <w:rPr>
                <w:bCs/>
                <w:sz w:val="22"/>
                <w:lang w:val="en-US"/>
              </w:rPr>
            </w:pPr>
          </w:p>
          <w:p w14:paraId="76C79332" w14:textId="77777777" w:rsidR="00D45377" w:rsidRDefault="00D45377" w:rsidP="00970AB7">
            <w:pPr>
              <w:jc w:val="center"/>
              <w:rPr>
                <w:bCs/>
                <w:sz w:val="22"/>
                <w:lang w:val="en-US"/>
              </w:rPr>
            </w:pPr>
            <w:r>
              <w:rPr>
                <w:bCs/>
                <w:sz w:val="22"/>
                <w:lang w:val="en-US"/>
              </w:rPr>
              <w:t>69 (56.5-75.5)</w:t>
            </w:r>
          </w:p>
          <w:p w14:paraId="6166E31E" w14:textId="77777777" w:rsidR="00D45377" w:rsidRPr="007B6E09" w:rsidRDefault="00D45377" w:rsidP="00970AB7">
            <w:pPr>
              <w:jc w:val="center"/>
              <w:rPr>
                <w:bCs/>
                <w:sz w:val="22"/>
                <w:lang w:val="en-US"/>
              </w:rPr>
            </w:pPr>
            <w:r w:rsidRPr="007B6E09">
              <w:rPr>
                <w:bCs/>
                <w:sz w:val="22"/>
                <w:lang w:val="en-US"/>
              </w:rPr>
              <w:t>4 (2-13.</w:t>
            </w:r>
            <w:r>
              <w:rPr>
                <w:bCs/>
                <w:sz w:val="22"/>
                <w:lang w:val="en-US"/>
              </w:rPr>
              <w:t>8</w:t>
            </w:r>
            <w:r w:rsidRPr="007B6E09">
              <w:rPr>
                <w:bCs/>
                <w:sz w:val="22"/>
                <w:lang w:val="en-US"/>
              </w:rPr>
              <w:t>)</w:t>
            </w:r>
          </w:p>
          <w:p w14:paraId="4323DCC6" w14:textId="77777777" w:rsidR="00D45377" w:rsidRPr="00650564" w:rsidRDefault="00D45377" w:rsidP="00970AB7">
            <w:pPr>
              <w:jc w:val="center"/>
              <w:rPr>
                <w:bCs/>
                <w:sz w:val="22"/>
                <w:lang w:val="en-US"/>
              </w:rPr>
            </w:pPr>
            <w:r w:rsidRPr="007B6E09">
              <w:rPr>
                <w:bCs/>
                <w:sz w:val="22"/>
                <w:lang w:val="en-US"/>
              </w:rPr>
              <w:t>2 (6.0</w:t>
            </w:r>
            <w:r w:rsidRPr="00650564">
              <w:rPr>
                <w:bCs/>
                <w:sz w:val="22"/>
                <w:lang w:val="en-US"/>
              </w:rPr>
              <w:t>%)</w:t>
            </w:r>
          </w:p>
        </w:tc>
        <w:tc>
          <w:tcPr>
            <w:tcW w:w="1843" w:type="dxa"/>
          </w:tcPr>
          <w:p w14:paraId="51D980D4" w14:textId="77777777" w:rsidR="00D45377" w:rsidRDefault="00D45377" w:rsidP="00970AB7">
            <w:pPr>
              <w:jc w:val="center"/>
              <w:rPr>
                <w:bCs/>
                <w:sz w:val="22"/>
                <w:lang w:val="en-US"/>
              </w:rPr>
            </w:pPr>
            <w:r w:rsidRPr="0033003E">
              <w:rPr>
                <w:bCs/>
                <w:sz w:val="22"/>
                <w:lang w:val="en-US"/>
              </w:rPr>
              <w:t>197</w:t>
            </w:r>
            <w:r>
              <w:rPr>
                <w:bCs/>
                <w:sz w:val="22"/>
                <w:lang w:val="en-US"/>
              </w:rPr>
              <w:t xml:space="preserve"> (2.5</w:t>
            </w:r>
            <w:r w:rsidRPr="0033003E">
              <w:rPr>
                <w:bCs/>
                <w:sz w:val="22"/>
                <w:lang w:val="en-US"/>
              </w:rPr>
              <w:t>%)</w:t>
            </w:r>
          </w:p>
          <w:p w14:paraId="20302A3F" w14:textId="77777777" w:rsidR="00D45377" w:rsidRDefault="00D45377" w:rsidP="00970AB7">
            <w:pPr>
              <w:rPr>
                <w:bCs/>
                <w:sz w:val="22"/>
                <w:lang w:val="en-US"/>
              </w:rPr>
            </w:pPr>
          </w:p>
          <w:p w14:paraId="72D17592" w14:textId="77777777" w:rsidR="00D45377" w:rsidRDefault="00D45377" w:rsidP="00970AB7">
            <w:pPr>
              <w:jc w:val="center"/>
              <w:rPr>
                <w:sz w:val="22"/>
                <w:lang w:val="en-US"/>
              </w:rPr>
            </w:pPr>
            <w:r>
              <w:rPr>
                <w:sz w:val="22"/>
                <w:lang w:val="en-US"/>
              </w:rPr>
              <w:t>68 (56-77.5)</w:t>
            </w:r>
          </w:p>
          <w:p w14:paraId="68985534" w14:textId="77777777" w:rsidR="00D45377" w:rsidRDefault="00D45377" w:rsidP="00970AB7">
            <w:pPr>
              <w:jc w:val="center"/>
              <w:rPr>
                <w:sz w:val="22"/>
                <w:lang w:val="en-US"/>
              </w:rPr>
            </w:pPr>
            <w:r>
              <w:rPr>
                <w:sz w:val="22"/>
                <w:lang w:val="en-US"/>
              </w:rPr>
              <w:t>7 (2-14.75)</w:t>
            </w:r>
          </w:p>
          <w:p w14:paraId="37098CC6" w14:textId="77777777" w:rsidR="00D45377" w:rsidRPr="00EA42C1" w:rsidRDefault="00D45377" w:rsidP="00970AB7">
            <w:pPr>
              <w:jc w:val="center"/>
              <w:rPr>
                <w:sz w:val="22"/>
                <w:lang w:val="en-US"/>
              </w:rPr>
            </w:pPr>
            <w:r>
              <w:rPr>
                <w:sz w:val="22"/>
                <w:lang w:val="en-US"/>
              </w:rPr>
              <w:t>23 (11.7%)</w:t>
            </w:r>
          </w:p>
        </w:tc>
      </w:tr>
      <w:tr w:rsidR="00D45377" w:rsidRPr="00A33AAA" w14:paraId="4E8A2C9A" w14:textId="77777777" w:rsidTr="00213239">
        <w:tc>
          <w:tcPr>
            <w:tcW w:w="3964" w:type="dxa"/>
            <w:shd w:val="clear" w:color="auto" w:fill="auto"/>
          </w:tcPr>
          <w:p w14:paraId="7F697D6B" w14:textId="77777777" w:rsidR="00D45377" w:rsidRDefault="00D45377" w:rsidP="00970AB7">
            <w:pPr>
              <w:rPr>
                <w:sz w:val="22"/>
                <w:lang w:val="en-US"/>
              </w:rPr>
            </w:pPr>
            <w:r>
              <w:rPr>
                <w:sz w:val="22"/>
                <w:lang w:val="en-US"/>
              </w:rPr>
              <w:t xml:space="preserve">Type of injury: </w:t>
            </w:r>
            <w:proofErr w:type="spellStart"/>
            <w:r>
              <w:rPr>
                <w:bCs/>
                <w:sz w:val="22"/>
                <w:lang w:val="en-US"/>
              </w:rPr>
              <w:t>oticus</w:t>
            </w:r>
            <w:proofErr w:type="spellEnd"/>
          </w:p>
          <w:p w14:paraId="0CFD6351" w14:textId="77777777" w:rsidR="00D45377" w:rsidRPr="00013073" w:rsidRDefault="00D45377" w:rsidP="00970AB7">
            <w:pPr>
              <w:rPr>
                <w:sz w:val="22"/>
                <w:lang w:val="en-US"/>
              </w:rPr>
            </w:pPr>
          </w:p>
          <w:p w14:paraId="6FD7CE33" w14:textId="77777777" w:rsidR="00D45377" w:rsidRPr="00674A89" w:rsidRDefault="00D45377" w:rsidP="00970AB7">
            <w:pPr>
              <w:pStyle w:val="Paragraphedeliste"/>
              <w:rPr>
                <w:sz w:val="22"/>
                <w:lang w:val="en-US"/>
              </w:rPr>
            </w:pPr>
            <w:r>
              <w:rPr>
                <w:sz w:val="22"/>
                <w:lang w:val="en-US"/>
              </w:rPr>
              <w:t>Age - years</w:t>
            </w:r>
          </w:p>
          <w:p w14:paraId="450E6813" w14:textId="77777777" w:rsidR="00D45377" w:rsidRPr="00013073" w:rsidRDefault="00D45377" w:rsidP="00970AB7">
            <w:pPr>
              <w:pStyle w:val="Paragraphedeliste"/>
              <w:rPr>
                <w:sz w:val="22"/>
                <w:lang w:val="en-US"/>
              </w:rPr>
            </w:pPr>
            <w:r w:rsidRPr="00A33AAA">
              <w:rPr>
                <w:sz w:val="22"/>
                <w:lang w:val="en-US"/>
              </w:rPr>
              <w:t>Time to reaction onset – days</w:t>
            </w:r>
          </w:p>
          <w:p w14:paraId="54BB69F5" w14:textId="77777777" w:rsidR="00D45377" w:rsidRPr="003F755E" w:rsidRDefault="00D45377" w:rsidP="00970AB7">
            <w:pPr>
              <w:pStyle w:val="Paragraphedeliste"/>
              <w:rPr>
                <w:sz w:val="22"/>
                <w:lang w:val="en-US"/>
              </w:rPr>
            </w:pPr>
            <w:r>
              <w:rPr>
                <w:sz w:val="22"/>
                <w:lang w:val="en-US"/>
              </w:rPr>
              <w:t>R</w:t>
            </w:r>
            <w:r w:rsidRPr="0092574E">
              <w:rPr>
                <w:sz w:val="22"/>
                <w:lang w:val="en-US"/>
              </w:rPr>
              <w:t>equiring hospitalization</w:t>
            </w:r>
          </w:p>
        </w:tc>
        <w:tc>
          <w:tcPr>
            <w:tcW w:w="1843" w:type="dxa"/>
          </w:tcPr>
          <w:p w14:paraId="34DCB9AA" w14:textId="77777777" w:rsidR="00D45377" w:rsidRPr="0033003E" w:rsidRDefault="00D45377" w:rsidP="00970AB7">
            <w:pPr>
              <w:jc w:val="center"/>
              <w:rPr>
                <w:bCs/>
                <w:sz w:val="22"/>
                <w:lang w:val="en-US"/>
              </w:rPr>
            </w:pPr>
            <w:r w:rsidRPr="0033003E">
              <w:rPr>
                <w:bCs/>
                <w:sz w:val="22"/>
                <w:lang w:val="en-US"/>
              </w:rPr>
              <w:t>47 (0.8%)</w:t>
            </w:r>
          </w:p>
          <w:p w14:paraId="12CB8A8C" w14:textId="77777777" w:rsidR="00D45377" w:rsidRPr="007B6E09" w:rsidRDefault="00D45377" w:rsidP="00970AB7">
            <w:pPr>
              <w:jc w:val="center"/>
              <w:rPr>
                <w:bCs/>
                <w:sz w:val="22"/>
                <w:lang w:val="en-US"/>
              </w:rPr>
            </w:pPr>
          </w:p>
          <w:p w14:paraId="258EE3E5" w14:textId="77777777" w:rsidR="00D45377" w:rsidRDefault="00D45377" w:rsidP="00970AB7">
            <w:pPr>
              <w:jc w:val="center"/>
              <w:rPr>
                <w:bCs/>
                <w:sz w:val="22"/>
                <w:lang w:val="en-US"/>
              </w:rPr>
            </w:pPr>
            <w:r>
              <w:rPr>
                <w:bCs/>
                <w:sz w:val="22"/>
                <w:lang w:val="en-US"/>
              </w:rPr>
              <w:t>57 (44.5-66.5)</w:t>
            </w:r>
          </w:p>
          <w:p w14:paraId="75C98328" w14:textId="77777777" w:rsidR="00D45377" w:rsidRPr="007B6E09" w:rsidRDefault="00D45377" w:rsidP="00970AB7">
            <w:pPr>
              <w:jc w:val="center"/>
              <w:rPr>
                <w:bCs/>
                <w:sz w:val="22"/>
                <w:lang w:val="en-US"/>
              </w:rPr>
            </w:pPr>
            <w:r w:rsidRPr="007B6E09">
              <w:rPr>
                <w:bCs/>
                <w:sz w:val="22"/>
                <w:lang w:val="en-US"/>
              </w:rPr>
              <w:t>5 (2-12)</w:t>
            </w:r>
          </w:p>
          <w:p w14:paraId="4EB993DC" w14:textId="77777777" w:rsidR="00D45377" w:rsidRPr="004660FB" w:rsidRDefault="00D45377" w:rsidP="00970AB7">
            <w:pPr>
              <w:jc w:val="center"/>
              <w:rPr>
                <w:bCs/>
                <w:sz w:val="22"/>
                <w:lang w:val="en-US"/>
              </w:rPr>
            </w:pPr>
            <w:r w:rsidRPr="004660FB">
              <w:rPr>
                <w:bCs/>
                <w:sz w:val="22"/>
                <w:lang w:val="en-US"/>
              </w:rPr>
              <w:t>6 (12.8%)</w:t>
            </w:r>
          </w:p>
        </w:tc>
        <w:tc>
          <w:tcPr>
            <w:tcW w:w="1843" w:type="dxa"/>
          </w:tcPr>
          <w:p w14:paraId="406A425A" w14:textId="77777777" w:rsidR="00D45377" w:rsidRPr="0033003E" w:rsidRDefault="00D45377" w:rsidP="00970AB7">
            <w:pPr>
              <w:jc w:val="center"/>
              <w:rPr>
                <w:bCs/>
                <w:sz w:val="22"/>
                <w:lang w:val="en-US"/>
              </w:rPr>
            </w:pPr>
            <w:r w:rsidRPr="0033003E">
              <w:rPr>
                <w:bCs/>
                <w:sz w:val="22"/>
                <w:lang w:val="en-US"/>
              </w:rPr>
              <w:t>13 (0.7%)</w:t>
            </w:r>
          </w:p>
          <w:p w14:paraId="478051F5" w14:textId="77777777" w:rsidR="00D45377" w:rsidRPr="007B6E09" w:rsidRDefault="00D45377" w:rsidP="00970AB7">
            <w:pPr>
              <w:jc w:val="center"/>
              <w:rPr>
                <w:bCs/>
                <w:sz w:val="22"/>
                <w:lang w:val="en-US"/>
              </w:rPr>
            </w:pPr>
          </w:p>
          <w:p w14:paraId="20D506FD" w14:textId="77777777" w:rsidR="00D45377" w:rsidRDefault="00D45377" w:rsidP="00970AB7">
            <w:pPr>
              <w:jc w:val="center"/>
              <w:rPr>
                <w:bCs/>
                <w:sz w:val="22"/>
                <w:lang w:val="en-US"/>
              </w:rPr>
            </w:pPr>
            <w:r>
              <w:rPr>
                <w:bCs/>
                <w:sz w:val="22"/>
                <w:lang w:val="en-US"/>
              </w:rPr>
              <w:t>47 (40-59)</w:t>
            </w:r>
          </w:p>
          <w:p w14:paraId="2779C95D" w14:textId="77777777" w:rsidR="00D45377" w:rsidRPr="007B6E09" w:rsidRDefault="00D45377" w:rsidP="00970AB7">
            <w:pPr>
              <w:jc w:val="center"/>
              <w:rPr>
                <w:bCs/>
                <w:sz w:val="22"/>
                <w:lang w:val="en-US"/>
              </w:rPr>
            </w:pPr>
            <w:r w:rsidRPr="007B6E09">
              <w:rPr>
                <w:bCs/>
                <w:sz w:val="22"/>
                <w:lang w:val="en-US"/>
              </w:rPr>
              <w:t>3 (1-11)</w:t>
            </w:r>
          </w:p>
          <w:p w14:paraId="062ECA22" w14:textId="77777777" w:rsidR="00D45377" w:rsidRPr="004660FB" w:rsidRDefault="00D45377" w:rsidP="00970AB7">
            <w:pPr>
              <w:jc w:val="center"/>
              <w:rPr>
                <w:bCs/>
                <w:sz w:val="22"/>
                <w:lang w:val="en-US"/>
              </w:rPr>
            </w:pPr>
            <w:r>
              <w:rPr>
                <w:bCs/>
                <w:sz w:val="22"/>
                <w:lang w:val="en-US"/>
              </w:rPr>
              <w:t>-</w:t>
            </w:r>
          </w:p>
        </w:tc>
        <w:tc>
          <w:tcPr>
            <w:tcW w:w="1843" w:type="dxa"/>
          </w:tcPr>
          <w:p w14:paraId="4C0D298E" w14:textId="77777777" w:rsidR="00D45377" w:rsidRDefault="00D45377" w:rsidP="00970AB7">
            <w:pPr>
              <w:jc w:val="center"/>
              <w:rPr>
                <w:bCs/>
                <w:sz w:val="22"/>
                <w:lang w:val="en-US"/>
              </w:rPr>
            </w:pPr>
            <w:r w:rsidRPr="0033003E">
              <w:rPr>
                <w:bCs/>
                <w:sz w:val="22"/>
                <w:lang w:val="en-US"/>
              </w:rPr>
              <w:t>60 (0.8%)</w:t>
            </w:r>
          </w:p>
          <w:p w14:paraId="3000170F" w14:textId="77777777" w:rsidR="00D45377" w:rsidRDefault="00D45377" w:rsidP="00970AB7">
            <w:pPr>
              <w:rPr>
                <w:bCs/>
                <w:sz w:val="22"/>
                <w:lang w:val="en-US"/>
              </w:rPr>
            </w:pPr>
          </w:p>
          <w:p w14:paraId="0E817890" w14:textId="77777777" w:rsidR="00D45377" w:rsidRDefault="00D45377" w:rsidP="00970AB7">
            <w:pPr>
              <w:jc w:val="center"/>
              <w:rPr>
                <w:sz w:val="22"/>
                <w:lang w:val="en-US"/>
              </w:rPr>
            </w:pPr>
            <w:r>
              <w:rPr>
                <w:sz w:val="22"/>
                <w:lang w:val="en-US"/>
              </w:rPr>
              <w:t>57 (41.75-66.25)</w:t>
            </w:r>
          </w:p>
          <w:p w14:paraId="17FAE530" w14:textId="77777777" w:rsidR="00D45377" w:rsidRDefault="00D45377" w:rsidP="00970AB7">
            <w:pPr>
              <w:jc w:val="center"/>
              <w:rPr>
                <w:sz w:val="22"/>
                <w:lang w:val="en-US"/>
              </w:rPr>
            </w:pPr>
            <w:r>
              <w:rPr>
                <w:sz w:val="22"/>
                <w:lang w:val="en-US"/>
              </w:rPr>
              <w:t>4 (1.75-11.75)</w:t>
            </w:r>
          </w:p>
          <w:p w14:paraId="0F3710BF" w14:textId="77777777" w:rsidR="00D45377" w:rsidRPr="00EB2AB0" w:rsidRDefault="00D45377" w:rsidP="00970AB7">
            <w:pPr>
              <w:jc w:val="center"/>
              <w:rPr>
                <w:sz w:val="22"/>
                <w:lang w:val="en-US"/>
              </w:rPr>
            </w:pPr>
            <w:r>
              <w:rPr>
                <w:sz w:val="22"/>
                <w:lang w:val="en-US"/>
              </w:rPr>
              <w:t>6 (10%)</w:t>
            </w:r>
          </w:p>
        </w:tc>
      </w:tr>
      <w:tr w:rsidR="00D45377" w:rsidRPr="00A33AAA" w14:paraId="7DB590E1" w14:textId="77777777" w:rsidTr="00213239">
        <w:tc>
          <w:tcPr>
            <w:tcW w:w="3964" w:type="dxa"/>
          </w:tcPr>
          <w:p w14:paraId="25DDF926" w14:textId="77777777" w:rsidR="00D45377" w:rsidRDefault="00D45377" w:rsidP="00970AB7">
            <w:pPr>
              <w:rPr>
                <w:sz w:val="22"/>
                <w:lang w:val="en-US"/>
              </w:rPr>
            </w:pPr>
            <w:r>
              <w:rPr>
                <w:sz w:val="22"/>
                <w:lang w:val="en-US"/>
              </w:rPr>
              <w:t xml:space="preserve">Type of injury: </w:t>
            </w:r>
            <w:r>
              <w:rPr>
                <w:bCs/>
                <w:sz w:val="22"/>
                <w:lang w:val="en-US"/>
              </w:rPr>
              <w:t>central nervous system</w:t>
            </w:r>
          </w:p>
          <w:p w14:paraId="4FABDB2E" w14:textId="77777777" w:rsidR="00D45377" w:rsidRPr="004375A2" w:rsidRDefault="00D45377" w:rsidP="00970AB7">
            <w:pPr>
              <w:pStyle w:val="Paragraphedeliste"/>
              <w:rPr>
                <w:i/>
                <w:iCs/>
                <w:sz w:val="22"/>
                <w:lang w:val="en-US"/>
              </w:rPr>
            </w:pPr>
            <w:r w:rsidRPr="004375A2">
              <w:rPr>
                <w:i/>
                <w:iCs/>
                <w:sz w:val="22"/>
                <w:lang w:val="en-US"/>
              </w:rPr>
              <w:t>Meningitis</w:t>
            </w:r>
          </w:p>
          <w:p w14:paraId="0F044C48" w14:textId="77777777" w:rsidR="00D45377" w:rsidRPr="004375A2" w:rsidRDefault="00D45377" w:rsidP="00970AB7">
            <w:pPr>
              <w:pStyle w:val="Paragraphedeliste"/>
              <w:rPr>
                <w:i/>
                <w:iCs/>
                <w:sz w:val="22"/>
                <w:lang w:val="en-US"/>
              </w:rPr>
            </w:pPr>
            <w:r w:rsidRPr="004375A2">
              <w:rPr>
                <w:i/>
                <w:iCs/>
                <w:sz w:val="22"/>
                <w:lang w:val="en-US"/>
              </w:rPr>
              <w:t>Meningoencephalitis</w:t>
            </w:r>
          </w:p>
          <w:p w14:paraId="32EF0E18" w14:textId="77777777" w:rsidR="00D45377" w:rsidRPr="004375A2" w:rsidRDefault="00D45377" w:rsidP="00970AB7">
            <w:pPr>
              <w:pStyle w:val="Paragraphedeliste"/>
              <w:rPr>
                <w:i/>
                <w:iCs/>
                <w:sz w:val="22"/>
                <w:lang w:val="en-US"/>
              </w:rPr>
            </w:pPr>
            <w:proofErr w:type="spellStart"/>
            <w:r w:rsidRPr="004375A2">
              <w:rPr>
                <w:i/>
                <w:iCs/>
                <w:sz w:val="22"/>
                <w:lang w:val="en-US"/>
              </w:rPr>
              <w:t>Meningoradiculitis</w:t>
            </w:r>
            <w:proofErr w:type="spellEnd"/>
          </w:p>
          <w:p w14:paraId="17FC8171" w14:textId="77777777" w:rsidR="00D45377" w:rsidRPr="004375A2" w:rsidRDefault="00D45377" w:rsidP="00970AB7">
            <w:pPr>
              <w:pStyle w:val="Paragraphedeliste"/>
              <w:rPr>
                <w:i/>
                <w:iCs/>
                <w:sz w:val="22"/>
                <w:lang w:val="en-US"/>
              </w:rPr>
            </w:pPr>
            <w:r w:rsidRPr="004375A2">
              <w:rPr>
                <w:i/>
                <w:iCs/>
                <w:sz w:val="22"/>
                <w:lang w:val="en-US"/>
              </w:rPr>
              <w:t>Unspecified neurological infection</w:t>
            </w:r>
          </w:p>
          <w:p w14:paraId="4CFE93E8" w14:textId="77777777" w:rsidR="00D45377" w:rsidRDefault="00D45377" w:rsidP="00970AB7">
            <w:pPr>
              <w:pStyle w:val="Paragraphedeliste"/>
              <w:rPr>
                <w:sz w:val="22"/>
                <w:lang w:val="en-US"/>
              </w:rPr>
            </w:pPr>
          </w:p>
          <w:p w14:paraId="5D7D0C89" w14:textId="77777777" w:rsidR="00D45377" w:rsidRPr="00674A89" w:rsidRDefault="00D45377" w:rsidP="00970AB7">
            <w:pPr>
              <w:pStyle w:val="Paragraphedeliste"/>
              <w:rPr>
                <w:sz w:val="22"/>
                <w:lang w:val="en-US"/>
              </w:rPr>
            </w:pPr>
            <w:r>
              <w:rPr>
                <w:sz w:val="22"/>
                <w:lang w:val="en-US"/>
              </w:rPr>
              <w:t>Age - years</w:t>
            </w:r>
          </w:p>
          <w:p w14:paraId="2156DB22" w14:textId="77777777" w:rsidR="00D45377" w:rsidRPr="00013073" w:rsidRDefault="00D45377" w:rsidP="00970AB7">
            <w:pPr>
              <w:pStyle w:val="Paragraphedeliste"/>
              <w:rPr>
                <w:sz w:val="22"/>
                <w:lang w:val="en-US"/>
              </w:rPr>
            </w:pPr>
            <w:r w:rsidRPr="00A33AAA">
              <w:rPr>
                <w:sz w:val="22"/>
                <w:lang w:val="en-US"/>
              </w:rPr>
              <w:t>Time to reaction onset – days</w:t>
            </w:r>
          </w:p>
          <w:p w14:paraId="1C216864" w14:textId="77777777" w:rsidR="00D45377" w:rsidRPr="00A74785" w:rsidRDefault="00D45377" w:rsidP="00970AB7">
            <w:pPr>
              <w:pStyle w:val="Paragraphedeliste"/>
              <w:rPr>
                <w:sz w:val="22"/>
                <w:lang w:val="en-US"/>
              </w:rPr>
            </w:pPr>
            <w:r>
              <w:rPr>
                <w:sz w:val="22"/>
                <w:lang w:val="en-US"/>
              </w:rPr>
              <w:t>R</w:t>
            </w:r>
            <w:r w:rsidRPr="0092574E">
              <w:rPr>
                <w:sz w:val="22"/>
                <w:lang w:val="en-US"/>
              </w:rPr>
              <w:t>equiring hospitalization</w:t>
            </w:r>
            <w:r w:rsidRPr="000C7C0B">
              <w:rPr>
                <w:sz w:val="22"/>
                <w:lang w:val="en-US"/>
              </w:rPr>
              <w:t xml:space="preserve"> </w:t>
            </w:r>
          </w:p>
        </w:tc>
        <w:tc>
          <w:tcPr>
            <w:tcW w:w="1843" w:type="dxa"/>
          </w:tcPr>
          <w:p w14:paraId="48AE9147" w14:textId="77777777" w:rsidR="00D45377" w:rsidRPr="0033003E" w:rsidRDefault="00D45377" w:rsidP="00970AB7">
            <w:pPr>
              <w:jc w:val="center"/>
              <w:rPr>
                <w:bCs/>
                <w:sz w:val="22"/>
                <w:lang w:val="en-US"/>
              </w:rPr>
            </w:pPr>
            <w:r w:rsidRPr="0033003E">
              <w:rPr>
                <w:bCs/>
                <w:sz w:val="22"/>
                <w:lang w:val="en-US"/>
              </w:rPr>
              <w:t>19 (0.3%)</w:t>
            </w:r>
          </w:p>
          <w:p w14:paraId="6C083F89" w14:textId="77777777" w:rsidR="00D45377" w:rsidRPr="004375A2" w:rsidRDefault="00D45377" w:rsidP="00970AB7">
            <w:pPr>
              <w:jc w:val="center"/>
              <w:rPr>
                <w:bCs/>
                <w:i/>
                <w:iCs/>
                <w:sz w:val="22"/>
                <w:lang w:val="en-US"/>
              </w:rPr>
            </w:pPr>
            <w:r w:rsidRPr="004375A2">
              <w:rPr>
                <w:bCs/>
                <w:i/>
                <w:iCs/>
                <w:sz w:val="22"/>
                <w:lang w:val="en-US"/>
              </w:rPr>
              <w:t>9 (47.4%)</w:t>
            </w:r>
          </w:p>
          <w:p w14:paraId="137A5672" w14:textId="77777777" w:rsidR="00D45377" w:rsidRPr="004375A2" w:rsidRDefault="00D45377" w:rsidP="00970AB7">
            <w:pPr>
              <w:jc w:val="center"/>
              <w:rPr>
                <w:bCs/>
                <w:i/>
                <w:iCs/>
                <w:sz w:val="22"/>
                <w:lang w:val="en-US"/>
              </w:rPr>
            </w:pPr>
            <w:r w:rsidRPr="004375A2">
              <w:rPr>
                <w:bCs/>
                <w:i/>
                <w:iCs/>
                <w:sz w:val="22"/>
                <w:lang w:val="en-US"/>
              </w:rPr>
              <w:t>5 (26.3%)</w:t>
            </w:r>
          </w:p>
          <w:p w14:paraId="575307A3" w14:textId="77777777" w:rsidR="00D45377" w:rsidRPr="004375A2" w:rsidRDefault="00D45377" w:rsidP="00970AB7">
            <w:pPr>
              <w:jc w:val="center"/>
              <w:rPr>
                <w:bCs/>
                <w:i/>
                <w:iCs/>
                <w:sz w:val="22"/>
                <w:lang w:val="en-US"/>
              </w:rPr>
            </w:pPr>
            <w:r w:rsidRPr="004375A2">
              <w:rPr>
                <w:bCs/>
                <w:i/>
                <w:iCs/>
                <w:sz w:val="22"/>
                <w:lang w:val="en-US"/>
              </w:rPr>
              <w:t>2 (10.5%)</w:t>
            </w:r>
          </w:p>
          <w:p w14:paraId="2758E935" w14:textId="77777777" w:rsidR="00D45377" w:rsidRPr="004375A2" w:rsidRDefault="00D45377" w:rsidP="00970AB7">
            <w:pPr>
              <w:jc w:val="center"/>
              <w:rPr>
                <w:bCs/>
                <w:i/>
                <w:iCs/>
                <w:sz w:val="22"/>
                <w:lang w:val="en-US"/>
              </w:rPr>
            </w:pPr>
            <w:r w:rsidRPr="004375A2">
              <w:rPr>
                <w:bCs/>
                <w:i/>
                <w:iCs/>
                <w:sz w:val="22"/>
                <w:lang w:val="en-US"/>
              </w:rPr>
              <w:t>3 (15.8%)</w:t>
            </w:r>
          </w:p>
          <w:p w14:paraId="18F76CCC" w14:textId="77777777" w:rsidR="00D45377" w:rsidRDefault="00D45377" w:rsidP="00970AB7">
            <w:pPr>
              <w:jc w:val="center"/>
              <w:rPr>
                <w:bCs/>
                <w:sz w:val="22"/>
                <w:lang w:val="en-US"/>
              </w:rPr>
            </w:pPr>
          </w:p>
          <w:p w14:paraId="6715A014" w14:textId="77777777" w:rsidR="00D45377" w:rsidRDefault="00D45377" w:rsidP="00970AB7">
            <w:pPr>
              <w:jc w:val="center"/>
              <w:rPr>
                <w:bCs/>
                <w:sz w:val="22"/>
                <w:lang w:val="en-US"/>
              </w:rPr>
            </w:pPr>
            <w:r>
              <w:rPr>
                <w:bCs/>
                <w:sz w:val="22"/>
                <w:lang w:val="en-US"/>
              </w:rPr>
              <w:t>65 (55-78)</w:t>
            </w:r>
          </w:p>
          <w:p w14:paraId="43AB1487" w14:textId="77777777" w:rsidR="00D45377" w:rsidRPr="007B6E09" w:rsidRDefault="00D45377" w:rsidP="00970AB7">
            <w:pPr>
              <w:jc w:val="center"/>
              <w:rPr>
                <w:bCs/>
                <w:sz w:val="22"/>
                <w:lang w:val="en-US"/>
              </w:rPr>
            </w:pPr>
            <w:r w:rsidRPr="007B6E09">
              <w:rPr>
                <w:bCs/>
                <w:sz w:val="22"/>
                <w:lang w:val="en-US"/>
              </w:rPr>
              <w:t>18 (2.5-30)</w:t>
            </w:r>
          </w:p>
          <w:p w14:paraId="153F6326" w14:textId="77777777" w:rsidR="00D45377" w:rsidRPr="004660FB" w:rsidRDefault="00D45377" w:rsidP="00970AB7">
            <w:pPr>
              <w:jc w:val="center"/>
              <w:rPr>
                <w:bCs/>
                <w:sz w:val="22"/>
                <w:lang w:val="en-US"/>
              </w:rPr>
            </w:pPr>
            <w:r w:rsidRPr="007B6E09">
              <w:rPr>
                <w:bCs/>
                <w:sz w:val="22"/>
                <w:lang w:val="en-US"/>
              </w:rPr>
              <w:t>11 (57.9%)</w:t>
            </w:r>
          </w:p>
        </w:tc>
        <w:tc>
          <w:tcPr>
            <w:tcW w:w="1843" w:type="dxa"/>
          </w:tcPr>
          <w:p w14:paraId="3BCB760E" w14:textId="77777777" w:rsidR="00D45377" w:rsidRPr="0033003E" w:rsidRDefault="00D45377" w:rsidP="00970AB7">
            <w:pPr>
              <w:jc w:val="center"/>
              <w:rPr>
                <w:bCs/>
                <w:sz w:val="22"/>
                <w:lang w:val="en-US"/>
              </w:rPr>
            </w:pPr>
            <w:r w:rsidRPr="0033003E">
              <w:rPr>
                <w:bCs/>
                <w:sz w:val="22"/>
                <w:lang w:val="en-US"/>
              </w:rPr>
              <w:t>6 (0.3%)</w:t>
            </w:r>
          </w:p>
          <w:p w14:paraId="077CDB58" w14:textId="77777777" w:rsidR="00D45377" w:rsidRPr="004375A2" w:rsidRDefault="00D45377" w:rsidP="00970AB7">
            <w:pPr>
              <w:jc w:val="center"/>
              <w:rPr>
                <w:bCs/>
                <w:i/>
                <w:iCs/>
                <w:sz w:val="22"/>
                <w:lang w:val="en-US"/>
              </w:rPr>
            </w:pPr>
            <w:r w:rsidRPr="004375A2">
              <w:rPr>
                <w:bCs/>
                <w:i/>
                <w:iCs/>
                <w:sz w:val="22"/>
                <w:lang w:val="en-US"/>
              </w:rPr>
              <w:t>3 (50%)</w:t>
            </w:r>
          </w:p>
          <w:p w14:paraId="5BF773CB" w14:textId="77777777" w:rsidR="00D45377" w:rsidRPr="004375A2" w:rsidRDefault="00D45377" w:rsidP="00970AB7">
            <w:pPr>
              <w:jc w:val="center"/>
              <w:rPr>
                <w:bCs/>
                <w:i/>
                <w:iCs/>
                <w:sz w:val="22"/>
                <w:lang w:val="en-US"/>
              </w:rPr>
            </w:pPr>
            <w:r w:rsidRPr="004375A2">
              <w:rPr>
                <w:bCs/>
                <w:i/>
                <w:iCs/>
                <w:sz w:val="22"/>
                <w:lang w:val="en-US"/>
              </w:rPr>
              <w:t>2 (33.3%)</w:t>
            </w:r>
          </w:p>
          <w:p w14:paraId="3F220EC2" w14:textId="77777777" w:rsidR="00D45377" w:rsidRPr="004375A2" w:rsidRDefault="00D45377" w:rsidP="00970AB7">
            <w:pPr>
              <w:jc w:val="center"/>
              <w:rPr>
                <w:bCs/>
                <w:i/>
                <w:iCs/>
                <w:sz w:val="22"/>
                <w:lang w:val="en-US"/>
              </w:rPr>
            </w:pPr>
            <w:r w:rsidRPr="004375A2">
              <w:rPr>
                <w:bCs/>
                <w:i/>
                <w:iCs/>
                <w:sz w:val="22"/>
                <w:lang w:val="en-US"/>
              </w:rPr>
              <w:t>-</w:t>
            </w:r>
          </w:p>
          <w:p w14:paraId="189D046B" w14:textId="77777777" w:rsidR="00D45377" w:rsidRPr="004375A2" w:rsidRDefault="00D45377" w:rsidP="00970AB7">
            <w:pPr>
              <w:jc w:val="center"/>
              <w:rPr>
                <w:bCs/>
                <w:i/>
                <w:iCs/>
                <w:sz w:val="22"/>
                <w:lang w:val="en-US"/>
              </w:rPr>
            </w:pPr>
            <w:r w:rsidRPr="004375A2">
              <w:rPr>
                <w:bCs/>
                <w:i/>
                <w:iCs/>
                <w:sz w:val="22"/>
                <w:lang w:val="en-US"/>
              </w:rPr>
              <w:t>1 (16.7%)</w:t>
            </w:r>
          </w:p>
          <w:p w14:paraId="5ABF2B7A" w14:textId="77777777" w:rsidR="00D45377" w:rsidRDefault="00D45377" w:rsidP="00970AB7">
            <w:pPr>
              <w:jc w:val="center"/>
              <w:rPr>
                <w:bCs/>
                <w:sz w:val="22"/>
                <w:lang w:val="en-US"/>
              </w:rPr>
            </w:pPr>
          </w:p>
          <w:p w14:paraId="72F3C068" w14:textId="77777777" w:rsidR="00D45377" w:rsidRDefault="00D45377" w:rsidP="00970AB7">
            <w:pPr>
              <w:jc w:val="center"/>
              <w:rPr>
                <w:bCs/>
                <w:sz w:val="22"/>
                <w:lang w:val="en-US"/>
              </w:rPr>
            </w:pPr>
            <w:r>
              <w:rPr>
                <w:bCs/>
                <w:sz w:val="22"/>
                <w:lang w:val="en-US"/>
              </w:rPr>
              <w:t>47.5 (33-72.5)</w:t>
            </w:r>
          </w:p>
          <w:p w14:paraId="0C2954DD" w14:textId="77777777" w:rsidR="00D45377" w:rsidRPr="007B6E09" w:rsidRDefault="00D45377" w:rsidP="00970AB7">
            <w:pPr>
              <w:jc w:val="center"/>
              <w:rPr>
                <w:bCs/>
                <w:sz w:val="22"/>
                <w:lang w:val="en-US"/>
              </w:rPr>
            </w:pPr>
            <w:r w:rsidRPr="007B6E09">
              <w:rPr>
                <w:bCs/>
                <w:sz w:val="22"/>
                <w:lang w:val="en-US"/>
              </w:rPr>
              <w:t>17 (13-21)</w:t>
            </w:r>
          </w:p>
          <w:p w14:paraId="28A95829" w14:textId="77777777" w:rsidR="00D45377" w:rsidRPr="004660FB" w:rsidRDefault="00D45377" w:rsidP="00970AB7">
            <w:pPr>
              <w:jc w:val="center"/>
              <w:rPr>
                <w:bCs/>
                <w:sz w:val="22"/>
                <w:lang w:val="en-US"/>
              </w:rPr>
            </w:pPr>
            <w:r w:rsidRPr="007B6E09">
              <w:rPr>
                <w:bCs/>
                <w:sz w:val="22"/>
                <w:lang w:val="en-US"/>
              </w:rPr>
              <w:t>3 (50%)</w:t>
            </w:r>
          </w:p>
        </w:tc>
        <w:tc>
          <w:tcPr>
            <w:tcW w:w="1843" w:type="dxa"/>
          </w:tcPr>
          <w:p w14:paraId="03A7E761" w14:textId="77777777" w:rsidR="00D45377" w:rsidRPr="0033003E" w:rsidRDefault="00D45377" w:rsidP="00970AB7">
            <w:pPr>
              <w:jc w:val="center"/>
              <w:rPr>
                <w:bCs/>
                <w:sz w:val="22"/>
                <w:lang w:val="en-US"/>
              </w:rPr>
            </w:pPr>
            <w:r w:rsidRPr="0033003E">
              <w:rPr>
                <w:bCs/>
                <w:sz w:val="22"/>
                <w:lang w:val="en-US"/>
              </w:rPr>
              <w:t>25 (0.3%)</w:t>
            </w:r>
          </w:p>
          <w:p w14:paraId="5B64167B" w14:textId="77777777" w:rsidR="00D45377" w:rsidRPr="004375A2" w:rsidRDefault="00D45377" w:rsidP="00970AB7">
            <w:pPr>
              <w:jc w:val="center"/>
              <w:rPr>
                <w:bCs/>
                <w:i/>
                <w:iCs/>
                <w:sz w:val="22"/>
                <w:lang w:val="en-US"/>
              </w:rPr>
            </w:pPr>
            <w:r w:rsidRPr="004375A2">
              <w:rPr>
                <w:bCs/>
                <w:i/>
                <w:iCs/>
                <w:sz w:val="22"/>
                <w:lang w:val="en-US"/>
              </w:rPr>
              <w:t>12 (48%)</w:t>
            </w:r>
          </w:p>
          <w:p w14:paraId="29BF46E6" w14:textId="77777777" w:rsidR="00D45377" w:rsidRPr="004375A2" w:rsidRDefault="00D45377" w:rsidP="00970AB7">
            <w:pPr>
              <w:jc w:val="center"/>
              <w:rPr>
                <w:bCs/>
                <w:i/>
                <w:iCs/>
                <w:sz w:val="22"/>
                <w:lang w:val="en-US"/>
              </w:rPr>
            </w:pPr>
            <w:r w:rsidRPr="004375A2">
              <w:rPr>
                <w:bCs/>
                <w:i/>
                <w:iCs/>
                <w:sz w:val="22"/>
                <w:lang w:val="en-US"/>
              </w:rPr>
              <w:t>7 (28%)</w:t>
            </w:r>
          </w:p>
          <w:p w14:paraId="2A0FB3B5" w14:textId="77777777" w:rsidR="00D45377" w:rsidRPr="004375A2" w:rsidRDefault="00D45377" w:rsidP="00970AB7">
            <w:pPr>
              <w:jc w:val="center"/>
              <w:rPr>
                <w:bCs/>
                <w:i/>
                <w:iCs/>
                <w:sz w:val="22"/>
                <w:lang w:val="en-US"/>
              </w:rPr>
            </w:pPr>
            <w:r w:rsidRPr="004375A2">
              <w:rPr>
                <w:bCs/>
                <w:i/>
                <w:iCs/>
                <w:sz w:val="22"/>
                <w:lang w:val="en-US"/>
              </w:rPr>
              <w:t>2 (8%)</w:t>
            </w:r>
          </w:p>
          <w:p w14:paraId="376DEB8A" w14:textId="77777777" w:rsidR="00D45377" w:rsidRPr="004375A2" w:rsidRDefault="00D45377" w:rsidP="00970AB7">
            <w:pPr>
              <w:jc w:val="center"/>
              <w:rPr>
                <w:bCs/>
                <w:i/>
                <w:iCs/>
                <w:sz w:val="22"/>
                <w:lang w:val="en-US"/>
              </w:rPr>
            </w:pPr>
            <w:r w:rsidRPr="004375A2">
              <w:rPr>
                <w:bCs/>
                <w:i/>
                <w:iCs/>
                <w:sz w:val="22"/>
                <w:lang w:val="en-US"/>
              </w:rPr>
              <w:t>4 (16%)</w:t>
            </w:r>
          </w:p>
          <w:p w14:paraId="0EF1DD3C" w14:textId="77777777" w:rsidR="00D45377" w:rsidRDefault="00D45377" w:rsidP="00970AB7">
            <w:pPr>
              <w:jc w:val="center"/>
              <w:rPr>
                <w:bCs/>
                <w:sz w:val="22"/>
                <w:lang w:val="en-US"/>
              </w:rPr>
            </w:pPr>
          </w:p>
          <w:p w14:paraId="6FC100F0" w14:textId="77777777" w:rsidR="00D45377" w:rsidRDefault="00D45377" w:rsidP="00970AB7">
            <w:pPr>
              <w:jc w:val="center"/>
              <w:rPr>
                <w:bCs/>
                <w:sz w:val="22"/>
                <w:lang w:val="en-US"/>
              </w:rPr>
            </w:pPr>
            <w:r>
              <w:rPr>
                <w:bCs/>
                <w:sz w:val="22"/>
                <w:lang w:val="en-US"/>
              </w:rPr>
              <w:t>65 (47-77)</w:t>
            </w:r>
          </w:p>
          <w:p w14:paraId="5A4DF597" w14:textId="77777777" w:rsidR="00D45377" w:rsidRPr="0033003E" w:rsidRDefault="00D45377" w:rsidP="00970AB7">
            <w:pPr>
              <w:jc w:val="center"/>
              <w:rPr>
                <w:bCs/>
                <w:sz w:val="22"/>
                <w:lang w:val="en-US"/>
              </w:rPr>
            </w:pPr>
            <w:r>
              <w:rPr>
                <w:bCs/>
                <w:sz w:val="22"/>
                <w:lang w:val="en-US"/>
              </w:rPr>
              <w:t>17.5 (12.5-29)</w:t>
            </w:r>
          </w:p>
          <w:p w14:paraId="7BD38C2D" w14:textId="77777777" w:rsidR="00D45377" w:rsidRPr="0033003E" w:rsidRDefault="00D45377" w:rsidP="00970AB7">
            <w:pPr>
              <w:jc w:val="center"/>
              <w:rPr>
                <w:bCs/>
                <w:sz w:val="22"/>
                <w:lang w:val="en-US"/>
              </w:rPr>
            </w:pPr>
            <w:r>
              <w:rPr>
                <w:bCs/>
                <w:sz w:val="22"/>
                <w:lang w:val="en-US"/>
              </w:rPr>
              <w:t>14 (56%)</w:t>
            </w:r>
          </w:p>
        </w:tc>
      </w:tr>
      <w:tr w:rsidR="00D45377" w:rsidRPr="00CA30C9" w14:paraId="09D7DD8E" w14:textId="77777777" w:rsidTr="00213239">
        <w:tc>
          <w:tcPr>
            <w:tcW w:w="3964" w:type="dxa"/>
          </w:tcPr>
          <w:p w14:paraId="398415BA" w14:textId="77777777" w:rsidR="00D45377" w:rsidRPr="00A33AAA" w:rsidRDefault="00D45377" w:rsidP="00970AB7">
            <w:pPr>
              <w:rPr>
                <w:sz w:val="22"/>
                <w:lang w:val="en-US"/>
              </w:rPr>
            </w:pPr>
            <w:r w:rsidRPr="00A33AAA">
              <w:rPr>
                <w:sz w:val="22"/>
                <w:lang w:val="en-US"/>
              </w:rPr>
              <w:t>Cases with</w:t>
            </w:r>
            <w:r>
              <w:rPr>
                <w:sz w:val="22"/>
                <w:lang w:val="en-US"/>
              </w:rPr>
              <w:t xml:space="preserve"> another suspected reported drug</w:t>
            </w:r>
          </w:p>
        </w:tc>
        <w:tc>
          <w:tcPr>
            <w:tcW w:w="1843" w:type="dxa"/>
          </w:tcPr>
          <w:p w14:paraId="1B426281" w14:textId="77777777" w:rsidR="00D45377" w:rsidRPr="00A33AAA" w:rsidRDefault="00D45377" w:rsidP="00970AB7">
            <w:pPr>
              <w:jc w:val="center"/>
              <w:rPr>
                <w:sz w:val="22"/>
                <w:lang w:val="en-US"/>
              </w:rPr>
            </w:pPr>
            <w:r>
              <w:rPr>
                <w:sz w:val="22"/>
                <w:lang w:val="en-US"/>
              </w:rPr>
              <w:t>45 (0.8%)</w:t>
            </w:r>
          </w:p>
        </w:tc>
        <w:tc>
          <w:tcPr>
            <w:tcW w:w="1843" w:type="dxa"/>
          </w:tcPr>
          <w:p w14:paraId="5CC9B1D9" w14:textId="77777777" w:rsidR="00D45377" w:rsidRPr="00A33AAA" w:rsidRDefault="00D45377" w:rsidP="00970AB7">
            <w:pPr>
              <w:jc w:val="center"/>
              <w:rPr>
                <w:sz w:val="22"/>
                <w:lang w:val="en-US"/>
              </w:rPr>
            </w:pPr>
            <w:r>
              <w:rPr>
                <w:sz w:val="22"/>
                <w:lang w:val="en-US"/>
              </w:rPr>
              <w:t>17 (0.9%)</w:t>
            </w:r>
          </w:p>
        </w:tc>
        <w:tc>
          <w:tcPr>
            <w:tcW w:w="1843" w:type="dxa"/>
          </w:tcPr>
          <w:p w14:paraId="40B8BA82" w14:textId="77777777" w:rsidR="00D45377" w:rsidRDefault="00D45377" w:rsidP="00970AB7">
            <w:pPr>
              <w:jc w:val="center"/>
              <w:rPr>
                <w:sz w:val="22"/>
                <w:lang w:val="en-US"/>
              </w:rPr>
            </w:pPr>
            <w:r>
              <w:rPr>
                <w:sz w:val="22"/>
                <w:lang w:val="en-US"/>
              </w:rPr>
              <w:t>62 (0.8%)</w:t>
            </w:r>
          </w:p>
        </w:tc>
      </w:tr>
      <w:tr w:rsidR="00D45377" w:rsidRPr="00A33AAA" w14:paraId="7F6D2988" w14:textId="77777777" w:rsidTr="00213239">
        <w:trPr>
          <w:trHeight w:val="918"/>
        </w:trPr>
        <w:tc>
          <w:tcPr>
            <w:tcW w:w="3964" w:type="dxa"/>
          </w:tcPr>
          <w:p w14:paraId="395B3946" w14:textId="77777777" w:rsidR="00D45377" w:rsidRDefault="00D45377" w:rsidP="00970AB7">
            <w:pPr>
              <w:rPr>
                <w:sz w:val="22"/>
                <w:lang w:val="en-US"/>
              </w:rPr>
            </w:pPr>
            <w:r w:rsidRPr="00A33AAA">
              <w:rPr>
                <w:sz w:val="22"/>
                <w:lang w:val="en-US"/>
              </w:rPr>
              <w:t>Month of reporting</w:t>
            </w:r>
          </w:p>
          <w:p w14:paraId="7BB0FE1B" w14:textId="77777777" w:rsidR="00D45377" w:rsidRPr="00CD7A86" w:rsidRDefault="00D45377" w:rsidP="00970AB7">
            <w:pPr>
              <w:pStyle w:val="Paragraphedeliste"/>
              <w:rPr>
                <w:sz w:val="22"/>
                <w:lang w:val="en-US"/>
              </w:rPr>
            </w:pPr>
            <w:r>
              <w:rPr>
                <w:sz w:val="22"/>
                <w:lang w:val="en-US"/>
              </w:rPr>
              <w:t xml:space="preserve">December </w:t>
            </w:r>
          </w:p>
          <w:p w14:paraId="50113D2E" w14:textId="77777777" w:rsidR="00D45377" w:rsidRPr="00A33AAA" w:rsidRDefault="00D45377" w:rsidP="00970AB7">
            <w:pPr>
              <w:pStyle w:val="Paragraphedeliste"/>
              <w:rPr>
                <w:sz w:val="22"/>
                <w:lang w:val="en-US"/>
              </w:rPr>
            </w:pPr>
            <w:r w:rsidRPr="00A33AAA">
              <w:rPr>
                <w:sz w:val="22"/>
                <w:lang w:val="en-US"/>
              </w:rPr>
              <w:t>January</w:t>
            </w:r>
          </w:p>
          <w:p w14:paraId="4064F2CA" w14:textId="77777777" w:rsidR="00D45377" w:rsidRPr="00A33AAA" w:rsidRDefault="00D45377" w:rsidP="00970AB7">
            <w:pPr>
              <w:pStyle w:val="Paragraphedeliste"/>
              <w:rPr>
                <w:sz w:val="22"/>
                <w:lang w:val="en-US"/>
              </w:rPr>
            </w:pPr>
            <w:r w:rsidRPr="00A33AAA">
              <w:rPr>
                <w:sz w:val="22"/>
                <w:lang w:val="en-US"/>
              </w:rPr>
              <w:t>February</w:t>
            </w:r>
          </w:p>
          <w:p w14:paraId="7BC30A7E" w14:textId="77777777" w:rsidR="00D45377" w:rsidRPr="00A33AAA" w:rsidRDefault="00D45377" w:rsidP="00970AB7">
            <w:pPr>
              <w:pStyle w:val="Paragraphedeliste"/>
              <w:rPr>
                <w:sz w:val="22"/>
                <w:lang w:val="en-US"/>
              </w:rPr>
            </w:pPr>
            <w:r w:rsidRPr="00A33AAA">
              <w:rPr>
                <w:sz w:val="22"/>
                <w:lang w:val="en-US"/>
              </w:rPr>
              <w:lastRenderedPageBreak/>
              <w:t>March</w:t>
            </w:r>
          </w:p>
          <w:p w14:paraId="04767F2F" w14:textId="77777777" w:rsidR="00D45377" w:rsidRDefault="00D45377" w:rsidP="00970AB7">
            <w:pPr>
              <w:pStyle w:val="Paragraphedeliste"/>
              <w:rPr>
                <w:sz w:val="22"/>
                <w:lang w:val="en-US"/>
              </w:rPr>
            </w:pPr>
            <w:r w:rsidRPr="00A33AAA">
              <w:rPr>
                <w:sz w:val="22"/>
                <w:lang w:val="en-US"/>
              </w:rPr>
              <w:t>April</w:t>
            </w:r>
          </w:p>
          <w:p w14:paraId="50F9E7D8" w14:textId="77777777" w:rsidR="00D45377" w:rsidRPr="00A33AAA" w:rsidRDefault="00D45377" w:rsidP="00970AB7">
            <w:pPr>
              <w:pStyle w:val="Paragraphedeliste"/>
              <w:rPr>
                <w:sz w:val="22"/>
                <w:lang w:val="en-US"/>
              </w:rPr>
            </w:pPr>
            <w:r>
              <w:rPr>
                <w:sz w:val="22"/>
                <w:lang w:val="en-US"/>
              </w:rPr>
              <w:t>May</w:t>
            </w:r>
          </w:p>
          <w:p w14:paraId="1E402509" w14:textId="77777777" w:rsidR="00D45377" w:rsidRPr="00A33AAA" w:rsidRDefault="00D45377" w:rsidP="00970AB7">
            <w:pPr>
              <w:pStyle w:val="Paragraphedeliste"/>
              <w:rPr>
                <w:sz w:val="22"/>
                <w:lang w:val="en-US"/>
              </w:rPr>
            </w:pPr>
            <w:r>
              <w:rPr>
                <w:sz w:val="22"/>
                <w:lang w:val="en-US"/>
              </w:rPr>
              <w:t>June</w:t>
            </w:r>
          </w:p>
        </w:tc>
        <w:tc>
          <w:tcPr>
            <w:tcW w:w="1843" w:type="dxa"/>
          </w:tcPr>
          <w:p w14:paraId="1DD97C66" w14:textId="77777777" w:rsidR="00D45377" w:rsidRDefault="00D45377" w:rsidP="00970AB7">
            <w:pPr>
              <w:jc w:val="center"/>
              <w:rPr>
                <w:sz w:val="22"/>
                <w:lang w:val="en-US"/>
              </w:rPr>
            </w:pPr>
          </w:p>
          <w:p w14:paraId="3B861C63" w14:textId="77777777" w:rsidR="00D45377" w:rsidRDefault="00D45377" w:rsidP="00970AB7">
            <w:pPr>
              <w:jc w:val="center"/>
              <w:rPr>
                <w:sz w:val="22"/>
                <w:lang w:val="en-US"/>
              </w:rPr>
            </w:pPr>
            <w:r>
              <w:rPr>
                <w:sz w:val="22"/>
                <w:lang w:val="en-US"/>
              </w:rPr>
              <w:t>5 (0.1%)</w:t>
            </w:r>
          </w:p>
          <w:p w14:paraId="22FBD8CF" w14:textId="77777777" w:rsidR="00D45377" w:rsidRDefault="00D45377" w:rsidP="00970AB7">
            <w:pPr>
              <w:jc w:val="center"/>
              <w:rPr>
                <w:sz w:val="22"/>
                <w:lang w:val="en-US"/>
              </w:rPr>
            </w:pPr>
            <w:r>
              <w:rPr>
                <w:sz w:val="22"/>
                <w:lang w:val="en-US"/>
              </w:rPr>
              <w:t>151 (2.5%)</w:t>
            </w:r>
          </w:p>
          <w:p w14:paraId="32B944AF" w14:textId="77777777" w:rsidR="00D45377" w:rsidRDefault="00D45377" w:rsidP="00970AB7">
            <w:pPr>
              <w:jc w:val="center"/>
              <w:rPr>
                <w:sz w:val="22"/>
                <w:lang w:val="en-US"/>
              </w:rPr>
            </w:pPr>
            <w:r>
              <w:rPr>
                <w:sz w:val="22"/>
                <w:lang w:val="en-US"/>
              </w:rPr>
              <w:t>370 (6.2%)</w:t>
            </w:r>
          </w:p>
          <w:p w14:paraId="088CABFE" w14:textId="77777777" w:rsidR="00D45377" w:rsidRDefault="00D45377" w:rsidP="00970AB7">
            <w:pPr>
              <w:jc w:val="center"/>
              <w:rPr>
                <w:sz w:val="22"/>
                <w:lang w:val="en-US"/>
              </w:rPr>
            </w:pPr>
            <w:r>
              <w:rPr>
                <w:sz w:val="22"/>
                <w:lang w:val="en-US"/>
              </w:rPr>
              <w:lastRenderedPageBreak/>
              <w:t>542 (9.1%)</w:t>
            </w:r>
          </w:p>
          <w:p w14:paraId="17AEEE84" w14:textId="77777777" w:rsidR="00D45377" w:rsidRDefault="00D45377" w:rsidP="00970AB7">
            <w:pPr>
              <w:jc w:val="center"/>
              <w:rPr>
                <w:sz w:val="22"/>
                <w:lang w:val="en-US"/>
              </w:rPr>
            </w:pPr>
            <w:r>
              <w:rPr>
                <w:sz w:val="22"/>
                <w:lang w:val="en-US"/>
              </w:rPr>
              <w:t>728 (12.3%)</w:t>
            </w:r>
          </w:p>
          <w:p w14:paraId="2D00FD1F" w14:textId="77777777" w:rsidR="00D45377" w:rsidRDefault="00D45377" w:rsidP="00970AB7">
            <w:pPr>
              <w:jc w:val="center"/>
              <w:rPr>
                <w:sz w:val="22"/>
                <w:lang w:val="en-US"/>
              </w:rPr>
            </w:pPr>
            <w:r>
              <w:rPr>
                <w:sz w:val="22"/>
                <w:lang w:val="en-US"/>
              </w:rPr>
              <w:t>1680 (28.3%)</w:t>
            </w:r>
          </w:p>
          <w:p w14:paraId="19FB4676" w14:textId="77777777" w:rsidR="00D45377" w:rsidRPr="00A33AAA" w:rsidRDefault="00D45377" w:rsidP="00970AB7">
            <w:pPr>
              <w:jc w:val="center"/>
              <w:rPr>
                <w:sz w:val="22"/>
                <w:lang w:val="en-US"/>
              </w:rPr>
            </w:pPr>
            <w:r>
              <w:rPr>
                <w:sz w:val="22"/>
                <w:lang w:val="en-US"/>
              </w:rPr>
              <w:t>2455 (41.4%)</w:t>
            </w:r>
          </w:p>
        </w:tc>
        <w:tc>
          <w:tcPr>
            <w:tcW w:w="1843" w:type="dxa"/>
          </w:tcPr>
          <w:p w14:paraId="57CAD92F" w14:textId="77777777" w:rsidR="00D45377" w:rsidRDefault="00D45377" w:rsidP="00970AB7">
            <w:pPr>
              <w:jc w:val="center"/>
              <w:rPr>
                <w:sz w:val="22"/>
                <w:lang w:val="en-US"/>
              </w:rPr>
            </w:pPr>
          </w:p>
          <w:p w14:paraId="1BFAC262" w14:textId="77777777" w:rsidR="00D45377" w:rsidRDefault="00D45377" w:rsidP="00970AB7">
            <w:pPr>
              <w:jc w:val="center"/>
              <w:rPr>
                <w:sz w:val="22"/>
                <w:lang w:val="en-US"/>
              </w:rPr>
            </w:pPr>
            <w:r>
              <w:rPr>
                <w:sz w:val="22"/>
                <w:lang w:val="en-US"/>
              </w:rPr>
              <w:t>0</w:t>
            </w:r>
          </w:p>
          <w:p w14:paraId="7DFFE910" w14:textId="77777777" w:rsidR="00D45377" w:rsidRDefault="00D45377" w:rsidP="00970AB7">
            <w:pPr>
              <w:jc w:val="center"/>
              <w:rPr>
                <w:sz w:val="22"/>
                <w:lang w:val="en-US"/>
              </w:rPr>
            </w:pPr>
            <w:r>
              <w:rPr>
                <w:sz w:val="22"/>
                <w:lang w:val="en-US"/>
              </w:rPr>
              <w:t>5 (0.3%)</w:t>
            </w:r>
          </w:p>
          <w:p w14:paraId="5D9D053E" w14:textId="77777777" w:rsidR="00D45377" w:rsidRDefault="00D45377" w:rsidP="00970AB7">
            <w:pPr>
              <w:jc w:val="center"/>
              <w:rPr>
                <w:sz w:val="22"/>
                <w:lang w:val="en-US"/>
              </w:rPr>
            </w:pPr>
            <w:r>
              <w:rPr>
                <w:sz w:val="22"/>
                <w:lang w:val="en-US"/>
              </w:rPr>
              <w:t>24 (1.3%)</w:t>
            </w:r>
          </w:p>
          <w:p w14:paraId="6BDF143B" w14:textId="77777777" w:rsidR="00D45377" w:rsidRDefault="00D45377" w:rsidP="00970AB7">
            <w:pPr>
              <w:jc w:val="center"/>
              <w:rPr>
                <w:sz w:val="22"/>
                <w:lang w:val="en-US"/>
              </w:rPr>
            </w:pPr>
            <w:r>
              <w:rPr>
                <w:sz w:val="22"/>
                <w:lang w:val="en-US"/>
              </w:rPr>
              <w:lastRenderedPageBreak/>
              <w:t>86 (4.8%)</w:t>
            </w:r>
          </w:p>
          <w:p w14:paraId="68180D2C" w14:textId="77777777" w:rsidR="00D45377" w:rsidRDefault="00D45377" w:rsidP="00970AB7">
            <w:pPr>
              <w:jc w:val="center"/>
              <w:rPr>
                <w:sz w:val="22"/>
                <w:lang w:val="en-US"/>
              </w:rPr>
            </w:pPr>
            <w:r>
              <w:rPr>
                <w:sz w:val="22"/>
                <w:lang w:val="en-US"/>
              </w:rPr>
              <w:t>129 (7.2%)</w:t>
            </w:r>
          </w:p>
          <w:p w14:paraId="7DBE46FE" w14:textId="77777777" w:rsidR="00D45377" w:rsidRDefault="00D45377" w:rsidP="00970AB7">
            <w:pPr>
              <w:jc w:val="center"/>
              <w:rPr>
                <w:sz w:val="22"/>
                <w:lang w:val="en-US"/>
              </w:rPr>
            </w:pPr>
            <w:r>
              <w:rPr>
                <w:sz w:val="22"/>
                <w:lang w:val="en-US"/>
              </w:rPr>
              <w:t>660 (36.7%)</w:t>
            </w:r>
          </w:p>
          <w:p w14:paraId="07B681B4" w14:textId="77777777" w:rsidR="00D45377" w:rsidRPr="00A33AAA" w:rsidRDefault="00D45377" w:rsidP="00970AB7">
            <w:pPr>
              <w:jc w:val="center"/>
              <w:rPr>
                <w:sz w:val="22"/>
                <w:lang w:val="en-US"/>
              </w:rPr>
            </w:pPr>
            <w:r>
              <w:rPr>
                <w:sz w:val="22"/>
                <w:lang w:val="en-US"/>
              </w:rPr>
              <w:t>893 (46.7%)</w:t>
            </w:r>
          </w:p>
        </w:tc>
        <w:tc>
          <w:tcPr>
            <w:tcW w:w="1843" w:type="dxa"/>
          </w:tcPr>
          <w:p w14:paraId="7F9A7A94" w14:textId="77777777" w:rsidR="00D45377" w:rsidRDefault="00D45377" w:rsidP="00970AB7">
            <w:pPr>
              <w:jc w:val="center"/>
              <w:rPr>
                <w:sz w:val="22"/>
                <w:lang w:val="en-US"/>
              </w:rPr>
            </w:pPr>
          </w:p>
          <w:p w14:paraId="645D75B3" w14:textId="77777777" w:rsidR="00D45377" w:rsidRDefault="00D45377" w:rsidP="00970AB7">
            <w:pPr>
              <w:jc w:val="center"/>
              <w:rPr>
                <w:sz w:val="22"/>
                <w:lang w:val="en-US"/>
              </w:rPr>
            </w:pPr>
            <w:r>
              <w:rPr>
                <w:sz w:val="22"/>
                <w:lang w:val="en-US"/>
              </w:rPr>
              <w:t>5 (0.1%)</w:t>
            </w:r>
          </w:p>
          <w:p w14:paraId="707950A1" w14:textId="77777777" w:rsidR="00D45377" w:rsidRDefault="00D45377" w:rsidP="00970AB7">
            <w:pPr>
              <w:jc w:val="center"/>
              <w:rPr>
                <w:sz w:val="22"/>
                <w:lang w:val="en-US"/>
              </w:rPr>
            </w:pPr>
            <w:r>
              <w:rPr>
                <w:sz w:val="22"/>
                <w:lang w:val="en-US"/>
              </w:rPr>
              <w:t>156 (2.0%)</w:t>
            </w:r>
          </w:p>
          <w:p w14:paraId="7917334F" w14:textId="77777777" w:rsidR="00D45377" w:rsidRDefault="00D45377" w:rsidP="00970AB7">
            <w:pPr>
              <w:jc w:val="center"/>
              <w:rPr>
                <w:sz w:val="22"/>
                <w:lang w:val="en-US"/>
              </w:rPr>
            </w:pPr>
            <w:r>
              <w:rPr>
                <w:sz w:val="22"/>
                <w:lang w:val="en-US"/>
              </w:rPr>
              <w:t>394 (5.1%)</w:t>
            </w:r>
          </w:p>
          <w:p w14:paraId="0A18639A" w14:textId="77777777" w:rsidR="00D45377" w:rsidRDefault="00D45377" w:rsidP="00970AB7">
            <w:pPr>
              <w:jc w:val="center"/>
              <w:rPr>
                <w:sz w:val="22"/>
                <w:lang w:val="en-US"/>
              </w:rPr>
            </w:pPr>
            <w:r>
              <w:rPr>
                <w:sz w:val="22"/>
                <w:lang w:val="en-US"/>
              </w:rPr>
              <w:lastRenderedPageBreak/>
              <w:t>628 (8.1%)</w:t>
            </w:r>
          </w:p>
          <w:p w14:paraId="64B1AED6" w14:textId="77777777" w:rsidR="00D45377" w:rsidRDefault="00D45377" w:rsidP="00970AB7">
            <w:pPr>
              <w:jc w:val="center"/>
              <w:rPr>
                <w:sz w:val="22"/>
                <w:lang w:val="en-US"/>
              </w:rPr>
            </w:pPr>
            <w:r>
              <w:rPr>
                <w:sz w:val="22"/>
                <w:lang w:val="en-US"/>
              </w:rPr>
              <w:t>857 (11.1%)</w:t>
            </w:r>
          </w:p>
          <w:p w14:paraId="0F8D21CF" w14:textId="77777777" w:rsidR="00D45377" w:rsidRDefault="00D45377" w:rsidP="00970AB7">
            <w:pPr>
              <w:jc w:val="center"/>
              <w:rPr>
                <w:sz w:val="22"/>
                <w:lang w:val="en-US"/>
              </w:rPr>
            </w:pPr>
            <w:r>
              <w:rPr>
                <w:sz w:val="22"/>
                <w:lang w:val="en-US"/>
              </w:rPr>
              <w:t>2340 (30.3%)</w:t>
            </w:r>
          </w:p>
          <w:p w14:paraId="3456C26A" w14:textId="77777777" w:rsidR="00D45377" w:rsidRDefault="00D45377" w:rsidP="00970AB7">
            <w:pPr>
              <w:jc w:val="center"/>
              <w:rPr>
                <w:sz w:val="22"/>
                <w:lang w:val="en-US"/>
              </w:rPr>
            </w:pPr>
            <w:r>
              <w:rPr>
                <w:sz w:val="22"/>
                <w:lang w:val="en-US"/>
              </w:rPr>
              <w:t>3348 (43.3%)</w:t>
            </w:r>
          </w:p>
        </w:tc>
      </w:tr>
    </w:tbl>
    <w:p w14:paraId="19DF3C1F" w14:textId="77777777" w:rsidR="00D45377" w:rsidRPr="001D2609" w:rsidRDefault="00D45377" w:rsidP="00970AB7">
      <w:pPr>
        <w:suppressLineNumbers/>
        <w:spacing w:line="276" w:lineRule="auto"/>
        <w:rPr>
          <w:b/>
          <w:sz w:val="22"/>
          <w:lang w:val="en-US"/>
        </w:rPr>
      </w:pPr>
    </w:p>
    <w:p w14:paraId="24123287" w14:textId="77777777" w:rsidR="00D45377" w:rsidRPr="002E65F0" w:rsidRDefault="00D45377" w:rsidP="00970AB7">
      <w:pPr>
        <w:pStyle w:val="Sansinterligne"/>
        <w:suppressLineNumbers/>
        <w:spacing w:line="360" w:lineRule="auto"/>
        <w:rPr>
          <w:rFonts w:ascii="Times New Roman" w:hAnsi="Times New Roman" w:cs="Times New Roman"/>
          <w:szCs w:val="24"/>
          <w:lang w:val="en-US"/>
        </w:rPr>
      </w:pPr>
      <w:r w:rsidRPr="002E65F0">
        <w:rPr>
          <w:rFonts w:ascii="Times New Roman" w:hAnsi="Times New Roman" w:cs="Times New Roman"/>
          <w:i/>
          <w:iCs/>
          <w:color w:val="000000" w:themeColor="text1"/>
          <w:lang w:val="en-US"/>
        </w:rPr>
        <w:t>Footnote:</w:t>
      </w:r>
      <w:r w:rsidRPr="002E65F0">
        <w:rPr>
          <w:rFonts w:ascii="Times New Roman" w:hAnsi="Times New Roman" w:cs="Times New Roman"/>
          <w:iCs/>
          <w:color w:val="000000" w:themeColor="text1"/>
          <w:lang w:val="en-US"/>
        </w:rPr>
        <w:t xml:space="preserve"> </w:t>
      </w:r>
      <w:r w:rsidRPr="002E65F0">
        <w:rPr>
          <w:rFonts w:ascii="Times New Roman" w:hAnsi="Times New Roman" w:cs="Times New Roman"/>
          <w:szCs w:val="24"/>
          <w:lang w:val="en-US"/>
        </w:rPr>
        <w:t>Data are presented as N (%) or median (IQR)</w:t>
      </w:r>
    </w:p>
    <w:p w14:paraId="69292089" w14:textId="77777777" w:rsidR="00D45377" w:rsidRPr="002E65F0" w:rsidRDefault="00D45377" w:rsidP="00970AB7">
      <w:pPr>
        <w:suppressLineNumbers/>
        <w:spacing w:line="360" w:lineRule="auto"/>
        <w:jc w:val="both"/>
        <w:rPr>
          <w:rFonts w:eastAsia="Calibri"/>
          <w:bCs/>
          <w:lang w:val="en-US"/>
        </w:rPr>
      </w:pPr>
      <w:r w:rsidRPr="002E65F0">
        <w:rPr>
          <w:rFonts w:eastAsia="Calibri"/>
          <w:bCs/>
          <w:lang w:val="en-US"/>
        </w:rPr>
        <w:t>As patients could develop more than one type of lesion, the number of type of injury exceed the number of cases</w:t>
      </w:r>
    </w:p>
    <w:p w14:paraId="1854CAF0" w14:textId="18A53AFB" w:rsidR="00D45377" w:rsidRPr="00E519B3" w:rsidRDefault="00D45377" w:rsidP="00970AB7">
      <w:pPr>
        <w:suppressLineNumbers/>
        <w:spacing w:line="360" w:lineRule="auto"/>
        <w:jc w:val="both"/>
        <w:rPr>
          <w:rFonts w:eastAsia="Calibri"/>
          <w:bCs/>
          <w:lang w:val="en-US"/>
        </w:rPr>
      </w:pPr>
      <w:r w:rsidRPr="002E65F0">
        <w:rPr>
          <w:rFonts w:eastAsia="Calibri"/>
          <w:bCs/>
          <w:lang w:val="en-US"/>
        </w:rPr>
        <w:t>* including seven genital injuries for BNT162b2 and none for mRNA-1273.</w:t>
      </w:r>
      <w:r>
        <w:rPr>
          <w:iCs/>
          <w:color w:val="000000" w:themeColor="text1"/>
          <w:lang w:val="en-US"/>
        </w:rPr>
        <w:br w:type="page"/>
      </w:r>
    </w:p>
    <w:p w14:paraId="092C1FD0" w14:textId="77777777" w:rsidR="00D45377" w:rsidRPr="00954CEE" w:rsidRDefault="00D45377" w:rsidP="00970AB7">
      <w:pPr>
        <w:suppressLineNumbers/>
        <w:spacing w:line="360" w:lineRule="auto"/>
        <w:jc w:val="both"/>
        <w:rPr>
          <w:rFonts w:eastAsia="Calibri"/>
          <w:lang w:val="en-US"/>
        </w:rPr>
      </w:pPr>
      <w:r w:rsidRPr="00954CEE">
        <w:rPr>
          <w:rFonts w:eastAsia="Calibri"/>
          <w:b/>
          <w:lang w:val="en-US"/>
        </w:rPr>
        <w:lastRenderedPageBreak/>
        <w:t xml:space="preserve">Table 2. </w:t>
      </w:r>
      <w:r w:rsidRPr="00954CEE">
        <w:rPr>
          <w:b/>
          <w:lang w:val="en-US"/>
        </w:rPr>
        <w:t>Herpes zoster</w:t>
      </w:r>
      <w:r w:rsidRPr="00954CEE">
        <w:rPr>
          <w:rFonts w:eastAsia="Calibri"/>
          <w:b/>
          <w:bCs/>
          <w:lang w:val="en-US"/>
        </w:rPr>
        <w:t xml:space="preserve"> reporting and </w:t>
      </w:r>
      <w:r w:rsidRPr="00954CEE">
        <w:rPr>
          <w:rFonts w:eastAsia="Calibri"/>
          <w:b/>
          <w:lang w:val="en-US"/>
        </w:rPr>
        <w:t xml:space="preserve">Reporting Odds Ratios for mRNA COVID-19 vaccines </w:t>
      </w:r>
      <w:r w:rsidRPr="00954CEE">
        <w:rPr>
          <w:rFonts w:eastAsia="Calibri"/>
          <w:b/>
          <w:bCs/>
          <w:lang w:val="en-US"/>
        </w:rPr>
        <w:t xml:space="preserve">within the WHO </w:t>
      </w:r>
      <w:r w:rsidRPr="00954CEE">
        <w:rPr>
          <w:b/>
          <w:lang w:val="en-US"/>
        </w:rPr>
        <w:t xml:space="preserve">global safety </w:t>
      </w:r>
      <w:r w:rsidRPr="00954CEE">
        <w:rPr>
          <w:rFonts w:eastAsia="Calibri"/>
          <w:b/>
          <w:bCs/>
          <w:lang w:val="en-US"/>
        </w:rPr>
        <w:t xml:space="preserve">database </w:t>
      </w:r>
    </w:p>
    <w:tbl>
      <w:tblPr>
        <w:tblW w:w="9498" w:type="dxa"/>
        <w:tblLayout w:type="fixed"/>
        <w:tblCellMar>
          <w:left w:w="70" w:type="dxa"/>
          <w:right w:w="70" w:type="dxa"/>
        </w:tblCellMar>
        <w:tblLook w:val="04A0" w:firstRow="1" w:lastRow="0" w:firstColumn="1" w:lastColumn="0" w:noHBand="0" w:noVBand="1"/>
      </w:tblPr>
      <w:tblGrid>
        <w:gridCol w:w="3544"/>
        <w:gridCol w:w="1559"/>
        <w:gridCol w:w="1276"/>
        <w:gridCol w:w="3119"/>
      </w:tblGrid>
      <w:tr w:rsidR="00D45377" w:rsidRPr="00954CEE" w14:paraId="0B508088" w14:textId="77777777" w:rsidTr="00213239">
        <w:trPr>
          <w:trHeight w:val="688"/>
        </w:trPr>
        <w:tc>
          <w:tcPr>
            <w:tcW w:w="3544" w:type="dxa"/>
            <w:tcBorders>
              <w:top w:val="single" w:sz="12" w:space="0" w:color="auto"/>
              <w:bottom w:val="single" w:sz="12" w:space="0" w:color="auto"/>
            </w:tcBorders>
            <w:shd w:val="clear" w:color="auto" w:fill="auto"/>
            <w:noWrap/>
            <w:vAlign w:val="center"/>
            <w:hideMark/>
          </w:tcPr>
          <w:p w14:paraId="7CCD2029" w14:textId="77777777" w:rsidR="00D45377" w:rsidRPr="00954CEE" w:rsidRDefault="00D45377" w:rsidP="00970AB7">
            <w:pPr>
              <w:pStyle w:val="Sansinterligne"/>
              <w:rPr>
                <w:rFonts w:ascii="Times New Roman" w:hAnsi="Times New Roman" w:cs="Times New Roman"/>
                <w:b/>
                <w:lang w:val="en-US"/>
              </w:rPr>
            </w:pPr>
          </w:p>
        </w:tc>
        <w:tc>
          <w:tcPr>
            <w:tcW w:w="1559" w:type="dxa"/>
            <w:tcBorders>
              <w:top w:val="single" w:sz="12" w:space="0" w:color="auto"/>
              <w:bottom w:val="single" w:sz="12" w:space="0" w:color="auto"/>
            </w:tcBorders>
            <w:vAlign w:val="center"/>
          </w:tcPr>
          <w:p w14:paraId="6457CE89" w14:textId="77777777" w:rsidR="00D45377" w:rsidRPr="00954CEE" w:rsidRDefault="00D45377" w:rsidP="00970AB7">
            <w:pPr>
              <w:pStyle w:val="Sansinterligne"/>
              <w:jc w:val="center"/>
              <w:rPr>
                <w:rFonts w:ascii="Times New Roman" w:hAnsi="Times New Roman" w:cs="Times New Roman"/>
                <w:b/>
                <w:bCs/>
              </w:rPr>
            </w:pPr>
            <w:r w:rsidRPr="00954CEE">
              <w:rPr>
                <w:rFonts w:ascii="Times New Roman" w:hAnsi="Times New Roman" w:cs="Times New Roman"/>
                <w:b/>
                <w:bCs/>
              </w:rPr>
              <w:t>Cases</w:t>
            </w:r>
          </w:p>
        </w:tc>
        <w:tc>
          <w:tcPr>
            <w:tcW w:w="1276" w:type="dxa"/>
            <w:tcBorders>
              <w:top w:val="single" w:sz="12" w:space="0" w:color="auto"/>
              <w:bottom w:val="single" w:sz="12" w:space="0" w:color="auto"/>
            </w:tcBorders>
            <w:shd w:val="clear" w:color="auto" w:fill="auto"/>
            <w:vAlign w:val="center"/>
            <w:hideMark/>
          </w:tcPr>
          <w:p w14:paraId="179B5189" w14:textId="77777777" w:rsidR="00D45377" w:rsidRPr="00954CEE" w:rsidRDefault="00D45377" w:rsidP="00970AB7">
            <w:pPr>
              <w:pStyle w:val="Sansinterligne"/>
              <w:jc w:val="center"/>
              <w:rPr>
                <w:rFonts w:ascii="Times New Roman" w:hAnsi="Times New Roman" w:cs="Times New Roman"/>
                <w:b/>
                <w:bCs/>
              </w:rPr>
            </w:pPr>
            <w:r w:rsidRPr="00954CEE">
              <w:rPr>
                <w:rFonts w:ascii="Times New Roman" w:hAnsi="Times New Roman" w:cs="Times New Roman"/>
                <w:b/>
                <w:bCs/>
              </w:rPr>
              <w:t>Non-cases</w:t>
            </w:r>
          </w:p>
        </w:tc>
        <w:tc>
          <w:tcPr>
            <w:tcW w:w="3119" w:type="dxa"/>
            <w:tcBorders>
              <w:top w:val="single" w:sz="12" w:space="0" w:color="auto"/>
              <w:bottom w:val="single" w:sz="12" w:space="0" w:color="auto"/>
            </w:tcBorders>
            <w:vAlign w:val="center"/>
          </w:tcPr>
          <w:p w14:paraId="3C93C099" w14:textId="77777777" w:rsidR="00D45377" w:rsidRPr="00954CEE" w:rsidRDefault="00D45377" w:rsidP="00970AB7">
            <w:pPr>
              <w:pStyle w:val="Sansinterligne"/>
              <w:jc w:val="center"/>
              <w:rPr>
                <w:rFonts w:ascii="Times New Roman" w:hAnsi="Times New Roman" w:cs="Times New Roman"/>
                <w:b/>
                <w:bCs/>
              </w:rPr>
            </w:pPr>
            <w:r w:rsidRPr="00954CEE">
              <w:rPr>
                <w:rFonts w:ascii="Times New Roman" w:hAnsi="Times New Roman" w:cs="Times New Roman"/>
                <w:b/>
                <w:bCs/>
              </w:rPr>
              <w:t>ROR [95% CI]</w:t>
            </w:r>
          </w:p>
        </w:tc>
      </w:tr>
      <w:tr w:rsidR="00D45377" w:rsidRPr="00954CEE" w14:paraId="304F8EBB" w14:textId="77777777" w:rsidTr="00213239">
        <w:trPr>
          <w:trHeight w:val="400"/>
        </w:trPr>
        <w:tc>
          <w:tcPr>
            <w:tcW w:w="9498" w:type="dxa"/>
            <w:gridSpan w:val="4"/>
            <w:tcBorders>
              <w:top w:val="single" w:sz="12" w:space="0" w:color="auto"/>
              <w:bottom w:val="single" w:sz="12" w:space="0" w:color="auto"/>
            </w:tcBorders>
            <w:shd w:val="clear" w:color="auto" w:fill="auto"/>
            <w:noWrap/>
            <w:vAlign w:val="center"/>
          </w:tcPr>
          <w:p w14:paraId="2A5F97CE" w14:textId="77777777" w:rsidR="00D45377" w:rsidRPr="00954CEE" w:rsidRDefault="00D45377" w:rsidP="00970AB7">
            <w:pPr>
              <w:pStyle w:val="Sansinterligne"/>
              <w:rPr>
                <w:rFonts w:ascii="Times New Roman" w:hAnsi="Times New Roman" w:cs="Times New Roman"/>
                <w:b/>
                <w:bCs/>
                <w:lang w:val="en-US"/>
              </w:rPr>
            </w:pPr>
            <w:r w:rsidRPr="00954CEE">
              <w:rPr>
                <w:rFonts w:ascii="Times New Roman" w:hAnsi="Times New Roman" w:cs="Times New Roman"/>
                <w:b/>
                <w:lang w:val="en-US"/>
              </w:rPr>
              <w:t>First analysis - compare to influenza vaccines</w:t>
            </w:r>
          </w:p>
        </w:tc>
      </w:tr>
      <w:tr w:rsidR="00D45377" w:rsidRPr="00954CEE" w14:paraId="17F9E262" w14:textId="77777777" w:rsidTr="00213239">
        <w:trPr>
          <w:trHeight w:val="340"/>
        </w:trPr>
        <w:tc>
          <w:tcPr>
            <w:tcW w:w="3544" w:type="dxa"/>
            <w:tcBorders>
              <w:top w:val="single" w:sz="8" w:space="0" w:color="auto"/>
            </w:tcBorders>
            <w:shd w:val="clear" w:color="auto" w:fill="auto"/>
            <w:noWrap/>
            <w:vAlign w:val="center"/>
          </w:tcPr>
          <w:p w14:paraId="77236E0D" w14:textId="77777777" w:rsidR="00D45377" w:rsidRPr="00954CEE" w:rsidRDefault="00D45377" w:rsidP="00970AB7">
            <w:pPr>
              <w:pStyle w:val="Sansinterligne"/>
              <w:rPr>
                <w:rFonts w:ascii="Times New Roman" w:hAnsi="Times New Roman" w:cs="Times New Roman"/>
                <w:b/>
                <w:lang w:val="en-US"/>
              </w:rPr>
            </w:pPr>
            <w:r w:rsidRPr="00954CEE">
              <w:rPr>
                <w:rFonts w:ascii="Times New Roman" w:hAnsi="Times New Roman" w:cs="Times New Roman"/>
                <w:b/>
                <w:lang w:val="en-US"/>
              </w:rPr>
              <w:t>Both mRNA COVID-19 vaccine recipients</w:t>
            </w:r>
          </w:p>
        </w:tc>
        <w:tc>
          <w:tcPr>
            <w:tcW w:w="1559" w:type="dxa"/>
            <w:tcBorders>
              <w:top w:val="single" w:sz="8" w:space="0" w:color="auto"/>
            </w:tcBorders>
            <w:vAlign w:val="center"/>
          </w:tcPr>
          <w:p w14:paraId="2541EBED"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1449</w:t>
            </w:r>
          </w:p>
        </w:tc>
        <w:tc>
          <w:tcPr>
            <w:tcW w:w="1276" w:type="dxa"/>
            <w:tcBorders>
              <w:top w:val="single" w:sz="8" w:space="0" w:color="auto"/>
            </w:tcBorders>
            <w:shd w:val="clear" w:color="auto" w:fill="auto"/>
            <w:noWrap/>
            <w:vAlign w:val="center"/>
          </w:tcPr>
          <w:p w14:paraId="6D0498AB"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228,489</w:t>
            </w:r>
          </w:p>
        </w:tc>
        <w:tc>
          <w:tcPr>
            <w:tcW w:w="3119" w:type="dxa"/>
            <w:tcBorders>
              <w:top w:val="single" w:sz="8" w:space="0" w:color="auto"/>
            </w:tcBorders>
            <w:vAlign w:val="center"/>
          </w:tcPr>
          <w:p w14:paraId="6461D374"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1.9 [1.8-2.1]</w:t>
            </w:r>
          </w:p>
        </w:tc>
      </w:tr>
      <w:tr w:rsidR="00D45377" w:rsidRPr="00954CEE" w14:paraId="50CB5420" w14:textId="77777777" w:rsidTr="00213239">
        <w:trPr>
          <w:trHeight w:val="454"/>
        </w:trPr>
        <w:tc>
          <w:tcPr>
            <w:tcW w:w="3544" w:type="dxa"/>
            <w:shd w:val="clear" w:color="auto" w:fill="auto"/>
            <w:noWrap/>
            <w:vAlign w:val="center"/>
          </w:tcPr>
          <w:p w14:paraId="686E89E3" w14:textId="77777777" w:rsidR="00D45377" w:rsidRPr="00954CEE" w:rsidRDefault="00D45377" w:rsidP="00970AB7">
            <w:pPr>
              <w:pStyle w:val="Sansinterligne"/>
              <w:rPr>
                <w:rFonts w:ascii="Times New Roman" w:hAnsi="Times New Roman" w:cs="Times New Roman"/>
                <w:b/>
              </w:rPr>
            </w:pPr>
            <w:r w:rsidRPr="00954CEE">
              <w:rPr>
                <w:rFonts w:ascii="Times New Roman" w:hAnsi="Times New Roman" w:cs="Times New Roman"/>
                <w:b/>
              </w:rPr>
              <w:t xml:space="preserve">BNT162b2 </w:t>
            </w:r>
            <w:r w:rsidRPr="00954CEE">
              <w:rPr>
                <w:rFonts w:ascii="Times New Roman" w:hAnsi="Times New Roman" w:cs="Times New Roman"/>
                <w:b/>
                <w:lang w:val="en-US"/>
              </w:rPr>
              <w:t>recipients</w:t>
            </w:r>
          </w:p>
        </w:tc>
        <w:tc>
          <w:tcPr>
            <w:tcW w:w="1559" w:type="dxa"/>
            <w:vAlign w:val="center"/>
          </w:tcPr>
          <w:p w14:paraId="73ACC3D2"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1292</w:t>
            </w:r>
          </w:p>
        </w:tc>
        <w:tc>
          <w:tcPr>
            <w:tcW w:w="1276" w:type="dxa"/>
            <w:shd w:val="clear" w:color="auto" w:fill="auto"/>
            <w:noWrap/>
            <w:vAlign w:val="center"/>
          </w:tcPr>
          <w:p w14:paraId="45E140E1"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196,365</w:t>
            </w:r>
          </w:p>
        </w:tc>
        <w:tc>
          <w:tcPr>
            <w:tcW w:w="3119" w:type="dxa"/>
            <w:vAlign w:val="center"/>
          </w:tcPr>
          <w:p w14:paraId="6D82DFA9"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2.0 [1.8-2.2]</w:t>
            </w:r>
          </w:p>
        </w:tc>
      </w:tr>
      <w:tr w:rsidR="00D45377" w:rsidRPr="00954CEE" w14:paraId="6A448B79" w14:textId="77777777" w:rsidTr="00213239">
        <w:trPr>
          <w:trHeight w:val="454"/>
        </w:trPr>
        <w:tc>
          <w:tcPr>
            <w:tcW w:w="3544" w:type="dxa"/>
            <w:shd w:val="clear" w:color="auto" w:fill="auto"/>
            <w:noWrap/>
            <w:vAlign w:val="center"/>
          </w:tcPr>
          <w:p w14:paraId="236721AC" w14:textId="77777777" w:rsidR="00D45377" w:rsidRPr="00954CEE" w:rsidRDefault="00D45377" w:rsidP="00970AB7">
            <w:pPr>
              <w:pStyle w:val="Sansinterligne"/>
              <w:rPr>
                <w:rFonts w:ascii="Times New Roman" w:hAnsi="Times New Roman" w:cs="Times New Roman"/>
                <w:b/>
              </w:rPr>
            </w:pPr>
            <w:r w:rsidRPr="00954CEE">
              <w:rPr>
                <w:rFonts w:ascii="Times New Roman" w:hAnsi="Times New Roman" w:cs="Times New Roman"/>
                <w:b/>
              </w:rPr>
              <w:t>mRNA-1273</w:t>
            </w:r>
            <w:r w:rsidRPr="00954CEE">
              <w:rPr>
                <w:rFonts w:ascii="Times New Roman" w:hAnsi="Times New Roman" w:cs="Times New Roman"/>
                <w:b/>
                <w:lang w:val="en-US"/>
              </w:rPr>
              <w:t xml:space="preserve"> recipients</w:t>
            </w:r>
          </w:p>
        </w:tc>
        <w:tc>
          <w:tcPr>
            <w:tcW w:w="1559" w:type="dxa"/>
            <w:vAlign w:val="center"/>
          </w:tcPr>
          <w:p w14:paraId="4683995A"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157</w:t>
            </w:r>
          </w:p>
        </w:tc>
        <w:tc>
          <w:tcPr>
            <w:tcW w:w="1276" w:type="dxa"/>
            <w:shd w:val="clear" w:color="auto" w:fill="auto"/>
            <w:noWrap/>
            <w:vAlign w:val="center"/>
          </w:tcPr>
          <w:p w14:paraId="419EF1AE"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32,124</w:t>
            </w:r>
          </w:p>
        </w:tc>
        <w:tc>
          <w:tcPr>
            <w:tcW w:w="3119" w:type="dxa"/>
            <w:vAlign w:val="center"/>
          </w:tcPr>
          <w:p w14:paraId="09AA6DD7"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1.5 [1.2-1.8]</w:t>
            </w:r>
          </w:p>
        </w:tc>
      </w:tr>
      <w:tr w:rsidR="00D45377" w:rsidRPr="00954CEE" w14:paraId="072E2A58" w14:textId="77777777" w:rsidTr="00213239">
        <w:trPr>
          <w:trHeight w:val="454"/>
        </w:trPr>
        <w:tc>
          <w:tcPr>
            <w:tcW w:w="3544" w:type="dxa"/>
            <w:tcBorders>
              <w:bottom w:val="single" w:sz="12" w:space="0" w:color="auto"/>
            </w:tcBorders>
            <w:shd w:val="clear" w:color="auto" w:fill="auto"/>
            <w:noWrap/>
            <w:vAlign w:val="center"/>
          </w:tcPr>
          <w:p w14:paraId="62A78DE7" w14:textId="77777777" w:rsidR="00D45377" w:rsidRPr="00954CEE" w:rsidRDefault="00D45377" w:rsidP="00970AB7">
            <w:pPr>
              <w:pStyle w:val="Sansinterligne"/>
              <w:rPr>
                <w:rFonts w:ascii="Times New Roman" w:hAnsi="Times New Roman" w:cs="Times New Roman"/>
                <w:b/>
              </w:rPr>
            </w:pPr>
            <w:r w:rsidRPr="00954CEE">
              <w:rPr>
                <w:rFonts w:ascii="Times New Roman" w:hAnsi="Times New Roman" w:cs="Times New Roman"/>
                <w:b/>
              </w:rPr>
              <w:t xml:space="preserve">Influenza vaccine </w:t>
            </w:r>
            <w:r w:rsidRPr="00954CEE">
              <w:rPr>
                <w:rFonts w:ascii="Times New Roman" w:hAnsi="Times New Roman" w:cs="Times New Roman"/>
                <w:b/>
                <w:lang w:val="en-US"/>
              </w:rPr>
              <w:t>recipients</w:t>
            </w:r>
          </w:p>
        </w:tc>
        <w:tc>
          <w:tcPr>
            <w:tcW w:w="1559" w:type="dxa"/>
            <w:tcBorders>
              <w:bottom w:val="single" w:sz="12" w:space="0" w:color="auto"/>
            </w:tcBorders>
            <w:vAlign w:val="center"/>
          </w:tcPr>
          <w:p w14:paraId="50FBB4CD"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665</w:t>
            </w:r>
          </w:p>
        </w:tc>
        <w:tc>
          <w:tcPr>
            <w:tcW w:w="1276" w:type="dxa"/>
            <w:tcBorders>
              <w:bottom w:val="single" w:sz="12" w:space="0" w:color="auto"/>
            </w:tcBorders>
            <w:shd w:val="clear" w:color="auto" w:fill="auto"/>
            <w:noWrap/>
            <w:vAlign w:val="center"/>
          </w:tcPr>
          <w:p w14:paraId="63540D2A"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201,452</w:t>
            </w:r>
          </w:p>
        </w:tc>
        <w:tc>
          <w:tcPr>
            <w:tcW w:w="3119" w:type="dxa"/>
            <w:tcBorders>
              <w:bottom w:val="single" w:sz="12" w:space="0" w:color="auto"/>
            </w:tcBorders>
            <w:vAlign w:val="center"/>
          </w:tcPr>
          <w:p w14:paraId="2A89E54B" w14:textId="77777777" w:rsidR="00D45377" w:rsidRPr="00954CEE" w:rsidRDefault="00D45377" w:rsidP="00970AB7">
            <w:pPr>
              <w:pStyle w:val="Sansinterligne"/>
              <w:jc w:val="center"/>
              <w:rPr>
                <w:rFonts w:ascii="Times New Roman" w:hAnsi="Times New Roman" w:cs="Times New Roman"/>
              </w:rPr>
            </w:pPr>
            <w:r w:rsidRPr="00954CEE">
              <w:rPr>
                <w:rFonts w:ascii="Times New Roman" w:hAnsi="Times New Roman" w:cs="Times New Roman"/>
              </w:rPr>
              <w:t>ref</w:t>
            </w:r>
          </w:p>
        </w:tc>
      </w:tr>
      <w:tr w:rsidR="00D45377" w:rsidRPr="00954CEE" w14:paraId="579B2D8E" w14:textId="77777777" w:rsidTr="00213239">
        <w:trPr>
          <w:trHeight w:val="340"/>
        </w:trPr>
        <w:tc>
          <w:tcPr>
            <w:tcW w:w="9498" w:type="dxa"/>
            <w:gridSpan w:val="4"/>
            <w:tcBorders>
              <w:top w:val="single" w:sz="12" w:space="0" w:color="auto"/>
              <w:bottom w:val="single" w:sz="12" w:space="0" w:color="auto"/>
            </w:tcBorders>
            <w:shd w:val="clear" w:color="auto" w:fill="auto"/>
            <w:noWrap/>
            <w:vAlign w:val="center"/>
          </w:tcPr>
          <w:p w14:paraId="111B1902" w14:textId="77777777" w:rsidR="00D45377" w:rsidRPr="00954CEE" w:rsidRDefault="00D45377" w:rsidP="00970AB7">
            <w:pPr>
              <w:pStyle w:val="Sansinterligne"/>
              <w:rPr>
                <w:rFonts w:ascii="Times New Roman" w:hAnsi="Times New Roman" w:cs="Times New Roman"/>
                <w:b/>
                <w:iCs/>
                <w:lang w:val="en-US"/>
              </w:rPr>
            </w:pPr>
            <w:r w:rsidRPr="00954CEE">
              <w:rPr>
                <w:rFonts w:ascii="Times New Roman" w:hAnsi="Times New Roman" w:cs="Times New Roman"/>
                <w:b/>
                <w:lang w:val="en-US"/>
              </w:rPr>
              <w:t xml:space="preserve">Second analysis - </w:t>
            </w:r>
            <w:r w:rsidRPr="00954CEE">
              <w:rPr>
                <w:rFonts w:ascii="Times New Roman" w:hAnsi="Times New Roman" w:cs="Times New Roman"/>
                <w:b/>
                <w:iCs/>
                <w:lang w:val="en-US"/>
              </w:rPr>
              <w:t>according to age</w:t>
            </w:r>
          </w:p>
        </w:tc>
      </w:tr>
      <w:tr w:rsidR="00D45377" w:rsidRPr="00954CEE" w14:paraId="3F3B6A64" w14:textId="77777777" w:rsidTr="00213239">
        <w:trPr>
          <w:trHeight w:val="454"/>
        </w:trPr>
        <w:tc>
          <w:tcPr>
            <w:tcW w:w="3544" w:type="dxa"/>
            <w:tcBorders>
              <w:top w:val="single" w:sz="12" w:space="0" w:color="auto"/>
            </w:tcBorders>
            <w:shd w:val="clear" w:color="auto" w:fill="auto"/>
            <w:noWrap/>
            <w:vAlign w:val="center"/>
          </w:tcPr>
          <w:p w14:paraId="772F7387" w14:textId="77777777" w:rsidR="00D45377" w:rsidRPr="00954CEE" w:rsidRDefault="00D45377" w:rsidP="00970AB7">
            <w:pPr>
              <w:pStyle w:val="Sansinterligne"/>
              <w:rPr>
                <w:rFonts w:ascii="Times New Roman" w:hAnsi="Times New Roman" w:cs="Times New Roman"/>
                <w:b/>
                <w:lang w:val="en-US"/>
              </w:rPr>
            </w:pPr>
            <w:r w:rsidRPr="00954CEE">
              <w:rPr>
                <w:rFonts w:ascii="Times New Roman" w:hAnsi="Times New Roman" w:cs="Times New Roman"/>
                <w:b/>
                <w:lang w:val="en-US"/>
              </w:rPr>
              <w:t>≤ 40 years mRNA COVID-19 vaccine recipients</w:t>
            </w:r>
          </w:p>
        </w:tc>
        <w:tc>
          <w:tcPr>
            <w:tcW w:w="1559" w:type="dxa"/>
            <w:tcBorders>
              <w:top w:val="single" w:sz="12" w:space="0" w:color="auto"/>
            </w:tcBorders>
            <w:shd w:val="clear" w:color="auto" w:fill="auto"/>
            <w:vAlign w:val="center"/>
          </w:tcPr>
          <w:p w14:paraId="7270052A" w14:textId="77777777" w:rsidR="00D45377" w:rsidRPr="00954CEE" w:rsidRDefault="00D45377" w:rsidP="00970AB7">
            <w:pPr>
              <w:pStyle w:val="Sansinterligne"/>
              <w:jc w:val="center"/>
              <w:rPr>
                <w:rFonts w:ascii="Times New Roman" w:hAnsi="Times New Roman" w:cs="Times New Roman"/>
                <w:iCs/>
                <w:lang w:val="en-US"/>
              </w:rPr>
            </w:pPr>
            <w:r w:rsidRPr="00954CEE">
              <w:rPr>
                <w:rFonts w:ascii="Times New Roman" w:hAnsi="Times New Roman" w:cs="Times New Roman"/>
                <w:iCs/>
                <w:lang w:val="en-US"/>
              </w:rPr>
              <w:t>1262</w:t>
            </w:r>
          </w:p>
        </w:tc>
        <w:tc>
          <w:tcPr>
            <w:tcW w:w="1276" w:type="dxa"/>
            <w:tcBorders>
              <w:top w:val="single" w:sz="12" w:space="0" w:color="auto"/>
            </w:tcBorders>
            <w:shd w:val="clear" w:color="auto" w:fill="auto"/>
            <w:vAlign w:val="center"/>
          </w:tcPr>
          <w:p w14:paraId="4E8317AA" w14:textId="77777777" w:rsidR="00D45377" w:rsidRPr="00954CEE" w:rsidRDefault="00D45377" w:rsidP="00970AB7">
            <w:pPr>
              <w:pStyle w:val="Sansinterligne"/>
              <w:jc w:val="center"/>
              <w:rPr>
                <w:rFonts w:ascii="Times New Roman" w:hAnsi="Times New Roman" w:cs="Times New Roman"/>
                <w:iCs/>
                <w:lang w:val="en-US"/>
              </w:rPr>
            </w:pPr>
            <w:r w:rsidRPr="00954CEE">
              <w:rPr>
                <w:rFonts w:ascii="Times New Roman" w:hAnsi="Times New Roman" w:cs="Times New Roman"/>
                <w:iCs/>
                <w:lang w:val="en-US"/>
              </w:rPr>
              <w:t>233,937</w:t>
            </w:r>
          </w:p>
        </w:tc>
        <w:tc>
          <w:tcPr>
            <w:tcW w:w="3119" w:type="dxa"/>
            <w:tcBorders>
              <w:top w:val="single" w:sz="12" w:space="0" w:color="auto"/>
            </w:tcBorders>
            <w:shd w:val="clear" w:color="auto" w:fill="auto"/>
            <w:vAlign w:val="center"/>
          </w:tcPr>
          <w:p w14:paraId="162FB4E5" w14:textId="77777777" w:rsidR="00D45377" w:rsidRPr="00954CEE" w:rsidRDefault="00D45377" w:rsidP="00970AB7">
            <w:pPr>
              <w:pStyle w:val="Sansinterligne"/>
              <w:jc w:val="center"/>
              <w:rPr>
                <w:rFonts w:ascii="Times New Roman" w:hAnsi="Times New Roman" w:cs="Times New Roman"/>
                <w:iCs/>
                <w:lang w:val="en-US"/>
              </w:rPr>
            </w:pPr>
            <w:r w:rsidRPr="00954CEE">
              <w:rPr>
                <w:rFonts w:ascii="Times New Roman" w:hAnsi="Times New Roman" w:cs="Times New Roman"/>
              </w:rPr>
              <w:t>0.39 [0.36-0.41]</w:t>
            </w:r>
          </w:p>
        </w:tc>
      </w:tr>
      <w:tr w:rsidR="00D45377" w:rsidRPr="00954CEE" w14:paraId="18A3722A" w14:textId="77777777" w:rsidTr="00213239">
        <w:trPr>
          <w:trHeight w:val="454"/>
        </w:trPr>
        <w:tc>
          <w:tcPr>
            <w:tcW w:w="3544" w:type="dxa"/>
            <w:tcBorders>
              <w:bottom w:val="single" w:sz="12" w:space="0" w:color="auto"/>
            </w:tcBorders>
            <w:shd w:val="clear" w:color="auto" w:fill="auto"/>
            <w:noWrap/>
            <w:vAlign w:val="center"/>
          </w:tcPr>
          <w:p w14:paraId="656D56D1" w14:textId="77777777" w:rsidR="00D45377" w:rsidRPr="00954CEE" w:rsidRDefault="00D45377" w:rsidP="00970AB7">
            <w:pPr>
              <w:pStyle w:val="Sansinterligne"/>
              <w:rPr>
                <w:rFonts w:ascii="Times New Roman" w:hAnsi="Times New Roman" w:cs="Times New Roman"/>
                <w:b/>
                <w:lang w:val="en-US"/>
              </w:rPr>
            </w:pPr>
            <w:r w:rsidRPr="00954CEE">
              <w:rPr>
                <w:rFonts w:ascii="Times New Roman" w:hAnsi="Times New Roman" w:cs="Times New Roman"/>
                <w:b/>
                <w:lang w:val="en-US"/>
              </w:rPr>
              <w:t>&gt; 40 years mRNA COVID-19 vaccine recipients</w:t>
            </w:r>
          </w:p>
        </w:tc>
        <w:tc>
          <w:tcPr>
            <w:tcW w:w="1559" w:type="dxa"/>
            <w:tcBorders>
              <w:bottom w:val="single" w:sz="12" w:space="0" w:color="auto"/>
            </w:tcBorders>
            <w:shd w:val="clear" w:color="auto" w:fill="auto"/>
            <w:vAlign w:val="center"/>
          </w:tcPr>
          <w:p w14:paraId="2EA87D9F" w14:textId="77777777" w:rsidR="00D45377" w:rsidRPr="00954CEE" w:rsidRDefault="00D45377" w:rsidP="00970AB7">
            <w:pPr>
              <w:pStyle w:val="Sansinterligne"/>
              <w:jc w:val="center"/>
              <w:rPr>
                <w:rFonts w:ascii="Times New Roman" w:hAnsi="Times New Roman" w:cs="Times New Roman"/>
                <w:iCs/>
                <w:lang w:val="en-US"/>
              </w:rPr>
            </w:pPr>
            <w:r w:rsidRPr="00954CEE">
              <w:rPr>
                <w:rFonts w:ascii="Times New Roman" w:hAnsi="Times New Roman" w:cs="Times New Roman"/>
                <w:iCs/>
                <w:lang w:val="en-US"/>
              </w:rPr>
              <w:t>5964</w:t>
            </w:r>
          </w:p>
        </w:tc>
        <w:tc>
          <w:tcPr>
            <w:tcW w:w="1276" w:type="dxa"/>
            <w:tcBorders>
              <w:bottom w:val="single" w:sz="12" w:space="0" w:color="auto"/>
            </w:tcBorders>
            <w:shd w:val="clear" w:color="auto" w:fill="auto"/>
            <w:vAlign w:val="center"/>
          </w:tcPr>
          <w:p w14:paraId="10E8139B" w14:textId="77777777" w:rsidR="00D45377" w:rsidRPr="00954CEE" w:rsidRDefault="00D45377" w:rsidP="00970AB7">
            <w:pPr>
              <w:pStyle w:val="Sansinterligne"/>
              <w:jc w:val="center"/>
              <w:rPr>
                <w:rFonts w:ascii="Times New Roman" w:hAnsi="Times New Roman" w:cs="Times New Roman"/>
                <w:iCs/>
                <w:lang w:val="en-US"/>
              </w:rPr>
            </w:pPr>
            <w:r w:rsidRPr="00954CEE">
              <w:rPr>
                <w:rFonts w:ascii="Times New Roman" w:hAnsi="Times New Roman" w:cs="Times New Roman"/>
                <w:iCs/>
                <w:lang w:val="en-US"/>
              </w:rPr>
              <w:t>431,063</w:t>
            </w:r>
          </w:p>
        </w:tc>
        <w:tc>
          <w:tcPr>
            <w:tcW w:w="3119" w:type="dxa"/>
            <w:tcBorders>
              <w:bottom w:val="single" w:sz="12" w:space="0" w:color="auto"/>
            </w:tcBorders>
            <w:shd w:val="clear" w:color="auto" w:fill="auto"/>
            <w:vAlign w:val="center"/>
          </w:tcPr>
          <w:p w14:paraId="3244E8CB" w14:textId="77777777" w:rsidR="00D45377" w:rsidRPr="00954CEE" w:rsidRDefault="00D45377" w:rsidP="00970AB7">
            <w:pPr>
              <w:pStyle w:val="Sansinterligne"/>
              <w:jc w:val="center"/>
              <w:rPr>
                <w:rFonts w:ascii="Times New Roman" w:hAnsi="Times New Roman" w:cs="Times New Roman"/>
                <w:iCs/>
                <w:lang w:val="en-US"/>
              </w:rPr>
            </w:pPr>
            <w:r w:rsidRPr="00954CEE">
              <w:rPr>
                <w:rFonts w:ascii="Times New Roman" w:hAnsi="Times New Roman" w:cs="Times New Roman"/>
              </w:rPr>
              <w:t>ref</w:t>
            </w:r>
          </w:p>
        </w:tc>
      </w:tr>
    </w:tbl>
    <w:p w14:paraId="515F747F" w14:textId="77777777" w:rsidR="00D45377" w:rsidRPr="00954CEE" w:rsidRDefault="00D45377" w:rsidP="00970AB7">
      <w:pPr>
        <w:suppressLineNumbers/>
        <w:spacing w:line="360" w:lineRule="auto"/>
        <w:jc w:val="both"/>
        <w:rPr>
          <w:i/>
          <w:iCs/>
          <w:color w:val="000000" w:themeColor="text1"/>
          <w:lang w:val="en-US"/>
        </w:rPr>
      </w:pPr>
      <w:r w:rsidRPr="00954CEE">
        <w:rPr>
          <w:i/>
          <w:iCs/>
          <w:lang w:val="en-US"/>
        </w:rPr>
        <w:t xml:space="preserve">Abbreviations: </w:t>
      </w:r>
      <w:r w:rsidRPr="00954CEE">
        <w:rPr>
          <w:lang w:val="en-US"/>
        </w:rPr>
        <w:t xml:space="preserve">ROR: Reporting Odds-Ratio, 95% CI: 95% confidence interval. </w:t>
      </w:r>
    </w:p>
    <w:p w14:paraId="560511AA" w14:textId="77777777" w:rsidR="00D45377" w:rsidRPr="00954CEE" w:rsidRDefault="00D45377" w:rsidP="00970AB7">
      <w:pPr>
        <w:suppressLineNumbers/>
        <w:spacing w:line="360" w:lineRule="auto"/>
        <w:jc w:val="both"/>
        <w:rPr>
          <w:lang w:val="en-US"/>
        </w:rPr>
      </w:pPr>
      <w:r w:rsidRPr="00954CEE">
        <w:rPr>
          <w:i/>
          <w:iCs/>
          <w:color w:val="000000" w:themeColor="text1"/>
          <w:lang w:val="en-US"/>
        </w:rPr>
        <w:t>Footnote:</w:t>
      </w:r>
      <w:r w:rsidRPr="00954CEE">
        <w:rPr>
          <w:color w:val="000000" w:themeColor="text1"/>
          <w:lang w:val="en-US"/>
        </w:rPr>
        <w:t xml:space="preserve"> Cases are reports containing a </w:t>
      </w:r>
      <w:r w:rsidRPr="00954CEE">
        <w:rPr>
          <w:lang w:val="en-US"/>
        </w:rPr>
        <w:t xml:space="preserve">herpes zoster </w:t>
      </w:r>
      <w:r w:rsidRPr="00954CEE">
        <w:rPr>
          <w:color w:val="000000" w:themeColor="text1"/>
          <w:lang w:val="en-US"/>
        </w:rPr>
        <w:t xml:space="preserve">reaction (Table S1), whereas non-cases are reports including all other adverse reaction with these vaccines. </w:t>
      </w:r>
      <w:r w:rsidRPr="00954CEE">
        <w:rPr>
          <w:rFonts w:eastAsia="Calibri"/>
          <w:lang w:val="en-US"/>
        </w:rPr>
        <w:t>ROR [95% CI] are calculated as</w:t>
      </w:r>
      <w:r w:rsidRPr="00954CEE">
        <w:rPr>
          <w:lang w:val="en-US"/>
        </w:rPr>
        <w:t xml:space="preserve"> ROR= </w:t>
      </w:r>
      <m:oMath>
        <m:f>
          <m:fPr>
            <m:ctrlPr>
              <w:rPr>
                <w:rFonts w:ascii="Cambria Math" w:eastAsia="Calibri" w:hAnsi="Cambria Math"/>
                <w:i/>
                <w:lang w:val="en-US"/>
              </w:rPr>
            </m:ctrlPr>
          </m:fPr>
          <m:num>
            <m:r>
              <w:rPr>
                <w:rFonts w:ascii="Cambria Math" w:eastAsia="Calibri" w:hAnsi="Cambria Math"/>
                <w:lang w:val="en-US"/>
              </w:rPr>
              <m:t>ad</m:t>
            </m:r>
          </m:num>
          <m:den>
            <m:r>
              <w:rPr>
                <w:rFonts w:ascii="Cambria Math" w:eastAsia="Calibri" w:hAnsi="Cambria Math"/>
                <w:lang w:val="en-US"/>
              </w:rPr>
              <m:t>bc</m:t>
            </m:r>
          </m:den>
        </m:f>
        <m:r>
          <w:rPr>
            <w:rFonts w:ascii="Cambria Math" w:eastAsia="Calibri" w:hAnsi="Cambria Math"/>
            <w:lang w:val="en-US"/>
          </w:rPr>
          <m:t xml:space="preserve"> </m:t>
        </m:r>
        <m:sSup>
          <m:sSupPr>
            <m:ctrlPr>
              <w:rPr>
                <w:rFonts w:ascii="Cambria Math" w:eastAsia="Calibri" w:hAnsi="Cambria Math"/>
                <w:i/>
                <w:lang w:val="en-US"/>
              </w:rPr>
            </m:ctrlPr>
          </m:sSupPr>
          <m:e>
            <m:r>
              <w:rPr>
                <w:rFonts w:ascii="Cambria Math" w:eastAsia="Calibri" w:hAnsi="Cambria Math"/>
                <w:lang w:val="en-US"/>
              </w:rPr>
              <m:t xml:space="preserve">[ e </m:t>
            </m:r>
          </m:e>
          <m:sup>
            <m:r>
              <w:rPr>
                <w:rFonts w:ascii="Cambria Math" w:eastAsia="Calibri" w:hAnsi="Cambria Math"/>
                <w:lang w:val="en-US"/>
              </w:rPr>
              <m:t>±1.96</m:t>
            </m:r>
            <m:rad>
              <m:radPr>
                <m:degHide m:val="1"/>
                <m:ctrlPr>
                  <w:rPr>
                    <w:rFonts w:ascii="Cambria Math" w:eastAsia="Calibri" w:hAnsi="Cambria Math"/>
                    <w:i/>
                    <w:lang w:val="en-US"/>
                  </w:rPr>
                </m:ctrlPr>
              </m:radPr>
              <m:deg/>
              <m:e>
                <m:d>
                  <m:dPr>
                    <m:ctrlPr>
                      <w:rPr>
                        <w:rFonts w:ascii="Cambria Math" w:eastAsia="Calibri" w:hAnsi="Cambria Math"/>
                        <w:i/>
                        <w:lang w:val="en-US"/>
                      </w:rPr>
                    </m:ctrlPr>
                  </m:dPr>
                  <m:e>
                    <m:f>
                      <m:fPr>
                        <m:ctrlPr>
                          <w:rPr>
                            <w:rFonts w:ascii="Cambria Math" w:eastAsia="Calibri" w:hAnsi="Cambria Math"/>
                            <w:i/>
                            <w:lang w:val="en-US"/>
                          </w:rPr>
                        </m:ctrlPr>
                      </m:fPr>
                      <m:num>
                        <m:r>
                          <w:rPr>
                            <w:rFonts w:ascii="Cambria Math" w:eastAsia="Calibri" w:hAnsi="Cambria Math"/>
                            <w:lang w:val="en-US"/>
                          </w:rPr>
                          <m:t>1</m:t>
                        </m:r>
                      </m:num>
                      <m:den>
                        <m:r>
                          <w:rPr>
                            <w:rFonts w:ascii="Cambria Math" w:eastAsia="Calibri" w:hAnsi="Cambria Math"/>
                            <w:lang w:val="en-US"/>
                          </w:rPr>
                          <m:t>a</m:t>
                        </m:r>
                      </m:den>
                    </m:f>
                    <m:r>
                      <w:rPr>
                        <w:rFonts w:ascii="Cambria Math" w:eastAsia="Calibri" w:hAnsi="Cambria Math"/>
                        <w:lang w:val="en-US"/>
                      </w:rPr>
                      <m:t>+</m:t>
                    </m:r>
                    <m:f>
                      <m:fPr>
                        <m:ctrlPr>
                          <w:rPr>
                            <w:rFonts w:ascii="Cambria Math" w:eastAsia="Calibri" w:hAnsi="Cambria Math"/>
                            <w:i/>
                            <w:lang w:val="en-US"/>
                          </w:rPr>
                        </m:ctrlPr>
                      </m:fPr>
                      <m:num>
                        <m:r>
                          <w:rPr>
                            <w:rFonts w:ascii="Cambria Math" w:eastAsia="Calibri" w:hAnsi="Cambria Math"/>
                            <w:lang w:val="en-US"/>
                          </w:rPr>
                          <m:t>1</m:t>
                        </m:r>
                      </m:num>
                      <m:den>
                        <m:r>
                          <w:rPr>
                            <w:rFonts w:ascii="Cambria Math" w:eastAsia="Calibri" w:hAnsi="Cambria Math"/>
                            <w:lang w:val="en-US"/>
                          </w:rPr>
                          <m:t>b</m:t>
                        </m:r>
                      </m:den>
                    </m:f>
                    <m:r>
                      <w:rPr>
                        <w:rFonts w:ascii="Cambria Math" w:eastAsia="Calibri" w:hAnsi="Cambria Math"/>
                        <w:lang w:val="en-US"/>
                      </w:rPr>
                      <m:t>+</m:t>
                    </m:r>
                    <m:f>
                      <m:fPr>
                        <m:ctrlPr>
                          <w:rPr>
                            <w:rFonts w:ascii="Cambria Math" w:eastAsia="Calibri" w:hAnsi="Cambria Math"/>
                            <w:i/>
                            <w:lang w:val="en-US"/>
                          </w:rPr>
                        </m:ctrlPr>
                      </m:fPr>
                      <m:num>
                        <m:r>
                          <w:rPr>
                            <w:rFonts w:ascii="Cambria Math" w:eastAsia="Calibri" w:hAnsi="Cambria Math"/>
                            <w:lang w:val="en-US"/>
                          </w:rPr>
                          <m:t>1</m:t>
                        </m:r>
                      </m:num>
                      <m:den>
                        <m:r>
                          <w:rPr>
                            <w:rFonts w:ascii="Cambria Math" w:eastAsia="Calibri" w:hAnsi="Cambria Math"/>
                            <w:lang w:val="en-US"/>
                          </w:rPr>
                          <m:t>c</m:t>
                        </m:r>
                      </m:den>
                    </m:f>
                    <m:r>
                      <w:rPr>
                        <w:rFonts w:ascii="Cambria Math" w:eastAsia="Calibri" w:hAnsi="Cambria Math"/>
                        <w:lang w:val="en-US"/>
                      </w:rPr>
                      <m:t>+</m:t>
                    </m:r>
                    <m:f>
                      <m:fPr>
                        <m:ctrlPr>
                          <w:rPr>
                            <w:rFonts w:ascii="Cambria Math" w:eastAsia="Calibri" w:hAnsi="Cambria Math"/>
                            <w:i/>
                            <w:lang w:val="en-US"/>
                          </w:rPr>
                        </m:ctrlPr>
                      </m:fPr>
                      <m:num>
                        <m:r>
                          <w:rPr>
                            <w:rFonts w:ascii="Cambria Math" w:eastAsia="Calibri" w:hAnsi="Cambria Math"/>
                            <w:lang w:val="en-US"/>
                          </w:rPr>
                          <m:t>1</m:t>
                        </m:r>
                      </m:num>
                      <m:den>
                        <m:r>
                          <w:rPr>
                            <w:rFonts w:ascii="Cambria Math" w:eastAsia="Calibri" w:hAnsi="Cambria Math"/>
                            <w:lang w:val="en-US"/>
                          </w:rPr>
                          <m:t>d</m:t>
                        </m:r>
                      </m:den>
                    </m:f>
                  </m:e>
                </m:d>
              </m:e>
            </m:rad>
          </m:sup>
        </m:sSup>
        <m:r>
          <w:rPr>
            <w:rFonts w:ascii="Cambria Math" w:eastAsia="Calibri" w:hAnsi="Cambria Math"/>
            <w:lang w:val="en-US"/>
          </w:rPr>
          <m:t>]</m:t>
        </m:r>
      </m:oMath>
      <w:r w:rsidRPr="00954CEE">
        <w:rPr>
          <w:lang w:val="en-US"/>
        </w:rPr>
        <w:t xml:space="preserve">, where </w:t>
      </w:r>
      <w:r w:rsidRPr="00954CEE">
        <w:rPr>
          <w:i/>
          <w:lang w:val="en-US"/>
        </w:rPr>
        <w:t>a</w:t>
      </w:r>
      <w:r w:rsidRPr="00954CEE">
        <w:rPr>
          <w:lang w:val="en-US"/>
        </w:rPr>
        <w:t xml:space="preserve"> is the number of herpes zoster cases in a group of interest, </w:t>
      </w:r>
      <w:r w:rsidRPr="00954CEE">
        <w:rPr>
          <w:i/>
          <w:lang w:val="en-US"/>
        </w:rPr>
        <w:t>b</w:t>
      </w:r>
      <w:r w:rsidRPr="00954CEE">
        <w:rPr>
          <w:lang w:val="en-US"/>
        </w:rPr>
        <w:t xml:space="preserve"> is the number of other reaction cases in a group of interest, </w:t>
      </w:r>
      <w:r w:rsidRPr="00954CEE">
        <w:rPr>
          <w:i/>
          <w:lang w:val="en-US"/>
        </w:rPr>
        <w:t>c</w:t>
      </w:r>
      <w:r w:rsidRPr="00954CEE">
        <w:rPr>
          <w:lang w:val="en-US"/>
        </w:rPr>
        <w:t xml:space="preserve"> is the number of herpes zoster cases in a comparator group and </w:t>
      </w:r>
      <w:r w:rsidRPr="00954CEE">
        <w:rPr>
          <w:i/>
          <w:lang w:val="en-US"/>
        </w:rPr>
        <w:t>d</w:t>
      </w:r>
      <w:r w:rsidRPr="00954CEE">
        <w:rPr>
          <w:lang w:val="en-US"/>
        </w:rPr>
        <w:t xml:space="preserve"> is the number of other reaction cases in a comparator group. </w:t>
      </w:r>
    </w:p>
    <w:p w14:paraId="1B838552" w14:textId="77777777" w:rsidR="00D45377" w:rsidRPr="00954CEE" w:rsidRDefault="00D45377" w:rsidP="00970AB7">
      <w:pPr>
        <w:suppressLineNumbers/>
        <w:spacing w:line="360" w:lineRule="auto"/>
        <w:jc w:val="both"/>
        <w:rPr>
          <w:lang w:val="en-US"/>
        </w:rPr>
      </w:pPr>
      <w:r w:rsidRPr="00954CEE">
        <w:rPr>
          <w:lang w:val="en-US"/>
        </w:rPr>
        <w:t xml:space="preserve">First analysis: group of interest was </w:t>
      </w:r>
      <w:r w:rsidRPr="00954CEE">
        <w:rPr>
          <w:color w:val="000000" w:themeColor="text1"/>
          <w:lang w:val="en-US"/>
        </w:rPr>
        <w:t>mRNA COVID-19 vaccine recipients and comparator group was any influenza vaccine recipients. R</w:t>
      </w:r>
      <w:r w:rsidRPr="00954CEE">
        <w:rPr>
          <w:lang w:val="en-US"/>
        </w:rPr>
        <w:t xml:space="preserve">eports that involved any </w:t>
      </w:r>
      <w:r w:rsidRPr="00954CEE">
        <w:rPr>
          <w:color w:val="000000" w:themeColor="text1"/>
          <w:lang w:val="en-US"/>
        </w:rPr>
        <w:t xml:space="preserve">influenza vaccine or varicella-zoster virus vaccine in addition to mRNA COVID-19 vaccine </w:t>
      </w:r>
      <w:proofErr w:type="gramStart"/>
      <w:r w:rsidRPr="00954CEE">
        <w:rPr>
          <w:color w:val="000000" w:themeColor="text1"/>
          <w:lang w:val="en-US"/>
        </w:rPr>
        <w:t>were excluded</w:t>
      </w:r>
      <w:proofErr w:type="gramEnd"/>
      <w:r w:rsidRPr="00954CEE">
        <w:rPr>
          <w:color w:val="000000" w:themeColor="text1"/>
          <w:lang w:val="en-US"/>
        </w:rPr>
        <w:t xml:space="preserve">. </w:t>
      </w:r>
      <w:r w:rsidRPr="00954CEE">
        <w:rPr>
          <w:lang w:val="en-US"/>
        </w:rPr>
        <w:t xml:space="preserve">To avoid a notoriety bias, a longstanding known bias in disproportionality </w:t>
      </w:r>
      <w:proofErr w:type="gramStart"/>
      <w:r w:rsidRPr="00954CEE">
        <w:rPr>
          <w:lang w:val="en-US"/>
        </w:rPr>
        <w:t>studies which is related to an inflation reporting following a scientific communication, this analysis</w:t>
      </w:r>
      <w:proofErr w:type="gramEnd"/>
      <w:r w:rsidRPr="00954CEE">
        <w:rPr>
          <w:lang w:val="en-US"/>
        </w:rPr>
        <w:t xml:space="preserve"> was restricted to reports recorded in </w:t>
      </w:r>
      <w:proofErr w:type="spellStart"/>
      <w:r w:rsidRPr="00954CEE">
        <w:rPr>
          <w:lang w:val="en-US"/>
        </w:rPr>
        <w:t>VigiBase</w:t>
      </w:r>
      <w:proofErr w:type="spellEnd"/>
      <w:r w:rsidRPr="00954CEE">
        <w:rPr>
          <w:lang w:val="en-US"/>
        </w:rPr>
        <w:t xml:space="preserve"> before April 12</w:t>
      </w:r>
      <w:r w:rsidRPr="00954CEE">
        <w:rPr>
          <w:vertAlign w:val="superscript"/>
          <w:lang w:val="en-US"/>
        </w:rPr>
        <w:t>th</w:t>
      </w:r>
      <w:r w:rsidRPr="00954CEE">
        <w:rPr>
          <w:lang w:val="en-US"/>
        </w:rPr>
        <w:t>, 2021 (corresponding to the date of first publication of herpes zoster following mRNA vaccination case series (</w:t>
      </w:r>
      <w:hyperlink r:id="rId10" w:history="1">
        <w:r w:rsidRPr="00954CEE">
          <w:rPr>
            <w:rStyle w:val="Lienhypertexte"/>
            <w:rFonts w:eastAsiaTheme="majorEastAsia"/>
            <w:lang w:val="en-US"/>
          </w:rPr>
          <w:t>https://doi.org/10.1093/rheumatology/keab345</w:t>
        </w:r>
      </w:hyperlink>
      <w:r w:rsidRPr="00954CEE">
        <w:rPr>
          <w:lang w:val="en-US"/>
        </w:rPr>
        <w:t xml:space="preserve">). For influenza vaccine, analysis included reports registered after January </w:t>
      </w:r>
      <w:proofErr w:type="gramStart"/>
      <w:r w:rsidRPr="00954CEE">
        <w:rPr>
          <w:lang w:val="en-US"/>
        </w:rPr>
        <w:t>1</w:t>
      </w:r>
      <w:r w:rsidRPr="00954CEE">
        <w:rPr>
          <w:vertAlign w:val="superscript"/>
          <w:lang w:val="en-US"/>
        </w:rPr>
        <w:t>st</w:t>
      </w:r>
      <w:proofErr w:type="gramEnd"/>
      <w:r w:rsidRPr="00954CEE">
        <w:rPr>
          <w:lang w:val="en-US"/>
        </w:rPr>
        <w:t>, 2011 (coinciding after the H1N1 mass immunization).</w:t>
      </w:r>
    </w:p>
    <w:p w14:paraId="1F9E571C" w14:textId="77777777" w:rsidR="00D45377" w:rsidRPr="00954CEE" w:rsidRDefault="00D45377" w:rsidP="00970AB7">
      <w:pPr>
        <w:suppressLineNumbers/>
        <w:spacing w:line="360" w:lineRule="auto"/>
        <w:rPr>
          <w:lang w:val="en-US"/>
        </w:rPr>
      </w:pPr>
      <w:r w:rsidRPr="00954CEE">
        <w:rPr>
          <w:color w:val="000000" w:themeColor="text1"/>
          <w:lang w:val="en-US"/>
        </w:rPr>
        <w:t xml:space="preserve">Second analysis: </w:t>
      </w:r>
      <w:r w:rsidRPr="00954CEE">
        <w:rPr>
          <w:lang w:val="en-US"/>
        </w:rPr>
        <w:t xml:space="preserve">group of interest was </w:t>
      </w:r>
      <w:r w:rsidRPr="00954CEE">
        <w:rPr>
          <w:color w:val="000000" w:themeColor="text1"/>
          <w:lang w:val="en-US"/>
        </w:rPr>
        <w:t xml:space="preserve">mRNA COVID-19 vaccine recipients being under 40 years and comparator group was mRNA COVID-19 vaccine recipients being over 40 years. </w:t>
      </w:r>
      <w:r w:rsidRPr="00954CEE">
        <w:rPr>
          <w:lang w:val="en-US"/>
        </w:rPr>
        <w:t xml:space="preserve">Of note, patient age is not known in some </w:t>
      </w:r>
      <w:proofErr w:type="gramStart"/>
      <w:r w:rsidRPr="00954CEE">
        <w:rPr>
          <w:lang w:val="en-US"/>
        </w:rPr>
        <w:t>reports, that</w:t>
      </w:r>
      <w:proofErr w:type="gramEnd"/>
      <w:r w:rsidRPr="00954CEE">
        <w:rPr>
          <w:lang w:val="en-US"/>
        </w:rPr>
        <w:t xml:space="preserve"> were not considered in this analysis.</w:t>
      </w:r>
    </w:p>
    <w:p w14:paraId="43E4D156" w14:textId="77777777" w:rsidR="00E34823" w:rsidRPr="00684A8E" w:rsidRDefault="00E34823" w:rsidP="00970AB7">
      <w:pPr>
        <w:suppressLineNumbers/>
        <w:spacing w:line="480" w:lineRule="auto"/>
        <w:jc w:val="both"/>
        <w:rPr>
          <w:iCs/>
          <w:color w:val="000000" w:themeColor="text1"/>
          <w:lang w:val="en-US"/>
        </w:rPr>
      </w:pPr>
    </w:p>
    <w:sectPr w:rsidR="00E34823" w:rsidRPr="00684A8E" w:rsidSect="00F15F85">
      <w:footerReference w:type="default" r:id="rId11"/>
      <w:pgSz w:w="11906" w:h="16838" w:code="9"/>
      <w:pgMar w:top="1077" w:right="1134" w:bottom="1077" w:left="1134" w:header="709" w:footer="709" w:gutter="0"/>
      <w:lnNumType w:countBy="1" w:restart="continuous"/>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88CBA" w16cex:dateUtc="2021-09-24T15:43:00Z"/>
  <w16cex:commentExtensible w16cex:durableId="24F8B043" w16cex:dateUtc="2021-09-24T18:14:00Z"/>
  <w16cex:commentExtensible w16cex:durableId="24F8942D" w16cex:dateUtc="2021-09-24T14:12:00Z"/>
  <w16cex:commentExtensible w16cex:durableId="24F87750" w16cex:dateUtc="2021-09-24T14:12:00Z"/>
  <w16cex:commentExtensible w16cex:durableId="24F89A8C" w16cex:dateUtc="2021-09-24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6C3809" w16cid:durableId="24F88CBA"/>
  <w16cid:commentId w16cid:paraId="23A9B084" w16cid:durableId="24F8B043"/>
  <w16cid:commentId w16cid:paraId="50C48901" w16cid:durableId="24F8942D"/>
  <w16cid:commentId w16cid:paraId="1EC8C32E" w16cid:durableId="24F8942C"/>
  <w16cid:commentId w16cid:paraId="6C1205C3" w16cid:durableId="24F87750"/>
  <w16cid:commentId w16cid:paraId="33B5B88A" w16cid:durableId="24F88C4E"/>
  <w16cid:commentId w16cid:paraId="569301A1" w16cid:durableId="24F88C4F"/>
  <w16cid:commentId w16cid:paraId="4C99ABE0" w16cid:durableId="24F89A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88083" w14:textId="77777777" w:rsidR="000416F1" w:rsidRDefault="000416F1" w:rsidP="000416F1">
      <w:r>
        <w:separator/>
      </w:r>
    </w:p>
  </w:endnote>
  <w:endnote w:type="continuationSeparator" w:id="0">
    <w:p w14:paraId="0847FA1E" w14:textId="77777777" w:rsidR="000416F1" w:rsidRDefault="000416F1" w:rsidP="0004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ngs">
    <w:altName w:val="Yu Gothic"/>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686673"/>
      <w:docPartObj>
        <w:docPartGallery w:val="Page Numbers (Bottom of Page)"/>
        <w:docPartUnique/>
      </w:docPartObj>
    </w:sdtPr>
    <w:sdtEndPr/>
    <w:sdtContent>
      <w:p w14:paraId="4C3A4B10" w14:textId="540A758C" w:rsidR="000416F1" w:rsidRDefault="000416F1">
        <w:pPr>
          <w:pStyle w:val="Pieddepage"/>
          <w:jc w:val="right"/>
        </w:pPr>
        <w:r>
          <w:fldChar w:fldCharType="begin"/>
        </w:r>
        <w:r>
          <w:instrText>PAGE   \* MERGEFORMAT</w:instrText>
        </w:r>
        <w:r>
          <w:fldChar w:fldCharType="separate"/>
        </w:r>
        <w:r w:rsidR="00AD5C50">
          <w:rPr>
            <w:noProof/>
          </w:rPr>
          <w:t>13</w:t>
        </w:r>
        <w:r>
          <w:fldChar w:fldCharType="end"/>
        </w:r>
      </w:p>
    </w:sdtContent>
  </w:sdt>
  <w:p w14:paraId="3DAB6ED2" w14:textId="77777777" w:rsidR="000416F1" w:rsidRDefault="000416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75238" w14:textId="77777777" w:rsidR="000416F1" w:rsidRDefault="000416F1" w:rsidP="000416F1">
      <w:r>
        <w:separator/>
      </w:r>
    </w:p>
  </w:footnote>
  <w:footnote w:type="continuationSeparator" w:id="0">
    <w:p w14:paraId="36652507" w14:textId="77777777" w:rsidR="000416F1" w:rsidRDefault="000416F1" w:rsidP="00041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7590"/>
    <w:multiLevelType w:val="hybridMultilevel"/>
    <w:tmpl w:val="DB68CC3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E4B079E"/>
    <w:multiLevelType w:val="hybridMultilevel"/>
    <w:tmpl w:val="B4943788"/>
    <w:lvl w:ilvl="0" w:tplc="2FDC9070">
      <w:start w:val="41"/>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2A756A"/>
    <w:multiLevelType w:val="hybridMultilevel"/>
    <w:tmpl w:val="5AA87AC4"/>
    <w:lvl w:ilvl="0" w:tplc="E136948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49044E"/>
    <w:multiLevelType w:val="hybridMultilevel"/>
    <w:tmpl w:val="8B64F08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64BC54E0"/>
    <w:multiLevelType w:val="hybridMultilevel"/>
    <w:tmpl w:val="AAC8315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69E96730"/>
    <w:multiLevelType w:val="multilevel"/>
    <w:tmpl w:val="F670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0BB"/>
    <w:rsid w:val="00000587"/>
    <w:rsid w:val="000010A7"/>
    <w:rsid w:val="00001882"/>
    <w:rsid w:val="000059E4"/>
    <w:rsid w:val="00007C7E"/>
    <w:rsid w:val="000114E3"/>
    <w:rsid w:val="00013930"/>
    <w:rsid w:val="00013CFB"/>
    <w:rsid w:val="000149BE"/>
    <w:rsid w:val="00016780"/>
    <w:rsid w:val="00016D21"/>
    <w:rsid w:val="0002071C"/>
    <w:rsid w:val="00020B99"/>
    <w:rsid w:val="00020EEF"/>
    <w:rsid w:val="00024A94"/>
    <w:rsid w:val="00025420"/>
    <w:rsid w:val="00026555"/>
    <w:rsid w:val="00032FE1"/>
    <w:rsid w:val="0003506B"/>
    <w:rsid w:val="0003523C"/>
    <w:rsid w:val="0004085B"/>
    <w:rsid w:val="000416F1"/>
    <w:rsid w:val="000462A3"/>
    <w:rsid w:val="00052505"/>
    <w:rsid w:val="00053C59"/>
    <w:rsid w:val="00063B7F"/>
    <w:rsid w:val="00064F9A"/>
    <w:rsid w:val="00066FDB"/>
    <w:rsid w:val="0007041E"/>
    <w:rsid w:val="00073071"/>
    <w:rsid w:val="0007524C"/>
    <w:rsid w:val="000816B6"/>
    <w:rsid w:val="0008206E"/>
    <w:rsid w:val="00090CDC"/>
    <w:rsid w:val="00093ECD"/>
    <w:rsid w:val="00094972"/>
    <w:rsid w:val="00094FC1"/>
    <w:rsid w:val="00095FF6"/>
    <w:rsid w:val="00097AFF"/>
    <w:rsid w:val="00097EC5"/>
    <w:rsid w:val="000A2929"/>
    <w:rsid w:val="000B1546"/>
    <w:rsid w:val="000B51DE"/>
    <w:rsid w:val="000C4538"/>
    <w:rsid w:val="000C5AE7"/>
    <w:rsid w:val="000C682B"/>
    <w:rsid w:val="000D04B7"/>
    <w:rsid w:val="000D1542"/>
    <w:rsid w:val="000D41B1"/>
    <w:rsid w:val="000D6172"/>
    <w:rsid w:val="000D71C6"/>
    <w:rsid w:val="000E0404"/>
    <w:rsid w:val="000E49B9"/>
    <w:rsid w:val="000E4EB7"/>
    <w:rsid w:val="000E64AB"/>
    <w:rsid w:val="000F076A"/>
    <w:rsid w:val="000F0817"/>
    <w:rsid w:val="000F395D"/>
    <w:rsid w:val="000F4C1C"/>
    <w:rsid w:val="000F4CEE"/>
    <w:rsid w:val="000F5AE9"/>
    <w:rsid w:val="000F6F45"/>
    <w:rsid w:val="000F7E00"/>
    <w:rsid w:val="00103E87"/>
    <w:rsid w:val="00103F8C"/>
    <w:rsid w:val="00106645"/>
    <w:rsid w:val="001115AC"/>
    <w:rsid w:val="00113258"/>
    <w:rsid w:val="001133B6"/>
    <w:rsid w:val="001154E3"/>
    <w:rsid w:val="001164FA"/>
    <w:rsid w:val="00120B1F"/>
    <w:rsid w:val="00123F60"/>
    <w:rsid w:val="001256CD"/>
    <w:rsid w:val="00126D22"/>
    <w:rsid w:val="00133D3F"/>
    <w:rsid w:val="00135372"/>
    <w:rsid w:val="00137CE1"/>
    <w:rsid w:val="00142954"/>
    <w:rsid w:val="00143A5C"/>
    <w:rsid w:val="00143E09"/>
    <w:rsid w:val="00144397"/>
    <w:rsid w:val="00145996"/>
    <w:rsid w:val="00145C0A"/>
    <w:rsid w:val="00147BEF"/>
    <w:rsid w:val="001512B0"/>
    <w:rsid w:val="0015232A"/>
    <w:rsid w:val="00152A92"/>
    <w:rsid w:val="001561A0"/>
    <w:rsid w:val="00157222"/>
    <w:rsid w:val="0015779B"/>
    <w:rsid w:val="00163971"/>
    <w:rsid w:val="00163B87"/>
    <w:rsid w:val="00176B25"/>
    <w:rsid w:val="00177C94"/>
    <w:rsid w:val="0019082C"/>
    <w:rsid w:val="00190A4B"/>
    <w:rsid w:val="00192474"/>
    <w:rsid w:val="001A035F"/>
    <w:rsid w:val="001A125B"/>
    <w:rsid w:val="001A4469"/>
    <w:rsid w:val="001A4A4E"/>
    <w:rsid w:val="001A5F44"/>
    <w:rsid w:val="001A6D45"/>
    <w:rsid w:val="001A78B8"/>
    <w:rsid w:val="001B20B4"/>
    <w:rsid w:val="001B27EE"/>
    <w:rsid w:val="001B61B7"/>
    <w:rsid w:val="001B65F4"/>
    <w:rsid w:val="001B7FEE"/>
    <w:rsid w:val="001C04F1"/>
    <w:rsid w:val="001C136E"/>
    <w:rsid w:val="001C2113"/>
    <w:rsid w:val="001C2340"/>
    <w:rsid w:val="001C2DFD"/>
    <w:rsid w:val="001C3396"/>
    <w:rsid w:val="001C5B37"/>
    <w:rsid w:val="001C5C1F"/>
    <w:rsid w:val="001C7BD3"/>
    <w:rsid w:val="001D1C15"/>
    <w:rsid w:val="001D1DD0"/>
    <w:rsid w:val="001D30AA"/>
    <w:rsid w:val="001D35DD"/>
    <w:rsid w:val="001D516F"/>
    <w:rsid w:val="001D6024"/>
    <w:rsid w:val="001D69DF"/>
    <w:rsid w:val="001D7F12"/>
    <w:rsid w:val="001E0754"/>
    <w:rsid w:val="001E076B"/>
    <w:rsid w:val="001E11A5"/>
    <w:rsid w:val="001E21DE"/>
    <w:rsid w:val="001E383F"/>
    <w:rsid w:val="001E452B"/>
    <w:rsid w:val="001E7448"/>
    <w:rsid w:val="001F08B6"/>
    <w:rsid w:val="001F0DD0"/>
    <w:rsid w:val="001F232A"/>
    <w:rsid w:val="001F2668"/>
    <w:rsid w:val="001F2B41"/>
    <w:rsid w:val="001F3F6C"/>
    <w:rsid w:val="001F4CA5"/>
    <w:rsid w:val="001F6E55"/>
    <w:rsid w:val="00200670"/>
    <w:rsid w:val="002041AF"/>
    <w:rsid w:val="00206AC7"/>
    <w:rsid w:val="00207838"/>
    <w:rsid w:val="00207FF5"/>
    <w:rsid w:val="0021004A"/>
    <w:rsid w:val="002102A0"/>
    <w:rsid w:val="00212369"/>
    <w:rsid w:val="00214051"/>
    <w:rsid w:val="0021447D"/>
    <w:rsid w:val="00215055"/>
    <w:rsid w:val="0021549B"/>
    <w:rsid w:val="00215832"/>
    <w:rsid w:val="00216B25"/>
    <w:rsid w:val="0021768E"/>
    <w:rsid w:val="00221CCF"/>
    <w:rsid w:val="00226293"/>
    <w:rsid w:val="00230A61"/>
    <w:rsid w:val="002310BE"/>
    <w:rsid w:val="00232F1C"/>
    <w:rsid w:val="0023690A"/>
    <w:rsid w:val="00236939"/>
    <w:rsid w:val="0024317D"/>
    <w:rsid w:val="00245167"/>
    <w:rsid w:val="0024654A"/>
    <w:rsid w:val="00247D45"/>
    <w:rsid w:val="002528DD"/>
    <w:rsid w:val="0025434E"/>
    <w:rsid w:val="00255443"/>
    <w:rsid w:val="00256FF5"/>
    <w:rsid w:val="00263309"/>
    <w:rsid w:val="00263D7A"/>
    <w:rsid w:val="00264200"/>
    <w:rsid w:val="00265203"/>
    <w:rsid w:val="00266204"/>
    <w:rsid w:val="002701A4"/>
    <w:rsid w:val="0027104C"/>
    <w:rsid w:val="002714B6"/>
    <w:rsid w:val="00272205"/>
    <w:rsid w:val="002722A8"/>
    <w:rsid w:val="00272ED6"/>
    <w:rsid w:val="0027363F"/>
    <w:rsid w:val="002751C7"/>
    <w:rsid w:val="00275E35"/>
    <w:rsid w:val="00276291"/>
    <w:rsid w:val="00276E8C"/>
    <w:rsid w:val="00277BDD"/>
    <w:rsid w:val="00277D56"/>
    <w:rsid w:val="00280794"/>
    <w:rsid w:val="00281E7E"/>
    <w:rsid w:val="00284145"/>
    <w:rsid w:val="00284E3E"/>
    <w:rsid w:val="00285979"/>
    <w:rsid w:val="002874B3"/>
    <w:rsid w:val="00295264"/>
    <w:rsid w:val="002A274F"/>
    <w:rsid w:val="002A3605"/>
    <w:rsid w:val="002A53A4"/>
    <w:rsid w:val="002A6B93"/>
    <w:rsid w:val="002A6ED4"/>
    <w:rsid w:val="002B2DEE"/>
    <w:rsid w:val="002B7DB4"/>
    <w:rsid w:val="002C0B8E"/>
    <w:rsid w:val="002C1C3F"/>
    <w:rsid w:val="002C1F17"/>
    <w:rsid w:val="002C39EA"/>
    <w:rsid w:val="002C3EE9"/>
    <w:rsid w:val="002C4A8F"/>
    <w:rsid w:val="002D016E"/>
    <w:rsid w:val="002D0D76"/>
    <w:rsid w:val="002D2AF1"/>
    <w:rsid w:val="002D45B0"/>
    <w:rsid w:val="002D4A3D"/>
    <w:rsid w:val="002D7AE9"/>
    <w:rsid w:val="002E241A"/>
    <w:rsid w:val="002E24AF"/>
    <w:rsid w:val="002E2607"/>
    <w:rsid w:val="002E43C3"/>
    <w:rsid w:val="002E65F0"/>
    <w:rsid w:val="002E6E68"/>
    <w:rsid w:val="002E7878"/>
    <w:rsid w:val="002F2C01"/>
    <w:rsid w:val="002F4647"/>
    <w:rsid w:val="002F4DBE"/>
    <w:rsid w:val="002F6A89"/>
    <w:rsid w:val="002F7795"/>
    <w:rsid w:val="0030050C"/>
    <w:rsid w:val="00305867"/>
    <w:rsid w:val="00307138"/>
    <w:rsid w:val="00314CA7"/>
    <w:rsid w:val="00315FAF"/>
    <w:rsid w:val="00316BDB"/>
    <w:rsid w:val="00321D18"/>
    <w:rsid w:val="00324DF9"/>
    <w:rsid w:val="003252AB"/>
    <w:rsid w:val="003262F5"/>
    <w:rsid w:val="00327F42"/>
    <w:rsid w:val="003300F7"/>
    <w:rsid w:val="0033089B"/>
    <w:rsid w:val="00332075"/>
    <w:rsid w:val="003335B6"/>
    <w:rsid w:val="0033630C"/>
    <w:rsid w:val="00336BDC"/>
    <w:rsid w:val="00337097"/>
    <w:rsid w:val="00337E10"/>
    <w:rsid w:val="00341F90"/>
    <w:rsid w:val="00342084"/>
    <w:rsid w:val="00343701"/>
    <w:rsid w:val="003438FA"/>
    <w:rsid w:val="00344957"/>
    <w:rsid w:val="00345D6A"/>
    <w:rsid w:val="00346E2E"/>
    <w:rsid w:val="00347C6D"/>
    <w:rsid w:val="00347E78"/>
    <w:rsid w:val="00350429"/>
    <w:rsid w:val="003521D2"/>
    <w:rsid w:val="00360454"/>
    <w:rsid w:val="00362DB5"/>
    <w:rsid w:val="00365C37"/>
    <w:rsid w:val="00366FBF"/>
    <w:rsid w:val="0037374E"/>
    <w:rsid w:val="00373781"/>
    <w:rsid w:val="00373EBF"/>
    <w:rsid w:val="00374573"/>
    <w:rsid w:val="003745A9"/>
    <w:rsid w:val="00376081"/>
    <w:rsid w:val="003767A5"/>
    <w:rsid w:val="00377666"/>
    <w:rsid w:val="00377B4A"/>
    <w:rsid w:val="0038174A"/>
    <w:rsid w:val="00381A08"/>
    <w:rsid w:val="00381ADE"/>
    <w:rsid w:val="00381C1C"/>
    <w:rsid w:val="00382D26"/>
    <w:rsid w:val="00382F25"/>
    <w:rsid w:val="0038320F"/>
    <w:rsid w:val="003844E8"/>
    <w:rsid w:val="00384F90"/>
    <w:rsid w:val="00393300"/>
    <w:rsid w:val="00393C5F"/>
    <w:rsid w:val="00396DBF"/>
    <w:rsid w:val="00397EFB"/>
    <w:rsid w:val="00397F11"/>
    <w:rsid w:val="003A11D4"/>
    <w:rsid w:val="003A30B1"/>
    <w:rsid w:val="003A724E"/>
    <w:rsid w:val="003B0808"/>
    <w:rsid w:val="003B0EE0"/>
    <w:rsid w:val="003B35DF"/>
    <w:rsid w:val="003B3DDD"/>
    <w:rsid w:val="003B3F28"/>
    <w:rsid w:val="003B41D8"/>
    <w:rsid w:val="003B489F"/>
    <w:rsid w:val="003C0F4A"/>
    <w:rsid w:val="003C385B"/>
    <w:rsid w:val="003C6452"/>
    <w:rsid w:val="003D26C6"/>
    <w:rsid w:val="003D2D2D"/>
    <w:rsid w:val="003D659C"/>
    <w:rsid w:val="003D721F"/>
    <w:rsid w:val="003E07EF"/>
    <w:rsid w:val="003E1C7C"/>
    <w:rsid w:val="003E2588"/>
    <w:rsid w:val="003E2A4D"/>
    <w:rsid w:val="003E34CB"/>
    <w:rsid w:val="003E3FE9"/>
    <w:rsid w:val="003F0517"/>
    <w:rsid w:val="003F2DCB"/>
    <w:rsid w:val="003F33BC"/>
    <w:rsid w:val="003F391E"/>
    <w:rsid w:val="003F56C5"/>
    <w:rsid w:val="003F583C"/>
    <w:rsid w:val="003F7ADD"/>
    <w:rsid w:val="004004A2"/>
    <w:rsid w:val="00404BE6"/>
    <w:rsid w:val="0040654B"/>
    <w:rsid w:val="00407DC8"/>
    <w:rsid w:val="0041233D"/>
    <w:rsid w:val="00412F7D"/>
    <w:rsid w:val="00413143"/>
    <w:rsid w:val="00423F53"/>
    <w:rsid w:val="00424896"/>
    <w:rsid w:val="00424DA9"/>
    <w:rsid w:val="004259F3"/>
    <w:rsid w:val="00427A6A"/>
    <w:rsid w:val="00431CFF"/>
    <w:rsid w:val="00431F83"/>
    <w:rsid w:val="0043344B"/>
    <w:rsid w:val="0043398B"/>
    <w:rsid w:val="0043408B"/>
    <w:rsid w:val="00434AC8"/>
    <w:rsid w:val="004368E2"/>
    <w:rsid w:val="00437DCB"/>
    <w:rsid w:val="004413F4"/>
    <w:rsid w:val="004416A4"/>
    <w:rsid w:val="0044250F"/>
    <w:rsid w:val="00446FEB"/>
    <w:rsid w:val="004550D1"/>
    <w:rsid w:val="00455991"/>
    <w:rsid w:val="00455F25"/>
    <w:rsid w:val="00456A92"/>
    <w:rsid w:val="004617AC"/>
    <w:rsid w:val="00462F78"/>
    <w:rsid w:val="004718A9"/>
    <w:rsid w:val="00480D8F"/>
    <w:rsid w:val="00481850"/>
    <w:rsid w:val="00483ED7"/>
    <w:rsid w:val="00484339"/>
    <w:rsid w:val="00484882"/>
    <w:rsid w:val="004867BA"/>
    <w:rsid w:val="004868AA"/>
    <w:rsid w:val="004948C0"/>
    <w:rsid w:val="00496A5C"/>
    <w:rsid w:val="00496C57"/>
    <w:rsid w:val="004A4A6B"/>
    <w:rsid w:val="004A605B"/>
    <w:rsid w:val="004A7B5A"/>
    <w:rsid w:val="004A7D98"/>
    <w:rsid w:val="004B0452"/>
    <w:rsid w:val="004B053E"/>
    <w:rsid w:val="004B2780"/>
    <w:rsid w:val="004B43F9"/>
    <w:rsid w:val="004B753A"/>
    <w:rsid w:val="004C32AF"/>
    <w:rsid w:val="004C4A10"/>
    <w:rsid w:val="004C5655"/>
    <w:rsid w:val="004C5D65"/>
    <w:rsid w:val="004C6C8C"/>
    <w:rsid w:val="004D161B"/>
    <w:rsid w:val="004D1B43"/>
    <w:rsid w:val="004D36FB"/>
    <w:rsid w:val="004D4748"/>
    <w:rsid w:val="004D68CF"/>
    <w:rsid w:val="004D7386"/>
    <w:rsid w:val="004D7E6D"/>
    <w:rsid w:val="004E2A4F"/>
    <w:rsid w:val="004E2F7D"/>
    <w:rsid w:val="004E44F5"/>
    <w:rsid w:val="004E4AA5"/>
    <w:rsid w:val="004E5E62"/>
    <w:rsid w:val="004E6024"/>
    <w:rsid w:val="004E677B"/>
    <w:rsid w:val="004E728F"/>
    <w:rsid w:val="004F00BC"/>
    <w:rsid w:val="004F1EE0"/>
    <w:rsid w:val="004F6A7C"/>
    <w:rsid w:val="004F7D4D"/>
    <w:rsid w:val="004F7F50"/>
    <w:rsid w:val="0050040D"/>
    <w:rsid w:val="005026A6"/>
    <w:rsid w:val="005027E2"/>
    <w:rsid w:val="0050309F"/>
    <w:rsid w:val="005035BA"/>
    <w:rsid w:val="00503FD7"/>
    <w:rsid w:val="00504C4E"/>
    <w:rsid w:val="005127CC"/>
    <w:rsid w:val="00514BFB"/>
    <w:rsid w:val="005155F9"/>
    <w:rsid w:val="00515C5F"/>
    <w:rsid w:val="00520591"/>
    <w:rsid w:val="0052341A"/>
    <w:rsid w:val="00523D4E"/>
    <w:rsid w:val="005251F3"/>
    <w:rsid w:val="00527790"/>
    <w:rsid w:val="00533187"/>
    <w:rsid w:val="00533881"/>
    <w:rsid w:val="00535A1B"/>
    <w:rsid w:val="00540C05"/>
    <w:rsid w:val="00545365"/>
    <w:rsid w:val="00546C1C"/>
    <w:rsid w:val="00547D0A"/>
    <w:rsid w:val="0055053F"/>
    <w:rsid w:val="0055215D"/>
    <w:rsid w:val="00552D2D"/>
    <w:rsid w:val="005563D6"/>
    <w:rsid w:val="00556F91"/>
    <w:rsid w:val="00560810"/>
    <w:rsid w:val="00560F75"/>
    <w:rsid w:val="00561933"/>
    <w:rsid w:val="00563298"/>
    <w:rsid w:val="005670C4"/>
    <w:rsid w:val="00570488"/>
    <w:rsid w:val="00572060"/>
    <w:rsid w:val="00572DF1"/>
    <w:rsid w:val="005756DE"/>
    <w:rsid w:val="0058081A"/>
    <w:rsid w:val="0058083A"/>
    <w:rsid w:val="00580A84"/>
    <w:rsid w:val="00584ABE"/>
    <w:rsid w:val="0058552F"/>
    <w:rsid w:val="005904E1"/>
    <w:rsid w:val="00590915"/>
    <w:rsid w:val="00592F5D"/>
    <w:rsid w:val="00594681"/>
    <w:rsid w:val="00597A91"/>
    <w:rsid w:val="005A01D8"/>
    <w:rsid w:val="005A1131"/>
    <w:rsid w:val="005A140A"/>
    <w:rsid w:val="005A1C14"/>
    <w:rsid w:val="005A2926"/>
    <w:rsid w:val="005A4512"/>
    <w:rsid w:val="005A52C6"/>
    <w:rsid w:val="005B4B31"/>
    <w:rsid w:val="005B73D5"/>
    <w:rsid w:val="005C30BB"/>
    <w:rsid w:val="005C3B52"/>
    <w:rsid w:val="005C6CE7"/>
    <w:rsid w:val="005D08DA"/>
    <w:rsid w:val="005D0FBF"/>
    <w:rsid w:val="005D1D17"/>
    <w:rsid w:val="005D2D22"/>
    <w:rsid w:val="005D3C88"/>
    <w:rsid w:val="005D48C5"/>
    <w:rsid w:val="005D6467"/>
    <w:rsid w:val="005E0781"/>
    <w:rsid w:val="005E4CDD"/>
    <w:rsid w:val="005E5542"/>
    <w:rsid w:val="005E6C30"/>
    <w:rsid w:val="005E77AE"/>
    <w:rsid w:val="005F1459"/>
    <w:rsid w:val="005F18A8"/>
    <w:rsid w:val="005F4566"/>
    <w:rsid w:val="005F6462"/>
    <w:rsid w:val="006000A3"/>
    <w:rsid w:val="00602367"/>
    <w:rsid w:val="00604A37"/>
    <w:rsid w:val="00605077"/>
    <w:rsid w:val="0060741A"/>
    <w:rsid w:val="00612300"/>
    <w:rsid w:val="00616978"/>
    <w:rsid w:val="006206BC"/>
    <w:rsid w:val="00622703"/>
    <w:rsid w:val="00623464"/>
    <w:rsid w:val="00623D0B"/>
    <w:rsid w:val="00625148"/>
    <w:rsid w:val="00626E81"/>
    <w:rsid w:val="006311E8"/>
    <w:rsid w:val="00631377"/>
    <w:rsid w:val="00631D3E"/>
    <w:rsid w:val="00632432"/>
    <w:rsid w:val="00635682"/>
    <w:rsid w:val="00635C16"/>
    <w:rsid w:val="00635C51"/>
    <w:rsid w:val="00636853"/>
    <w:rsid w:val="00640B2C"/>
    <w:rsid w:val="00641E6D"/>
    <w:rsid w:val="00642B9A"/>
    <w:rsid w:val="006444CC"/>
    <w:rsid w:val="0064567A"/>
    <w:rsid w:val="00646636"/>
    <w:rsid w:val="00647266"/>
    <w:rsid w:val="00652095"/>
    <w:rsid w:val="00652D0F"/>
    <w:rsid w:val="0065364B"/>
    <w:rsid w:val="0065446C"/>
    <w:rsid w:val="00654F49"/>
    <w:rsid w:val="00656295"/>
    <w:rsid w:val="00660359"/>
    <w:rsid w:val="006608F9"/>
    <w:rsid w:val="006656B9"/>
    <w:rsid w:val="006710AD"/>
    <w:rsid w:val="006724C3"/>
    <w:rsid w:val="006745B9"/>
    <w:rsid w:val="0067554B"/>
    <w:rsid w:val="0068092E"/>
    <w:rsid w:val="006827E3"/>
    <w:rsid w:val="00684A8E"/>
    <w:rsid w:val="00685B9A"/>
    <w:rsid w:val="006875E9"/>
    <w:rsid w:val="006A1C26"/>
    <w:rsid w:val="006A1C4D"/>
    <w:rsid w:val="006A3199"/>
    <w:rsid w:val="006A3924"/>
    <w:rsid w:val="006A7691"/>
    <w:rsid w:val="006B6255"/>
    <w:rsid w:val="006C0BE5"/>
    <w:rsid w:val="006C2CD7"/>
    <w:rsid w:val="006C520A"/>
    <w:rsid w:val="006C69D3"/>
    <w:rsid w:val="006C6ED0"/>
    <w:rsid w:val="006D0DC4"/>
    <w:rsid w:val="006D2BAE"/>
    <w:rsid w:val="006D4FC7"/>
    <w:rsid w:val="006D5E76"/>
    <w:rsid w:val="006D6A03"/>
    <w:rsid w:val="006E1042"/>
    <w:rsid w:val="006E24AF"/>
    <w:rsid w:val="006E34FA"/>
    <w:rsid w:val="006E6491"/>
    <w:rsid w:val="006E74CA"/>
    <w:rsid w:val="006F0294"/>
    <w:rsid w:val="00701C0C"/>
    <w:rsid w:val="00711094"/>
    <w:rsid w:val="00711405"/>
    <w:rsid w:val="00713C4C"/>
    <w:rsid w:val="00713F7F"/>
    <w:rsid w:val="007229AD"/>
    <w:rsid w:val="00723C44"/>
    <w:rsid w:val="007247C8"/>
    <w:rsid w:val="00724FFA"/>
    <w:rsid w:val="00730BB6"/>
    <w:rsid w:val="007335CC"/>
    <w:rsid w:val="00735CFB"/>
    <w:rsid w:val="00741768"/>
    <w:rsid w:val="00744708"/>
    <w:rsid w:val="00744E82"/>
    <w:rsid w:val="0074508D"/>
    <w:rsid w:val="007471A9"/>
    <w:rsid w:val="00750CFE"/>
    <w:rsid w:val="00751DC9"/>
    <w:rsid w:val="00752C49"/>
    <w:rsid w:val="007534E2"/>
    <w:rsid w:val="00753F11"/>
    <w:rsid w:val="00754027"/>
    <w:rsid w:val="00755C2E"/>
    <w:rsid w:val="0075650D"/>
    <w:rsid w:val="00756F36"/>
    <w:rsid w:val="00757B3C"/>
    <w:rsid w:val="00762918"/>
    <w:rsid w:val="0076322F"/>
    <w:rsid w:val="0076392C"/>
    <w:rsid w:val="00765BCC"/>
    <w:rsid w:val="00766118"/>
    <w:rsid w:val="0076658F"/>
    <w:rsid w:val="00771569"/>
    <w:rsid w:val="00771D2F"/>
    <w:rsid w:val="007750F5"/>
    <w:rsid w:val="0077585B"/>
    <w:rsid w:val="00775E25"/>
    <w:rsid w:val="00793A4C"/>
    <w:rsid w:val="00795F3B"/>
    <w:rsid w:val="0079694F"/>
    <w:rsid w:val="007A016C"/>
    <w:rsid w:val="007A08CF"/>
    <w:rsid w:val="007A0A3A"/>
    <w:rsid w:val="007A2F68"/>
    <w:rsid w:val="007A5B8D"/>
    <w:rsid w:val="007A773A"/>
    <w:rsid w:val="007B08A9"/>
    <w:rsid w:val="007B3695"/>
    <w:rsid w:val="007B36C9"/>
    <w:rsid w:val="007B6885"/>
    <w:rsid w:val="007C2876"/>
    <w:rsid w:val="007C34AA"/>
    <w:rsid w:val="007C649A"/>
    <w:rsid w:val="007D02BB"/>
    <w:rsid w:val="007D282D"/>
    <w:rsid w:val="007D380C"/>
    <w:rsid w:val="007D391F"/>
    <w:rsid w:val="007D3FC9"/>
    <w:rsid w:val="007D43A7"/>
    <w:rsid w:val="007D5BDD"/>
    <w:rsid w:val="007D5F24"/>
    <w:rsid w:val="007D66E0"/>
    <w:rsid w:val="007D690F"/>
    <w:rsid w:val="007E0F8C"/>
    <w:rsid w:val="007E412D"/>
    <w:rsid w:val="007E4226"/>
    <w:rsid w:val="007E6315"/>
    <w:rsid w:val="007F48DC"/>
    <w:rsid w:val="008003A2"/>
    <w:rsid w:val="00800669"/>
    <w:rsid w:val="00802F7A"/>
    <w:rsid w:val="00805E6C"/>
    <w:rsid w:val="00806586"/>
    <w:rsid w:val="0080717A"/>
    <w:rsid w:val="00807348"/>
    <w:rsid w:val="00815CF5"/>
    <w:rsid w:val="00817ABF"/>
    <w:rsid w:val="00821B5F"/>
    <w:rsid w:val="0082617C"/>
    <w:rsid w:val="0082780A"/>
    <w:rsid w:val="008311A1"/>
    <w:rsid w:val="0083163C"/>
    <w:rsid w:val="008316A7"/>
    <w:rsid w:val="00842C6F"/>
    <w:rsid w:val="008437F0"/>
    <w:rsid w:val="00845EB2"/>
    <w:rsid w:val="00850251"/>
    <w:rsid w:val="00850839"/>
    <w:rsid w:val="00852E82"/>
    <w:rsid w:val="008548B3"/>
    <w:rsid w:val="008619C1"/>
    <w:rsid w:val="00866BE3"/>
    <w:rsid w:val="00867A8D"/>
    <w:rsid w:val="008736E1"/>
    <w:rsid w:val="008737C6"/>
    <w:rsid w:val="00874E7B"/>
    <w:rsid w:val="0087515D"/>
    <w:rsid w:val="00876157"/>
    <w:rsid w:val="00882867"/>
    <w:rsid w:val="00882AE2"/>
    <w:rsid w:val="0088303B"/>
    <w:rsid w:val="00887D38"/>
    <w:rsid w:val="008905C7"/>
    <w:rsid w:val="00890D4E"/>
    <w:rsid w:val="008927F7"/>
    <w:rsid w:val="0089361C"/>
    <w:rsid w:val="00895834"/>
    <w:rsid w:val="00897CE2"/>
    <w:rsid w:val="008A13DF"/>
    <w:rsid w:val="008A1740"/>
    <w:rsid w:val="008A1854"/>
    <w:rsid w:val="008A2DE7"/>
    <w:rsid w:val="008A3E0E"/>
    <w:rsid w:val="008A5492"/>
    <w:rsid w:val="008A5E76"/>
    <w:rsid w:val="008A73B7"/>
    <w:rsid w:val="008B0FAE"/>
    <w:rsid w:val="008B218F"/>
    <w:rsid w:val="008B2A96"/>
    <w:rsid w:val="008B47BC"/>
    <w:rsid w:val="008B5726"/>
    <w:rsid w:val="008B7692"/>
    <w:rsid w:val="008C074A"/>
    <w:rsid w:val="008C1059"/>
    <w:rsid w:val="008D0E11"/>
    <w:rsid w:val="008D35F7"/>
    <w:rsid w:val="008D3BEB"/>
    <w:rsid w:val="008D461F"/>
    <w:rsid w:val="008E0265"/>
    <w:rsid w:val="008E33C0"/>
    <w:rsid w:val="008E3C57"/>
    <w:rsid w:val="008E4779"/>
    <w:rsid w:val="008E6060"/>
    <w:rsid w:val="008E775E"/>
    <w:rsid w:val="008E7AAF"/>
    <w:rsid w:val="008F6AE2"/>
    <w:rsid w:val="00900F24"/>
    <w:rsid w:val="00907471"/>
    <w:rsid w:val="009103F8"/>
    <w:rsid w:val="00911D7E"/>
    <w:rsid w:val="00915B30"/>
    <w:rsid w:val="00917108"/>
    <w:rsid w:val="0091777F"/>
    <w:rsid w:val="00917993"/>
    <w:rsid w:val="0092107F"/>
    <w:rsid w:val="00921302"/>
    <w:rsid w:val="0092220C"/>
    <w:rsid w:val="0092714A"/>
    <w:rsid w:val="00930666"/>
    <w:rsid w:val="00934758"/>
    <w:rsid w:val="00936747"/>
    <w:rsid w:val="00937681"/>
    <w:rsid w:val="009376A3"/>
    <w:rsid w:val="00940049"/>
    <w:rsid w:val="009452CF"/>
    <w:rsid w:val="00946653"/>
    <w:rsid w:val="009467D1"/>
    <w:rsid w:val="00946A69"/>
    <w:rsid w:val="009479E1"/>
    <w:rsid w:val="00950752"/>
    <w:rsid w:val="00951378"/>
    <w:rsid w:val="00952965"/>
    <w:rsid w:val="0095301C"/>
    <w:rsid w:val="00954CEE"/>
    <w:rsid w:val="0095742B"/>
    <w:rsid w:val="00960413"/>
    <w:rsid w:val="00961F0F"/>
    <w:rsid w:val="00964748"/>
    <w:rsid w:val="009673F7"/>
    <w:rsid w:val="00970453"/>
    <w:rsid w:val="0097064C"/>
    <w:rsid w:val="00970AB7"/>
    <w:rsid w:val="00970B7B"/>
    <w:rsid w:val="0097368A"/>
    <w:rsid w:val="00973B0F"/>
    <w:rsid w:val="00975520"/>
    <w:rsid w:val="00975775"/>
    <w:rsid w:val="00975AC2"/>
    <w:rsid w:val="00976428"/>
    <w:rsid w:val="0098108B"/>
    <w:rsid w:val="009817F8"/>
    <w:rsid w:val="00986691"/>
    <w:rsid w:val="009873AD"/>
    <w:rsid w:val="0099052C"/>
    <w:rsid w:val="00992AD1"/>
    <w:rsid w:val="0099558F"/>
    <w:rsid w:val="009A1803"/>
    <w:rsid w:val="009A3075"/>
    <w:rsid w:val="009A30EE"/>
    <w:rsid w:val="009A3D05"/>
    <w:rsid w:val="009A6ACF"/>
    <w:rsid w:val="009B2BDE"/>
    <w:rsid w:val="009B3236"/>
    <w:rsid w:val="009B7C0F"/>
    <w:rsid w:val="009C3BE7"/>
    <w:rsid w:val="009C6B28"/>
    <w:rsid w:val="009C6E74"/>
    <w:rsid w:val="009D0880"/>
    <w:rsid w:val="009D0DDB"/>
    <w:rsid w:val="009D1DFB"/>
    <w:rsid w:val="009D31FE"/>
    <w:rsid w:val="009D5E18"/>
    <w:rsid w:val="009D60D2"/>
    <w:rsid w:val="009D7880"/>
    <w:rsid w:val="009E0F15"/>
    <w:rsid w:val="009E2B45"/>
    <w:rsid w:val="009E47FA"/>
    <w:rsid w:val="009E4ECA"/>
    <w:rsid w:val="009E50FF"/>
    <w:rsid w:val="009E5405"/>
    <w:rsid w:val="009E5B63"/>
    <w:rsid w:val="009E5C23"/>
    <w:rsid w:val="009E6D6F"/>
    <w:rsid w:val="009E7B33"/>
    <w:rsid w:val="009F0FCF"/>
    <w:rsid w:val="009F13E3"/>
    <w:rsid w:val="009F153F"/>
    <w:rsid w:val="009F1BD8"/>
    <w:rsid w:val="009F4E37"/>
    <w:rsid w:val="009F744D"/>
    <w:rsid w:val="00A00CC5"/>
    <w:rsid w:val="00A01BD1"/>
    <w:rsid w:val="00A05F41"/>
    <w:rsid w:val="00A0726F"/>
    <w:rsid w:val="00A10925"/>
    <w:rsid w:val="00A10971"/>
    <w:rsid w:val="00A11C47"/>
    <w:rsid w:val="00A11E27"/>
    <w:rsid w:val="00A14B2F"/>
    <w:rsid w:val="00A204B2"/>
    <w:rsid w:val="00A217A5"/>
    <w:rsid w:val="00A21B3E"/>
    <w:rsid w:val="00A24448"/>
    <w:rsid w:val="00A24F96"/>
    <w:rsid w:val="00A255C1"/>
    <w:rsid w:val="00A2580B"/>
    <w:rsid w:val="00A2621C"/>
    <w:rsid w:val="00A27369"/>
    <w:rsid w:val="00A31153"/>
    <w:rsid w:val="00A32D13"/>
    <w:rsid w:val="00A33B61"/>
    <w:rsid w:val="00A377D9"/>
    <w:rsid w:val="00A37CAB"/>
    <w:rsid w:val="00A41AF9"/>
    <w:rsid w:val="00A43499"/>
    <w:rsid w:val="00A47A57"/>
    <w:rsid w:val="00A529F7"/>
    <w:rsid w:val="00A52A7C"/>
    <w:rsid w:val="00A541FA"/>
    <w:rsid w:val="00A54F12"/>
    <w:rsid w:val="00A57729"/>
    <w:rsid w:val="00A578D2"/>
    <w:rsid w:val="00A61253"/>
    <w:rsid w:val="00A61CF7"/>
    <w:rsid w:val="00A6244D"/>
    <w:rsid w:val="00A625B5"/>
    <w:rsid w:val="00A6419B"/>
    <w:rsid w:val="00A648DB"/>
    <w:rsid w:val="00A64D2D"/>
    <w:rsid w:val="00A65DBD"/>
    <w:rsid w:val="00A72CDE"/>
    <w:rsid w:val="00A73A29"/>
    <w:rsid w:val="00A74254"/>
    <w:rsid w:val="00A813BE"/>
    <w:rsid w:val="00A8431E"/>
    <w:rsid w:val="00A8669E"/>
    <w:rsid w:val="00A92C8A"/>
    <w:rsid w:val="00A92ECB"/>
    <w:rsid w:val="00A938AD"/>
    <w:rsid w:val="00A95D8B"/>
    <w:rsid w:val="00A9645F"/>
    <w:rsid w:val="00A966E6"/>
    <w:rsid w:val="00AA1512"/>
    <w:rsid w:val="00AA58DA"/>
    <w:rsid w:val="00AA6531"/>
    <w:rsid w:val="00AA69F5"/>
    <w:rsid w:val="00AA7861"/>
    <w:rsid w:val="00AB1344"/>
    <w:rsid w:val="00AB18EF"/>
    <w:rsid w:val="00AB2161"/>
    <w:rsid w:val="00AB2A72"/>
    <w:rsid w:val="00AC287C"/>
    <w:rsid w:val="00AC4FB7"/>
    <w:rsid w:val="00AC6693"/>
    <w:rsid w:val="00AD0A43"/>
    <w:rsid w:val="00AD19A2"/>
    <w:rsid w:val="00AD298B"/>
    <w:rsid w:val="00AD5C50"/>
    <w:rsid w:val="00AD5CC3"/>
    <w:rsid w:val="00AD6155"/>
    <w:rsid w:val="00AD70D5"/>
    <w:rsid w:val="00AE2F3D"/>
    <w:rsid w:val="00AE3AB9"/>
    <w:rsid w:val="00AE4F31"/>
    <w:rsid w:val="00AE5480"/>
    <w:rsid w:val="00AE68A1"/>
    <w:rsid w:val="00AF1057"/>
    <w:rsid w:val="00AF27FE"/>
    <w:rsid w:val="00AF2AD8"/>
    <w:rsid w:val="00AF405E"/>
    <w:rsid w:val="00AF5BEE"/>
    <w:rsid w:val="00B005B4"/>
    <w:rsid w:val="00B00FE6"/>
    <w:rsid w:val="00B019BA"/>
    <w:rsid w:val="00B01F99"/>
    <w:rsid w:val="00B024F7"/>
    <w:rsid w:val="00B02771"/>
    <w:rsid w:val="00B030AE"/>
    <w:rsid w:val="00B05F16"/>
    <w:rsid w:val="00B061F9"/>
    <w:rsid w:val="00B06834"/>
    <w:rsid w:val="00B0781C"/>
    <w:rsid w:val="00B11C34"/>
    <w:rsid w:val="00B11E32"/>
    <w:rsid w:val="00B14A9E"/>
    <w:rsid w:val="00B16AE7"/>
    <w:rsid w:val="00B2006D"/>
    <w:rsid w:val="00B20716"/>
    <w:rsid w:val="00B20FB5"/>
    <w:rsid w:val="00B212A7"/>
    <w:rsid w:val="00B21EE3"/>
    <w:rsid w:val="00B22C28"/>
    <w:rsid w:val="00B23B63"/>
    <w:rsid w:val="00B270B7"/>
    <w:rsid w:val="00B3186C"/>
    <w:rsid w:val="00B3267B"/>
    <w:rsid w:val="00B35179"/>
    <w:rsid w:val="00B35261"/>
    <w:rsid w:val="00B3674E"/>
    <w:rsid w:val="00B37A6A"/>
    <w:rsid w:val="00B407AD"/>
    <w:rsid w:val="00B409A2"/>
    <w:rsid w:val="00B416E7"/>
    <w:rsid w:val="00B41AEA"/>
    <w:rsid w:val="00B43AF7"/>
    <w:rsid w:val="00B44EB8"/>
    <w:rsid w:val="00B46175"/>
    <w:rsid w:val="00B46E7A"/>
    <w:rsid w:val="00B50705"/>
    <w:rsid w:val="00B50BD6"/>
    <w:rsid w:val="00B50EDA"/>
    <w:rsid w:val="00B55478"/>
    <w:rsid w:val="00B60435"/>
    <w:rsid w:val="00B61FED"/>
    <w:rsid w:val="00B67EB4"/>
    <w:rsid w:val="00B747C9"/>
    <w:rsid w:val="00B74FCA"/>
    <w:rsid w:val="00B800C1"/>
    <w:rsid w:val="00B8288F"/>
    <w:rsid w:val="00B851AE"/>
    <w:rsid w:val="00B8617C"/>
    <w:rsid w:val="00B91925"/>
    <w:rsid w:val="00B926FE"/>
    <w:rsid w:val="00B9297E"/>
    <w:rsid w:val="00B9410C"/>
    <w:rsid w:val="00B94490"/>
    <w:rsid w:val="00B9613E"/>
    <w:rsid w:val="00B96521"/>
    <w:rsid w:val="00BA3BB3"/>
    <w:rsid w:val="00BA56AF"/>
    <w:rsid w:val="00BA604D"/>
    <w:rsid w:val="00BA7E18"/>
    <w:rsid w:val="00BB006B"/>
    <w:rsid w:val="00BB0F87"/>
    <w:rsid w:val="00BB7119"/>
    <w:rsid w:val="00BC4905"/>
    <w:rsid w:val="00BC6EFF"/>
    <w:rsid w:val="00BD0FD9"/>
    <w:rsid w:val="00BD2E60"/>
    <w:rsid w:val="00BD5742"/>
    <w:rsid w:val="00BD64F8"/>
    <w:rsid w:val="00BE1483"/>
    <w:rsid w:val="00BE2576"/>
    <w:rsid w:val="00BE4C14"/>
    <w:rsid w:val="00BE5B4C"/>
    <w:rsid w:val="00BE7B30"/>
    <w:rsid w:val="00BE7CD4"/>
    <w:rsid w:val="00BF0A36"/>
    <w:rsid w:val="00BF2008"/>
    <w:rsid w:val="00BF429E"/>
    <w:rsid w:val="00BF43E5"/>
    <w:rsid w:val="00BF5C27"/>
    <w:rsid w:val="00BF62A8"/>
    <w:rsid w:val="00BF73C4"/>
    <w:rsid w:val="00C06B50"/>
    <w:rsid w:val="00C06ED5"/>
    <w:rsid w:val="00C0759B"/>
    <w:rsid w:val="00C116F2"/>
    <w:rsid w:val="00C15B62"/>
    <w:rsid w:val="00C17300"/>
    <w:rsid w:val="00C24925"/>
    <w:rsid w:val="00C26EA0"/>
    <w:rsid w:val="00C271E3"/>
    <w:rsid w:val="00C27D0E"/>
    <w:rsid w:val="00C30D3A"/>
    <w:rsid w:val="00C3130C"/>
    <w:rsid w:val="00C31AFF"/>
    <w:rsid w:val="00C3456F"/>
    <w:rsid w:val="00C3784E"/>
    <w:rsid w:val="00C379E6"/>
    <w:rsid w:val="00C40483"/>
    <w:rsid w:val="00C40A91"/>
    <w:rsid w:val="00C42E42"/>
    <w:rsid w:val="00C450E1"/>
    <w:rsid w:val="00C459FC"/>
    <w:rsid w:val="00C45EDB"/>
    <w:rsid w:val="00C51CBE"/>
    <w:rsid w:val="00C51E5E"/>
    <w:rsid w:val="00C52C00"/>
    <w:rsid w:val="00C53D19"/>
    <w:rsid w:val="00C5637A"/>
    <w:rsid w:val="00C57435"/>
    <w:rsid w:val="00C57FE8"/>
    <w:rsid w:val="00C60C12"/>
    <w:rsid w:val="00C61D2A"/>
    <w:rsid w:val="00C61DA4"/>
    <w:rsid w:val="00C62FB7"/>
    <w:rsid w:val="00C63351"/>
    <w:rsid w:val="00C63919"/>
    <w:rsid w:val="00C64D0F"/>
    <w:rsid w:val="00C67D8D"/>
    <w:rsid w:val="00C72C6A"/>
    <w:rsid w:val="00C75739"/>
    <w:rsid w:val="00C7689E"/>
    <w:rsid w:val="00C76A34"/>
    <w:rsid w:val="00C81703"/>
    <w:rsid w:val="00C8212F"/>
    <w:rsid w:val="00C838B7"/>
    <w:rsid w:val="00C851C4"/>
    <w:rsid w:val="00C864A5"/>
    <w:rsid w:val="00C90B5A"/>
    <w:rsid w:val="00C9173D"/>
    <w:rsid w:val="00C97E3D"/>
    <w:rsid w:val="00CA0FD8"/>
    <w:rsid w:val="00CA2C4A"/>
    <w:rsid w:val="00CA5428"/>
    <w:rsid w:val="00CA581E"/>
    <w:rsid w:val="00CA5E32"/>
    <w:rsid w:val="00CA7B8A"/>
    <w:rsid w:val="00CB0AC2"/>
    <w:rsid w:val="00CB3084"/>
    <w:rsid w:val="00CB6EAF"/>
    <w:rsid w:val="00CB6EBA"/>
    <w:rsid w:val="00CC1926"/>
    <w:rsid w:val="00CC2176"/>
    <w:rsid w:val="00CC5119"/>
    <w:rsid w:val="00CC57AC"/>
    <w:rsid w:val="00CD1CF1"/>
    <w:rsid w:val="00CD5CC5"/>
    <w:rsid w:val="00CD7201"/>
    <w:rsid w:val="00CE0EE7"/>
    <w:rsid w:val="00CE3F56"/>
    <w:rsid w:val="00CF0266"/>
    <w:rsid w:val="00CF0E1C"/>
    <w:rsid w:val="00CF0E81"/>
    <w:rsid w:val="00CF17D7"/>
    <w:rsid w:val="00CF1999"/>
    <w:rsid w:val="00D02477"/>
    <w:rsid w:val="00D04763"/>
    <w:rsid w:val="00D04DD1"/>
    <w:rsid w:val="00D11819"/>
    <w:rsid w:val="00D155FA"/>
    <w:rsid w:val="00D156D1"/>
    <w:rsid w:val="00D21DD5"/>
    <w:rsid w:val="00D21FAE"/>
    <w:rsid w:val="00D2582D"/>
    <w:rsid w:val="00D309E2"/>
    <w:rsid w:val="00D32C9F"/>
    <w:rsid w:val="00D32F90"/>
    <w:rsid w:val="00D33AC2"/>
    <w:rsid w:val="00D34048"/>
    <w:rsid w:val="00D34B01"/>
    <w:rsid w:val="00D358EF"/>
    <w:rsid w:val="00D36C37"/>
    <w:rsid w:val="00D371F3"/>
    <w:rsid w:val="00D4050C"/>
    <w:rsid w:val="00D40789"/>
    <w:rsid w:val="00D441D6"/>
    <w:rsid w:val="00D44AA6"/>
    <w:rsid w:val="00D45377"/>
    <w:rsid w:val="00D45D5C"/>
    <w:rsid w:val="00D4664A"/>
    <w:rsid w:val="00D46BBD"/>
    <w:rsid w:val="00D50AA7"/>
    <w:rsid w:val="00D52704"/>
    <w:rsid w:val="00D52A00"/>
    <w:rsid w:val="00D55478"/>
    <w:rsid w:val="00D55AEE"/>
    <w:rsid w:val="00D636EF"/>
    <w:rsid w:val="00D65AFA"/>
    <w:rsid w:val="00D70D22"/>
    <w:rsid w:val="00D769C6"/>
    <w:rsid w:val="00D80EB9"/>
    <w:rsid w:val="00D85300"/>
    <w:rsid w:val="00D85323"/>
    <w:rsid w:val="00D874DB"/>
    <w:rsid w:val="00D875DB"/>
    <w:rsid w:val="00D94612"/>
    <w:rsid w:val="00D95AF8"/>
    <w:rsid w:val="00DA0AF2"/>
    <w:rsid w:val="00DA1747"/>
    <w:rsid w:val="00DA7D74"/>
    <w:rsid w:val="00DB0C0A"/>
    <w:rsid w:val="00DB24EE"/>
    <w:rsid w:val="00DB3345"/>
    <w:rsid w:val="00DB4507"/>
    <w:rsid w:val="00DC0898"/>
    <w:rsid w:val="00DC6D54"/>
    <w:rsid w:val="00DC7324"/>
    <w:rsid w:val="00DD3A05"/>
    <w:rsid w:val="00DD679A"/>
    <w:rsid w:val="00DD6AAA"/>
    <w:rsid w:val="00DD7DF0"/>
    <w:rsid w:val="00DE08F1"/>
    <w:rsid w:val="00DE1737"/>
    <w:rsid w:val="00DE26CF"/>
    <w:rsid w:val="00DE31C5"/>
    <w:rsid w:val="00DE34B3"/>
    <w:rsid w:val="00DE4A63"/>
    <w:rsid w:val="00DE58F2"/>
    <w:rsid w:val="00DE709F"/>
    <w:rsid w:val="00DE735A"/>
    <w:rsid w:val="00DF1B8C"/>
    <w:rsid w:val="00DF25AC"/>
    <w:rsid w:val="00DF4F9F"/>
    <w:rsid w:val="00E0086C"/>
    <w:rsid w:val="00E0282C"/>
    <w:rsid w:val="00E064F6"/>
    <w:rsid w:val="00E07037"/>
    <w:rsid w:val="00E07502"/>
    <w:rsid w:val="00E11AFB"/>
    <w:rsid w:val="00E1326C"/>
    <w:rsid w:val="00E14C3D"/>
    <w:rsid w:val="00E21252"/>
    <w:rsid w:val="00E24F77"/>
    <w:rsid w:val="00E26572"/>
    <w:rsid w:val="00E30ADE"/>
    <w:rsid w:val="00E30DDD"/>
    <w:rsid w:val="00E315AC"/>
    <w:rsid w:val="00E32B2D"/>
    <w:rsid w:val="00E330FA"/>
    <w:rsid w:val="00E34823"/>
    <w:rsid w:val="00E34C3E"/>
    <w:rsid w:val="00E3625A"/>
    <w:rsid w:val="00E37B6E"/>
    <w:rsid w:val="00E40086"/>
    <w:rsid w:val="00E412CE"/>
    <w:rsid w:val="00E457E3"/>
    <w:rsid w:val="00E46DA3"/>
    <w:rsid w:val="00E47422"/>
    <w:rsid w:val="00E47D9B"/>
    <w:rsid w:val="00E47E3B"/>
    <w:rsid w:val="00E504C0"/>
    <w:rsid w:val="00E50FFC"/>
    <w:rsid w:val="00E51335"/>
    <w:rsid w:val="00E519B3"/>
    <w:rsid w:val="00E54C76"/>
    <w:rsid w:val="00E55C84"/>
    <w:rsid w:val="00E64B82"/>
    <w:rsid w:val="00E65556"/>
    <w:rsid w:val="00E6604A"/>
    <w:rsid w:val="00E707D6"/>
    <w:rsid w:val="00E715B4"/>
    <w:rsid w:val="00E7386E"/>
    <w:rsid w:val="00E747D9"/>
    <w:rsid w:val="00E769EA"/>
    <w:rsid w:val="00E76F32"/>
    <w:rsid w:val="00E80C6C"/>
    <w:rsid w:val="00E81A43"/>
    <w:rsid w:val="00E827B1"/>
    <w:rsid w:val="00E82BDC"/>
    <w:rsid w:val="00E83657"/>
    <w:rsid w:val="00E83A7B"/>
    <w:rsid w:val="00E877C0"/>
    <w:rsid w:val="00E9016D"/>
    <w:rsid w:val="00E90C63"/>
    <w:rsid w:val="00E91223"/>
    <w:rsid w:val="00E961CE"/>
    <w:rsid w:val="00E96E14"/>
    <w:rsid w:val="00EA038A"/>
    <w:rsid w:val="00EA11F1"/>
    <w:rsid w:val="00EA2052"/>
    <w:rsid w:val="00EA2DA2"/>
    <w:rsid w:val="00EA36EC"/>
    <w:rsid w:val="00EA5DFF"/>
    <w:rsid w:val="00EB1DF6"/>
    <w:rsid w:val="00EB2781"/>
    <w:rsid w:val="00EB2B17"/>
    <w:rsid w:val="00EB4A91"/>
    <w:rsid w:val="00EC05A1"/>
    <w:rsid w:val="00EC0B78"/>
    <w:rsid w:val="00EC1D53"/>
    <w:rsid w:val="00EC3C6B"/>
    <w:rsid w:val="00EC4792"/>
    <w:rsid w:val="00EC5C34"/>
    <w:rsid w:val="00EC6D73"/>
    <w:rsid w:val="00ED0153"/>
    <w:rsid w:val="00ED296B"/>
    <w:rsid w:val="00ED2BA2"/>
    <w:rsid w:val="00ED4634"/>
    <w:rsid w:val="00ED48FA"/>
    <w:rsid w:val="00ED4ABD"/>
    <w:rsid w:val="00ED6B92"/>
    <w:rsid w:val="00ED6EE2"/>
    <w:rsid w:val="00EE1F36"/>
    <w:rsid w:val="00EE2AA0"/>
    <w:rsid w:val="00EE4E61"/>
    <w:rsid w:val="00EE4EC5"/>
    <w:rsid w:val="00EE5FCD"/>
    <w:rsid w:val="00EF018C"/>
    <w:rsid w:val="00EF4B59"/>
    <w:rsid w:val="00EF4C62"/>
    <w:rsid w:val="00EF5125"/>
    <w:rsid w:val="00EF682C"/>
    <w:rsid w:val="00EF6BFC"/>
    <w:rsid w:val="00F016AA"/>
    <w:rsid w:val="00F0180A"/>
    <w:rsid w:val="00F042A0"/>
    <w:rsid w:val="00F04BEB"/>
    <w:rsid w:val="00F0519A"/>
    <w:rsid w:val="00F05A41"/>
    <w:rsid w:val="00F05D89"/>
    <w:rsid w:val="00F05EDA"/>
    <w:rsid w:val="00F11B06"/>
    <w:rsid w:val="00F14AFB"/>
    <w:rsid w:val="00F15F85"/>
    <w:rsid w:val="00F17858"/>
    <w:rsid w:val="00F21776"/>
    <w:rsid w:val="00F231CC"/>
    <w:rsid w:val="00F27807"/>
    <w:rsid w:val="00F27F7F"/>
    <w:rsid w:val="00F3354A"/>
    <w:rsid w:val="00F33E7F"/>
    <w:rsid w:val="00F36155"/>
    <w:rsid w:val="00F376D2"/>
    <w:rsid w:val="00F4398F"/>
    <w:rsid w:val="00F43C73"/>
    <w:rsid w:val="00F44D11"/>
    <w:rsid w:val="00F44F93"/>
    <w:rsid w:val="00F45276"/>
    <w:rsid w:val="00F4652C"/>
    <w:rsid w:val="00F46C6A"/>
    <w:rsid w:val="00F525A0"/>
    <w:rsid w:val="00F52C1E"/>
    <w:rsid w:val="00F5368C"/>
    <w:rsid w:val="00F540F5"/>
    <w:rsid w:val="00F56D76"/>
    <w:rsid w:val="00F57867"/>
    <w:rsid w:val="00F61D6A"/>
    <w:rsid w:val="00F65773"/>
    <w:rsid w:val="00F65B8A"/>
    <w:rsid w:val="00F675BA"/>
    <w:rsid w:val="00F67AB9"/>
    <w:rsid w:val="00F700A0"/>
    <w:rsid w:val="00F703ED"/>
    <w:rsid w:val="00F71662"/>
    <w:rsid w:val="00F718CB"/>
    <w:rsid w:val="00F71F32"/>
    <w:rsid w:val="00F80100"/>
    <w:rsid w:val="00F831DB"/>
    <w:rsid w:val="00F8414F"/>
    <w:rsid w:val="00F85C6B"/>
    <w:rsid w:val="00F86594"/>
    <w:rsid w:val="00F873F4"/>
    <w:rsid w:val="00F9425E"/>
    <w:rsid w:val="00F95D3D"/>
    <w:rsid w:val="00F96D79"/>
    <w:rsid w:val="00FA0197"/>
    <w:rsid w:val="00FA4CFD"/>
    <w:rsid w:val="00FB189E"/>
    <w:rsid w:val="00FB2811"/>
    <w:rsid w:val="00FB2E07"/>
    <w:rsid w:val="00FB30E9"/>
    <w:rsid w:val="00FB50A4"/>
    <w:rsid w:val="00FB53DD"/>
    <w:rsid w:val="00FB55FC"/>
    <w:rsid w:val="00FB709F"/>
    <w:rsid w:val="00FC1759"/>
    <w:rsid w:val="00FC3F0E"/>
    <w:rsid w:val="00FC4882"/>
    <w:rsid w:val="00FC63C2"/>
    <w:rsid w:val="00FD1E1C"/>
    <w:rsid w:val="00FD411A"/>
    <w:rsid w:val="00FE08BA"/>
    <w:rsid w:val="00FE197E"/>
    <w:rsid w:val="00FE2129"/>
    <w:rsid w:val="00FE2646"/>
    <w:rsid w:val="00FE2CB7"/>
    <w:rsid w:val="00FE36C6"/>
    <w:rsid w:val="00FE5827"/>
    <w:rsid w:val="00FF1B9C"/>
    <w:rsid w:val="00FF2476"/>
    <w:rsid w:val="00FF69CB"/>
    <w:rsid w:val="00FF7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FAE80"/>
  <w15:docId w15:val="{72907A20-FAF5-42AA-8194-83716737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8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5C30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A140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744E82"/>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C30B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A140A"/>
    <w:rPr>
      <w:rFonts w:asciiTheme="majorHAnsi" w:eastAsiaTheme="majorEastAsia" w:hAnsiTheme="majorHAnsi" w:cstheme="majorBidi"/>
      <w:color w:val="365F91" w:themeColor="accent1" w:themeShade="BF"/>
      <w:sz w:val="26"/>
      <w:szCs w:val="26"/>
    </w:rPr>
  </w:style>
  <w:style w:type="character" w:styleId="Lienhypertexte">
    <w:name w:val="Hyperlink"/>
    <w:basedOn w:val="Policepardfaut"/>
    <w:uiPriority w:val="99"/>
    <w:unhideWhenUsed/>
    <w:rsid w:val="008437F0"/>
    <w:rPr>
      <w:color w:val="0000FF" w:themeColor="hyperlink"/>
      <w:u w:val="single"/>
    </w:rPr>
  </w:style>
  <w:style w:type="character" w:customStyle="1" w:styleId="UnresolvedMention1">
    <w:name w:val="Unresolved Mention1"/>
    <w:basedOn w:val="Policepardfaut"/>
    <w:uiPriority w:val="99"/>
    <w:semiHidden/>
    <w:unhideWhenUsed/>
    <w:rsid w:val="008437F0"/>
    <w:rPr>
      <w:color w:val="605E5C"/>
      <w:shd w:val="clear" w:color="auto" w:fill="E1DFDD"/>
    </w:rPr>
  </w:style>
  <w:style w:type="character" w:styleId="Lienhypertextesuivivisit">
    <w:name w:val="FollowedHyperlink"/>
    <w:basedOn w:val="Policepardfaut"/>
    <w:uiPriority w:val="99"/>
    <w:semiHidden/>
    <w:unhideWhenUsed/>
    <w:rsid w:val="00E0282C"/>
    <w:rPr>
      <w:color w:val="800080" w:themeColor="followedHyperlink"/>
      <w:u w:val="single"/>
    </w:rPr>
  </w:style>
  <w:style w:type="paragraph" w:styleId="Sansinterligne">
    <w:name w:val="No Spacing"/>
    <w:uiPriority w:val="1"/>
    <w:qFormat/>
    <w:rsid w:val="00EA2DA2"/>
    <w:pPr>
      <w:spacing w:after="0" w:line="240" w:lineRule="auto"/>
    </w:pPr>
  </w:style>
  <w:style w:type="character" w:customStyle="1" w:styleId="Titre3Car">
    <w:name w:val="Titre 3 Car"/>
    <w:basedOn w:val="Policepardfaut"/>
    <w:link w:val="Titre3"/>
    <w:uiPriority w:val="9"/>
    <w:rsid w:val="00744E82"/>
    <w:rPr>
      <w:rFonts w:asciiTheme="majorHAnsi" w:eastAsiaTheme="majorEastAsia" w:hAnsiTheme="majorHAnsi" w:cstheme="majorBidi"/>
      <w:b/>
      <w:bCs/>
      <w:color w:val="4F81BD" w:themeColor="accent1"/>
    </w:rPr>
  </w:style>
  <w:style w:type="character" w:styleId="Numrodeligne">
    <w:name w:val="line number"/>
    <w:basedOn w:val="Policepardfaut"/>
    <w:uiPriority w:val="99"/>
    <w:semiHidden/>
    <w:unhideWhenUsed/>
    <w:rsid w:val="001F4CA5"/>
  </w:style>
  <w:style w:type="paragraph" w:styleId="Textedebulles">
    <w:name w:val="Balloon Text"/>
    <w:basedOn w:val="Normal"/>
    <w:link w:val="TextedebullesCar"/>
    <w:uiPriority w:val="99"/>
    <w:semiHidden/>
    <w:unhideWhenUsed/>
    <w:rsid w:val="004867BA"/>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67BA"/>
    <w:rPr>
      <w:rFonts w:ascii="Segoe UI" w:hAnsi="Segoe UI" w:cs="Segoe UI"/>
      <w:sz w:val="18"/>
      <w:szCs w:val="18"/>
    </w:rPr>
  </w:style>
  <w:style w:type="paragraph" w:styleId="Bibliographie">
    <w:name w:val="Bibliography"/>
    <w:basedOn w:val="Normal"/>
    <w:next w:val="Normal"/>
    <w:uiPriority w:val="37"/>
    <w:unhideWhenUsed/>
    <w:rsid w:val="00007C7E"/>
    <w:pPr>
      <w:tabs>
        <w:tab w:val="left" w:pos="384"/>
      </w:tabs>
      <w:spacing w:after="240"/>
      <w:ind w:left="384" w:hanging="384"/>
    </w:pPr>
  </w:style>
  <w:style w:type="character" w:styleId="Marquedecommentaire">
    <w:name w:val="annotation reference"/>
    <w:basedOn w:val="Policepardfaut"/>
    <w:uiPriority w:val="99"/>
    <w:semiHidden/>
    <w:unhideWhenUsed/>
    <w:rsid w:val="00C62FB7"/>
    <w:rPr>
      <w:sz w:val="18"/>
      <w:szCs w:val="18"/>
    </w:rPr>
  </w:style>
  <w:style w:type="paragraph" w:styleId="Commentaire">
    <w:name w:val="annotation text"/>
    <w:basedOn w:val="Normal"/>
    <w:link w:val="CommentaireCar"/>
    <w:uiPriority w:val="99"/>
    <w:unhideWhenUsed/>
    <w:rsid w:val="00C62FB7"/>
  </w:style>
  <w:style w:type="character" w:customStyle="1" w:styleId="CommentaireCar">
    <w:name w:val="Commentaire Car"/>
    <w:basedOn w:val="Policepardfaut"/>
    <w:link w:val="Commentaire"/>
    <w:uiPriority w:val="99"/>
    <w:rsid w:val="00C62FB7"/>
    <w:rPr>
      <w:sz w:val="24"/>
      <w:szCs w:val="24"/>
    </w:rPr>
  </w:style>
  <w:style w:type="paragraph" w:styleId="Objetducommentaire">
    <w:name w:val="annotation subject"/>
    <w:basedOn w:val="Commentaire"/>
    <w:next w:val="Commentaire"/>
    <w:link w:val="ObjetducommentaireCar"/>
    <w:uiPriority w:val="99"/>
    <w:semiHidden/>
    <w:unhideWhenUsed/>
    <w:rsid w:val="00C62FB7"/>
    <w:rPr>
      <w:b/>
      <w:bCs/>
      <w:sz w:val="20"/>
      <w:szCs w:val="20"/>
    </w:rPr>
  </w:style>
  <w:style w:type="character" w:customStyle="1" w:styleId="ObjetducommentaireCar">
    <w:name w:val="Objet du commentaire Car"/>
    <w:basedOn w:val="CommentaireCar"/>
    <w:link w:val="Objetducommentaire"/>
    <w:uiPriority w:val="99"/>
    <w:semiHidden/>
    <w:rsid w:val="00C62FB7"/>
    <w:rPr>
      <w:b/>
      <w:bCs/>
      <w:sz w:val="20"/>
      <w:szCs w:val="20"/>
    </w:rPr>
  </w:style>
  <w:style w:type="paragraph" w:customStyle="1" w:styleId="NoSpacing1">
    <w:name w:val="No Spacing1"/>
    <w:uiPriority w:val="99"/>
    <w:rsid w:val="00C62FB7"/>
    <w:pPr>
      <w:spacing w:after="0" w:line="240" w:lineRule="auto"/>
    </w:pPr>
    <w:rPr>
      <w:rFonts w:ascii="Calibri" w:eastAsia="MS Minngs" w:hAnsi="Calibri" w:cs="Times New Roman"/>
      <w:lang w:eastAsia="fr-FR"/>
    </w:rPr>
  </w:style>
  <w:style w:type="character" w:customStyle="1" w:styleId="apple-converted-space">
    <w:name w:val="apple-converted-space"/>
    <w:basedOn w:val="Policepardfaut"/>
    <w:rsid w:val="00E90C63"/>
  </w:style>
  <w:style w:type="paragraph" w:styleId="Rvision">
    <w:name w:val="Revision"/>
    <w:hidden/>
    <w:uiPriority w:val="99"/>
    <w:semiHidden/>
    <w:rsid w:val="0024654A"/>
    <w:pPr>
      <w:spacing w:after="0" w:line="240" w:lineRule="auto"/>
    </w:pPr>
  </w:style>
  <w:style w:type="paragraph" w:styleId="Paragraphedeliste">
    <w:name w:val="List Paragraph"/>
    <w:basedOn w:val="Normal"/>
    <w:uiPriority w:val="34"/>
    <w:qFormat/>
    <w:rsid w:val="009B7C0F"/>
    <w:pPr>
      <w:ind w:left="720"/>
      <w:contextualSpacing/>
    </w:pPr>
  </w:style>
  <w:style w:type="paragraph" w:customStyle="1" w:styleId="m349817484066317048msonospacing">
    <w:name w:val="m_349817484066317048msonospacing"/>
    <w:basedOn w:val="Normal"/>
    <w:rsid w:val="004948C0"/>
    <w:pPr>
      <w:spacing w:before="100" w:beforeAutospacing="1" w:after="100" w:afterAutospacing="1"/>
    </w:pPr>
  </w:style>
  <w:style w:type="character" w:customStyle="1" w:styleId="Mentionnonrsolue1">
    <w:name w:val="Mention non résolue1"/>
    <w:basedOn w:val="Policepardfaut"/>
    <w:uiPriority w:val="99"/>
    <w:semiHidden/>
    <w:unhideWhenUsed/>
    <w:rsid w:val="00626E81"/>
    <w:rPr>
      <w:color w:val="605E5C"/>
      <w:shd w:val="clear" w:color="auto" w:fill="E1DFDD"/>
    </w:rPr>
  </w:style>
  <w:style w:type="paragraph" w:customStyle="1" w:styleId="m-2385801766596900553msonospacing">
    <w:name w:val="m_-2385801766596900553msonospacing"/>
    <w:basedOn w:val="Normal"/>
    <w:rsid w:val="00424896"/>
    <w:pPr>
      <w:spacing w:before="100" w:beforeAutospacing="1" w:after="100" w:afterAutospacing="1"/>
    </w:pPr>
  </w:style>
  <w:style w:type="table" w:styleId="Grilledutableau">
    <w:name w:val="Table Grid"/>
    <w:basedOn w:val="TableauNormal"/>
    <w:uiPriority w:val="59"/>
    <w:rsid w:val="00A31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D2E60"/>
    <w:rPr>
      <w:b/>
      <w:bCs/>
    </w:rPr>
  </w:style>
  <w:style w:type="table" w:customStyle="1" w:styleId="Tableausimple51">
    <w:name w:val="Tableau simple 51"/>
    <w:basedOn w:val="TableauNormal"/>
    <w:uiPriority w:val="45"/>
    <w:rsid w:val="0044250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entionnonrsolue2">
    <w:name w:val="Mention non résolue2"/>
    <w:basedOn w:val="Policepardfaut"/>
    <w:uiPriority w:val="99"/>
    <w:semiHidden/>
    <w:unhideWhenUsed/>
    <w:rsid w:val="00B46175"/>
    <w:rPr>
      <w:color w:val="605E5C"/>
      <w:shd w:val="clear" w:color="auto" w:fill="E1DFDD"/>
    </w:rPr>
  </w:style>
  <w:style w:type="character" w:customStyle="1" w:styleId="identifier">
    <w:name w:val="identifier"/>
    <w:basedOn w:val="Policepardfaut"/>
    <w:rsid w:val="00EF4B59"/>
  </w:style>
  <w:style w:type="character" w:customStyle="1" w:styleId="Mentionnonrsolue3">
    <w:name w:val="Mention non résolue3"/>
    <w:basedOn w:val="Policepardfaut"/>
    <w:uiPriority w:val="99"/>
    <w:semiHidden/>
    <w:unhideWhenUsed/>
    <w:rsid w:val="00AB1344"/>
    <w:rPr>
      <w:color w:val="605E5C"/>
      <w:shd w:val="clear" w:color="auto" w:fill="E1DFDD"/>
    </w:rPr>
  </w:style>
  <w:style w:type="character" w:customStyle="1" w:styleId="Mentionnonrsolue4">
    <w:name w:val="Mention non résolue4"/>
    <w:basedOn w:val="Policepardfaut"/>
    <w:uiPriority w:val="99"/>
    <w:semiHidden/>
    <w:unhideWhenUsed/>
    <w:rsid w:val="003F33BC"/>
    <w:rPr>
      <w:color w:val="605E5C"/>
      <w:shd w:val="clear" w:color="auto" w:fill="E1DFDD"/>
    </w:rPr>
  </w:style>
  <w:style w:type="character" w:customStyle="1" w:styleId="UnresolvedMention">
    <w:name w:val="Unresolved Mention"/>
    <w:basedOn w:val="Policepardfaut"/>
    <w:uiPriority w:val="99"/>
    <w:semiHidden/>
    <w:unhideWhenUsed/>
    <w:rsid w:val="00E9016D"/>
    <w:rPr>
      <w:color w:val="605E5C"/>
      <w:shd w:val="clear" w:color="auto" w:fill="E1DFDD"/>
    </w:rPr>
  </w:style>
  <w:style w:type="paragraph" w:styleId="En-tte">
    <w:name w:val="header"/>
    <w:basedOn w:val="Normal"/>
    <w:link w:val="En-tteCar"/>
    <w:uiPriority w:val="99"/>
    <w:unhideWhenUsed/>
    <w:rsid w:val="000416F1"/>
    <w:pPr>
      <w:tabs>
        <w:tab w:val="center" w:pos="4536"/>
        <w:tab w:val="right" w:pos="9072"/>
      </w:tabs>
    </w:pPr>
  </w:style>
  <w:style w:type="character" w:customStyle="1" w:styleId="En-tteCar">
    <w:name w:val="En-tête Car"/>
    <w:basedOn w:val="Policepardfaut"/>
    <w:link w:val="En-tte"/>
    <w:uiPriority w:val="99"/>
    <w:rsid w:val="000416F1"/>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416F1"/>
    <w:pPr>
      <w:tabs>
        <w:tab w:val="center" w:pos="4536"/>
        <w:tab w:val="right" w:pos="9072"/>
      </w:tabs>
    </w:pPr>
  </w:style>
  <w:style w:type="character" w:customStyle="1" w:styleId="PieddepageCar">
    <w:name w:val="Pied de page Car"/>
    <w:basedOn w:val="Policepardfaut"/>
    <w:link w:val="Pieddepage"/>
    <w:uiPriority w:val="99"/>
    <w:rsid w:val="000416F1"/>
    <w:rPr>
      <w:rFonts w:ascii="Times New Roman" w:eastAsia="Times New Roman" w:hAnsi="Times New Roman" w:cs="Times New Roman"/>
      <w:sz w:val="24"/>
      <w:szCs w:val="24"/>
      <w:lang w:eastAsia="fr-FR"/>
    </w:rPr>
  </w:style>
  <w:style w:type="table" w:customStyle="1" w:styleId="Grilledetableauclaire1">
    <w:name w:val="Grille de tableau claire1"/>
    <w:basedOn w:val="TableauNormal"/>
    <w:uiPriority w:val="40"/>
    <w:rsid w:val="00D45377"/>
    <w:pPr>
      <w:spacing w:after="0" w:line="240" w:lineRule="auto"/>
      <w:jc w:val="both"/>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7719">
      <w:bodyDiv w:val="1"/>
      <w:marLeft w:val="0"/>
      <w:marRight w:val="0"/>
      <w:marTop w:val="0"/>
      <w:marBottom w:val="0"/>
      <w:divBdr>
        <w:top w:val="none" w:sz="0" w:space="0" w:color="auto"/>
        <w:left w:val="none" w:sz="0" w:space="0" w:color="auto"/>
        <w:bottom w:val="none" w:sz="0" w:space="0" w:color="auto"/>
        <w:right w:val="none" w:sz="0" w:space="0" w:color="auto"/>
      </w:divBdr>
    </w:div>
    <w:div w:id="15665704">
      <w:bodyDiv w:val="1"/>
      <w:marLeft w:val="0"/>
      <w:marRight w:val="0"/>
      <w:marTop w:val="0"/>
      <w:marBottom w:val="0"/>
      <w:divBdr>
        <w:top w:val="none" w:sz="0" w:space="0" w:color="auto"/>
        <w:left w:val="none" w:sz="0" w:space="0" w:color="auto"/>
        <w:bottom w:val="none" w:sz="0" w:space="0" w:color="auto"/>
        <w:right w:val="none" w:sz="0" w:space="0" w:color="auto"/>
      </w:divBdr>
    </w:div>
    <w:div w:id="33384652">
      <w:bodyDiv w:val="1"/>
      <w:marLeft w:val="0"/>
      <w:marRight w:val="0"/>
      <w:marTop w:val="0"/>
      <w:marBottom w:val="0"/>
      <w:divBdr>
        <w:top w:val="none" w:sz="0" w:space="0" w:color="auto"/>
        <w:left w:val="none" w:sz="0" w:space="0" w:color="auto"/>
        <w:bottom w:val="none" w:sz="0" w:space="0" w:color="auto"/>
        <w:right w:val="none" w:sz="0" w:space="0" w:color="auto"/>
      </w:divBdr>
    </w:div>
    <w:div w:id="96752046">
      <w:bodyDiv w:val="1"/>
      <w:marLeft w:val="0"/>
      <w:marRight w:val="0"/>
      <w:marTop w:val="0"/>
      <w:marBottom w:val="0"/>
      <w:divBdr>
        <w:top w:val="none" w:sz="0" w:space="0" w:color="auto"/>
        <w:left w:val="none" w:sz="0" w:space="0" w:color="auto"/>
        <w:bottom w:val="none" w:sz="0" w:space="0" w:color="auto"/>
        <w:right w:val="none" w:sz="0" w:space="0" w:color="auto"/>
      </w:divBdr>
    </w:div>
    <w:div w:id="99494015">
      <w:bodyDiv w:val="1"/>
      <w:marLeft w:val="0"/>
      <w:marRight w:val="0"/>
      <w:marTop w:val="0"/>
      <w:marBottom w:val="0"/>
      <w:divBdr>
        <w:top w:val="none" w:sz="0" w:space="0" w:color="auto"/>
        <w:left w:val="none" w:sz="0" w:space="0" w:color="auto"/>
        <w:bottom w:val="none" w:sz="0" w:space="0" w:color="auto"/>
        <w:right w:val="none" w:sz="0" w:space="0" w:color="auto"/>
      </w:divBdr>
    </w:div>
    <w:div w:id="115948646">
      <w:bodyDiv w:val="1"/>
      <w:marLeft w:val="0"/>
      <w:marRight w:val="0"/>
      <w:marTop w:val="0"/>
      <w:marBottom w:val="0"/>
      <w:divBdr>
        <w:top w:val="none" w:sz="0" w:space="0" w:color="auto"/>
        <w:left w:val="none" w:sz="0" w:space="0" w:color="auto"/>
        <w:bottom w:val="none" w:sz="0" w:space="0" w:color="auto"/>
        <w:right w:val="none" w:sz="0" w:space="0" w:color="auto"/>
      </w:divBdr>
    </w:div>
    <w:div w:id="159122722">
      <w:bodyDiv w:val="1"/>
      <w:marLeft w:val="0"/>
      <w:marRight w:val="0"/>
      <w:marTop w:val="0"/>
      <w:marBottom w:val="0"/>
      <w:divBdr>
        <w:top w:val="none" w:sz="0" w:space="0" w:color="auto"/>
        <w:left w:val="none" w:sz="0" w:space="0" w:color="auto"/>
        <w:bottom w:val="none" w:sz="0" w:space="0" w:color="auto"/>
        <w:right w:val="none" w:sz="0" w:space="0" w:color="auto"/>
      </w:divBdr>
    </w:div>
    <w:div w:id="174273727">
      <w:bodyDiv w:val="1"/>
      <w:marLeft w:val="0"/>
      <w:marRight w:val="0"/>
      <w:marTop w:val="0"/>
      <w:marBottom w:val="0"/>
      <w:divBdr>
        <w:top w:val="none" w:sz="0" w:space="0" w:color="auto"/>
        <w:left w:val="none" w:sz="0" w:space="0" w:color="auto"/>
        <w:bottom w:val="none" w:sz="0" w:space="0" w:color="auto"/>
        <w:right w:val="none" w:sz="0" w:space="0" w:color="auto"/>
      </w:divBdr>
    </w:div>
    <w:div w:id="194003992">
      <w:bodyDiv w:val="1"/>
      <w:marLeft w:val="0"/>
      <w:marRight w:val="0"/>
      <w:marTop w:val="0"/>
      <w:marBottom w:val="0"/>
      <w:divBdr>
        <w:top w:val="none" w:sz="0" w:space="0" w:color="auto"/>
        <w:left w:val="none" w:sz="0" w:space="0" w:color="auto"/>
        <w:bottom w:val="none" w:sz="0" w:space="0" w:color="auto"/>
        <w:right w:val="none" w:sz="0" w:space="0" w:color="auto"/>
      </w:divBdr>
    </w:div>
    <w:div w:id="223103592">
      <w:bodyDiv w:val="1"/>
      <w:marLeft w:val="0"/>
      <w:marRight w:val="0"/>
      <w:marTop w:val="0"/>
      <w:marBottom w:val="0"/>
      <w:divBdr>
        <w:top w:val="none" w:sz="0" w:space="0" w:color="auto"/>
        <w:left w:val="none" w:sz="0" w:space="0" w:color="auto"/>
        <w:bottom w:val="none" w:sz="0" w:space="0" w:color="auto"/>
        <w:right w:val="none" w:sz="0" w:space="0" w:color="auto"/>
      </w:divBdr>
    </w:div>
    <w:div w:id="232542254">
      <w:bodyDiv w:val="1"/>
      <w:marLeft w:val="0"/>
      <w:marRight w:val="0"/>
      <w:marTop w:val="0"/>
      <w:marBottom w:val="0"/>
      <w:divBdr>
        <w:top w:val="none" w:sz="0" w:space="0" w:color="auto"/>
        <w:left w:val="none" w:sz="0" w:space="0" w:color="auto"/>
        <w:bottom w:val="none" w:sz="0" w:space="0" w:color="auto"/>
        <w:right w:val="none" w:sz="0" w:space="0" w:color="auto"/>
      </w:divBdr>
    </w:div>
    <w:div w:id="304626660">
      <w:bodyDiv w:val="1"/>
      <w:marLeft w:val="0"/>
      <w:marRight w:val="0"/>
      <w:marTop w:val="0"/>
      <w:marBottom w:val="0"/>
      <w:divBdr>
        <w:top w:val="none" w:sz="0" w:space="0" w:color="auto"/>
        <w:left w:val="none" w:sz="0" w:space="0" w:color="auto"/>
        <w:bottom w:val="none" w:sz="0" w:space="0" w:color="auto"/>
        <w:right w:val="none" w:sz="0" w:space="0" w:color="auto"/>
      </w:divBdr>
    </w:div>
    <w:div w:id="309557353">
      <w:bodyDiv w:val="1"/>
      <w:marLeft w:val="0"/>
      <w:marRight w:val="0"/>
      <w:marTop w:val="0"/>
      <w:marBottom w:val="0"/>
      <w:divBdr>
        <w:top w:val="none" w:sz="0" w:space="0" w:color="auto"/>
        <w:left w:val="none" w:sz="0" w:space="0" w:color="auto"/>
        <w:bottom w:val="none" w:sz="0" w:space="0" w:color="auto"/>
        <w:right w:val="none" w:sz="0" w:space="0" w:color="auto"/>
      </w:divBdr>
    </w:div>
    <w:div w:id="338386509">
      <w:bodyDiv w:val="1"/>
      <w:marLeft w:val="0"/>
      <w:marRight w:val="0"/>
      <w:marTop w:val="0"/>
      <w:marBottom w:val="0"/>
      <w:divBdr>
        <w:top w:val="none" w:sz="0" w:space="0" w:color="auto"/>
        <w:left w:val="none" w:sz="0" w:space="0" w:color="auto"/>
        <w:bottom w:val="none" w:sz="0" w:space="0" w:color="auto"/>
        <w:right w:val="none" w:sz="0" w:space="0" w:color="auto"/>
      </w:divBdr>
    </w:div>
    <w:div w:id="372850880">
      <w:bodyDiv w:val="1"/>
      <w:marLeft w:val="0"/>
      <w:marRight w:val="0"/>
      <w:marTop w:val="0"/>
      <w:marBottom w:val="0"/>
      <w:divBdr>
        <w:top w:val="none" w:sz="0" w:space="0" w:color="auto"/>
        <w:left w:val="none" w:sz="0" w:space="0" w:color="auto"/>
        <w:bottom w:val="none" w:sz="0" w:space="0" w:color="auto"/>
        <w:right w:val="none" w:sz="0" w:space="0" w:color="auto"/>
      </w:divBdr>
    </w:div>
    <w:div w:id="387269869">
      <w:bodyDiv w:val="1"/>
      <w:marLeft w:val="0"/>
      <w:marRight w:val="0"/>
      <w:marTop w:val="0"/>
      <w:marBottom w:val="0"/>
      <w:divBdr>
        <w:top w:val="none" w:sz="0" w:space="0" w:color="auto"/>
        <w:left w:val="none" w:sz="0" w:space="0" w:color="auto"/>
        <w:bottom w:val="none" w:sz="0" w:space="0" w:color="auto"/>
        <w:right w:val="none" w:sz="0" w:space="0" w:color="auto"/>
      </w:divBdr>
    </w:div>
    <w:div w:id="417865883">
      <w:bodyDiv w:val="1"/>
      <w:marLeft w:val="0"/>
      <w:marRight w:val="0"/>
      <w:marTop w:val="0"/>
      <w:marBottom w:val="0"/>
      <w:divBdr>
        <w:top w:val="none" w:sz="0" w:space="0" w:color="auto"/>
        <w:left w:val="none" w:sz="0" w:space="0" w:color="auto"/>
        <w:bottom w:val="none" w:sz="0" w:space="0" w:color="auto"/>
        <w:right w:val="none" w:sz="0" w:space="0" w:color="auto"/>
      </w:divBdr>
    </w:div>
    <w:div w:id="462163480">
      <w:bodyDiv w:val="1"/>
      <w:marLeft w:val="0"/>
      <w:marRight w:val="0"/>
      <w:marTop w:val="0"/>
      <w:marBottom w:val="0"/>
      <w:divBdr>
        <w:top w:val="none" w:sz="0" w:space="0" w:color="auto"/>
        <w:left w:val="none" w:sz="0" w:space="0" w:color="auto"/>
        <w:bottom w:val="none" w:sz="0" w:space="0" w:color="auto"/>
        <w:right w:val="none" w:sz="0" w:space="0" w:color="auto"/>
      </w:divBdr>
    </w:div>
    <w:div w:id="482619865">
      <w:bodyDiv w:val="1"/>
      <w:marLeft w:val="0"/>
      <w:marRight w:val="0"/>
      <w:marTop w:val="0"/>
      <w:marBottom w:val="0"/>
      <w:divBdr>
        <w:top w:val="none" w:sz="0" w:space="0" w:color="auto"/>
        <w:left w:val="none" w:sz="0" w:space="0" w:color="auto"/>
        <w:bottom w:val="none" w:sz="0" w:space="0" w:color="auto"/>
        <w:right w:val="none" w:sz="0" w:space="0" w:color="auto"/>
      </w:divBdr>
    </w:div>
    <w:div w:id="515970387">
      <w:bodyDiv w:val="1"/>
      <w:marLeft w:val="0"/>
      <w:marRight w:val="0"/>
      <w:marTop w:val="0"/>
      <w:marBottom w:val="0"/>
      <w:divBdr>
        <w:top w:val="none" w:sz="0" w:space="0" w:color="auto"/>
        <w:left w:val="none" w:sz="0" w:space="0" w:color="auto"/>
        <w:bottom w:val="none" w:sz="0" w:space="0" w:color="auto"/>
        <w:right w:val="none" w:sz="0" w:space="0" w:color="auto"/>
      </w:divBdr>
    </w:div>
    <w:div w:id="517044558">
      <w:bodyDiv w:val="1"/>
      <w:marLeft w:val="0"/>
      <w:marRight w:val="0"/>
      <w:marTop w:val="0"/>
      <w:marBottom w:val="0"/>
      <w:divBdr>
        <w:top w:val="none" w:sz="0" w:space="0" w:color="auto"/>
        <w:left w:val="none" w:sz="0" w:space="0" w:color="auto"/>
        <w:bottom w:val="none" w:sz="0" w:space="0" w:color="auto"/>
        <w:right w:val="none" w:sz="0" w:space="0" w:color="auto"/>
      </w:divBdr>
    </w:div>
    <w:div w:id="527259352">
      <w:bodyDiv w:val="1"/>
      <w:marLeft w:val="0"/>
      <w:marRight w:val="0"/>
      <w:marTop w:val="0"/>
      <w:marBottom w:val="0"/>
      <w:divBdr>
        <w:top w:val="none" w:sz="0" w:space="0" w:color="auto"/>
        <w:left w:val="none" w:sz="0" w:space="0" w:color="auto"/>
        <w:bottom w:val="none" w:sz="0" w:space="0" w:color="auto"/>
        <w:right w:val="none" w:sz="0" w:space="0" w:color="auto"/>
      </w:divBdr>
    </w:div>
    <w:div w:id="554121147">
      <w:bodyDiv w:val="1"/>
      <w:marLeft w:val="0"/>
      <w:marRight w:val="0"/>
      <w:marTop w:val="0"/>
      <w:marBottom w:val="0"/>
      <w:divBdr>
        <w:top w:val="none" w:sz="0" w:space="0" w:color="auto"/>
        <w:left w:val="none" w:sz="0" w:space="0" w:color="auto"/>
        <w:bottom w:val="none" w:sz="0" w:space="0" w:color="auto"/>
        <w:right w:val="none" w:sz="0" w:space="0" w:color="auto"/>
      </w:divBdr>
      <w:divsChild>
        <w:div w:id="1402143371">
          <w:marLeft w:val="0"/>
          <w:marRight w:val="0"/>
          <w:marTop w:val="0"/>
          <w:marBottom w:val="0"/>
          <w:divBdr>
            <w:top w:val="none" w:sz="0" w:space="0" w:color="auto"/>
            <w:left w:val="none" w:sz="0" w:space="0" w:color="auto"/>
            <w:bottom w:val="none" w:sz="0" w:space="0" w:color="auto"/>
            <w:right w:val="none" w:sz="0" w:space="0" w:color="auto"/>
          </w:divBdr>
        </w:div>
        <w:div w:id="221866963">
          <w:marLeft w:val="0"/>
          <w:marRight w:val="0"/>
          <w:marTop w:val="0"/>
          <w:marBottom w:val="0"/>
          <w:divBdr>
            <w:top w:val="none" w:sz="0" w:space="0" w:color="auto"/>
            <w:left w:val="none" w:sz="0" w:space="0" w:color="auto"/>
            <w:bottom w:val="none" w:sz="0" w:space="0" w:color="auto"/>
            <w:right w:val="none" w:sz="0" w:space="0" w:color="auto"/>
          </w:divBdr>
        </w:div>
      </w:divsChild>
    </w:div>
    <w:div w:id="596252214">
      <w:bodyDiv w:val="1"/>
      <w:marLeft w:val="0"/>
      <w:marRight w:val="0"/>
      <w:marTop w:val="0"/>
      <w:marBottom w:val="0"/>
      <w:divBdr>
        <w:top w:val="none" w:sz="0" w:space="0" w:color="auto"/>
        <w:left w:val="none" w:sz="0" w:space="0" w:color="auto"/>
        <w:bottom w:val="none" w:sz="0" w:space="0" w:color="auto"/>
        <w:right w:val="none" w:sz="0" w:space="0" w:color="auto"/>
      </w:divBdr>
    </w:div>
    <w:div w:id="674459516">
      <w:bodyDiv w:val="1"/>
      <w:marLeft w:val="0"/>
      <w:marRight w:val="0"/>
      <w:marTop w:val="0"/>
      <w:marBottom w:val="0"/>
      <w:divBdr>
        <w:top w:val="none" w:sz="0" w:space="0" w:color="auto"/>
        <w:left w:val="none" w:sz="0" w:space="0" w:color="auto"/>
        <w:bottom w:val="none" w:sz="0" w:space="0" w:color="auto"/>
        <w:right w:val="none" w:sz="0" w:space="0" w:color="auto"/>
      </w:divBdr>
      <w:divsChild>
        <w:div w:id="495652378">
          <w:marLeft w:val="0"/>
          <w:marRight w:val="0"/>
          <w:marTop w:val="0"/>
          <w:marBottom w:val="0"/>
          <w:divBdr>
            <w:top w:val="none" w:sz="0" w:space="0" w:color="auto"/>
            <w:left w:val="none" w:sz="0" w:space="0" w:color="auto"/>
            <w:bottom w:val="none" w:sz="0" w:space="0" w:color="auto"/>
            <w:right w:val="none" w:sz="0" w:space="0" w:color="auto"/>
          </w:divBdr>
          <w:divsChild>
            <w:div w:id="1755779698">
              <w:marLeft w:val="0"/>
              <w:marRight w:val="0"/>
              <w:marTop w:val="0"/>
              <w:marBottom w:val="0"/>
              <w:divBdr>
                <w:top w:val="none" w:sz="0" w:space="0" w:color="auto"/>
                <w:left w:val="none" w:sz="0" w:space="0" w:color="auto"/>
                <w:bottom w:val="none" w:sz="0" w:space="0" w:color="auto"/>
                <w:right w:val="none" w:sz="0" w:space="0" w:color="auto"/>
              </w:divBdr>
            </w:div>
          </w:divsChild>
        </w:div>
        <w:div w:id="321080850">
          <w:marLeft w:val="0"/>
          <w:marRight w:val="0"/>
          <w:marTop w:val="0"/>
          <w:marBottom w:val="0"/>
          <w:divBdr>
            <w:top w:val="none" w:sz="0" w:space="0" w:color="auto"/>
            <w:left w:val="none" w:sz="0" w:space="0" w:color="auto"/>
            <w:bottom w:val="none" w:sz="0" w:space="0" w:color="auto"/>
            <w:right w:val="none" w:sz="0" w:space="0" w:color="auto"/>
          </w:divBdr>
        </w:div>
      </w:divsChild>
    </w:div>
    <w:div w:id="705368179">
      <w:bodyDiv w:val="1"/>
      <w:marLeft w:val="0"/>
      <w:marRight w:val="0"/>
      <w:marTop w:val="0"/>
      <w:marBottom w:val="0"/>
      <w:divBdr>
        <w:top w:val="none" w:sz="0" w:space="0" w:color="auto"/>
        <w:left w:val="none" w:sz="0" w:space="0" w:color="auto"/>
        <w:bottom w:val="none" w:sz="0" w:space="0" w:color="auto"/>
        <w:right w:val="none" w:sz="0" w:space="0" w:color="auto"/>
      </w:divBdr>
    </w:div>
    <w:div w:id="711806406">
      <w:bodyDiv w:val="1"/>
      <w:marLeft w:val="0"/>
      <w:marRight w:val="0"/>
      <w:marTop w:val="0"/>
      <w:marBottom w:val="0"/>
      <w:divBdr>
        <w:top w:val="none" w:sz="0" w:space="0" w:color="auto"/>
        <w:left w:val="none" w:sz="0" w:space="0" w:color="auto"/>
        <w:bottom w:val="none" w:sz="0" w:space="0" w:color="auto"/>
        <w:right w:val="none" w:sz="0" w:space="0" w:color="auto"/>
      </w:divBdr>
    </w:div>
    <w:div w:id="732194610">
      <w:bodyDiv w:val="1"/>
      <w:marLeft w:val="0"/>
      <w:marRight w:val="0"/>
      <w:marTop w:val="0"/>
      <w:marBottom w:val="0"/>
      <w:divBdr>
        <w:top w:val="none" w:sz="0" w:space="0" w:color="auto"/>
        <w:left w:val="none" w:sz="0" w:space="0" w:color="auto"/>
        <w:bottom w:val="none" w:sz="0" w:space="0" w:color="auto"/>
        <w:right w:val="none" w:sz="0" w:space="0" w:color="auto"/>
      </w:divBdr>
    </w:div>
    <w:div w:id="763889664">
      <w:bodyDiv w:val="1"/>
      <w:marLeft w:val="0"/>
      <w:marRight w:val="0"/>
      <w:marTop w:val="0"/>
      <w:marBottom w:val="0"/>
      <w:divBdr>
        <w:top w:val="none" w:sz="0" w:space="0" w:color="auto"/>
        <w:left w:val="none" w:sz="0" w:space="0" w:color="auto"/>
        <w:bottom w:val="none" w:sz="0" w:space="0" w:color="auto"/>
        <w:right w:val="none" w:sz="0" w:space="0" w:color="auto"/>
      </w:divBdr>
    </w:div>
    <w:div w:id="766314417">
      <w:bodyDiv w:val="1"/>
      <w:marLeft w:val="0"/>
      <w:marRight w:val="0"/>
      <w:marTop w:val="0"/>
      <w:marBottom w:val="0"/>
      <w:divBdr>
        <w:top w:val="none" w:sz="0" w:space="0" w:color="auto"/>
        <w:left w:val="none" w:sz="0" w:space="0" w:color="auto"/>
        <w:bottom w:val="none" w:sz="0" w:space="0" w:color="auto"/>
        <w:right w:val="none" w:sz="0" w:space="0" w:color="auto"/>
      </w:divBdr>
    </w:div>
    <w:div w:id="791435010">
      <w:bodyDiv w:val="1"/>
      <w:marLeft w:val="0"/>
      <w:marRight w:val="0"/>
      <w:marTop w:val="0"/>
      <w:marBottom w:val="0"/>
      <w:divBdr>
        <w:top w:val="none" w:sz="0" w:space="0" w:color="auto"/>
        <w:left w:val="none" w:sz="0" w:space="0" w:color="auto"/>
        <w:bottom w:val="none" w:sz="0" w:space="0" w:color="auto"/>
        <w:right w:val="none" w:sz="0" w:space="0" w:color="auto"/>
      </w:divBdr>
    </w:div>
    <w:div w:id="826476184">
      <w:bodyDiv w:val="1"/>
      <w:marLeft w:val="0"/>
      <w:marRight w:val="0"/>
      <w:marTop w:val="0"/>
      <w:marBottom w:val="0"/>
      <w:divBdr>
        <w:top w:val="none" w:sz="0" w:space="0" w:color="auto"/>
        <w:left w:val="none" w:sz="0" w:space="0" w:color="auto"/>
        <w:bottom w:val="none" w:sz="0" w:space="0" w:color="auto"/>
        <w:right w:val="none" w:sz="0" w:space="0" w:color="auto"/>
      </w:divBdr>
    </w:div>
    <w:div w:id="881331730">
      <w:bodyDiv w:val="1"/>
      <w:marLeft w:val="0"/>
      <w:marRight w:val="0"/>
      <w:marTop w:val="0"/>
      <w:marBottom w:val="0"/>
      <w:divBdr>
        <w:top w:val="none" w:sz="0" w:space="0" w:color="auto"/>
        <w:left w:val="none" w:sz="0" w:space="0" w:color="auto"/>
        <w:bottom w:val="none" w:sz="0" w:space="0" w:color="auto"/>
        <w:right w:val="none" w:sz="0" w:space="0" w:color="auto"/>
      </w:divBdr>
    </w:div>
    <w:div w:id="916355476">
      <w:bodyDiv w:val="1"/>
      <w:marLeft w:val="0"/>
      <w:marRight w:val="0"/>
      <w:marTop w:val="0"/>
      <w:marBottom w:val="0"/>
      <w:divBdr>
        <w:top w:val="none" w:sz="0" w:space="0" w:color="auto"/>
        <w:left w:val="none" w:sz="0" w:space="0" w:color="auto"/>
        <w:bottom w:val="none" w:sz="0" w:space="0" w:color="auto"/>
        <w:right w:val="none" w:sz="0" w:space="0" w:color="auto"/>
      </w:divBdr>
    </w:div>
    <w:div w:id="932281121">
      <w:bodyDiv w:val="1"/>
      <w:marLeft w:val="0"/>
      <w:marRight w:val="0"/>
      <w:marTop w:val="0"/>
      <w:marBottom w:val="0"/>
      <w:divBdr>
        <w:top w:val="none" w:sz="0" w:space="0" w:color="auto"/>
        <w:left w:val="none" w:sz="0" w:space="0" w:color="auto"/>
        <w:bottom w:val="none" w:sz="0" w:space="0" w:color="auto"/>
        <w:right w:val="none" w:sz="0" w:space="0" w:color="auto"/>
      </w:divBdr>
    </w:div>
    <w:div w:id="1008560227">
      <w:bodyDiv w:val="1"/>
      <w:marLeft w:val="0"/>
      <w:marRight w:val="0"/>
      <w:marTop w:val="0"/>
      <w:marBottom w:val="0"/>
      <w:divBdr>
        <w:top w:val="none" w:sz="0" w:space="0" w:color="auto"/>
        <w:left w:val="none" w:sz="0" w:space="0" w:color="auto"/>
        <w:bottom w:val="none" w:sz="0" w:space="0" w:color="auto"/>
        <w:right w:val="none" w:sz="0" w:space="0" w:color="auto"/>
      </w:divBdr>
    </w:div>
    <w:div w:id="1026255165">
      <w:bodyDiv w:val="1"/>
      <w:marLeft w:val="0"/>
      <w:marRight w:val="0"/>
      <w:marTop w:val="0"/>
      <w:marBottom w:val="0"/>
      <w:divBdr>
        <w:top w:val="none" w:sz="0" w:space="0" w:color="auto"/>
        <w:left w:val="none" w:sz="0" w:space="0" w:color="auto"/>
        <w:bottom w:val="none" w:sz="0" w:space="0" w:color="auto"/>
        <w:right w:val="none" w:sz="0" w:space="0" w:color="auto"/>
      </w:divBdr>
    </w:div>
    <w:div w:id="1077635686">
      <w:bodyDiv w:val="1"/>
      <w:marLeft w:val="0"/>
      <w:marRight w:val="0"/>
      <w:marTop w:val="0"/>
      <w:marBottom w:val="0"/>
      <w:divBdr>
        <w:top w:val="none" w:sz="0" w:space="0" w:color="auto"/>
        <w:left w:val="none" w:sz="0" w:space="0" w:color="auto"/>
        <w:bottom w:val="none" w:sz="0" w:space="0" w:color="auto"/>
        <w:right w:val="none" w:sz="0" w:space="0" w:color="auto"/>
      </w:divBdr>
    </w:div>
    <w:div w:id="1082140894">
      <w:bodyDiv w:val="1"/>
      <w:marLeft w:val="0"/>
      <w:marRight w:val="0"/>
      <w:marTop w:val="0"/>
      <w:marBottom w:val="0"/>
      <w:divBdr>
        <w:top w:val="none" w:sz="0" w:space="0" w:color="auto"/>
        <w:left w:val="none" w:sz="0" w:space="0" w:color="auto"/>
        <w:bottom w:val="none" w:sz="0" w:space="0" w:color="auto"/>
        <w:right w:val="none" w:sz="0" w:space="0" w:color="auto"/>
      </w:divBdr>
    </w:div>
    <w:div w:id="1095903835">
      <w:bodyDiv w:val="1"/>
      <w:marLeft w:val="0"/>
      <w:marRight w:val="0"/>
      <w:marTop w:val="0"/>
      <w:marBottom w:val="0"/>
      <w:divBdr>
        <w:top w:val="none" w:sz="0" w:space="0" w:color="auto"/>
        <w:left w:val="none" w:sz="0" w:space="0" w:color="auto"/>
        <w:bottom w:val="none" w:sz="0" w:space="0" w:color="auto"/>
        <w:right w:val="none" w:sz="0" w:space="0" w:color="auto"/>
      </w:divBdr>
    </w:div>
    <w:div w:id="1131821118">
      <w:bodyDiv w:val="1"/>
      <w:marLeft w:val="0"/>
      <w:marRight w:val="0"/>
      <w:marTop w:val="0"/>
      <w:marBottom w:val="0"/>
      <w:divBdr>
        <w:top w:val="none" w:sz="0" w:space="0" w:color="auto"/>
        <w:left w:val="none" w:sz="0" w:space="0" w:color="auto"/>
        <w:bottom w:val="none" w:sz="0" w:space="0" w:color="auto"/>
        <w:right w:val="none" w:sz="0" w:space="0" w:color="auto"/>
      </w:divBdr>
    </w:div>
    <w:div w:id="1179585022">
      <w:bodyDiv w:val="1"/>
      <w:marLeft w:val="0"/>
      <w:marRight w:val="0"/>
      <w:marTop w:val="0"/>
      <w:marBottom w:val="0"/>
      <w:divBdr>
        <w:top w:val="none" w:sz="0" w:space="0" w:color="auto"/>
        <w:left w:val="none" w:sz="0" w:space="0" w:color="auto"/>
        <w:bottom w:val="none" w:sz="0" w:space="0" w:color="auto"/>
        <w:right w:val="none" w:sz="0" w:space="0" w:color="auto"/>
      </w:divBdr>
    </w:div>
    <w:div w:id="1311591036">
      <w:bodyDiv w:val="1"/>
      <w:marLeft w:val="0"/>
      <w:marRight w:val="0"/>
      <w:marTop w:val="0"/>
      <w:marBottom w:val="0"/>
      <w:divBdr>
        <w:top w:val="none" w:sz="0" w:space="0" w:color="auto"/>
        <w:left w:val="none" w:sz="0" w:space="0" w:color="auto"/>
        <w:bottom w:val="none" w:sz="0" w:space="0" w:color="auto"/>
        <w:right w:val="none" w:sz="0" w:space="0" w:color="auto"/>
      </w:divBdr>
    </w:div>
    <w:div w:id="1404525352">
      <w:bodyDiv w:val="1"/>
      <w:marLeft w:val="0"/>
      <w:marRight w:val="0"/>
      <w:marTop w:val="0"/>
      <w:marBottom w:val="0"/>
      <w:divBdr>
        <w:top w:val="none" w:sz="0" w:space="0" w:color="auto"/>
        <w:left w:val="none" w:sz="0" w:space="0" w:color="auto"/>
        <w:bottom w:val="none" w:sz="0" w:space="0" w:color="auto"/>
        <w:right w:val="none" w:sz="0" w:space="0" w:color="auto"/>
      </w:divBdr>
    </w:div>
    <w:div w:id="1406025830">
      <w:bodyDiv w:val="1"/>
      <w:marLeft w:val="0"/>
      <w:marRight w:val="0"/>
      <w:marTop w:val="0"/>
      <w:marBottom w:val="0"/>
      <w:divBdr>
        <w:top w:val="none" w:sz="0" w:space="0" w:color="auto"/>
        <w:left w:val="none" w:sz="0" w:space="0" w:color="auto"/>
        <w:bottom w:val="none" w:sz="0" w:space="0" w:color="auto"/>
        <w:right w:val="none" w:sz="0" w:space="0" w:color="auto"/>
      </w:divBdr>
    </w:div>
    <w:div w:id="1409419767">
      <w:bodyDiv w:val="1"/>
      <w:marLeft w:val="0"/>
      <w:marRight w:val="0"/>
      <w:marTop w:val="0"/>
      <w:marBottom w:val="0"/>
      <w:divBdr>
        <w:top w:val="none" w:sz="0" w:space="0" w:color="auto"/>
        <w:left w:val="none" w:sz="0" w:space="0" w:color="auto"/>
        <w:bottom w:val="none" w:sz="0" w:space="0" w:color="auto"/>
        <w:right w:val="none" w:sz="0" w:space="0" w:color="auto"/>
      </w:divBdr>
      <w:divsChild>
        <w:div w:id="2121949386">
          <w:marLeft w:val="0"/>
          <w:marRight w:val="0"/>
          <w:marTop w:val="0"/>
          <w:marBottom w:val="0"/>
          <w:divBdr>
            <w:top w:val="none" w:sz="0" w:space="0" w:color="auto"/>
            <w:left w:val="none" w:sz="0" w:space="0" w:color="auto"/>
            <w:bottom w:val="none" w:sz="0" w:space="0" w:color="auto"/>
            <w:right w:val="none" w:sz="0" w:space="0" w:color="auto"/>
          </w:divBdr>
        </w:div>
      </w:divsChild>
    </w:div>
    <w:div w:id="1435125176">
      <w:bodyDiv w:val="1"/>
      <w:marLeft w:val="0"/>
      <w:marRight w:val="0"/>
      <w:marTop w:val="0"/>
      <w:marBottom w:val="0"/>
      <w:divBdr>
        <w:top w:val="none" w:sz="0" w:space="0" w:color="auto"/>
        <w:left w:val="none" w:sz="0" w:space="0" w:color="auto"/>
        <w:bottom w:val="none" w:sz="0" w:space="0" w:color="auto"/>
        <w:right w:val="none" w:sz="0" w:space="0" w:color="auto"/>
      </w:divBdr>
    </w:div>
    <w:div w:id="1490176217">
      <w:bodyDiv w:val="1"/>
      <w:marLeft w:val="0"/>
      <w:marRight w:val="0"/>
      <w:marTop w:val="0"/>
      <w:marBottom w:val="0"/>
      <w:divBdr>
        <w:top w:val="none" w:sz="0" w:space="0" w:color="auto"/>
        <w:left w:val="none" w:sz="0" w:space="0" w:color="auto"/>
        <w:bottom w:val="none" w:sz="0" w:space="0" w:color="auto"/>
        <w:right w:val="none" w:sz="0" w:space="0" w:color="auto"/>
      </w:divBdr>
    </w:div>
    <w:div w:id="1497576301">
      <w:bodyDiv w:val="1"/>
      <w:marLeft w:val="0"/>
      <w:marRight w:val="0"/>
      <w:marTop w:val="0"/>
      <w:marBottom w:val="0"/>
      <w:divBdr>
        <w:top w:val="none" w:sz="0" w:space="0" w:color="auto"/>
        <w:left w:val="none" w:sz="0" w:space="0" w:color="auto"/>
        <w:bottom w:val="none" w:sz="0" w:space="0" w:color="auto"/>
        <w:right w:val="none" w:sz="0" w:space="0" w:color="auto"/>
      </w:divBdr>
    </w:div>
    <w:div w:id="1529414102">
      <w:bodyDiv w:val="1"/>
      <w:marLeft w:val="0"/>
      <w:marRight w:val="0"/>
      <w:marTop w:val="0"/>
      <w:marBottom w:val="0"/>
      <w:divBdr>
        <w:top w:val="none" w:sz="0" w:space="0" w:color="auto"/>
        <w:left w:val="none" w:sz="0" w:space="0" w:color="auto"/>
        <w:bottom w:val="none" w:sz="0" w:space="0" w:color="auto"/>
        <w:right w:val="none" w:sz="0" w:space="0" w:color="auto"/>
      </w:divBdr>
    </w:div>
    <w:div w:id="1564221259">
      <w:bodyDiv w:val="1"/>
      <w:marLeft w:val="0"/>
      <w:marRight w:val="0"/>
      <w:marTop w:val="0"/>
      <w:marBottom w:val="0"/>
      <w:divBdr>
        <w:top w:val="none" w:sz="0" w:space="0" w:color="auto"/>
        <w:left w:val="none" w:sz="0" w:space="0" w:color="auto"/>
        <w:bottom w:val="none" w:sz="0" w:space="0" w:color="auto"/>
        <w:right w:val="none" w:sz="0" w:space="0" w:color="auto"/>
      </w:divBdr>
    </w:div>
    <w:div w:id="1611007751">
      <w:bodyDiv w:val="1"/>
      <w:marLeft w:val="0"/>
      <w:marRight w:val="0"/>
      <w:marTop w:val="0"/>
      <w:marBottom w:val="0"/>
      <w:divBdr>
        <w:top w:val="none" w:sz="0" w:space="0" w:color="auto"/>
        <w:left w:val="none" w:sz="0" w:space="0" w:color="auto"/>
        <w:bottom w:val="none" w:sz="0" w:space="0" w:color="auto"/>
        <w:right w:val="none" w:sz="0" w:space="0" w:color="auto"/>
      </w:divBdr>
    </w:div>
    <w:div w:id="1681657149">
      <w:bodyDiv w:val="1"/>
      <w:marLeft w:val="0"/>
      <w:marRight w:val="0"/>
      <w:marTop w:val="0"/>
      <w:marBottom w:val="0"/>
      <w:divBdr>
        <w:top w:val="none" w:sz="0" w:space="0" w:color="auto"/>
        <w:left w:val="none" w:sz="0" w:space="0" w:color="auto"/>
        <w:bottom w:val="none" w:sz="0" w:space="0" w:color="auto"/>
        <w:right w:val="none" w:sz="0" w:space="0" w:color="auto"/>
      </w:divBdr>
    </w:div>
    <w:div w:id="1766924778">
      <w:bodyDiv w:val="1"/>
      <w:marLeft w:val="0"/>
      <w:marRight w:val="0"/>
      <w:marTop w:val="0"/>
      <w:marBottom w:val="0"/>
      <w:divBdr>
        <w:top w:val="none" w:sz="0" w:space="0" w:color="auto"/>
        <w:left w:val="none" w:sz="0" w:space="0" w:color="auto"/>
        <w:bottom w:val="none" w:sz="0" w:space="0" w:color="auto"/>
        <w:right w:val="none" w:sz="0" w:space="0" w:color="auto"/>
      </w:divBdr>
    </w:div>
    <w:div w:id="1860655305">
      <w:bodyDiv w:val="1"/>
      <w:marLeft w:val="0"/>
      <w:marRight w:val="0"/>
      <w:marTop w:val="0"/>
      <w:marBottom w:val="0"/>
      <w:divBdr>
        <w:top w:val="none" w:sz="0" w:space="0" w:color="auto"/>
        <w:left w:val="none" w:sz="0" w:space="0" w:color="auto"/>
        <w:bottom w:val="none" w:sz="0" w:space="0" w:color="auto"/>
        <w:right w:val="none" w:sz="0" w:space="0" w:color="auto"/>
      </w:divBdr>
    </w:div>
    <w:div w:id="1893728952">
      <w:bodyDiv w:val="1"/>
      <w:marLeft w:val="0"/>
      <w:marRight w:val="0"/>
      <w:marTop w:val="0"/>
      <w:marBottom w:val="0"/>
      <w:divBdr>
        <w:top w:val="none" w:sz="0" w:space="0" w:color="auto"/>
        <w:left w:val="none" w:sz="0" w:space="0" w:color="auto"/>
        <w:bottom w:val="none" w:sz="0" w:space="0" w:color="auto"/>
        <w:right w:val="none" w:sz="0" w:space="0" w:color="auto"/>
      </w:divBdr>
    </w:div>
    <w:div w:id="1894195541">
      <w:bodyDiv w:val="1"/>
      <w:marLeft w:val="0"/>
      <w:marRight w:val="0"/>
      <w:marTop w:val="0"/>
      <w:marBottom w:val="0"/>
      <w:divBdr>
        <w:top w:val="none" w:sz="0" w:space="0" w:color="auto"/>
        <w:left w:val="none" w:sz="0" w:space="0" w:color="auto"/>
        <w:bottom w:val="none" w:sz="0" w:space="0" w:color="auto"/>
        <w:right w:val="none" w:sz="0" w:space="0" w:color="auto"/>
      </w:divBdr>
    </w:div>
    <w:div w:id="1911768587">
      <w:bodyDiv w:val="1"/>
      <w:marLeft w:val="0"/>
      <w:marRight w:val="0"/>
      <w:marTop w:val="0"/>
      <w:marBottom w:val="0"/>
      <w:divBdr>
        <w:top w:val="none" w:sz="0" w:space="0" w:color="auto"/>
        <w:left w:val="none" w:sz="0" w:space="0" w:color="auto"/>
        <w:bottom w:val="none" w:sz="0" w:space="0" w:color="auto"/>
        <w:right w:val="none" w:sz="0" w:space="0" w:color="auto"/>
      </w:divBdr>
    </w:div>
    <w:div w:id="1938826738">
      <w:bodyDiv w:val="1"/>
      <w:marLeft w:val="0"/>
      <w:marRight w:val="0"/>
      <w:marTop w:val="0"/>
      <w:marBottom w:val="0"/>
      <w:divBdr>
        <w:top w:val="none" w:sz="0" w:space="0" w:color="auto"/>
        <w:left w:val="none" w:sz="0" w:space="0" w:color="auto"/>
        <w:bottom w:val="none" w:sz="0" w:space="0" w:color="auto"/>
        <w:right w:val="none" w:sz="0" w:space="0" w:color="auto"/>
      </w:divBdr>
    </w:div>
    <w:div w:id="1973748903">
      <w:bodyDiv w:val="1"/>
      <w:marLeft w:val="0"/>
      <w:marRight w:val="0"/>
      <w:marTop w:val="0"/>
      <w:marBottom w:val="0"/>
      <w:divBdr>
        <w:top w:val="none" w:sz="0" w:space="0" w:color="auto"/>
        <w:left w:val="none" w:sz="0" w:space="0" w:color="auto"/>
        <w:bottom w:val="none" w:sz="0" w:space="0" w:color="auto"/>
        <w:right w:val="none" w:sz="0" w:space="0" w:color="auto"/>
      </w:divBdr>
    </w:div>
    <w:div w:id="2006662294">
      <w:bodyDiv w:val="1"/>
      <w:marLeft w:val="0"/>
      <w:marRight w:val="0"/>
      <w:marTop w:val="0"/>
      <w:marBottom w:val="0"/>
      <w:divBdr>
        <w:top w:val="none" w:sz="0" w:space="0" w:color="auto"/>
        <w:left w:val="none" w:sz="0" w:space="0" w:color="auto"/>
        <w:bottom w:val="none" w:sz="0" w:space="0" w:color="auto"/>
        <w:right w:val="none" w:sz="0" w:space="0" w:color="auto"/>
      </w:divBdr>
    </w:div>
    <w:div w:id="2025282993">
      <w:bodyDiv w:val="1"/>
      <w:marLeft w:val="0"/>
      <w:marRight w:val="0"/>
      <w:marTop w:val="0"/>
      <w:marBottom w:val="0"/>
      <w:divBdr>
        <w:top w:val="none" w:sz="0" w:space="0" w:color="auto"/>
        <w:left w:val="none" w:sz="0" w:space="0" w:color="auto"/>
        <w:bottom w:val="none" w:sz="0" w:space="0" w:color="auto"/>
        <w:right w:val="none" w:sz="0" w:space="0" w:color="auto"/>
      </w:divBdr>
    </w:div>
    <w:div w:id="2037536685">
      <w:bodyDiv w:val="1"/>
      <w:marLeft w:val="0"/>
      <w:marRight w:val="0"/>
      <w:marTop w:val="0"/>
      <w:marBottom w:val="0"/>
      <w:divBdr>
        <w:top w:val="none" w:sz="0" w:space="0" w:color="auto"/>
        <w:left w:val="none" w:sz="0" w:space="0" w:color="auto"/>
        <w:bottom w:val="none" w:sz="0" w:space="0" w:color="auto"/>
        <w:right w:val="none" w:sz="0" w:space="0" w:color="auto"/>
      </w:divBdr>
    </w:div>
    <w:div w:id="2052801481">
      <w:bodyDiv w:val="1"/>
      <w:marLeft w:val="0"/>
      <w:marRight w:val="0"/>
      <w:marTop w:val="0"/>
      <w:marBottom w:val="0"/>
      <w:divBdr>
        <w:top w:val="none" w:sz="0" w:space="0" w:color="auto"/>
        <w:left w:val="none" w:sz="0" w:space="0" w:color="auto"/>
        <w:bottom w:val="none" w:sz="0" w:space="0" w:color="auto"/>
        <w:right w:val="none" w:sz="0" w:space="0" w:color="auto"/>
      </w:divBdr>
    </w:div>
    <w:div w:id="2079327536">
      <w:bodyDiv w:val="1"/>
      <w:marLeft w:val="0"/>
      <w:marRight w:val="0"/>
      <w:marTop w:val="0"/>
      <w:marBottom w:val="0"/>
      <w:divBdr>
        <w:top w:val="none" w:sz="0" w:space="0" w:color="auto"/>
        <w:left w:val="none" w:sz="0" w:space="0" w:color="auto"/>
        <w:bottom w:val="none" w:sz="0" w:space="0" w:color="auto"/>
        <w:right w:val="none" w:sz="0" w:space="0" w:color="auto"/>
      </w:divBdr>
    </w:div>
    <w:div w:id="2089039332">
      <w:bodyDiv w:val="1"/>
      <w:marLeft w:val="0"/>
      <w:marRight w:val="0"/>
      <w:marTop w:val="0"/>
      <w:marBottom w:val="0"/>
      <w:divBdr>
        <w:top w:val="none" w:sz="0" w:space="0" w:color="auto"/>
        <w:left w:val="none" w:sz="0" w:space="0" w:color="auto"/>
        <w:bottom w:val="none" w:sz="0" w:space="0" w:color="auto"/>
        <w:right w:val="none" w:sz="0" w:space="0" w:color="auto"/>
      </w:divBdr>
    </w:div>
    <w:div w:id="2119910696">
      <w:bodyDiv w:val="1"/>
      <w:marLeft w:val="0"/>
      <w:marRight w:val="0"/>
      <w:marTop w:val="0"/>
      <w:marBottom w:val="0"/>
      <w:divBdr>
        <w:top w:val="none" w:sz="0" w:space="0" w:color="auto"/>
        <w:left w:val="none" w:sz="0" w:space="0" w:color="auto"/>
        <w:bottom w:val="none" w:sz="0" w:space="0" w:color="auto"/>
        <w:right w:val="none" w:sz="0" w:space="0" w:color="auto"/>
      </w:divBdr>
      <w:divsChild>
        <w:div w:id="1496991242">
          <w:marLeft w:val="0"/>
          <w:marRight w:val="0"/>
          <w:marTop w:val="0"/>
          <w:marBottom w:val="0"/>
          <w:divBdr>
            <w:top w:val="none" w:sz="0" w:space="0" w:color="auto"/>
            <w:left w:val="none" w:sz="0" w:space="0" w:color="auto"/>
            <w:bottom w:val="none" w:sz="0" w:space="0" w:color="auto"/>
            <w:right w:val="none" w:sz="0" w:space="0" w:color="auto"/>
          </w:divBdr>
          <w:divsChild>
            <w:div w:id="931620903">
              <w:marLeft w:val="0"/>
              <w:marRight w:val="0"/>
              <w:marTop w:val="0"/>
              <w:marBottom w:val="0"/>
              <w:divBdr>
                <w:top w:val="none" w:sz="0" w:space="0" w:color="auto"/>
                <w:left w:val="none" w:sz="0" w:space="0" w:color="auto"/>
                <w:bottom w:val="none" w:sz="0" w:space="0" w:color="auto"/>
                <w:right w:val="none" w:sz="0" w:space="0" w:color="auto"/>
              </w:divBdr>
              <w:divsChild>
                <w:div w:id="842015861">
                  <w:marLeft w:val="0"/>
                  <w:marRight w:val="0"/>
                  <w:marTop w:val="0"/>
                  <w:marBottom w:val="0"/>
                  <w:divBdr>
                    <w:top w:val="none" w:sz="0" w:space="0" w:color="auto"/>
                    <w:left w:val="none" w:sz="0" w:space="0" w:color="auto"/>
                    <w:bottom w:val="none" w:sz="0" w:space="0" w:color="auto"/>
                    <w:right w:val="none" w:sz="0" w:space="0" w:color="auto"/>
                  </w:divBdr>
                  <w:divsChild>
                    <w:div w:id="78666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sm.sante.fr/actualites/point-de-situation-sur-la-surveillance-des-vaccins-contre-la-covid-1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doi.org/10.1093/rheumatology/keab345" TargetMode="External"/><Relationship Id="rId4" Type="http://schemas.openxmlformats.org/officeDocument/2006/relationships/settings" Target="settings.xml"/><Relationship Id="rId9" Type="http://schemas.openxmlformats.org/officeDocument/2006/relationships/hyperlink" Target="https://www.who-umc.org/vigibase/vigibase/" TargetMode="Externa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C73D4-2938-45A4-82D6-E0353AF6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13</Pages>
  <Words>8915</Words>
  <Characters>49034</Characters>
  <Application>Microsoft Office Word</Application>
  <DocSecurity>0</DocSecurity>
  <Lines>408</Lines>
  <Paragraphs>115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APHP</Company>
  <LinksUpToDate>false</LinksUpToDate>
  <CharactersWithSpaces>57834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g-cch-w0182078</dc:creator>
  <cp:lastModifiedBy>PRETA Laure Helene</cp:lastModifiedBy>
  <cp:revision>102</cp:revision>
  <cp:lastPrinted>2021-07-21T06:52:00Z</cp:lastPrinted>
  <dcterms:created xsi:type="dcterms:W3CDTF">2021-09-27T09:57:00Z</dcterms:created>
  <dcterms:modified xsi:type="dcterms:W3CDTF">2021-10-25T13:32:00Z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id="yxthfPoW"/&gt;&lt;style id="http://www.zotero.org/styles/vancouver" locale="en-GB" hasBibliography="1" bibliographyStyleHasBeenSet="1"/&gt;&lt;prefs&gt;&lt;pref name="fieldType" value="Field"/&gt;&lt;pref name="automa</vt:lpwstr>
  </property>
  <property fmtid="{D5CDD505-2E9C-101B-9397-08002B2CF9AE}" pid="3" name="ZOTERO_PREF_2">
    <vt:lpwstr>ticJournalAbbreviations" value="true"/&gt;&lt;/prefs&gt;&lt;/data&gt;</vt:lpwstr>
  </property>
</Properties>
</file>