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B946A" w14:textId="2A7BBCBF" w:rsidR="00B552B4" w:rsidRPr="00A33AAA" w:rsidRDefault="00B552B4" w:rsidP="00B552B4">
      <w:pPr>
        <w:spacing w:line="276" w:lineRule="auto"/>
        <w:rPr>
          <w:rFonts w:cs="Times New Roman"/>
          <w:b/>
          <w:lang w:val="en-US"/>
        </w:rPr>
      </w:pPr>
      <w:r w:rsidRPr="00A33AAA">
        <w:rPr>
          <w:rFonts w:cs="Times New Roman"/>
          <w:b/>
          <w:lang w:val="en-US"/>
        </w:rPr>
        <w:t xml:space="preserve">Table 1. Characteristics of </w:t>
      </w:r>
      <w:r w:rsidR="002B76B9">
        <w:rPr>
          <w:rFonts w:cs="Times New Roman"/>
          <w:b/>
          <w:lang w:val="en-US"/>
        </w:rPr>
        <w:t xml:space="preserve">herpes </w:t>
      </w:r>
      <w:r w:rsidR="004E22A8">
        <w:rPr>
          <w:rFonts w:cs="Times New Roman"/>
          <w:b/>
          <w:lang w:val="en-US"/>
        </w:rPr>
        <w:t>zoster</w:t>
      </w:r>
      <w:r w:rsidRPr="00A33AAA">
        <w:rPr>
          <w:rFonts w:cs="Times New Roman"/>
          <w:b/>
          <w:lang w:val="en-US"/>
        </w:rPr>
        <w:t xml:space="preserve"> cases reported </w:t>
      </w:r>
      <w:r w:rsidR="002E154B">
        <w:rPr>
          <w:rFonts w:cs="Times New Roman"/>
          <w:b/>
          <w:lang w:val="en-US"/>
        </w:rPr>
        <w:t xml:space="preserve">with </w:t>
      </w:r>
      <w:r w:rsidR="003F3D49">
        <w:rPr>
          <w:rFonts w:cs="Times New Roman"/>
          <w:b/>
          <w:lang w:val="en-US"/>
        </w:rPr>
        <w:t xml:space="preserve">mRNA </w:t>
      </w:r>
      <w:r w:rsidR="002E154B">
        <w:rPr>
          <w:rFonts w:cs="Times New Roman"/>
          <w:b/>
          <w:lang w:val="en-US"/>
        </w:rPr>
        <w:t xml:space="preserve">COVID-19 vaccines </w:t>
      </w:r>
      <w:r w:rsidRPr="00A33AAA">
        <w:rPr>
          <w:rFonts w:cs="Times New Roman"/>
          <w:b/>
          <w:lang w:val="en-US"/>
        </w:rPr>
        <w:t>in the WHO global safety database</w:t>
      </w:r>
    </w:p>
    <w:tbl>
      <w:tblPr>
        <w:tblStyle w:val="Grilledetableauclaire1"/>
        <w:tblW w:w="9493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843"/>
        <w:gridCol w:w="1843"/>
        <w:gridCol w:w="1843"/>
      </w:tblGrid>
      <w:tr w:rsidR="004B0A72" w:rsidRPr="00A33AAA" w14:paraId="09D6B5A6" w14:textId="67436429" w:rsidTr="00752F94">
        <w:tc>
          <w:tcPr>
            <w:tcW w:w="3964" w:type="dxa"/>
          </w:tcPr>
          <w:p w14:paraId="5C324E93" w14:textId="77777777" w:rsidR="004B0A72" w:rsidRPr="00A33AAA" w:rsidRDefault="004B0A72" w:rsidP="006A11A8">
            <w:pPr>
              <w:rPr>
                <w:rFonts w:cs="Times New Roman"/>
                <w:b/>
                <w:sz w:val="22"/>
                <w:lang w:val="en-US"/>
              </w:rPr>
            </w:pPr>
            <w:r w:rsidRPr="00A33AAA">
              <w:rPr>
                <w:rFonts w:cs="Times New Roman"/>
                <w:b/>
                <w:sz w:val="22"/>
                <w:lang w:val="en-US"/>
              </w:rPr>
              <w:t>Reporting characteristics</w:t>
            </w:r>
          </w:p>
        </w:tc>
        <w:tc>
          <w:tcPr>
            <w:tcW w:w="1843" w:type="dxa"/>
          </w:tcPr>
          <w:p w14:paraId="5D11F922" w14:textId="18DFD802" w:rsidR="004B0A72" w:rsidRPr="00A33AAA" w:rsidRDefault="00032102" w:rsidP="00A2264A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032102">
              <w:rPr>
                <w:rFonts w:cs="Times New Roman"/>
                <w:b/>
                <w:sz w:val="22"/>
                <w:lang w:val="en-US"/>
              </w:rPr>
              <w:t xml:space="preserve">BNT162b2 </w:t>
            </w:r>
            <w:r w:rsidR="004B0A72">
              <w:rPr>
                <w:rFonts w:cs="Times New Roman"/>
                <w:b/>
                <w:sz w:val="22"/>
                <w:lang w:val="en-US"/>
              </w:rPr>
              <w:t>(n=5931</w:t>
            </w:r>
            <w:r w:rsidR="004B0A72" w:rsidRPr="00A33AAA">
              <w:rPr>
                <w:rFonts w:cs="Times New Roman"/>
                <w:b/>
                <w:sz w:val="22"/>
                <w:lang w:val="en-US"/>
              </w:rPr>
              <w:t>)</w:t>
            </w:r>
          </w:p>
        </w:tc>
        <w:tc>
          <w:tcPr>
            <w:tcW w:w="1843" w:type="dxa"/>
          </w:tcPr>
          <w:p w14:paraId="3CE90CC5" w14:textId="2AAA25C9" w:rsidR="004B0A72" w:rsidRPr="00A33AAA" w:rsidRDefault="00032102" w:rsidP="00A2264A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032102">
              <w:rPr>
                <w:rFonts w:cs="Times New Roman"/>
                <w:b/>
                <w:sz w:val="22"/>
                <w:lang w:val="en-US"/>
              </w:rPr>
              <w:t xml:space="preserve">mRNA-1273 </w:t>
            </w:r>
            <w:r w:rsidR="004B0A72">
              <w:rPr>
                <w:rFonts w:cs="Times New Roman"/>
                <w:b/>
                <w:sz w:val="22"/>
                <w:lang w:val="en-US"/>
              </w:rPr>
              <w:t>(n=1797</w:t>
            </w:r>
            <w:r w:rsidR="004B0A72" w:rsidRPr="00A33AAA">
              <w:rPr>
                <w:rFonts w:cs="Times New Roman"/>
                <w:b/>
                <w:sz w:val="22"/>
                <w:lang w:val="en-US"/>
              </w:rPr>
              <w:t>)</w:t>
            </w:r>
          </w:p>
        </w:tc>
        <w:tc>
          <w:tcPr>
            <w:tcW w:w="1843" w:type="dxa"/>
          </w:tcPr>
          <w:p w14:paraId="3F75D7B8" w14:textId="77777777" w:rsidR="00F644AC" w:rsidRDefault="004B0A72" w:rsidP="00A2264A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  <w:lang w:val="en-US"/>
              </w:rPr>
              <w:t>Overall</w:t>
            </w:r>
          </w:p>
          <w:p w14:paraId="1F66708F" w14:textId="09410626" w:rsidR="004B0A72" w:rsidRPr="00A33AAA" w:rsidRDefault="00793550" w:rsidP="00793550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  <w:lang w:val="en-US"/>
              </w:rPr>
              <w:t>(n=7728</w:t>
            </w:r>
            <w:r w:rsidR="00F644AC" w:rsidRPr="00A33AAA">
              <w:rPr>
                <w:rFonts w:cs="Times New Roman"/>
                <w:b/>
                <w:sz w:val="22"/>
                <w:lang w:val="en-US"/>
              </w:rPr>
              <w:t>)</w:t>
            </w:r>
          </w:p>
        </w:tc>
      </w:tr>
      <w:tr w:rsidR="004B0A72" w:rsidRPr="00A33AAA" w14:paraId="775EB338" w14:textId="37F8D47F" w:rsidTr="00752F94">
        <w:trPr>
          <w:trHeight w:val="873"/>
        </w:trPr>
        <w:tc>
          <w:tcPr>
            <w:tcW w:w="3964" w:type="dxa"/>
          </w:tcPr>
          <w:p w14:paraId="0D035B87" w14:textId="77777777" w:rsidR="004B0A72" w:rsidRPr="00A33AAA" w:rsidRDefault="004B0A72" w:rsidP="006A11A8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Continent of reporting</w:t>
            </w:r>
          </w:p>
          <w:p w14:paraId="3D1730FE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Africa</w:t>
            </w:r>
          </w:p>
          <w:p w14:paraId="3DBF4249" w14:textId="77777777" w:rsidR="004B0A72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Asia-</w:t>
            </w:r>
            <w:r w:rsidRPr="00A33AAA">
              <w:rPr>
                <w:rFonts w:cs="Times New Roman"/>
                <w:sz w:val="22"/>
                <w:lang w:val="en-US"/>
              </w:rPr>
              <w:t>Oceania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</w:p>
          <w:p w14:paraId="6D5EC555" w14:textId="559FAEB0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Europ</w:t>
            </w:r>
            <w:r>
              <w:rPr>
                <w:rFonts w:cs="Times New Roman"/>
                <w:sz w:val="22"/>
                <w:lang w:val="en-US"/>
              </w:rPr>
              <w:t>e</w:t>
            </w:r>
          </w:p>
          <w:p w14:paraId="67C52D69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North America</w:t>
            </w:r>
          </w:p>
          <w:p w14:paraId="28B4B557" w14:textId="126C05C4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South</w:t>
            </w:r>
            <w:r w:rsidRPr="00A33AAA">
              <w:rPr>
                <w:rFonts w:cs="Times New Roman"/>
                <w:sz w:val="22"/>
                <w:lang w:val="en-US"/>
              </w:rPr>
              <w:t xml:space="preserve"> America</w:t>
            </w:r>
          </w:p>
        </w:tc>
        <w:tc>
          <w:tcPr>
            <w:tcW w:w="1843" w:type="dxa"/>
          </w:tcPr>
          <w:p w14:paraId="29A4FB7F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54B1B853" w14:textId="1E5F42BF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13 (0.2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5F16EE7B" w14:textId="0993416A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112 (1.</w:t>
            </w:r>
            <w:r w:rsidR="004B0A72">
              <w:rPr>
                <w:rFonts w:cs="Times New Roman"/>
                <w:sz w:val="22"/>
                <w:lang w:val="en-US"/>
              </w:rPr>
              <w:t>9%)</w:t>
            </w:r>
          </w:p>
          <w:p w14:paraId="58437582" w14:textId="59F6F76C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3616 (61.0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0046EA27" w14:textId="03578889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2173 (36.6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71BFE2EE" w14:textId="49299F00" w:rsidR="004B0A72" w:rsidRPr="00A33AAA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17 (0.3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5DB70973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5B993967" w14:textId="6804A5C1" w:rsidR="004B0A72" w:rsidRDefault="003F3D49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-</w:t>
            </w:r>
          </w:p>
          <w:p w14:paraId="3A7BC5CB" w14:textId="12738646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 (0.1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51EA9311" w14:textId="24867A25" w:rsidR="004B0A72" w:rsidRDefault="00934FFB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358 (19.9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01D1DFC6" w14:textId="247538F9" w:rsidR="004B0A72" w:rsidRDefault="00934FFB" w:rsidP="0079526D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1438 (80.0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7FE4724B" w14:textId="1557CA10" w:rsidR="004B0A72" w:rsidRPr="00A33AAA" w:rsidRDefault="003F3D49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843" w:type="dxa"/>
          </w:tcPr>
          <w:p w14:paraId="7A1300E4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387E7ED1" w14:textId="1B81835D" w:rsidR="00F644AC" w:rsidRDefault="00F644AC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13</w:t>
            </w:r>
            <w:r w:rsidR="00934FFB">
              <w:rPr>
                <w:rFonts w:cs="Times New Roman"/>
                <w:sz w:val="22"/>
                <w:lang w:val="en-US"/>
              </w:rPr>
              <w:t xml:space="preserve"> (0.2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17BCE7F5" w14:textId="409FB553" w:rsidR="00F644AC" w:rsidRDefault="00F644AC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113</w:t>
            </w:r>
            <w:r w:rsidR="00934FFB">
              <w:rPr>
                <w:rFonts w:cs="Times New Roman"/>
                <w:sz w:val="22"/>
                <w:lang w:val="en-US"/>
              </w:rPr>
              <w:t xml:space="preserve"> (1.5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2A0D5F52" w14:textId="64754CFF" w:rsidR="00F644AC" w:rsidRDefault="00F644AC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3974</w:t>
            </w:r>
            <w:r w:rsidR="00934FFB">
              <w:rPr>
                <w:rFonts w:cs="Times New Roman"/>
                <w:sz w:val="22"/>
                <w:lang w:val="en-US"/>
              </w:rPr>
              <w:t xml:space="preserve"> (51.4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4A896C24" w14:textId="412BF45E" w:rsidR="00F644AC" w:rsidRDefault="00F644AC" w:rsidP="00F644AC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3611</w:t>
            </w:r>
            <w:r w:rsidR="00934FFB">
              <w:rPr>
                <w:rFonts w:cs="Times New Roman"/>
                <w:sz w:val="22"/>
                <w:lang w:val="en-US"/>
              </w:rPr>
              <w:t xml:space="preserve"> (46.7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5FFCEEF7" w14:textId="1E7275B5" w:rsidR="00F644AC" w:rsidRDefault="00F644AC" w:rsidP="00F644AC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17</w:t>
            </w:r>
            <w:r w:rsidR="00934FFB">
              <w:rPr>
                <w:rFonts w:cs="Times New Roman"/>
                <w:sz w:val="22"/>
                <w:lang w:val="en-US"/>
              </w:rPr>
              <w:t xml:space="preserve"> (0.2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</w:tc>
      </w:tr>
      <w:tr w:rsidR="004B0A72" w:rsidRPr="00A33AAA" w14:paraId="76A66854" w14:textId="056869FA" w:rsidTr="00752F94">
        <w:tc>
          <w:tcPr>
            <w:tcW w:w="3964" w:type="dxa"/>
          </w:tcPr>
          <w:p w14:paraId="070E6781" w14:textId="77777777" w:rsidR="004B0A72" w:rsidRPr="00A33AAA" w:rsidRDefault="004B0A72" w:rsidP="006A11A8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Type of reporter</w:t>
            </w:r>
          </w:p>
          <w:p w14:paraId="4EA57297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Pharmacist</w:t>
            </w:r>
          </w:p>
          <w:p w14:paraId="3C29E392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Physician</w:t>
            </w:r>
          </w:p>
          <w:p w14:paraId="2E0C3447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Other health professional</w:t>
            </w:r>
          </w:p>
          <w:p w14:paraId="253E5246" w14:textId="1B6A14BE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Consumer</w:t>
            </w:r>
          </w:p>
          <w:p w14:paraId="62E71009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Unknown</w:t>
            </w:r>
          </w:p>
        </w:tc>
        <w:tc>
          <w:tcPr>
            <w:tcW w:w="1843" w:type="dxa"/>
          </w:tcPr>
          <w:p w14:paraId="3494BA37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457AFCF3" w14:textId="32F4F725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162 (2.7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54392D5D" w14:textId="4D7BA99C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1431 (24.1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46CB8DC3" w14:textId="54F0F899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252 (4.2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79538925" w14:textId="4D5DCC31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1869 (32.5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4FA1B475" w14:textId="64ED0ACE" w:rsidR="004B0A72" w:rsidRPr="00A33AAA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2217 (37.4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4C6517D6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1CE3C113" w14:textId="6EDB985A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19 (1.1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2DB42B22" w14:textId="620DB41F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192 (10.7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462FD36C" w14:textId="70D3F8B1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 (0.3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05A42624" w14:textId="6FEBCEF4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144 (8.0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150B70FD" w14:textId="1B6B809F" w:rsidR="004B0A72" w:rsidRPr="00A33AAA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1437 (80.0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6B95F6D4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61914A94" w14:textId="4C03F606" w:rsidR="00297F18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181</w:t>
            </w:r>
            <w:r w:rsidR="003E5EE8">
              <w:rPr>
                <w:rFonts w:cs="Times New Roman"/>
                <w:sz w:val="22"/>
                <w:lang w:val="en-US"/>
              </w:rPr>
              <w:t xml:space="preserve"> (2.3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6244F7C7" w14:textId="2B2DEE6E" w:rsidR="00FF7E22" w:rsidRDefault="002E23C7" w:rsidP="00FF7E22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1623</w:t>
            </w:r>
            <w:r w:rsidR="00FF7E22">
              <w:rPr>
                <w:rFonts w:cs="Times New Roman"/>
                <w:sz w:val="22"/>
                <w:lang w:val="en-US"/>
              </w:rPr>
              <w:t xml:space="preserve"> (21.0%)</w:t>
            </w:r>
          </w:p>
          <w:p w14:paraId="3F424B39" w14:textId="21C1BAE9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257</w:t>
            </w:r>
            <w:r w:rsidR="003E5EE8">
              <w:rPr>
                <w:rFonts w:cs="Times New Roman"/>
                <w:sz w:val="22"/>
                <w:lang w:val="en-US"/>
              </w:rPr>
              <w:t xml:space="preserve"> (3.3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42A81EEF" w14:textId="5BABF682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2013</w:t>
            </w:r>
            <w:r w:rsidR="003E5EE8">
              <w:rPr>
                <w:rFonts w:cs="Times New Roman"/>
                <w:sz w:val="22"/>
                <w:lang w:val="en-US"/>
              </w:rPr>
              <w:t xml:space="preserve"> (26.0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11B6530C" w14:textId="186B56B2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3654</w:t>
            </w:r>
            <w:r w:rsidR="003E5EE8">
              <w:rPr>
                <w:rFonts w:cs="Times New Roman"/>
                <w:sz w:val="22"/>
                <w:lang w:val="en-US"/>
              </w:rPr>
              <w:t xml:space="preserve"> (47.3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</w:tc>
      </w:tr>
      <w:tr w:rsidR="004B0A72" w:rsidRPr="00A33AAA" w14:paraId="18E09AFA" w14:textId="1A9CA1D1" w:rsidTr="00752F94">
        <w:tc>
          <w:tcPr>
            <w:tcW w:w="3964" w:type="dxa"/>
          </w:tcPr>
          <w:p w14:paraId="2B820A89" w14:textId="76FFBA80" w:rsidR="004B0A72" w:rsidRPr="00A33AAA" w:rsidRDefault="004B0A72" w:rsidP="006A11A8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 xml:space="preserve">Sex – </w:t>
            </w:r>
            <w:r>
              <w:rPr>
                <w:rFonts w:cs="Times New Roman"/>
                <w:sz w:val="22"/>
                <w:lang w:val="en-US"/>
              </w:rPr>
              <w:t>fe</w:t>
            </w:r>
            <w:r w:rsidRPr="00A33AAA">
              <w:rPr>
                <w:rFonts w:cs="Times New Roman"/>
                <w:sz w:val="22"/>
                <w:lang w:val="en-US"/>
              </w:rPr>
              <w:t>male</w:t>
            </w:r>
          </w:p>
        </w:tc>
        <w:tc>
          <w:tcPr>
            <w:tcW w:w="1843" w:type="dxa"/>
          </w:tcPr>
          <w:p w14:paraId="36DAF6CC" w14:textId="4BA2A85A" w:rsidR="004B0A72" w:rsidRPr="00B47499" w:rsidRDefault="004B0A72" w:rsidP="00B47499">
            <w:pPr>
              <w:jc w:val="center"/>
              <w:rPr>
                <w:rFonts w:cs="Times New Roman"/>
                <w:color w:val="000000" w:themeColor="text1"/>
                <w:sz w:val="22"/>
                <w:lang w:val="en-US"/>
              </w:rPr>
            </w:pPr>
            <w:r>
              <w:rPr>
                <w:rFonts w:cs="Times New Roman"/>
                <w:color w:val="000000" w:themeColor="text1"/>
                <w:sz w:val="22"/>
                <w:lang w:val="en-US"/>
              </w:rPr>
              <w:t>3903</w:t>
            </w:r>
            <w:r w:rsidRPr="002105CB">
              <w:rPr>
                <w:rFonts w:cs="Times New Roman"/>
                <w:color w:val="000000" w:themeColor="text1"/>
                <w:sz w:val="22"/>
                <w:lang w:val="en-US"/>
              </w:rPr>
              <w:t xml:space="preserve"> (6</w:t>
            </w:r>
            <w:r>
              <w:rPr>
                <w:rFonts w:cs="Times New Roman"/>
                <w:color w:val="000000" w:themeColor="text1"/>
                <w:sz w:val="22"/>
                <w:lang w:val="en-US"/>
              </w:rPr>
              <w:t>5</w:t>
            </w:r>
            <w:r w:rsidRPr="002105CB">
              <w:rPr>
                <w:rFonts w:cs="Times New Roman"/>
                <w:color w:val="000000" w:themeColor="text1"/>
                <w:sz w:val="22"/>
                <w:lang w:val="en-US"/>
              </w:rPr>
              <w:t>.</w:t>
            </w:r>
            <w:r w:rsidR="003E5EE8">
              <w:rPr>
                <w:rFonts w:cs="Times New Roman"/>
                <w:color w:val="000000" w:themeColor="text1"/>
                <w:sz w:val="22"/>
                <w:lang w:val="en-US"/>
              </w:rPr>
              <w:t>8</w:t>
            </w:r>
            <w:r w:rsidRPr="002105CB">
              <w:rPr>
                <w:rFonts w:cs="Times New Roman"/>
                <w:color w:val="000000" w:themeColor="text1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093ABF76" w14:textId="3A21553E" w:rsidR="004B0A72" w:rsidRPr="00A33AAA" w:rsidRDefault="003E5EE8" w:rsidP="00B47499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1232 (68.</w:t>
            </w:r>
            <w:r w:rsidR="004B0A72">
              <w:rPr>
                <w:rFonts w:cs="Times New Roman"/>
                <w:sz w:val="22"/>
                <w:lang w:val="en-US"/>
              </w:rPr>
              <w:t>6%)</w:t>
            </w:r>
          </w:p>
        </w:tc>
        <w:tc>
          <w:tcPr>
            <w:tcW w:w="1843" w:type="dxa"/>
          </w:tcPr>
          <w:p w14:paraId="05F89A15" w14:textId="2BD00F7B" w:rsidR="002E23C7" w:rsidRDefault="002E23C7" w:rsidP="00B47499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5135</w:t>
            </w:r>
            <w:r w:rsidR="003E5EE8">
              <w:rPr>
                <w:rFonts w:cs="Times New Roman"/>
                <w:sz w:val="22"/>
                <w:lang w:val="en-US"/>
              </w:rPr>
              <w:t xml:space="preserve"> (66.4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</w:tc>
      </w:tr>
      <w:tr w:rsidR="004B0A72" w:rsidRPr="00A33AAA" w14:paraId="06489426" w14:textId="2D3BD239" w:rsidTr="00752F94">
        <w:tc>
          <w:tcPr>
            <w:tcW w:w="3964" w:type="dxa"/>
          </w:tcPr>
          <w:p w14:paraId="7BA628F5" w14:textId="77777777" w:rsidR="004B0A72" w:rsidRPr="00A33AAA" w:rsidRDefault="004B0A72" w:rsidP="006A11A8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Age – years</w:t>
            </w:r>
          </w:p>
        </w:tc>
        <w:tc>
          <w:tcPr>
            <w:tcW w:w="1843" w:type="dxa"/>
          </w:tcPr>
          <w:p w14:paraId="307E2B6D" w14:textId="750A8BC2" w:rsidR="004B0A72" w:rsidRPr="00A33AAA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59.7 (46-73)</w:t>
            </w:r>
          </w:p>
        </w:tc>
        <w:tc>
          <w:tcPr>
            <w:tcW w:w="1843" w:type="dxa"/>
          </w:tcPr>
          <w:p w14:paraId="7354C824" w14:textId="193DC09E" w:rsidR="004B0A72" w:rsidRPr="00A33AAA" w:rsidRDefault="005E389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57.0</w:t>
            </w:r>
            <w:r w:rsidR="004B0A72">
              <w:rPr>
                <w:rFonts w:cs="Times New Roman"/>
                <w:sz w:val="22"/>
                <w:lang w:val="en-US"/>
              </w:rPr>
              <w:t xml:space="preserve"> (44-70)</w:t>
            </w:r>
          </w:p>
        </w:tc>
        <w:tc>
          <w:tcPr>
            <w:tcW w:w="1843" w:type="dxa"/>
          </w:tcPr>
          <w:p w14:paraId="6AFCB031" w14:textId="21048079" w:rsidR="004B0A72" w:rsidRDefault="00E74F6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59.1 </w:t>
            </w:r>
            <w:r w:rsidR="00575F7B">
              <w:rPr>
                <w:rFonts w:cs="Times New Roman"/>
                <w:sz w:val="22"/>
                <w:lang w:val="en-US"/>
              </w:rPr>
              <w:t>(</w:t>
            </w:r>
            <w:r w:rsidR="00EE3CAB">
              <w:rPr>
                <w:rFonts w:cs="Times New Roman"/>
                <w:sz w:val="22"/>
                <w:lang w:val="en-US"/>
              </w:rPr>
              <w:t>4</w:t>
            </w:r>
            <w:r>
              <w:rPr>
                <w:rFonts w:cs="Times New Roman"/>
                <w:sz w:val="22"/>
                <w:lang w:val="en-US"/>
              </w:rPr>
              <w:t>6-</w:t>
            </w:r>
            <w:r w:rsidR="00EE3CAB">
              <w:rPr>
                <w:rFonts w:cs="Times New Roman"/>
                <w:sz w:val="22"/>
                <w:lang w:val="en-US"/>
              </w:rPr>
              <w:t>72</w:t>
            </w:r>
            <w:r w:rsidR="00575F7B">
              <w:rPr>
                <w:rFonts w:cs="Times New Roman"/>
                <w:sz w:val="22"/>
                <w:lang w:val="en-US"/>
              </w:rPr>
              <w:t>)</w:t>
            </w:r>
          </w:p>
        </w:tc>
      </w:tr>
      <w:tr w:rsidR="004B0A72" w:rsidRPr="00A33AAA" w14:paraId="412C3E54" w14:textId="7B003FAF" w:rsidTr="00752F94">
        <w:tc>
          <w:tcPr>
            <w:tcW w:w="3964" w:type="dxa"/>
          </w:tcPr>
          <w:p w14:paraId="29683280" w14:textId="093CA312" w:rsidR="004B0A72" w:rsidRDefault="004B0A72" w:rsidP="006A11A8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Age – ranges</w:t>
            </w:r>
          </w:p>
          <w:p w14:paraId="76489585" w14:textId="63E39435" w:rsidR="004B0A72" w:rsidRPr="00B13DA1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&lt; 12</w:t>
            </w:r>
            <w:r w:rsidRPr="00A33AAA">
              <w:rPr>
                <w:rFonts w:cs="Times New Roman"/>
                <w:sz w:val="22"/>
                <w:lang w:val="en-US"/>
              </w:rPr>
              <w:t xml:space="preserve"> years</w:t>
            </w:r>
          </w:p>
          <w:p w14:paraId="1D6610EC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12 - 17 years</w:t>
            </w:r>
          </w:p>
          <w:p w14:paraId="6FA3FEF4" w14:textId="2E69B12D" w:rsidR="004B0A72" w:rsidRPr="00955FFE" w:rsidRDefault="00955FFE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18 - 39</w:t>
            </w:r>
            <w:r w:rsidR="004B0A72" w:rsidRPr="00955FFE">
              <w:rPr>
                <w:rFonts w:cs="Times New Roman"/>
                <w:sz w:val="22"/>
                <w:lang w:val="en-US"/>
              </w:rPr>
              <w:t xml:space="preserve"> years</w:t>
            </w:r>
          </w:p>
          <w:p w14:paraId="0178D2F3" w14:textId="45C437C5" w:rsidR="004B0A72" w:rsidRPr="00955FFE" w:rsidRDefault="00955FFE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40</w:t>
            </w:r>
            <w:r w:rsidR="004B0A72" w:rsidRPr="00955FFE">
              <w:rPr>
                <w:rFonts w:cs="Times New Roman"/>
                <w:sz w:val="22"/>
                <w:lang w:val="en-US"/>
              </w:rPr>
              <w:t xml:space="preserve"> - 64 years</w:t>
            </w:r>
          </w:p>
          <w:p w14:paraId="134174F2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955FFE">
              <w:rPr>
                <w:rFonts w:cs="Times New Roman"/>
                <w:sz w:val="22"/>
                <w:lang w:val="en-US"/>
              </w:rPr>
              <w:t>65 - 74 years</w:t>
            </w:r>
          </w:p>
          <w:p w14:paraId="51301206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≥ 75 years</w:t>
            </w:r>
          </w:p>
          <w:p w14:paraId="3C3058AB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Unknown</w:t>
            </w:r>
          </w:p>
        </w:tc>
        <w:tc>
          <w:tcPr>
            <w:tcW w:w="1843" w:type="dxa"/>
          </w:tcPr>
          <w:p w14:paraId="693714E9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696ED714" w14:textId="1666D6EE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10 (0.2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639E77A8" w14:textId="594095D8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13 (0.2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66153288" w14:textId="667FC2C3" w:rsidR="004B0A72" w:rsidRDefault="00955FFE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831 (14.0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13AF96E8" w14:textId="51F7F613" w:rsidR="004B0A72" w:rsidRDefault="00955FFE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2230 (37.6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40B9B8A9" w14:textId="67D3F950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1188 (20.0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23DCF68B" w14:textId="714A8B69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1200 (20.2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3E872340" w14:textId="71719C04" w:rsidR="004B0A72" w:rsidRPr="00A33AAA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459 (7.7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0ABC9695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147E86B4" w14:textId="63EF7F55" w:rsidR="004B0A72" w:rsidRDefault="003F3D49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-</w:t>
            </w:r>
          </w:p>
          <w:p w14:paraId="4992F59F" w14:textId="57C45762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 (0.1</w:t>
            </w:r>
            <w:r w:rsidR="003F3D49">
              <w:rPr>
                <w:rFonts w:cs="Times New Roman"/>
                <w:sz w:val="22"/>
                <w:lang w:val="en-US"/>
              </w:rPr>
              <w:t>%</w:t>
            </w:r>
            <w:r w:rsidR="004B0A72">
              <w:rPr>
                <w:rFonts w:cs="Times New Roman"/>
                <w:sz w:val="22"/>
                <w:lang w:val="en-US"/>
              </w:rPr>
              <w:t>)</w:t>
            </w:r>
          </w:p>
          <w:p w14:paraId="3A344144" w14:textId="3814AD8D" w:rsidR="004B0A72" w:rsidRDefault="00955FFE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312 (17.4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291223B6" w14:textId="5B1CBC90" w:rsidR="004B0A72" w:rsidRDefault="00955FFE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780 (43.4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4D8852E6" w14:textId="43573C64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374 (20.8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129E1983" w14:textId="1FF7C638" w:rsidR="004B0A72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288 (16.0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  <w:p w14:paraId="741A37E9" w14:textId="56456073" w:rsidR="004B0A72" w:rsidRPr="00A33AAA" w:rsidRDefault="003E5EE8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42 (2.3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5FB06884" w14:textId="77777777" w:rsidR="004B0A72" w:rsidRDefault="004B0A72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155B28A0" w14:textId="005A8225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10</w:t>
            </w:r>
            <w:r w:rsidR="003E5EE8">
              <w:rPr>
                <w:rFonts w:cs="Times New Roman"/>
                <w:sz w:val="22"/>
                <w:lang w:val="en-US"/>
              </w:rPr>
              <w:t xml:space="preserve"> (0.1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18F60286" w14:textId="060418F3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</w:t>
            </w:r>
            <w:r w:rsidR="003E5EE8">
              <w:rPr>
                <w:rFonts w:cs="Times New Roman"/>
                <w:sz w:val="22"/>
                <w:lang w:val="en-US"/>
              </w:rPr>
              <w:t xml:space="preserve"> (0.2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2148DF6E" w14:textId="7BB2F1E4" w:rsidR="002E23C7" w:rsidRDefault="00955FFE" w:rsidP="00955FFE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1143 (14.8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3EDB5452" w14:textId="41740651" w:rsidR="002E23C7" w:rsidRDefault="00955FFE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3010 (38.9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440E6BCC" w14:textId="351F1B60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1562</w:t>
            </w:r>
            <w:r w:rsidR="003E5EE8">
              <w:rPr>
                <w:rFonts w:cs="Times New Roman"/>
                <w:sz w:val="22"/>
                <w:lang w:val="en-US"/>
              </w:rPr>
              <w:t xml:space="preserve"> (20.2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75ED3654" w14:textId="471C7B14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1488</w:t>
            </w:r>
            <w:r w:rsidR="003E5EE8">
              <w:rPr>
                <w:rFonts w:cs="Times New Roman"/>
                <w:sz w:val="22"/>
                <w:lang w:val="en-US"/>
              </w:rPr>
              <w:t xml:space="preserve"> (19.3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  <w:p w14:paraId="53980E64" w14:textId="4C5263CC" w:rsidR="002E23C7" w:rsidRDefault="002E23C7" w:rsidP="00A2264A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501</w:t>
            </w:r>
            <w:r w:rsidR="003E5EE8">
              <w:rPr>
                <w:rFonts w:cs="Times New Roman"/>
                <w:sz w:val="22"/>
                <w:lang w:val="en-US"/>
              </w:rPr>
              <w:t xml:space="preserve"> (6.5</w:t>
            </w:r>
            <w:r w:rsidR="00FF7E22">
              <w:rPr>
                <w:rFonts w:cs="Times New Roman"/>
                <w:sz w:val="22"/>
                <w:lang w:val="en-US"/>
              </w:rPr>
              <w:t>%)</w:t>
            </w:r>
          </w:p>
        </w:tc>
      </w:tr>
      <w:tr w:rsidR="004B0A72" w:rsidRPr="00A33AAA" w14:paraId="144478EF" w14:textId="4FB08672" w:rsidTr="00752F94">
        <w:trPr>
          <w:trHeight w:val="1104"/>
        </w:trPr>
        <w:tc>
          <w:tcPr>
            <w:tcW w:w="3964" w:type="dxa"/>
          </w:tcPr>
          <w:p w14:paraId="23A08982" w14:textId="086391FC" w:rsidR="004B0A72" w:rsidRDefault="00ED5E66" w:rsidP="00A77EBF">
            <w:pPr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Type of injury</w:t>
            </w:r>
            <w:r w:rsidR="004B0A72">
              <w:rPr>
                <w:rFonts w:cs="Times New Roman"/>
                <w:sz w:val="22"/>
                <w:lang w:val="en-US"/>
              </w:rPr>
              <w:t xml:space="preserve">: </w:t>
            </w:r>
            <w:r w:rsidR="00837D38">
              <w:rPr>
                <w:rFonts w:cs="Times New Roman"/>
                <w:bCs/>
                <w:sz w:val="22"/>
                <w:lang w:val="en-US"/>
              </w:rPr>
              <w:t>skin rash</w:t>
            </w:r>
            <w:r w:rsidR="008D55EA">
              <w:rPr>
                <w:rFonts w:cs="Times New Roman"/>
                <w:bCs/>
                <w:sz w:val="22"/>
                <w:lang w:val="en-US"/>
              </w:rPr>
              <w:t>*</w:t>
            </w:r>
          </w:p>
          <w:p w14:paraId="60C81292" w14:textId="4EA72ECB" w:rsidR="004B0A72" w:rsidRPr="00013073" w:rsidRDefault="004B0A72" w:rsidP="00A77EBF">
            <w:pPr>
              <w:rPr>
                <w:rFonts w:cs="Times New Roman"/>
                <w:sz w:val="22"/>
                <w:lang w:val="en-US"/>
              </w:rPr>
            </w:pPr>
          </w:p>
          <w:p w14:paraId="58E9E42E" w14:textId="3C0272A9" w:rsidR="005A4BCF" w:rsidRDefault="005A4BCF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Age - years</w:t>
            </w:r>
          </w:p>
          <w:p w14:paraId="767D5CC7" w14:textId="0F94C22D" w:rsidR="004B0A72" w:rsidRPr="00013073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Time to reaction onset – days</w:t>
            </w:r>
          </w:p>
          <w:p w14:paraId="595FE785" w14:textId="40D4F118" w:rsidR="00752F94" w:rsidRPr="00752F94" w:rsidRDefault="0092574E" w:rsidP="00752F94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R</w:t>
            </w:r>
            <w:r w:rsidRPr="0092574E">
              <w:rPr>
                <w:rFonts w:cs="Times New Roman"/>
                <w:sz w:val="22"/>
                <w:lang w:val="en-US"/>
              </w:rPr>
              <w:t>equiring hospitalization</w:t>
            </w:r>
          </w:p>
        </w:tc>
        <w:tc>
          <w:tcPr>
            <w:tcW w:w="1843" w:type="dxa"/>
          </w:tcPr>
          <w:p w14:paraId="0069BABC" w14:textId="77ADB54D" w:rsidR="004B0A72" w:rsidRPr="00612EFB" w:rsidRDefault="004375A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5733</w:t>
            </w:r>
            <w:r w:rsidR="004B0A72" w:rsidRPr="00612EFB">
              <w:rPr>
                <w:rFonts w:cs="Times New Roman"/>
                <w:bCs/>
                <w:sz w:val="22"/>
                <w:lang w:val="en-US"/>
              </w:rPr>
              <w:t xml:space="preserve"> (96.6%)</w:t>
            </w:r>
          </w:p>
          <w:p w14:paraId="732D6A21" w14:textId="44F5A086" w:rsidR="004B0A72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1E1C1A6F" w14:textId="0A31E24B" w:rsidR="005A4BCF" w:rsidRPr="007B6E09" w:rsidRDefault="00B52710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61 (46-73)</w:t>
            </w:r>
          </w:p>
          <w:p w14:paraId="304D57CC" w14:textId="27B265EC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7 (2-14)</w:t>
            </w:r>
          </w:p>
          <w:p w14:paraId="4F41AC56" w14:textId="38C767CF" w:rsidR="004B0A72" w:rsidRPr="004660FB" w:rsidRDefault="00203798" w:rsidP="00752F94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4660FB">
              <w:rPr>
                <w:rFonts w:cs="Times New Roman"/>
                <w:bCs/>
                <w:sz w:val="22"/>
                <w:lang w:val="en-US"/>
              </w:rPr>
              <w:t>131 (2.3</w:t>
            </w:r>
            <w:r w:rsidR="004B0A72" w:rsidRPr="004660FB">
              <w:rPr>
                <w:rFonts w:cs="Times New Roman"/>
                <w:bCs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2A71F9F6" w14:textId="6593F8CF" w:rsidR="004B0A72" w:rsidRPr="00612EFB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612EFB">
              <w:rPr>
                <w:rFonts w:cs="Times New Roman"/>
                <w:bCs/>
                <w:sz w:val="22"/>
                <w:lang w:val="en-US"/>
              </w:rPr>
              <w:t>1761 (98</w:t>
            </w:r>
            <w:r w:rsidR="005C2B14" w:rsidRPr="00612EFB">
              <w:rPr>
                <w:rFonts w:cs="Times New Roman"/>
                <w:bCs/>
                <w:sz w:val="22"/>
                <w:lang w:val="en-US"/>
              </w:rPr>
              <w:t>.0</w:t>
            </w:r>
            <w:r w:rsidRPr="00612EFB">
              <w:rPr>
                <w:rFonts w:cs="Times New Roman"/>
                <w:bCs/>
                <w:sz w:val="22"/>
                <w:lang w:val="en-US"/>
              </w:rPr>
              <w:t>%)</w:t>
            </w:r>
          </w:p>
          <w:p w14:paraId="718F1952" w14:textId="372EE16D" w:rsidR="004B0A72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1C8AE8EB" w14:textId="6E58EAA9" w:rsidR="005A4BCF" w:rsidRPr="007B6E09" w:rsidRDefault="00825AF6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57 (44-70)</w:t>
            </w:r>
          </w:p>
          <w:p w14:paraId="19CB5F85" w14:textId="160F7EB2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7 (2-16)</w:t>
            </w:r>
          </w:p>
          <w:p w14:paraId="257D42F9" w14:textId="73C836D3" w:rsidR="003C11DE" w:rsidRPr="004660FB" w:rsidRDefault="00203798" w:rsidP="003C11DE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4660FB">
              <w:rPr>
                <w:rFonts w:cs="Times New Roman"/>
                <w:bCs/>
                <w:sz w:val="22"/>
                <w:lang w:val="en-US"/>
              </w:rPr>
              <w:t>42 (2.4</w:t>
            </w:r>
            <w:r w:rsidR="004B0A72" w:rsidRPr="004660FB">
              <w:rPr>
                <w:rFonts w:cs="Times New Roman"/>
                <w:bCs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43EF974F" w14:textId="12133F22" w:rsidR="004B0A72" w:rsidRDefault="004375A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7494</w:t>
            </w:r>
            <w:r w:rsidR="00C32C34" w:rsidRPr="0033003E">
              <w:rPr>
                <w:rFonts w:cs="Times New Roman"/>
                <w:bCs/>
                <w:sz w:val="22"/>
                <w:lang w:val="en-US"/>
              </w:rPr>
              <w:t xml:space="preserve"> (</w:t>
            </w:r>
            <w:r>
              <w:rPr>
                <w:rFonts w:cs="Times New Roman"/>
                <w:bCs/>
                <w:sz w:val="22"/>
                <w:lang w:val="en-US"/>
              </w:rPr>
              <w:t>97.0</w:t>
            </w:r>
            <w:r w:rsidR="00C32C34" w:rsidRPr="0033003E">
              <w:rPr>
                <w:rFonts w:cs="Times New Roman"/>
                <w:bCs/>
                <w:sz w:val="22"/>
                <w:lang w:val="en-US"/>
              </w:rPr>
              <w:t>%)</w:t>
            </w:r>
          </w:p>
          <w:p w14:paraId="00F188E1" w14:textId="77777777" w:rsidR="00575F7B" w:rsidRDefault="00575F7B" w:rsidP="00575F7B">
            <w:pPr>
              <w:rPr>
                <w:rFonts w:cs="Times New Roman"/>
                <w:bCs/>
                <w:sz w:val="22"/>
                <w:lang w:val="en-US"/>
              </w:rPr>
            </w:pPr>
          </w:p>
          <w:p w14:paraId="65EE1601" w14:textId="13BC5592" w:rsidR="00575F7B" w:rsidRDefault="00865015" w:rsidP="00674A8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60 (45-72)</w:t>
            </w:r>
          </w:p>
          <w:p w14:paraId="31E49AB1" w14:textId="77777777" w:rsidR="00575F7B" w:rsidRDefault="00575F7B" w:rsidP="00575F7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7 (2-15)</w:t>
            </w:r>
          </w:p>
          <w:p w14:paraId="4222A798" w14:textId="7EA575D4" w:rsidR="009617D3" w:rsidRPr="00575F7B" w:rsidRDefault="00321431" w:rsidP="00575F7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173 (2.3%)</w:t>
            </w:r>
          </w:p>
        </w:tc>
      </w:tr>
      <w:tr w:rsidR="004B0A72" w:rsidRPr="00F173D4" w14:paraId="2D68810E" w14:textId="46844670" w:rsidTr="00752F94">
        <w:tc>
          <w:tcPr>
            <w:tcW w:w="3964" w:type="dxa"/>
          </w:tcPr>
          <w:p w14:paraId="01BE3B89" w14:textId="110E48C6" w:rsidR="004B0A72" w:rsidRDefault="004B0A72" w:rsidP="00A77EBF">
            <w:pPr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Type of injury: </w:t>
            </w:r>
            <w:proofErr w:type="spellStart"/>
            <w:r w:rsidRPr="0033003E">
              <w:rPr>
                <w:rFonts w:cs="Times New Roman"/>
                <w:bCs/>
                <w:sz w:val="22"/>
                <w:lang w:val="en-US"/>
              </w:rPr>
              <w:t>ophtalmic</w:t>
            </w:r>
            <w:r w:rsidR="00837D38">
              <w:rPr>
                <w:rFonts w:cs="Times New Roman"/>
                <w:bCs/>
                <w:sz w:val="22"/>
                <w:lang w:val="en-US"/>
              </w:rPr>
              <w:t>us</w:t>
            </w:r>
            <w:proofErr w:type="spellEnd"/>
          </w:p>
          <w:p w14:paraId="79FEB688" w14:textId="77777777" w:rsidR="004B0A72" w:rsidRPr="00013073" w:rsidRDefault="004B0A72" w:rsidP="00A77EBF">
            <w:pPr>
              <w:rPr>
                <w:rFonts w:cs="Times New Roman"/>
                <w:sz w:val="22"/>
                <w:lang w:val="en-US"/>
              </w:rPr>
            </w:pPr>
          </w:p>
          <w:p w14:paraId="282976EE" w14:textId="4D993E4C" w:rsidR="00865015" w:rsidRPr="00674A89" w:rsidRDefault="00865015" w:rsidP="00865015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Age - years</w:t>
            </w:r>
          </w:p>
          <w:p w14:paraId="3BAD6F5A" w14:textId="154F8EE4" w:rsidR="004B0A72" w:rsidRPr="00013073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Time to reaction onset – days</w:t>
            </w:r>
          </w:p>
          <w:p w14:paraId="21E01BC7" w14:textId="207BC31F" w:rsidR="004B0A72" w:rsidRPr="00203798" w:rsidRDefault="00203798" w:rsidP="00203798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R</w:t>
            </w:r>
            <w:r w:rsidRPr="0092574E">
              <w:rPr>
                <w:rFonts w:cs="Times New Roman"/>
                <w:sz w:val="22"/>
                <w:lang w:val="en-US"/>
              </w:rPr>
              <w:t>equiring hospitalization</w:t>
            </w:r>
          </w:p>
        </w:tc>
        <w:tc>
          <w:tcPr>
            <w:tcW w:w="1843" w:type="dxa"/>
          </w:tcPr>
          <w:p w14:paraId="7604A757" w14:textId="758AE7C7" w:rsidR="004B0A72" w:rsidRPr="0033003E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165 (2.8%)</w:t>
            </w:r>
          </w:p>
          <w:p w14:paraId="2B949CAF" w14:textId="77777777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537EA6C8" w14:textId="0F67C022" w:rsidR="00865015" w:rsidRDefault="00EA068B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68 (56-78)</w:t>
            </w:r>
          </w:p>
          <w:p w14:paraId="7F4BA496" w14:textId="66A49896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8 (2.75-15)</w:t>
            </w:r>
          </w:p>
          <w:p w14:paraId="2D96688D" w14:textId="1944B0BF" w:rsidR="004B0A72" w:rsidRPr="004660FB" w:rsidRDefault="00203798" w:rsidP="00203798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4660FB">
              <w:rPr>
                <w:rFonts w:cs="Times New Roman"/>
                <w:bCs/>
                <w:sz w:val="22"/>
                <w:lang w:val="en-US"/>
              </w:rPr>
              <w:t>21 (12.7</w:t>
            </w:r>
            <w:r w:rsidR="004B0A72" w:rsidRPr="004660FB">
              <w:rPr>
                <w:rFonts w:cs="Times New Roman"/>
                <w:bCs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6653920D" w14:textId="35A50CAC" w:rsidR="004B0A72" w:rsidRPr="0033003E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32 (1.8%)</w:t>
            </w:r>
          </w:p>
          <w:p w14:paraId="2F16F13D" w14:textId="77777777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2A4369C9" w14:textId="54B940EA" w:rsidR="00865015" w:rsidRDefault="00AF6DAE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69 (</w:t>
            </w:r>
            <w:r w:rsidR="00661F52">
              <w:rPr>
                <w:rFonts w:cs="Times New Roman"/>
                <w:bCs/>
                <w:sz w:val="22"/>
                <w:lang w:val="en-US"/>
              </w:rPr>
              <w:t>5</w:t>
            </w:r>
            <w:r>
              <w:rPr>
                <w:rFonts w:cs="Times New Roman"/>
                <w:bCs/>
                <w:sz w:val="22"/>
                <w:lang w:val="en-US"/>
              </w:rPr>
              <w:t>6.5-</w:t>
            </w:r>
            <w:r w:rsidR="00661F52">
              <w:rPr>
                <w:rFonts w:cs="Times New Roman"/>
                <w:bCs/>
                <w:sz w:val="22"/>
                <w:lang w:val="en-US"/>
              </w:rPr>
              <w:t>75.5)</w:t>
            </w:r>
          </w:p>
          <w:p w14:paraId="1E3175F2" w14:textId="5FBE800D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4 (2-13.</w:t>
            </w:r>
            <w:r w:rsidR="007B6E09">
              <w:rPr>
                <w:rFonts w:cs="Times New Roman"/>
                <w:bCs/>
                <w:sz w:val="22"/>
                <w:lang w:val="en-US"/>
              </w:rPr>
              <w:t>8</w:t>
            </w:r>
            <w:r w:rsidRPr="007B6E09">
              <w:rPr>
                <w:rFonts w:cs="Times New Roman"/>
                <w:bCs/>
                <w:sz w:val="22"/>
                <w:lang w:val="en-US"/>
              </w:rPr>
              <w:t>)</w:t>
            </w:r>
          </w:p>
          <w:p w14:paraId="7E35B918" w14:textId="4F988589" w:rsidR="004B0A72" w:rsidRPr="00650564" w:rsidRDefault="00203798" w:rsidP="00203798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2</w:t>
            </w:r>
            <w:r w:rsidR="004340B8" w:rsidRPr="007B6E09">
              <w:rPr>
                <w:rFonts w:cs="Times New Roman"/>
                <w:bCs/>
                <w:sz w:val="22"/>
                <w:lang w:val="en-US"/>
              </w:rPr>
              <w:t xml:space="preserve"> (6.0</w:t>
            </w:r>
            <w:r w:rsidR="004B0A72" w:rsidRPr="00650564">
              <w:rPr>
                <w:rFonts w:cs="Times New Roman"/>
                <w:bCs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1AA2A6E2" w14:textId="38910821" w:rsidR="004B0A72" w:rsidRDefault="00EF5BD0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197</w:t>
            </w:r>
            <w:r w:rsidR="004375A2">
              <w:rPr>
                <w:rFonts w:cs="Times New Roman"/>
                <w:bCs/>
                <w:sz w:val="22"/>
                <w:lang w:val="en-US"/>
              </w:rPr>
              <w:t xml:space="preserve"> (2.5</w:t>
            </w:r>
            <w:r w:rsidR="00883787" w:rsidRPr="0033003E">
              <w:rPr>
                <w:rFonts w:cs="Times New Roman"/>
                <w:bCs/>
                <w:sz w:val="22"/>
                <w:lang w:val="en-US"/>
              </w:rPr>
              <w:t>%)</w:t>
            </w:r>
          </w:p>
          <w:p w14:paraId="3C8B45CD" w14:textId="77777777" w:rsidR="00EA42C1" w:rsidRDefault="00EA42C1" w:rsidP="00EA42C1">
            <w:pPr>
              <w:rPr>
                <w:rFonts w:cs="Times New Roman"/>
                <w:bCs/>
                <w:sz w:val="22"/>
                <w:lang w:val="en-US"/>
              </w:rPr>
            </w:pPr>
          </w:p>
          <w:p w14:paraId="1322DBB3" w14:textId="45E88767" w:rsidR="00865015" w:rsidRDefault="00661F52" w:rsidP="00EA42C1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68 (56-77.5)</w:t>
            </w:r>
          </w:p>
          <w:p w14:paraId="2420B7F3" w14:textId="7CB3A737" w:rsidR="00EA42C1" w:rsidRDefault="00EA42C1" w:rsidP="00EA42C1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7 (2-14.75)</w:t>
            </w:r>
          </w:p>
          <w:p w14:paraId="5B8F16D2" w14:textId="58634FA9" w:rsidR="00321431" w:rsidRPr="00EA42C1" w:rsidRDefault="00321431" w:rsidP="00EA42C1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23 </w:t>
            </w:r>
            <w:r w:rsidR="00EE34B8">
              <w:rPr>
                <w:rFonts w:cs="Times New Roman"/>
                <w:sz w:val="22"/>
                <w:lang w:val="en-US"/>
              </w:rPr>
              <w:t>(11.7%)</w:t>
            </w:r>
          </w:p>
        </w:tc>
      </w:tr>
      <w:tr w:rsidR="004B0A72" w:rsidRPr="00A33AAA" w14:paraId="5CC567BD" w14:textId="1B6B51DB" w:rsidTr="00752F94">
        <w:tc>
          <w:tcPr>
            <w:tcW w:w="3964" w:type="dxa"/>
            <w:shd w:val="clear" w:color="auto" w:fill="auto"/>
          </w:tcPr>
          <w:p w14:paraId="379AEFF3" w14:textId="460BC6B3" w:rsidR="004B0A72" w:rsidRDefault="004B0A72" w:rsidP="00A77EBF">
            <w:pPr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Type of injury: </w:t>
            </w:r>
            <w:proofErr w:type="spellStart"/>
            <w:r w:rsidR="00837D38">
              <w:rPr>
                <w:rFonts w:cs="Times New Roman"/>
                <w:bCs/>
                <w:sz w:val="22"/>
                <w:lang w:val="en-US"/>
              </w:rPr>
              <w:t>oticus</w:t>
            </w:r>
            <w:proofErr w:type="spellEnd"/>
          </w:p>
          <w:p w14:paraId="4DF40CA0" w14:textId="77777777" w:rsidR="004B0A72" w:rsidRPr="00013073" w:rsidRDefault="004B0A72" w:rsidP="00A77EBF">
            <w:pPr>
              <w:rPr>
                <w:rFonts w:cs="Times New Roman"/>
                <w:sz w:val="22"/>
                <w:lang w:val="en-US"/>
              </w:rPr>
            </w:pPr>
          </w:p>
          <w:p w14:paraId="6C3BF7CF" w14:textId="3C52CBB4" w:rsidR="00661F52" w:rsidRPr="00674A89" w:rsidRDefault="00661F52" w:rsidP="00661F52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Age - years</w:t>
            </w:r>
          </w:p>
          <w:p w14:paraId="26953DAE" w14:textId="40D2A620" w:rsidR="004B0A72" w:rsidRPr="00013073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Time to reaction onset – days</w:t>
            </w:r>
          </w:p>
          <w:p w14:paraId="326D6472" w14:textId="5D62D03C" w:rsidR="004B0A72" w:rsidRPr="003F755E" w:rsidRDefault="003F755E" w:rsidP="003F755E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R</w:t>
            </w:r>
            <w:r w:rsidRPr="0092574E">
              <w:rPr>
                <w:rFonts w:cs="Times New Roman"/>
                <w:sz w:val="22"/>
                <w:lang w:val="en-US"/>
              </w:rPr>
              <w:t>equiring hospitalization</w:t>
            </w:r>
          </w:p>
        </w:tc>
        <w:tc>
          <w:tcPr>
            <w:tcW w:w="1843" w:type="dxa"/>
          </w:tcPr>
          <w:p w14:paraId="5DB80C44" w14:textId="51402966" w:rsidR="004B0A72" w:rsidRPr="0033003E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47 (0.8%)</w:t>
            </w:r>
          </w:p>
          <w:p w14:paraId="78BB881B" w14:textId="77777777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0039316C" w14:textId="7737C24B" w:rsidR="00661F52" w:rsidRDefault="00E67F65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57 (44.5-</w:t>
            </w:r>
            <w:r w:rsidR="00E92068">
              <w:rPr>
                <w:rFonts w:cs="Times New Roman"/>
                <w:bCs/>
                <w:sz w:val="22"/>
                <w:lang w:val="en-US"/>
              </w:rPr>
              <w:t>66.5)</w:t>
            </w:r>
          </w:p>
          <w:p w14:paraId="4D617A3B" w14:textId="25EFEBE3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5 (2-12)</w:t>
            </w:r>
          </w:p>
          <w:p w14:paraId="5D0567D6" w14:textId="2D179E58" w:rsidR="004B0A72" w:rsidRPr="004660FB" w:rsidRDefault="003F755E" w:rsidP="003F755E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4660FB">
              <w:rPr>
                <w:rFonts w:cs="Times New Roman"/>
                <w:bCs/>
                <w:sz w:val="22"/>
                <w:lang w:val="en-US"/>
              </w:rPr>
              <w:t>6 (12.8</w:t>
            </w:r>
            <w:r w:rsidR="004B0A72" w:rsidRPr="004660FB">
              <w:rPr>
                <w:rFonts w:cs="Times New Roman"/>
                <w:bCs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4F276302" w14:textId="00CC0D01" w:rsidR="004B0A72" w:rsidRPr="0033003E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13 (0.7%)</w:t>
            </w:r>
          </w:p>
          <w:p w14:paraId="350E334C" w14:textId="77777777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156222EE" w14:textId="313E0E39" w:rsidR="00661F52" w:rsidRDefault="00657F07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47 (40-59)</w:t>
            </w:r>
          </w:p>
          <w:p w14:paraId="7CD2AFD7" w14:textId="00B0B025" w:rsidR="004B0A72" w:rsidRPr="007B6E09" w:rsidRDefault="004B0A72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3 (1-11)</w:t>
            </w:r>
          </w:p>
          <w:p w14:paraId="06379171" w14:textId="773DCFB0" w:rsidR="004B0A72" w:rsidRPr="004660FB" w:rsidRDefault="007B6E09" w:rsidP="003F755E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-</w:t>
            </w:r>
          </w:p>
        </w:tc>
        <w:tc>
          <w:tcPr>
            <w:tcW w:w="1843" w:type="dxa"/>
          </w:tcPr>
          <w:p w14:paraId="722434DF" w14:textId="77777777" w:rsidR="004B0A72" w:rsidRDefault="00EF5BD0" w:rsidP="00A77EBF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60</w:t>
            </w:r>
            <w:r w:rsidR="005C2B14" w:rsidRPr="0033003E">
              <w:rPr>
                <w:rFonts w:cs="Times New Roman"/>
                <w:bCs/>
                <w:sz w:val="22"/>
                <w:lang w:val="en-US"/>
              </w:rPr>
              <w:t xml:space="preserve"> (0.</w:t>
            </w:r>
            <w:r w:rsidR="00883787" w:rsidRPr="0033003E">
              <w:rPr>
                <w:rFonts w:cs="Times New Roman"/>
                <w:bCs/>
                <w:sz w:val="22"/>
                <w:lang w:val="en-US"/>
              </w:rPr>
              <w:t>8%)</w:t>
            </w:r>
          </w:p>
          <w:p w14:paraId="035A0618" w14:textId="77777777" w:rsidR="00EB2AB0" w:rsidRDefault="00EB2AB0" w:rsidP="00EB2AB0">
            <w:pPr>
              <w:rPr>
                <w:rFonts w:cs="Times New Roman"/>
                <w:bCs/>
                <w:sz w:val="22"/>
                <w:lang w:val="en-US"/>
              </w:rPr>
            </w:pPr>
          </w:p>
          <w:p w14:paraId="546F9AD3" w14:textId="0BCB3125" w:rsidR="00661F52" w:rsidRDefault="00657F07" w:rsidP="00EB2AB0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57 (41.75-66.25)</w:t>
            </w:r>
          </w:p>
          <w:p w14:paraId="3FF7CEBF" w14:textId="301FF10F" w:rsidR="00EB2AB0" w:rsidRDefault="00EB2AB0" w:rsidP="00EB2AB0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 (1.75-11</w:t>
            </w:r>
            <w:r w:rsidR="00206C88">
              <w:rPr>
                <w:rFonts w:cs="Times New Roman"/>
                <w:sz w:val="22"/>
                <w:lang w:val="en-US"/>
              </w:rPr>
              <w:t>.75)</w:t>
            </w:r>
          </w:p>
          <w:p w14:paraId="7F2FF0AF" w14:textId="15AC0C19" w:rsidR="00EE34B8" w:rsidRPr="00EB2AB0" w:rsidRDefault="00EE34B8" w:rsidP="00EB2AB0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6 (10%)</w:t>
            </w:r>
          </w:p>
        </w:tc>
      </w:tr>
      <w:tr w:rsidR="003578D1" w:rsidRPr="00A33AAA" w14:paraId="13D9EB49" w14:textId="77777777" w:rsidTr="008B484B">
        <w:tc>
          <w:tcPr>
            <w:tcW w:w="3964" w:type="dxa"/>
          </w:tcPr>
          <w:p w14:paraId="3789E324" w14:textId="615978F7" w:rsidR="003578D1" w:rsidRDefault="003578D1" w:rsidP="008B484B">
            <w:pPr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Type of injury: </w:t>
            </w:r>
            <w:r w:rsidR="00837D38">
              <w:rPr>
                <w:rFonts w:cs="Times New Roman"/>
                <w:bCs/>
                <w:sz w:val="22"/>
                <w:lang w:val="en-US"/>
              </w:rPr>
              <w:t>central nervous system</w:t>
            </w:r>
          </w:p>
          <w:p w14:paraId="7FBCDC9E" w14:textId="77777777" w:rsidR="003578D1" w:rsidRPr="004375A2" w:rsidRDefault="003578D1" w:rsidP="008B484B">
            <w:pPr>
              <w:pStyle w:val="Paragraphedeliste"/>
              <w:spacing w:line="240" w:lineRule="auto"/>
              <w:rPr>
                <w:rFonts w:cs="Times New Roman"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i/>
                <w:iCs/>
                <w:sz w:val="22"/>
                <w:lang w:val="en-US"/>
              </w:rPr>
              <w:t>Meningitis</w:t>
            </w:r>
          </w:p>
          <w:p w14:paraId="0B688D3E" w14:textId="77777777" w:rsidR="003578D1" w:rsidRPr="004375A2" w:rsidRDefault="003578D1" w:rsidP="008B484B">
            <w:pPr>
              <w:pStyle w:val="Paragraphedeliste"/>
              <w:spacing w:line="240" w:lineRule="auto"/>
              <w:rPr>
                <w:rFonts w:cs="Times New Roman"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i/>
                <w:iCs/>
                <w:sz w:val="22"/>
                <w:lang w:val="en-US"/>
              </w:rPr>
              <w:t>Meningoencephalitis</w:t>
            </w:r>
          </w:p>
          <w:p w14:paraId="44FF301B" w14:textId="77777777" w:rsidR="003578D1" w:rsidRPr="004375A2" w:rsidRDefault="003578D1" w:rsidP="008B484B">
            <w:pPr>
              <w:pStyle w:val="Paragraphedeliste"/>
              <w:spacing w:line="240" w:lineRule="auto"/>
              <w:rPr>
                <w:rFonts w:cs="Times New Roman"/>
                <w:i/>
                <w:iCs/>
                <w:sz w:val="22"/>
                <w:lang w:val="en-US"/>
              </w:rPr>
            </w:pPr>
            <w:proofErr w:type="spellStart"/>
            <w:r w:rsidRPr="004375A2">
              <w:rPr>
                <w:rFonts w:cs="Times New Roman"/>
                <w:i/>
                <w:iCs/>
                <w:sz w:val="22"/>
                <w:lang w:val="en-US"/>
              </w:rPr>
              <w:t>Meningoradiculitis</w:t>
            </w:r>
            <w:proofErr w:type="spellEnd"/>
          </w:p>
          <w:p w14:paraId="610E4BBA" w14:textId="77777777" w:rsidR="003F3D49" w:rsidRPr="004375A2" w:rsidRDefault="003578D1" w:rsidP="003F3D49">
            <w:pPr>
              <w:pStyle w:val="Paragraphedeliste"/>
              <w:spacing w:line="240" w:lineRule="auto"/>
              <w:rPr>
                <w:rFonts w:cs="Times New Roman"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i/>
                <w:iCs/>
                <w:sz w:val="22"/>
                <w:lang w:val="en-US"/>
              </w:rPr>
              <w:t>Unspecified neurological infection</w:t>
            </w:r>
          </w:p>
          <w:p w14:paraId="3E3FDFED" w14:textId="77777777" w:rsidR="003F3D49" w:rsidRDefault="003F3D49" w:rsidP="003F3D49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</w:p>
          <w:p w14:paraId="464A7183" w14:textId="7C7C0E5C" w:rsidR="003F3D49" w:rsidRPr="00674A89" w:rsidRDefault="003F3D49" w:rsidP="003F3D49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Age - years</w:t>
            </w:r>
          </w:p>
          <w:p w14:paraId="30F18C8D" w14:textId="77777777" w:rsidR="003F3D49" w:rsidRPr="00013073" w:rsidRDefault="003F3D49" w:rsidP="003F3D49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Time to reaction onset – days</w:t>
            </w:r>
          </w:p>
          <w:p w14:paraId="0CE55893" w14:textId="44B737CC" w:rsidR="003578D1" w:rsidRPr="00A74785" w:rsidRDefault="003F3D49" w:rsidP="003F3D49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R</w:t>
            </w:r>
            <w:r w:rsidRPr="0092574E">
              <w:rPr>
                <w:rFonts w:cs="Times New Roman"/>
                <w:sz w:val="22"/>
                <w:lang w:val="en-US"/>
              </w:rPr>
              <w:t>equiring hospitalization</w:t>
            </w:r>
            <w:r w:rsidRPr="000C7C0B">
              <w:rPr>
                <w:rFonts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5583ADEF" w14:textId="77777777" w:rsidR="003578D1" w:rsidRPr="0033003E" w:rsidRDefault="003578D1" w:rsidP="008B484B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19 (0.3%)</w:t>
            </w:r>
          </w:p>
          <w:p w14:paraId="0691C607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9 (47.4%)</w:t>
            </w:r>
          </w:p>
          <w:p w14:paraId="2166B3F1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5 (26.3%)</w:t>
            </w:r>
          </w:p>
          <w:p w14:paraId="7C11DD45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2 (10.5%)</w:t>
            </w:r>
          </w:p>
          <w:p w14:paraId="06101305" w14:textId="337E4E5B" w:rsidR="003F3D49" w:rsidRPr="004375A2" w:rsidRDefault="003578D1" w:rsidP="003F3D49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3 (15.8%)</w:t>
            </w:r>
          </w:p>
          <w:p w14:paraId="0F90C8EF" w14:textId="77777777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59A131E7" w14:textId="192D9DEC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65 (55-78)</w:t>
            </w:r>
          </w:p>
          <w:p w14:paraId="1804546B" w14:textId="77777777" w:rsidR="003F3D49" w:rsidRPr="007B6E0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18 (2.5-30)</w:t>
            </w:r>
          </w:p>
          <w:p w14:paraId="54628D29" w14:textId="31B667B5" w:rsidR="003578D1" w:rsidRPr="004660FB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11 (57.9%)</w:t>
            </w:r>
          </w:p>
        </w:tc>
        <w:tc>
          <w:tcPr>
            <w:tcW w:w="1843" w:type="dxa"/>
          </w:tcPr>
          <w:p w14:paraId="63CE49B7" w14:textId="77777777" w:rsidR="003578D1" w:rsidRPr="0033003E" w:rsidRDefault="003578D1" w:rsidP="008B484B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6 (0.3%)</w:t>
            </w:r>
          </w:p>
          <w:p w14:paraId="23ABAEE1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3 (50%)</w:t>
            </w:r>
          </w:p>
          <w:p w14:paraId="0C60B8BF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2 (33.3%)</w:t>
            </w:r>
          </w:p>
          <w:p w14:paraId="759C240B" w14:textId="3ECA9EFD" w:rsidR="003578D1" w:rsidRPr="004375A2" w:rsidRDefault="003F3D49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-</w:t>
            </w:r>
          </w:p>
          <w:p w14:paraId="5954E251" w14:textId="4079446D" w:rsidR="003F3D49" w:rsidRPr="004375A2" w:rsidRDefault="003578D1" w:rsidP="003F3D49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1 (16.7%)</w:t>
            </w:r>
          </w:p>
          <w:p w14:paraId="0742EE01" w14:textId="77777777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0FAD7FEE" w14:textId="1A200462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47.5 (33-72.5)</w:t>
            </w:r>
          </w:p>
          <w:p w14:paraId="0E118E47" w14:textId="77777777" w:rsidR="003F3D49" w:rsidRPr="007B6E0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17 (13-21)</w:t>
            </w:r>
          </w:p>
          <w:p w14:paraId="021F9DBB" w14:textId="287B188A" w:rsidR="003578D1" w:rsidRPr="004660FB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7B6E09">
              <w:rPr>
                <w:rFonts w:cs="Times New Roman"/>
                <w:bCs/>
                <w:sz w:val="22"/>
                <w:lang w:val="en-US"/>
              </w:rPr>
              <w:t>3 (50%)</w:t>
            </w:r>
          </w:p>
        </w:tc>
        <w:tc>
          <w:tcPr>
            <w:tcW w:w="1843" w:type="dxa"/>
          </w:tcPr>
          <w:p w14:paraId="11F2B96C" w14:textId="77777777" w:rsidR="003578D1" w:rsidRPr="0033003E" w:rsidRDefault="003578D1" w:rsidP="008B484B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 w:rsidRPr="0033003E">
              <w:rPr>
                <w:rFonts w:cs="Times New Roman"/>
                <w:bCs/>
                <w:sz w:val="22"/>
                <w:lang w:val="en-US"/>
              </w:rPr>
              <w:t>25 (0.3%)</w:t>
            </w:r>
          </w:p>
          <w:p w14:paraId="18384811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12 (48%)</w:t>
            </w:r>
          </w:p>
          <w:p w14:paraId="4231682D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7 (28%)</w:t>
            </w:r>
          </w:p>
          <w:p w14:paraId="7C76626E" w14:textId="77777777" w:rsidR="003578D1" w:rsidRPr="004375A2" w:rsidRDefault="003578D1" w:rsidP="008B484B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2 (8%)</w:t>
            </w:r>
          </w:p>
          <w:p w14:paraId="54C19D41" w14:textId="2DB15F20" w:rsidR="003F3D49" w:rsidRPr="004375A2" w:rsidRDefault="003578D1" w:rsidP="003F3D49">
            <w:pPr>
              <w:jc w:val="center"/>
              <w:rPr>
                <w:rFonts w:cs="Times New Roman"/>
                <w:bCs/>
                <w:i/>
                <w:iCs/>
                <w:sz w:val="22"/>
                <w:lang w:val="en-US"/>
              </w:rPr>
            </w:pPr>
            <w:r w:rsidRPr="004375A2">
              <w:rPr>
                <w:rFonts w:cs="Times New Roman"/>
                <w:bCs/>
                <w:i/>
                <w:iCs/>
                <w:sz w:val="22"/>
                <w:lang w:val="en-US"/>
              </w:rPr>
              <w:t>4 (16%)</w:t>
            </w:r>
          </w:p>
          <w:p w14:paraId="089B2266" w14:textId="77777777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</w:p>
          <w:p w14:paraId="2D273035" w14:textId="34DB1BAD" w:rsidR="003F3D49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65 (47-77)</w:t>
            </w:r>
          </w:p>
          <w:p w14:paraId="53711ACC" w14:textId="77777777" w:rsidR="003F3D49" w:rsidRPr="0033003E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17.5 (12.5-29)</w:t>
            </w:r>
          </w:p>
          <w:p w14:paraId="64AB1F3A" w14:textId="22BAA58D" w:rsidR="003578D1" w:rsidRPr="0033003E" w:rsidRDefault="003F3D49" w:rsidP="003F3D49">
            <w:pPr>
              <w:jc w:val="center"/>
              <w:rPr>
                <w:rFonts w:cs="Times New Roman"/>
                <w:bCs/>
                <w:sz w:val="22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14 (56%)</w:t>
            </w:r>
          </w:p>
        </w:tc>
      </w:tr>
      <w:tr w:rsidR="004B0A72" w:rsidRPr="00CA30C9" w14:paraId="5FD3CA9C" w14:textId="74B1590F" w:rsidTr="00752F94">
        <w:tc>
          <w:tcPr>
            <w:tcW w:w="3964" w:type="dxa"/>
          </w:tcPr>
          <w:p w14:paraId="387F3C86" w14:textId="7AFFCC61" w:rsidR="004B0A72" w:rsidRPr="00A33AAA" w:rsidRDefault="004B0A72" w:rsidP="00A77EBF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Cases with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="00FA7809">
              <w:rPr>
                <w:rFonts w:cs="Times New Roman"/>
                <w:sz w:val="22"/>
                <w:lang w:val="en-US"/>
              </w:rPr>
              <w:t>another</w:t>
            </w:r>
            <w:r>
              <w:rPr>
                <w:rFonts w:cs="Times New Roman"/>
                <w:sz w:val="22"/>
                <w:lang w:val="en-US"/>
              </w:rPr>
              <w:t xml:space="preserve"> suspected reported drug</w:t>
            </w:r>
          </w:p>
        </w:tc>
        <w:tc>
          <w:tcPr>
            <w:tcW w:w="1843" w:type="dxa"/>
          </w:tcPr>
          <w:p w14:paraId="0441B581" w14:textId="46E3D656" w:rsidR="004B0A72" w:rsidRPr="00A33AAA" w:rsidRDefault="00DA02EE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45 (0.8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67DCBAA7" w14:textId="4B619CEF" w:rsidR="004B0A72" w:rsidRPr="00A33AAA" w:rsidRDefault="00DA02EE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17 (0.9</w:t>
            </w:r>
            <w:r w:rsidR="004B0A72"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52B2884A" w14:textId="57A63786" w:rsidR="004B0A72" w:rsidRDefault="00C545DD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62</w:t>
            </w:r>
            <w:r w:rsidR="00DA02EE">
              <w:rPr>
                <w:rFonts w:cs="Times New Roman"/>
                <w:sz w:val="22"/>
                <w:lang w:val="en-US"/>
              </w:rPr>
              <w:t xml:space="preserve"> (0.8</w:t>
            </w:r>
            <w:r w:rsidR="00883787">
              <w:rPr>
                <w:rFonts w:cs="Times New Roman"/>
                <w:sz w:val="22"/>
                <w:lang w:val="en-US"/>
              </w:rPr>
              <w:t>%)</w:t>
            </w:r>
          </w:p>
        </w:tc>
      </w:tr>
      <w:tr w:rsidR="004B0A72" w:rsidRPr="00A33AAA" w14:paraId="43F5C6A7" w14:textId="262351D5" w:rsidTr="00752F94">
        <w:trPr>
          <w:trHeight w:val="918"/>
        </w:trPr>
        <w:tc>
          <w:tcPr>
            <w:tcW w:w="3964" w:type="dxa"/>
          </w:tcPr>
          <w:p w14:paraId="4F913663" w14:textId="47E43963" w:rsidR="004B0A72" w:rsidRDefault="004B0A72" w:rsidP="00A77EBF">
            <w:pPr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lastRenderedPageBreak/>
              <w:t>Month of reporting</w:t>
            </w:r>
          </w:p>
          <w:p w14:paraId="197A5FDC" w14:textId="1564037C" w:rsidR="004B0A72" w:rsidRPr="00CD7A86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 xml:space="preserve">December </w:t>
            </w:r>
          </w:p>
          <w:p w14:paraId="10E0578C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January</w:t>
            </w:r>
          </w:p>
          <w:p w14:paraId="098B58B3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February</w:t>
            </w:r>
          </w:p>
          <w:p w14:paraId="41D67F67" w14:textId="77777777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March</w:t>
            </w:r>
          </w:p>
          <w:p w14:paraId="5CE26AFB" w14:textId="64E79D74" w:rsidR="004B0A72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 w:rsidRPr="00A33AAA">
              <w:rPr>
                <w:rFonts w:cs="Times New Roman"/>
                <w:sz w:val="22"/>
                <w:lang w:val="en-US"/>
              </w:rPr>
              <w:t>April</w:t>
            </w:r>
          </w:p>
          <w:p w14:paraId="24905371" w14:textId="5E4C23A3" w:rsidR="004B0A72" w:rsidRPr="00A33AAA" w:rsidRDefault="004B0A72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May</w:t>
            </w:r>
          </w:p>
          <w:p w14:paraId="752F13D8" w14:textId="0EC87B66" w:rsidR="004B0A72" w:rsidRPr="00A33AAA" w:rsidRDefault="00B57487" w:rsidP="00FA4E87">
            <w:pPr>
              <w:pStyle w:val="Paragraphedeliste"/>
              <w:spacing w:line="240" w:lineRule="auto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June</w:t>
            </w:r>
          </w:p>
        </w:tc>
        <w:tc>
          <w:tcPr>
            <w:tcW w:w="1843" w:type="dxa"/>
          </w:tcPr>
          <w:p w14:paraId="7B6C6C82" w14:textId="77777777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69E544DB" w14:textId="5754DBDD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 (</w:t>
            </w:r>
            <w:r w:rsidR="00DA02EE">
              <w:rPr>
                <w:rFonts w:cs="Times New Roman"/>
                <w:sz w:val="22"/>
                <w:lang w:val="en-US"/>
              </w:rPr>
              <w:t>0.1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110BA720" w14:textId="699BCB87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151 (</w:t>
            </w:r>
            <w:r w:rsidR="00DA02EE">
              <w:rPr>
                <w:rFonts w:cs="Times New Roman"/>
                <w:sz w:val="22"/>
                <w:lang w:val="en-US"/>
              </w:rPr>
              <w:t>2.5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739C1779" w14:textId="483EEA07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370 (</w:t>
            </w:r>
            <w:r w:rsidR="00DA02EE">
              <w:rPr>
                <w:rFonts w:cs="Times New Roman"/>
                <w:sz w:val="22"/>
                <w:lang w:val="en-US"/>
              </w:rPr>
              <w:t>6.2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556C36B3" w14:textId="406B552C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542 (</w:t>
            </w:r>
            <w:r w:rsidR="00DA02EE">
              <w:rPr>
                <w:rFonts w:cs="Times New Roman"/>
                <w:sz w:val="22"/>
                <w:lang w:val="en-US"/>
              </w:rPr>
              <w:t>9.1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7E4252FF" w14:textId="508B0457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728 (</w:t>
            </w:r>
            <w:r w:rsidR="00DA02EE">
              <w:rPr>
                <w:rFonts w:cs="Times New Roman"/>
                <w:sz w:val="22"/>
                <w:lang w:val="en-US"/>
              </w:rPr>
              <w:t>12.3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79CC911B" w14:textId="248B5685" w:rsidR="004B0A72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1680 (</w:t>
            </w:r>
            <w:r w:rsidR="00DA02EE">
              <w:rPr>
                <w:rFonts w:cs="Times New Roman"/>
                <w:sz w:val="22"/>
                <w:lang w:val="en-US"/>
              </w:rPr>
              <w:t>28.3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0EE3D100" w14:textId="6B5CC155" w:rsidR="004B0A72" w:rsidRPr="00A33AAA" w:rsidRDefault="004B0A72" w:rsidP="00A77EBF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2455 (</w:t>
            </w:r>
            <w:r w:rsidR="00DA02EE">
              <w:rPr>
                <w:rFonts w:cs="Times New Roman"/>
                <w:sz w:val="22"/>
                <w:lang w:val="en-US"/>
              </w:rPr>
              <w:t>41.4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1076A83E" w14:textId="77777777" w:rsidR="004B0A72" w:rsidRDefault="004B0A72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1CB287BD" w14:textId="75064AF3" w:rsidR="004B0A72" w:rsidRDefault="00EF5BD0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0</w:t>
            </w:r>
          </w:p>
          <w:p w14:paraId="0F4A77CE" w14:textId="00330BC7" w:rsidR="004B0A72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 (</w:t>
            </w:r>
            <w:r w:rsidR="00DA02EE">
              <w:rPr>
                <w:rFonts w:cs="Times New Roman"/>
                <w:sz w:val="22"/>
                <w:lang w:val="en-US"/>
              </w:rPr>
              <w:t>0.3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36E2E152" w14:textId="529C2D1F" w:rsidR="004B0A72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24 (</w:t>
            </w:r>
            <w:r w:rsidR="00DA02EE">
              <w:rPr>
                <w:rFonts w:cs="Times New Roman"/>
                <w:sz w:val="22"/>
                <w:lang w:val="en-US"/>
              </w:rPr>
              <w:t>1.3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38EAC535" w14:textId="445C38D4" w:rsidR="004B0A72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86 (</w:t>
            </w:r>
            <w:r w:rsidR="00DA02EE">
              <w:rPr>
                <w:rFonts w:cs="Times New Roman"/>
                <w:sz w:val="22"/>
                <w:lang w:val="en-US"/>
              </w:rPr>
              <w:t>4.8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219C417F" w14:textId="4AB48D8C" w:rsidR="004B0A72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129 (</w:t>
            </w:r>
            <w:r w:rsidR="00DA02EE">
              <w:rPr>
                <w:rFonts w:cs="Times New Roman"/>
                <w:sz w:val="22"/>
                <w:lang w:val="en-US"/>
              </w:rPr>
              <w:t>7.2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149123F1" w14:textId="20BFF4FB" w:rsidR="004B0A72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660 (</w:t>
            </w:r>
            <w:r w:rsidR="00DA02EE">
              <w:rPr>
                <w:rFonts w:cs="Times New Roman"/>
                <w:sz w:val="22"/>
                <w:lang w:val="en-US"/>
              </w:rPr>
              <w:t>36.7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  <w:p w14:paraId="2F61A8FE" w14:textId="2FD60CA3" w:rsidR="004B0A72" w:rsidRPr="00A33AAA" w:rsidRDefault="004B0A72" w:rsidP="00F83227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893 (</w:t>
            </w:r>
            <w:r w:rsidR="00DA02EE">
              <w:rPr>
                <w:rFonts w:cs="Times New Roman"/>
                <w:sz w:val="22"/>
                <w:lang w:val="en-US"/>
              </w:rPr>
              <w:t>46.7</w:t>
            </w:r>
            <w:r>
              <w:rPr>
                <w:rFonts w:cs="Times New Roman"/>
                <w:sz w:val="22"/>
                <w:lang w:val="en-US"/>
              </w:rPr>
              <w:t>%)</w:t>
            </w:r>
          </w:p>
        </w:tc>
        <w:tc>
          <w:tcPr>
            <w:tcW w:w="1843" w:type="dxa"/>
          </w:tcPr>
          <w:p w14:paraId="66D8B2FA" w14:textId="77777777" w:rsidR="004B0A72" w:rsidRDefault="004B0A72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</w:p>
          <w:p w14:paraId="3C5A69D6" w14:textId="16D85EE0" w:rsidR="00DE41A9" w:rsidRDefault="00DE41A9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5</w:t>
            </w:r>
            <w:r w:rsidR="00DA02EE">
              <w:rPr>
                <w:rFonts w:cs="Times New Roman"/>
                <w:sz w:val="22"/>
                <w:lang w:val="en-US"/>
              </w:rPr>
              <w:t xml:space="preserve"> (0.1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4F0FDCF6" w14:textId="2B897A45" w:rsidR="00DE41A9" w:rsidRDefault="007E2DCC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156</w:t>
            </w:r>
            <w:r w:rsidR="00DA02EE">
              <w:rPr>
                <w:rFonts w:cs="Times New Roman"/>
                <w:sz w:val="22"/>
                <w:lang w:val="en-US"/>
              </w:rPr>
              <w:t xml:space="preserve"> (2.0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2AEFDBFB" w14:textId="15604B3E" w:rsidR="007E2DCC" w:rsidRDefault="007E2DCC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394</w:t>
            </w:r>
            <w:r w:rsidR="00DA02EE">
              <w:rPr>
                <w:rFonts w:cs="Times New Roman"/>
                <w:sz w:val="22"/>
                <w:lang w:val="en-US"/>
              </w:rPr>
              <w:t xml:space="preserve"> (5.1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52D8AA96" w14:textId="0E7AEF5A" w:rsidR="007E2DCC" w:rsidRDefault="007E2DCC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628</w:t>
            </w:r>
            <w:r w:rsidR="00DA02EE">
              <w:rPr>
                <w:rFonts w:cs="Times New Roman"/>
                <w:sz w:val="22"/>
                <w:lang w:val="en-US"/>
              </w:rPr>
              <w:t xml:space="preserve"> (8.1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567433BC" w14:textId="4368FBAA" w:rsidR="007E2DCC" w:rsidRDefault="007E2DCC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857</w:t>
            </w:r>
            <w:r w:rsidR="00DA02EE">
              <w:rPr>
                <w:rFonts w:cs="Times New Roman"/>
                <w:sz w:val="22"/>
                <w:lang w:val="en-US"/>
              </w:rPr>
              <w:t xml:space="preserve"> (11.1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781268F5" w14:textId="04480125" w:rsidR="007E2DCC" w:rsidRDefault="007E2DCC" w:rsidP="008959BB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2340</w:t>
            </w:r>
            <w:r w:rsidR="00DA02EE">
              <w:rPr>
                <w:rFonts w:cs="Times New Roman"/>
                <w:sz w:val="22"/>
                <w:lang w:val="en-US"/>
              </w:rPr>
              <w:t xml:space="preserve"> (30.3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  <w:p w14:paraId="34070EC7" w14:textId="6AF1108A" w:rsidR="007E2DCC" w:rsidRDefault="007E2DCC" w:rsidP="007E2DCC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3348</w:t>
            </w:r>
            <w:r w:rsidR="00DA02EE">
              <w:rPr>
                <w:rFonts w:cs="Times New Roman"/>
                <w:sz w:val="22"/>
                <w:lang w:val="en-US"/>
              </w:rPr>
              <w:t xml:space="preserve"> (43.3</w:t>
            </w:r>
            <w:r w:rsidR="00063749">
              <w:rPr>
                <w:rFonts w:cs="Times New Roman"/>
                <w:sz w:val="22"/>
                <w:lang w:val="en-US"/>
              </w:rPr>
              <w:t>%)</w:t>
            </w:r>
          </w:p>
        </w:tc>
      </w:tr>
    </w:tbl>
    <w:p w14:paraId="035880EF" w14:textId="7556FD54" w:rsidR="00D63BA6" w:rsidRPr="001D2609" w:rsidRDefault="00D63BA6" w:rsidP="00B552B4">
      <w:pPr>
        <w:spacing w:line="276" w:lineRule="auto"/>
        <w:rPr>
          <w:rFonts w:cs="Times New Roman"/>
          <w:b/>
          <w:sz w:val="22"/>
          <w:lang w:val="en-US"/>
        </w:rPr>
      </w:pPr>
    </w:p>
    <w:p w14:paraId="6EA3A40F" w14:textId="006751F5" w:rsidR="00B552B4" w:rsidRDefault="005D3BE9" w:rsidP="00423B79">
      <w:pPr>
        <w:pStyle w:val="Sansinterligne"/>
        <w:spacing w:line="360" w:lineRule="auto"/>
        <w:rPr>
          <w:rFonts w:cs="Times New Roman"/>
          <w:szCs w:val="24"/>
          <w:lang w:val="en-US"/>
        </w:rPr>
      </w:pPr>
      <w:r w:rsidRPr="005D3BE9">
        <w:rPr>
          <w:i/>
          <w:iCs/>
          <w:color w:val="000000" w:themeColor="text1"/>
          <w:sz w:val="22"/>
          <w:lang w:val="en-US"/>
        </w:rPr>
        <w:t>Footnote:</w:t>
      </w:r>
      <w:r w:rsidR="00ED5E66">
        <w:rPr>
          <w:iCs/>
          <w:color w:val="000000" w:themeColor="text1"/>
          <w:sz w:val="22"/>
          <w:lang w:val="en-US"/>
        </w:rPr>
        <w:t xml:space="preserve"> </w:t>
      </w:r>
      <w:r w:rsidR="00B552B4" w:rsidRPr="00ED5E66">
        <w:rPr>
          <w:rFonts w:cs="Times New Roman"/>
          <w:szCs w:val="24"/>
          <w:lang w:val="en-US"/>
        </w:rPr>
        <w:t>Data are presented as N (%) or median (IQR)</w:t>
      </w:r>
    </w:p>
    <w:p w14:paraId="3DAFC77C" w14:textId="61699ED8" w:rsidR="00032102" w:rsidRPr="008D55EA" w:rsidRDefault="008D55EA" w:rsidP="0077071C">
      <w:pPr>
        <w:spacing w:line="360" w:lineRule="auto"/>
        <w:jc w:val="both"/>
        <w:rPr>
          <w:rFonts w:eastAsia="Calibri" w:cs="Times New Roman"/>
          <w:bCs/>
          <w:lang w:val="en-US" w:eastAsia="fr-FR"/>
        </w:rPr>
      </w:pPr>
      <w:r>
        <w:rPr>
          <w:rFonts w:eastAsia="Calibri" w:cs="Times New Roman"/>
          <w:bCs/>
          <w:lang w:val="en-US" w:eastAsia="fr-FR"/>
        </w:rPr>
        <w:t xml:space="preserve">As </w:t>
      </w:r>
      <w:r w:rsidRPr="008D55EA">
        <w:rPr>
          <w:rFonts w:eastAsia="Calibri" w:cs="Times New Roman"/>
          <w:bCs/>
          <w:lang w:val="en-US" w:eastAsia="fr-FR"/>
        </w:rPr>
        <w:t>patients could develop more than one type of lesion</w:t>
      </w:r>
      <w:r>
        <w:rPr>
          <w:rFonts w:eastAsia="Calibri" w:cs="Times New Roman"/>
          <w:bCs/>
          <w:lang w:val="en-US" w:eastAsia="fr-FR"/>
        </w:rPr>
        <w:t>, the number of type of injury exceed the number of cases</w:t>
      </w:r>
    </w:p>
    <w:p w14:paraId="23A8BA5F" w14:textId="28A91A26" w:rsidR="00071FAB" w:rsidRPr="008D55EA" w:rsidRDefault="008D55EA" w:rsidP="008D55EA">
      <w:pPr>
        <w:spacing w:line="360" w:lineRule="auto"/>
        <w:jc w:val="both"/>
        <w:rPr>
          <w:rFonts w:eastAsia="Calibri" w:cs="Times New Roman"/>
          <w:bCs/>
          <w:lang w:val="en-US" w:eastAsia="fr-FR"/>
        </w:rPr>
      </w:pPr>
      <w:r w:rsidRPr="008D55EA">
        <w:rPr>
          <w:rFonts w:eastAsia="Calibri" w:cs="Times New Roman"/>
          <w:bCs/>
          <w:lang w:val="en-US" w:eastAsia="fr-FR"/>
        </w:rPr>
        <w:t>* including seven genital injuries</w:t>
      </w:r>
      <w:r>
        <w:rPr>
          <w:rFonts w:eastAsia="Calibri" w:cs="Times New Roman"/>
          <w:bCs/>
          <w:lang w:val="en-US" w:eastAsia="fr-FR"/>
        </w:rPr>
        <w:t xml:space="preserve"> for </w:t>
      </w:r>
      <w:r w:rsidRPr="008D55EA">
        <w:rPr>
          <w:rFonts w:eastAsia="Calibri" w:cs="Times New Roman"/>
          <w:bCs/>
          <w:lang w:val="en-US" w:eastAsia="fr-FR"/>
        </w:rPr>
        <w:t xml:space="preserve">BNT162b2 </w:t>
      </w:r>
      <w:r>
        <w:rPr>
          <w:rFonts w:eastAsia="Calibri" w:cs="Times New Roman"/>
          <w:bCs/>
          <w:lang w:val="en-US" w:eastAsia="fr-FR"/>
        </w:rPr>
        <w:t xml:space="preserve">and none for </w:t>
      </w:r>
      <w:r w:rsidRPr="008D55EA">
        <w:rPr>
          <w:rFonts w:eastAsia="Calibri" w:cs="Times New Roman"/>
          <w:bCs/>
          <w:lang w:val="en-US" w:eastAsia="fr-FR"/>
        </w:rPr>
        <w:t>mRNA-1273</w:t>
      </w:r>
      <w:r>
        <w:rPr>
          <w:rFonts w:eastAsia="Calibri" w:cs="Times New Roman"/>
          <w:bCs/>
          <w:lang w:val="en-US" w:eastAsia="fr-FR"/>
        </w:rPr>
        <w:t>.</w:t>
      </w:r>
    </w:p>
    <w:p w14:paraId="1C14B0AD" w14:textId="002BAA96" w:rsidR="00845C82" w:rsidRPr="009677B3" w:rsidRDefault="00845C82" w:rsidP="00697114">
      <w:pPr>
        <w:rPr>
          <w:rFonts w:eastAsia="Calibri" w:cs="Times New Roman"/>
          <w:b/>
          <w:lang w:val="en-US" w:eastAsia="fr-FR"/>
        </w:rPr>
      </w:pPr>
      <w:bookmarkStart w:id="0" w:name="_GoBack"/>
      <w:bookmarkEnd w:id="0"/>
    </w:p>
    <w:sectPr w:rsidR="00845C82" w:rsidRPr="00967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E376A"/>
    <w:multiLevelType w:val="hybridMultilevel"/>
    <w:tmpl w:val="48BCD2DC"/>
    <w:lvl w:ilvl="0" w:tplc="F9A853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2226D"/>
    <w:multiLevelType w:val="hybridMultilevel"/>
    <w:tmpl w:val="B8D68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A2F91"/>
    <w:multiLevelType w:val="hybridMultilevel"/>
    <w:tmpl w:val="AB80DEF0"/>
    <w:lvl w:ilvl="0" w:tplc="C23CEDA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76"/>
    <w:rsid w:val="00000F9F"/>
    <w:rsid w:val="00011086"/>
    <w:rsid w:val="00011CFD"/>
    <w:rsid w:val="00013073"/>
    <w:rsid w:val="0001315D"/>
    <w:rsid w:val="000138F2"/>
    <w:rsid w:val="0002749F"/>
    <w:rsid w:val="000279AC"/>
    <w:rsid w:val="00027B72"/>
    <w:rsid w:val="00032102"/>
    <w:rsid w:val="00033064"/>
    <w:rsid w:val="000339FC"/>
    <w:rsid w:val="000437C4"/>
    <w:rsid w:val="00044EEC"/>
    <w:rsid w:val="00044F20"/>
    <w:rsid w:val="0004604E"/>
    <w:rsid w:val="00047292"/>
    <w:rsid w:val="00052D27"/>
    <w:rsid w:val="00056972"/>
    <w:rsid w:val="00063749"/>
    <w:rsid w:val="0006435D"/>
    <w:rsid w:val="0006731C"/>
    <w:rsid w:val="00071579"/>
    <w:rsid w:val="00071FAB"/>
    <w:rsid w:val="00074E23"/>
    <w:rsid w:val="000814AA"/>
    <w:rsid w:val="00092064"/>
    <w:rsid w:val="000965E8"/>
    <w:rsid w:val="000A0894"/>
    <w:rsid w:val="000A1A4F"/>
    <w:rsid w:val="000A3CFB"/>
    <w:rsid w:val="000A5E2C"/>
    <w:rsid w:val="000A6D8D"/>
    <w:rsid w:val="000B00B4"/>
    <w:rsid w:val="000B1787"/>
    <w:rsid w:val="000B3239"/>
    <w:rsid w:val="000B48C1"/>
    <w:rsid w:val="000C01A1"/>
    <w:rsid w:val="000C6C44"/>
    <w:rsid w:val="000C7C0B"/>
    <w:rsid w:val="000E081E"/>
    <w:rsid w:val="000E5FE9"/>
    <w:rsid w:val="000F1CE6"/>
    <w:rsid w:val="000F343D"/>
    <w:rsid w:val="000F3777"/>
    <w:rsid w:val="000F4642"/>
    <w:rsid w:val="0010250D"/>
    <w:rsid w:val="001027B7"/>
    <w:rsid w:val="00106C3C"/>
    <w:rsid w:val="00112FCB"/>
    <w:rsid w:val="00113951"/>
    <w:rsid w:val="0011563D"/>
    <w:rsid w:val="001164FF"/>
    <w:rsid w:val="0011748B"/>
    <w:rsid w:val="00117C98"/>
    <w:rsid w:val="00125FBF"/>
    <w:rsid w:val="00132B25"/>
    <w:rsid w:val="00133F00"/>
    <w:rsid w:val="00143085"/>
    <w:rsid w:val="00143D40"/>
    <w:rsid w:val="001449E0"/>
    <w:rsid w:val="00151180"/>
    <w:rsid w:val="001524EE"/>
    <w:rsid w:val="00153445"/>
    <w:rsid w:val="00160825"/>
    <w:rsid w:val="001613B0"/>
    <w:rsid w:val="00162CA0"/>
    <w:rsid w:val="00165BEB"/>
    <w:rsid w:val="00165EE1"/>
    <w:rsid w:val="00171FEC"/>
    <w:rsid w:val="0017234B"/>
    <w:rsid w:val="00175A2A"/>
    <w:rsid w:val="0018509F"/>
    <w:rsid w:val="001907FD"/>
    <w:rsid w:val="0019377E"/>
    <w:rsid w:val="00193E52"/>
    <w:rsid w:val="001959EE"/>
    <w:rsid w:val="001962DC"/>
    <w:rsid w:val="001A1C73"/>
    <w:rsid w:val="001A2016"/>
    <w:rsid w:val="001A28E8"/>
    <w:rsid w:val="001A3A56"/>
    <w:rsid w:val="001A59E6"/>
    <w:rsid w:val="001A71C4"/>
    <w:rsid w:val="001B04FC"/>
    <w:rsid w:val="001B1B89"/>
    <w:rsid w:val="001C23C7"/>
    <w:rsid w:val="001D171D"/>
    <w:rsid w:val="001D2609"/>
    <w:rsid w:val="001D26E2"/>
    <w:rsid w:val="001F7650"/>
    <w:rsid w:val="00203798"/>
    <w:rsid w:val="00206C88"/>
    <w:rsid w:val="002105CB"/>
    <w:rsid w:val="002135A2"/>
    <w:rsid w:val="00226DC6"/>
    <w:rsid w:val="00227060"/>
    <w:rsid w:val="00236E76"/>
    <w:rsid w:val="00237831"/>
    <w:rsid w:val="00240C21"/>
    <w:rsid w:val="00244D71"/>
    <w:rsid w:val="00251CC1"/>
    <w:rsid w:val="00256485"/>
    <w:rsid w:val="002568D4"/>
    <w:rsid w:val="00262937"/>
    <w:rsid w:val="00262B23"/>
    <w:rsid w:val="00264A28"/>
    <w:rsid w:val="0027067C"/>
    <w:rsid w:val="00271411"/>
    <w:rsid w:val="00274AE3"/>
    <w:rsid w:val="0027694F"/>
    <w:rsid w:val="00277E76"/>
    <w:rsid w:val="00290009"/>
    <w:rsid w:val="0029548F"/>
    <w:rsid w:val="00296D1C"/>
    <w:rsid w:val="00297F18"/>
    <w:rsid w:val="002A40B5"/>
    <w:rsid w:val="002B24C6"/>
    <w:rsid w:val="002B5355"/>
    <w:rsid w:val="002B76B9"/>
    <w:rsid w:val="002B7A67"/>
    <w:rsid w:val="002C25D4"/>
    <w:rsid w:val="002E154B"/>
    <w:rsid w:val="002E23C7"/>
    <w:rsid w:val="002E6CFD"/>
    <w:rsid w:val="002E6DC2"/>
    <w:rsid w:val="002F09AC"/>
    <w:rsid w:val="002F0C37"/>
    <w:rsid w:val="002F2EA0"/>
    <w:rsid w:val="002F4CA2"/>
    <w:rsid w:val="00300E75"/>
    <w:rsid w:val="00300F60"/>
    <w:rsid w:val="0030576E"/>
    <w:rsid w:val="00320FE5"/>
    <w:rsid w:val="00321431"/>
    <w:rsid w:val="003259D2"/>
    <w:rsid w:val="00327324"/>
    <w:rsid w:val="0033003E"/>
    <w:rsid w:val="003308F2"/>
    <w:rsid w:val="003403E2"/>
    <w:rsid w:val="00340C6A"/>
    <w:rsid w:val="00342D60"/>
    <w:rsid w:val="00352C49"/>
    <w:rsid w:val="003578D1"/>
    <w:rsid w:val="00362ABE"/>
    <w:rsid w:val="0036771F"/>
    <w:rsid w:val="00367988"/>
    <w:rsid w:val="003752F3"/>
    <w:rsid w:val="00375F89"/>
    <w:rsid w:val="00376F38"/>
    <w:rsid w:val="00380885"/>
    <w:rsid w:val="00382C27"/>
    <w:rsid w:val="00383253"/>
    <w:rsid w:val="00383AC4"/>
    <w:rsid w:val="003945A5"/>
    <w:rsid w:val="00396400"/>
    <w:rsid w:val="00396FCE"/>
    <w:rsid w:val="003A42F2"/>
    <w:rsid w:val="003A479B"/>
    <w:rsid w:val="003B0249"/>
    <w:rsid w:val="003B0BB2"/>
    <w:rsid w:val="003B12DB"/>
    <w:rsid w:val="003B7E03"/>
    <w:rsid w:val="003C11DE"/>
    <w:rsid w:val="003C181A"/>
    <w:rsid w:val="003C3A3B"/>
    <w:rsid w:val="003C3E69"/>
    <w:rsid w:val="003C65DE"/>
    <w:rsid w:val="003D0F2E"/>
    <w:rsid w:val="003D6B93"/>
    <w:rsid w:val="003E1D23"/>
    <w:rsid w:val="003E29BE"/>
    <w:rsid w:val="003E5EE8"/>
    <w:rsid w:val="003E61B9"/>
    <w:rsid w:val="003E7EB7"/>
    <w:rsid w:val="003F0695"/>
    <w:rsid w:val="003F389F"/>
    <w:rsid w:val="003F3D49"/>
    <w:rsid w:val="003F755E"/>
    <w:rsid w:val="003F7A13"/>
    <w:rsid w:val="00400994"/>
    <w:rsid w:val="0040365C"/>
    <w:rsid w:val="00410878"/>
    <w:rsid w:val="00410C8B"/>
    <w:rsid w:val="00411070"/>
    <w:rsid w:val="004115A6"/>
    <w:rsid w:val="00415375"/>
    <w:rsid w:val="00423B79"/>
    <w:rsid w:val="00424245"/>
    <w:rsid w:val="00430B83"/>
    <w:rsid w:val="00432CBE"/>
    <w:rsid w:val="004340B8"/>
    <w:rsid w:val="004375A2"/>
    <w:rsid w:val="00443E10"/>
    <w:rsid w:val="0045229E"/>
    <w:rsid w:val="0045514A"/>
    <w:rsid w:val="004555DB"/>
    <w:rsid w:val="004610BC"/>
    <w:rsid w:val="00465BF0"/>
    <w:rsid w:val="004660FB"/>
    <w:rsid w:val="00477FB6"/>
    <w:rsid w:val="004819A2"/>
    <w:rsid w:val="0048270D"/>
    <w:rsid w:val="00487F97"/>
    <w:rsid w:val="004915A0"/>
    <w:rsid w:val="00496ADC"/>
    <w:rsid w:val="004A09B7"/>
    <w:rsid w:val="004A30C0"/>
    <w:rsid w:val="004A541E"/>
    <w:rsid w:val="004B0A72"/>
    <w:rsid w:val="004B18CB"/>
    <w:rsid w:val="004B473E"/>
    <w:rsid w:val="004C3503"/>
    <w:rsid w:val="004C3583"/>
    <w:rsid w:val="004C3CD6"/>
    <w:rsid w:val="004C518F"/>
    <w:rsid w:val="004D074F"/>
    <w:rsid w:val="004D55BF"/>
    <w:rsid w:val="004D7C10"/>
    <w:rsid w:val="004E174B"/>
    <w:rsid w:val="004E22A8"/>
    <w:rsid w:val="004E413B"/>
    <w:rsid w:val="004E53D8"/>
    <w:rsid w:val="004E5BD8"/>
    <w:rsid w:val="004F4F5E"/>
    <w:rsid w:val="004F59F4"/>
    <w:rsid w:val="00500113"/>
    <w:rsid w:val="00503AF8"/>
    <w:rsid w:val="005051CF"/>
    <w:rsid w:val="00506FE3"/>
    <w:rsid w:val="00510E75"/>
    <w:rsid w:val="00513E92"/>
    <w:rsid w:val="00522842"/>
    <w:rsid w:val="00527236"/>
    <w:rsid w:val="00527CAA"/>
    <w:rsid w:val="00536FFD"/>
    <w:rsid w:val="00540BF4"/>
    <w:rsid w:val="00540F0C"/>
    <w:rsid w:val="00550BC8"/>
    <w:rsid w:val="00552A4D"/>
    <w:rsid w:val="0056164D"/>
    <w:rsid w:val="0056625D"/>
    <w:rsid w:val="005736E1"/>
    <w:rsid w:val="00575F7B"/>
    <w:rsid w:val="00581AB9"/>
    <w:rsid w:val="0058371B"/>
    <w:rsid w:val="00583CBB"/>
    <w:rsid w:val="005845D3"/>
    <w:rsid w:val="00593F0C"/>
    <w:rsid w:val="005A0EDD"/>
    <w:rsid w:val="005A4BCF"/>
    <w:rsid w:val="005A57D5"/>
    <w:rsid w:val="005A5E23"/>
    <w:rsid w:val="005B3458"/>
    <w:rsid w:val="005B701E"/>
    <w:rsid w:val="005C2B14"/>
    <w:rsid w:val="005C418D"/>
    <w:rsid w:val="005C42C4"/>
    <w:rsid w:val="005C7863"/>
    <w:rsid w:val="005C7C62"/>
    <w:rsid w:val="005D1908"/>
    <w:rsid w:val="005D3BE9"/>
    <w:rsid w:val="005D56A8"/>
    <w:rsid w:val="005E3892"/>
    <w:rsid w:val="005E4DDF"/>
    <w:rsid w:val="005F5B31"/>
    <w:rsid w:val="0060220E"/>
    <w:rsid w:val="006072EE"/>
    <w:rsid w:val="0061151F"/>
    <w:rsid w:val="00612EFB"/>
    <w:rsid w:val="006157AD"/>
    <w:rsid w:val="00617594"/>
    <w:rsid w:val="006213A3"/>
    <w:rsid w:val="00622DF9"/>
    <w:rsid w:val="00624122"/>
    <w:rsid w:val="00624404"/>
    <w:rsid w:val="0062704C"/>
    <w:rsid w:val="00632B22"/>
    <w:rsid w:val="00632F79"/>
    <w:rsid w:val="00641527"/>
    <w:rsid w:val="006439E8"/>
    <w:rsid w:val="00650564"/>
    <w:rsid w:val="00652071"/>
    <w:rsid w:val="0065412F"/>
    <w:rsid w:val="0065641F"/>
    <w:rsid w:val="00657F07"/>
    <w:rsid w:val="0066167C"/>
    <w:rsid w:val="00661F52"/>
    <w:rsid w:val="00662617"/>
    <w:rsid w:val="00662A5A"/>
    <w:rsid w:val="006644D3"/>
    <w:rsid w:val="00674A89"/>
    <w:rsid w:val="00675ED0"/>
    <w:rsid w:val="006845EC"/>
    <w:rsid w:val="00694352"/>
    <w:rsid w:val="0069583E"/>
    <w:rsid w:val="00697114"/>
    <w:rsid w:val="006A11A8"/>
    <w:rsid w:val="006A3D0D"/>
    <w:rsid w:val="006B1F63"/>
    <w:rsid w:val="006B2666"/>
    <w:rsid w:val="006B34C3"/>
    <w:rsid w:val="006B3E82"/>
    <w:rsid w:val="006B5279"/>
    <w:rsid w:val="006D0858"/>
    <w:rsid w:val="006D17E7"/>
    <w:rsid w:val="006D3426"/>
    <w:rsid w:val="006E2260"/>
    <w:rsid w:val="00702BDC"/>
    <w:rsid w:val="00702F02"/>
    <w:rsid w:val="00712388"/>
    <w:rsid w:val="00720C79"/>
    <w:rsid w:val="007230CB"/>
    <w:rsid w:val="00723C11"/>
    <w:rsid w:val="00727668"/>
    <w:rsid w:val="00733DAD"/>
    <w:rsid w:val="00735863"/>
    <w:rsid w:val="007400EB"/>
    <w:rsid w:val="0074433A"/>
    <w:rsid w:val="007449D8"/>
    <w:rsid w:val="00747552"/>
    <w:rsid w:val="00752F94"/>
    <w:rsid w:val="00753CCF"/>
    <w:rsid w:val="0075511D"/>
    <w:rsid w:val="0076271B"/>
    <w:rsid w:val="00763641"/>
    <w:rsid w:val="0077071C"/>
    <w:rsid w:val="00772000"/>
    <w:rsid w:val="00772535"/>
    <w:rsid w:val="007767D2"/>
    <w:rsid w:val="00783915"/>
    <w:rsid w:val="00785D25"/>
    <w:rsid w:val="007873FD"/>
    <w:rsid w:val="00793550"/>
    <w:rsid w:val="0079526D"/>
    <w:rsid w:val="007964F4"/>
    <w:rsid w:val="00796F77"/>
    <w:rsid w:val="007A0D7E"/>
    <w:rsid w:val="007A1DCD"/>
    <w:rsid w:val="007A2EFF"/>
    <w:rsid w:val="007A4564"/>
    <w:rsid w:val="007B0BAE"/>
    <w:rsid w:val="007B0F2A"/>
    <w:rsid w:val="007B20CA"/>
    <w:rsid w:val="007B5B21"/>
    <w:rsid w:val="007B603D"/>
    <w:rsid w:val="007B6E09"/>
    <w:rsid w:val="007C691F"/>
    <w:rsid w:val="007D440C"/>
    <w:rsid w:val="007E2DCC"/>
    <w:rsid w:val="007E4641"/>
    <w:rsid w:val="007E540E"/>
    <w:rsid w:val="007E60FE"/>
    <w:rsid w:val="007E635F"/>
    <w:rsid w:val="008038D5"/>
    <w:rsid w:val="008041EF"/>
    <w:rsid w:val="008042BD"/>
    <w:rsid w:val="00807376"/>
    <w:rsid w:val="008120D2"/>
    <w:rsid w:val="00813053"/>
    <w:rsid w:val="00814481"/>
    <w:rsid w:val="00825AF6"/>
    <w:rsid w:val="00832D7E"/>
    <w:rsid w:val="00833024"/>
    <w:rsid w:val="0083376C"/>
    <w:rsid w:val="00837D38"/>
    <w:rsid w:val="008418B2"/>
    <w:rsid w:val="00844486"/>
    <w:rsid w:val="00845C82"/>
    <w:rsid w:val="00845FF6"/>
    <w:rsid w:val="00846D16"/>
    <w:rsid w:val="00853752"/>
    <w:rsid w:val="00854494"/>
    <w:rsid w:val="00862587"/>
    <w:rsid w:val="00865015"/>
    <w:rsid w:val="008665E6"/>
    <w:rsid w:val="00874AC4"/>
    <w:rsid w:val="00874FF6"/>
    <w:rsid w:val="00876E1F"/>
    <w:rsid w:val="00880588"/>
    <w:rsid w:val="00883787"/>
    <w:rsid w:val="00883E14"/>
    <w:rsid w:val="008854EB"/>
    <w:rsid w:val="00886202"/>
    <w:rsid w:val="00887ED0"/>
    <w:rsid w:val="00894FF3"/>
    <w:rsid w:val="008959BB"/>
    <w:rsid w:val="008A332F"/>
    <w:rsid w:val="008A5874"/>
    <w:rsid w:val="008A67EE"/>
    <w:rsid w:val="008B57EB"/>
    <w:rsid w:val="008B6851"/>
    <w:rsid w:val="008C0B10"/>
    <w:rsid w:val="008C3479"/>
    <w:rsid w:val="008C4797"/>
    <w:rsid w:val="008D1AC2"/>
    <w:rsid w:val="008D33EB"/>
    <w:rsid w:val="008D3928"/>
    <w:rsid w:val="008D3D31"/>
    <w:rsid w:val="008D55EA"/>
    <w:rsid w:val="008D75F8"/>
    <w:rsid w:val="008E02E3"/>
    <w:rsid w:val="008F36F4"/>
    <w:rsid w:val="008F5046"/>
    <w:rsid w:val="00900357"/>
    <w:rsid w:val="0090752E"/>
    <w:rsid w:val="0091536E"/>
    <w:rsid w:val="00920B92"/>
    <w:rsid w:val="0092574E"/>
    <w:rsid w:val="00926416"/>
    <w:rsid w:val="00930E9D"/>
    <w:rsid w:val="00932A19"/>
    <w:rsid w:val="00934D2F"/>
    <w:rsid w:val="00934FFB"/>
    <w:rsid w:val="00941644"/>
    <w:rsid w:val="009428B1"/>
    <w:rsid w:val="00953710"/>
    <w:rsid w:val="00955FFE"/>
    <w:rsid w:val="009567BD"/>
    <w:rsid w:val="00960605"/>
    <w:rsid w:val="009617D3"/>
    <w:rsid w:val="009677B3"/>
    <w:rsid w:val="00975C2E"/>
    <w:rsid w:val="00980C11"/>
    <w:rsid w:val="00996734"/>
    <w:rsid w:val="009A1062"/>
    <w:rsid w:val="009A347D"/>
    <w:rsid w:val="009B1C0D"/>
    <w:rsid w:val="009B5CD7"/>
    <w:rsid w:val="009B6A17"/>
    <w:rsid w:val="009C2C20"/>
    <w:rsid w:val="009C3731"/>
    <w:rsid w:val="009C4366"/>
    <w:rsid w:val="009C4691"/>
    <w:rsid w:val="009D64F2"/>
    <w:rsid w:val="009E6525"/>
    <w:rsid w:val="009F1FBB"/>
    <w:rsid w:val="00A0392B"/>
    <w:rsid w:val="00A079E1"/>
    <w:rsid w:val="00A115CC"/>
    <w:rsid w:val="00A11A0E"/>
    <w:rsid w:val="00A16FD8"/>
    <w:rsid w:val="00A1769B"/>
    <w:rsid w:val="00A2264A"/>
    <w:rsid w:val="00A257F6"/>
    <w:rsid w:val="00A33AAA"/>
    <w:rsid w:val="00A35ADB"/>
    <w:rsid w:val="00A35C06"/>
    <w:rsid w:val="00A36655"/>
    <w:rsid w:val="00A36BAE"/>
    <w:rsid w:val="00A436B6"/>
    <w:rsid w:val="00A45F08"/>
    <w:rsid w:val="00A51139"/>
    <w:rsid w:val="00A51ECB"/>
    <w:rsid w:val="00A56978"/>
    <w:rsid w:val="00A62BBC"/>
    <w:rsid w:val="00A62C4B"/>
    <w:rsid w:val="00A74785"/>
    <w:rsid w:val="00A75EDA"/>
    <w:rsid w:val="00A77EBF"/>
    <w:rsid w:val="00A91D22"/>
    <w:rsid w:val="00A94A7E"/>
    <w:rsid w:val="00AA1AB6"/>
    <w:rsid w:val="00AB0D12"/>
    <w:rsid w:val="00AB149A"/>
    <w:rsid w:val="00AC1555"/>
    <w:rsid w:val="00AC20BC"/>
    <w:rsid w:val="00AC2BE0"/>
    <w:rsid w:val="00AF6DAE"/>
    <w:rsid w:val="00AF6FCB"/>
    <w:rsid w:val="00AF765C"/>
    <w:rsid w:val="00B00C9D"/>
    <w:rsid w:val="00B11464"/>
    <w:rsid w:val="00B126C0"/>
    <w:rsid w:val="00B13DA1"/>
    <w:rsid w:val="00B16A6D"/>
    <w:rsid w:val="00B20860"/>
    <w:rsid w:val="00B219A1"/>
    <w:rsid w:val="00B23098"/>
    <w:rsid w:val="00B25F82"/>
    <w:rsid w:val="00B27F87"/>
    <w:rsid w:val="00B3446A"/>
    <w:rsid w:val="00B46742"/>
    <w:rsid w:val="00B47499"/>
    <w:rsid w:val="00B52710"/>
    <w:rsid w:val="00B552B4"/>
    <w:rsid w:val="00B57487"/>
    <w:rsid w:val="00B64BEE"/>
    <w:rsid w:val="00B670EF"/>
    <w:rsid w:val="00B74A35"/>
    <w:rsid w:val="00B7764D"/>
    <w:rsid w:val="00B83873"/>
    <w:rsid w:val="00B853FD"/>
    <w:rsid w:val="00B95698"/>
    <w:rsid w:val="00BB0EDE"/>
    <w:rsid w:val="00BB0F6B"/>
    <w:rsid w:val="00BB75D3"/>
    <w:rsid w:val="00BC0B71"/>
    <w:rsid w:val="00BC1B9A"/>
    <w:rsid w:val="00BC7A31"/>
    <w:rsid w:val="00BD1CDA"/>
    <w:rsid w:val="00BD2E83"/>
    <w:rsid w:val="00BD3A07"/>
    <w:rsid w:val="00BE5F30"/>
    <w:rsid w:val="00BF3A03"/>
    <w:rsid w:val="00BF500C"/>
    <w:rsid w:val="00C01133"/>
    <w:rsid w:val="00C0457B"/>
    <w:rsid w:val="00C05781"/>
    <w:rsid w:val="00C15968"/>
    <w:rsid w:val="00C20654"/>
    <w:rsid w:val="00C26940"/>
    <w:rsid w:val="00C324B0"/>
    <w:rsid w:val="00C32C34"/>
    <w:rsid w:val="00C34BDF"/>
    <w:rsid w:val="00C3678E"/>
    <w:rsid w:val="00C441C0"/>
    <w:rsid w:val="00C46CCB"/>
    <w:rsid w:val="00C53748"/>
    <w:rsid w:val="00C545DD"/>
    <w:rsid w:val="00C55E66"/>
    <w:rsid w:val="00C577EB"/>
    <w:rsid w:val="00C70422"/>
    <w:rsid w:val="00C71A10"/>
    <w:rsid w:val="00C74C5B"/>
    <w:rsid w:val="00C960A5"/>
    <w:rsid w:val="00C9790E"/>
    <w:rsid w:val="00CA2271"/>
    <w:rsid w:val="00CA30C9"/>
    <w:rsid w:val="00CB5487"/>
    <w:rsid w:val="00CB6411"/>
    <w:rsid w:val="00CB71F5"/>
    <w:rsid w:val="00CD2F48"/>
    <w:rsid w:val="00CD3D72"/>
    <w:rsid w:val="00CD4E6A"/>
    <w:rsid w:val="00CD53E1"/>
    <w:rsid w:val="00CD6249"/>
    <w:rsid w:val="00CD6905"/>
    <w:rsid w:val="00CD7A86"/>
    <w:rsid w:val="00CE0406"/>
    <w:rsid w:val="00CE6AF5"/>
    <w:rsid w:val="00CE6C79"/>
    <w:rsid w:val="00CE6CD6"/>
    <w:rsid w:val="00CF1145"/>
    <w:rsid w:val="00CF5080"/>
    <w:rsid w:val="00D1637C"/>
    <w:rsid w:val="00D17DFC"/>
    <w:rsid w:val="00D2287E"/>
    <w:rsid w:val="00D30020"/>
    <w:rsid w:val="00D30C03"/>
    <w:rsid w:val="00D32EE8"/>
    <w:rsid w:val="00D37064"/>
    <w:rsid w:val="00D41405"/>
    <w:rsid w:val="00D47A25"/>
    <w:rsid w:val="00D47E1A"/>
    <w:rsid w:val="00D517B5"/>
    <w:rsid w:val="00D56C9A"/>
    <w:rsid w:val="00D63BA6"/>
    <w:rsid w:val="00D64F4F"/>
    <w:rsid w:val="00D749FE"/>
    <w:rsid w:val="00D82C7B"/>
    <w:rsid w:val="00D90771"/>
    <w:rsid w:val="00D918E6"/>
    <w:rsid w:val="00D92EB4"/>
    <w:rsid w:val="00D97C45"/>
    <w:rsid w:val="00DA02EE"/>
    <w:rsid w:val="00DB2229"/>
    <w:rsid w:val="00DC4584"/>
    <w:rsid w:val="00DC6DD8"/>
    <w:rsid w:val="00DE32C8"/>
    <w:rsid w:val="00DE41A9"/>
    <w:rsid w:val="00DE4997"/>
    <w:rsid w:val="00DF0D28"/>
    <w:rsid w:val="00DF6B76"/>
    <w:rsid w:val="00E051F2"/>
    <w:rsid w:val="00E14C02"/>
    <w:rsid w:val="00E17F94"/>
    <w:rsid w:val="00E20B1D"/>
    <w:rsid w:val="00E2105F"/>
    <w:rsid w:val="00E2119C"/>
    <w:rsid w:val="00E2528B"/>
    <w:rsid w:val="00E2613F"/>
    <w:rsid w:val="00E30B4A"/>
    <w:rsid w:val="00E3169D"/>
    <w:rsid w:val="00E40040"/>
    <w:rsid w:val="00E44D09"/>
    <w:rsid w:val="00E52118"/>
    <w:rsid w:val="00E53997"/>
    <w:rsid w:val="00E57A3C"/>
    <w:rsid w:val="00E620E4"/>
    <w:rsid w:val="00E62ADB"/>
    <w:rsid w:val="00E67F65"/>
    <w:rsid w:val="00E71AF5"/>
    <w:rsid w:val="00E733EC"/>
    <w:rsid w:val="00E7395D"/>
    <w:rsid w:val="00E74F62"/>
    <w:rsid w:val="00E8322A"/>
    <w:rsid w:val="00E833F0"/>
    <w:rsid w:val="00E853AD"/>
    <w:rsid w:val="00E85982"/>
    <w:rsid w:val="00E869E5"/>
    <w:rsid w:val="00E92020"/>
    <w:rsid w:val="00E92068"/>
    <w:rsid w:val="00E92E03"/>
    <w:rsid w:val="00E93E74"/>
    <w:rsid w:val="00E941A0"/>
    <w:rsid w:val="00E95D32"/>
    <w:rsid w:val="00E97FB8"/>
    <w:rsid w:val="00EA068B"/>
    <w:rsid w:val="00EA1A26"/>
    <w:rsid w:val="00EA42C1"/>
    <w:rsid w:val="00EA651F"/>
    <w:rsid w:val="00EB2AB0"/>
    <w:rsid w:val="00EC3D3C"/>
    <w:rsid w:val="00EC7E6A"/>
    <w:rsid w:val="00ED5E66"/>
    <w:rsid w:val="00ED7CCE"/>
    <w:rsid w:val="00EE34B8"/>
    <w:rsid w:val="00EE3CAB"/>
    <w:rsid w:val="00EE4A67"/>
    <w:rsid w:val="00EE67F2"/>
    <w:rsid w:val="00EE7303"/>
    <w:rsid w:val="00EF3C36"/>
    <w:rsid w:val="00EF5BD0"/>
    <w:rsid w:val="00F02932"/>
    <w:rsid w:val="00F10821"/>
    <w:rsid w:val="00F12462"/>
    <w:rsid w:val="00F16BD9"/>
    <w:rsid w:val="00F173D4"/>
    <w:rsid w:val="00F246D6"/>
    <w:rsid w:val="00F26B8E"/>
    <w:rsid w:val="00F30016"/>
    <w:rsid w:val="00F37CC8"/>
    <w:rsid w:val="00F405FA"/>
    <w:rsid w:val="00F419D4"/>
    <w:rsid w:val="00F41A1A"/>
    <w:rsid w:val="00F545A7"/>
    <w:rsid w:val="00F57715"/>
    <w:rsid w:val="00F60D66"/>
    <w:rsid w:val="00F635EB"/>
    <w:rsid w:val="00F644AC"/>
    <w:rsid w:val="00F665E2"/>
    <w:rsid w:val="00F67E66"/>
    <w:rsid w:val="00F741FF"/>
    <w:rsid w:val="00F7423E"/>
    <w:rsid w:val="00F74AF0"/>
    <w:rsid w:val="00F75E0C"/>
    <w:rsid w:val="00F80F5E"/>
    <w:rsid w:val="00F83227"/>
    <w:rsid w:val="00F97CAE"/>
    <w:rsid w:val="00FA4E87"/>
    <w:rsid w:val="00FA7809"/>
    <w:rsid w:val="00FB5D28"/>
    <w:rsid w:val="00FC30A8"/>
    <w:rsid w:val="00FD322D"/>
    <w:rsid w:val="00FD7B72"/>
    <w:rsid w:val="00FE6F40"/>
    <w:rsid w:val="00FF06E5"/>
    <w:rsid w:val="00FF701F"/>
    <w:rsid w:val="00FF7C96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AE2D"/>
  <w15:chartTrackingRefBased/>
  <w15:docId w15:val="{89951153-A53E-4847-BA74-E26B0823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BA6"/>
    <w:rPr>
      <w:rFonts w:ascii="Times New Roman" w:hAnsi="Times New Roman"/>
      <w:sz w:val="24"/>
    </w:rPr>
  </w:style>
  <w:style w:type="paragraph" w:styleId="Titre4">
    <w:name w:val="heading 4"/>
    <w:basedOn w:val="Normal"/>
    <w:link w:val="Titre4Car"/>
    <w:uiPriority w:val="9"/>
    <w:qFormat/>
    <w:rsid w:val="00807376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fr-FR"/>
    </w:rPr>
  </w:style>
  <w:style w:type="paragraph" w:styleId="Titre5">
    <w:name w:val="heading 5"/>
    <w:basedOn w:val="Normal"/>
    <w:link w:val="Titre5Car"/>
    <w:uiPriority w:val="9"/>
    <w:qFormat/>
    <w:rsid w:val="00807376"/>
    <w:pPr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807376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80737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07376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37"/>
    <w:unhideWhenUsed/>
    <w:rsid w:val="0006731C"/>
    <w:pPr>
      <w:tabs>
        <w:tab w:val="left" w:pos="264"/>
      </w:tabs>
      <w:spacing w:after="0" w:line="480" w:lineRule="auto"/>
      <w:ind w:left="264" w:hanging="264"/>
    </w:pPr>
  </w:style>
  <w:style w:type="character" w:styleId="lev">
    <w:name w:val="Strong"/>
    <w:basedOn w:val="Policepardfaut"/>
    <w:uiPriority w:val="22"/>
    <w:qFormat/>
    <w:rsid w:val="00F12462"/>
    <w:rPr>
      <w:b/>
      <w:bCs/>
    </w:rPr>
  </w:style>
  <w:style w:type="paragraph" w:styleId="Paragraphedeliste">
    <w:name w:val="List Paragraph"/>
    <w:basedOn w:val="Normal"/>
    <w:uiPriority w:val="34"/>
    <w:qFormat/>
    <w:rsid w:val="00B552B4"/>
    <w:pPr>
      <w:spacing w:after="0" w:line="480" w:lineRule="auto"/>
      <w:ind w:left="720"/>
      <w:contextualSpacing/>
      <w:jc w:val="both"/>
    </w:pPr>
  </w:style>
  <w:style w:type="table" w:customStyle="1" w:styleId="Grilledetableauclaire1">
    <w:name w:val="Grille de tableau claire1"/>
    <w:basedOn w:val="TableauNormal"/>
    <w:uiPriority w:val="40"/>
    <w:rsid w:val="00B552B4"/>
    <w:pPr>
      <w:spacing w:after="0" w:line="240" w:lineRule="auto"/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27F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27F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27F87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7F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7F87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F6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7767D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copre">
    <w:name w:val="acopre"/>
    <w:basedOn w:val="Policepardfaut"/>
    <w:rsid w:val="00CE6AF5"/>
  </w:style>
  <w:style w:type="character" w:styleId="Accentuation">
    <w:name w:val="Emphasis"/>
    <w:basedOn w:val="Policepardfaut"/>
    <w:uiPriority w:val="20"/>
    <w:qFormat/>
    <w:rsid w:val="00CE6AF5"/>
    <w:rPr>
      <w:i/>
      <w:iCs/>
    </w:rPr>
  </w:style>
  <w:style w:type="paragraph" w:styleId="Sansinterligne">
    <w:name w:val="No Spacing"/>
    <w:uiPriority w:val="1"/>
    <w:qFormat/>
    <w:rsid w:val="00ED5E66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8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4E54-255C-431F-B7BD-CEF37D29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PRETA Laure Helene</dc:creator>
  <cp:keywords/>
  <dc:description/>
  <cp:lastModifiedBy>PRETA Laure Helene</cp:lastModifiedBy>
  <cp:revision>4</cp:revision>
  <dcterms:created xsi:type="dcterms:W3CDTF">2021-09-27T10:53:00Z</dcterms:created>
  <dcterms:modified xsi:type="dcterms:W3CDTF">2021-09-28T09:09:00Z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id="oxY7WeAV"/&gt;&lt;style id="http://www.zotero.org/styles/american-journal-of-respiratory-and-critical-care-medicine" hasBibliography="1" bibliographyStyleHasBeenSet="1"/&gt;&lt;prefs&gt;&lt;pref name="fieldType"</vt:lpwstr>
  </property>
  <property fmtid="{D5CDD505-2E9C-101B-9397-08002B2CF9AE}" pid="3" name="ZOTERO_PREF_2">
    <vt:lpwstr> value="Field"/&gt;&lt;pref name="automaticJournalAbbreviations" value="true"/&gt;&lt;/prefs&gt;&lt;/data&gt;</vt:lpwstr>
  </property>
</Properties>
</file>