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78" w:rsidRPr="00B93F73" w:rsidRDefault="00716F78" w:rsidP="00716F78">
      <w:pPr>
        <w:spacing w:line="360" w:lineRule="auto"/>
        <w:jc w:val="both"/>
        <w:rPr>
          <w:rFonts w:eastAsia="Calibri" w:cs="Times New Roman"/>
          <w:lang w:val="en-US" w:eastAsia="fr-FR"/>
        </w:rPr>
      </w:pPr>
      <w:r w:rsidRPr="00B93F73">
        <w:rPr>
          <w:rFonts w:eastAsia="Calibri" w:cs="Times New Roman"/>
          <w:b/>
          <w:lang w:val="en-US" w:eastAsia="fr-FR"/>
        </w:rPr>
        <w:t xml:space="preserve">Table </w:t>
      </w:r>
      <w:r>
        <w:rPr>
          <w:rFonts w:eastAsia="Calibri" w:cs="Times New Roman"/>
          <w:b/>
          <w:lang w:val="en-US" w:eastAsia="fr-FR"/>
        </w:rPr>
        <w:t>2</w:t>
      </w:r>
      <w:r w:rsidRPr="00B93F73">
        <w:rPr>
          <w:rFonts w:eastAsia="Calibri" w:cs="Times New Roman"/>
          <w:b/>
          <w:lang w:val="en-US" w:eastAsia="fr-FR"/>
        </w:rPr>
        <w:t xml:space="preserve">. </w:t>
      </w:r>
      <w:r>
        <w:rPr>
          <w:rFonts w:cs="Times New Roman"/>
          <w:b/>
          <w:lang w:val="en-US"/>
        </w:rPr>
        <w:t>Herpes zoster</w:t>
      </w:r>
      <w:r w:rsidRPr="00803EC4">
        <w:rPr>
          <w:rFonts w:eastAsia="Calibri" w:cs="Times New Roman"/>
          <w:b/>
          <w:bCs/>
          <w:lang w:val="en-US" w:eastAsia="fr-FR"/>
        </w:rPr>
        <w:t xml:space="preserve"> reporting and </w:t>
      </w:r>
      <w:r w:rsidRPr="00803EC4">
        <w:rPr>
          <w:rFonts w:eastAsia="Calibri" w:cs="Times New Roman"/>
          <w:b/>
          <w:lang w:val="en-US" w:eastAsia="fr-FR"/>
        </w:rPr>
        <w:t xml:space="preserve">Reporting Odds Ratios for </w:t>
      </w:r>
      <w:r>
        <w:rPr>
          <w:rFonts w:eastAsia="Calibri" w:cs="Times New Roman"/>
          <w:b/>
          <w:lang w:val="en-US" w:eastAsia="fr-FR"/>
        </w:rPr>
        <w:t>mRNA COVID-19 vaccines</w:t>
      </w:r>
      <w:r w:rsidRPr="00803EC4">
        <w:rPr>
          <w:rFonts w:eastAsia="Calibri" w:cs="Times New Roman"/>
          <w:b/>
          <w:lang w:val="en-US" w:eastAsia="fr-FR"/>
        </w:rPr>
        <w:t xml:space="preserve"> </w:t>
      </w:r>
      <w:r w:rsidRPr="00803EC4">
        <w:rPr>
          <w:rFonts w:eastAsia="Calibri" w:cs="Times New Roman"/>
          <w:b/>
          <w:bCs/>
          <w:lang w:val="en-US" w:eastAsia="fr-FR"/>
        </w:rPr>
        <w:t xml:space="preserve">within the WHO </w:t>
      </w:r>
      <w:r w:rsidRPr="00A33AAA">
        <w:rPr>
          <w:rFonts w:cs="Times New Roman"/>
          <w:b/>
          <w:lang w:val="en-US"/>
        </w:rPr>
        <w:t xml:space="preserve">global safety </w:t>
      </w:r>
      <w:r w:rsidRPr="00803EC4">
        <w:rPr>
          <w:rFonts w:eastAsia="Calibri" w:cs="Times New Roman"/>
          <w:b/>
          <w:bCs/>
          <w:lang w:val="en-US" w:eastAsia="fr-FR"/>
        </w:rPr>
        <w:t>database</w:t>
      </w:r>
      <w:r>
        <w:rPr>
          <w:rFonts w:eastAsia="Calibri" w:cs="Times New Roman"/>
          <w:b/>
          <w:bCs/>
          <w:lang w:val="en-US" w:eastAsia="fr-FR"/>
        </w:rPr>
        <w:t xml:space="preserve"> 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1276"/>
        <w:gridCol w:w="3119"/>
      </w:tblGrid>
      <w:tr w:rsidR="00716F78" w:rsidRPr="00EE7303" w:rsidTr="00F427E1">
        <w:trPr>
          <w:trHeight w:val="688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16F78" w:rsidRPr="00E2528B" w:rsidRDefault="00716F78" w:rsidP="00F427E1">
            <w:pPr>
              <w:pStyle w:val="Sansinterligne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16F78" w:rsidRPr="00EE7303" w:rsidRDefault="00716F78" w:rsidP="00F427E1">
            <w:pPr>
              <w:pStyle w:val="Sansinterligne"/>
              <w:jc w:val="center"/>
              <w:rPr>
                <w:b/>
                <w:bCs/>
              </w:rPr>
            </w:pPr>
            <w:r w:rsidRPr="00EE7303">
              <w:rPr>
                <w:b/>
                <w:bCs/>
              </w:rPr>
              <w:t>Cases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16F78" w:rsidRPr="00EE7303" w:rsidRDefault="00716F78" w:rsidP="00F427E1">
            <w:pPr>
              <w:pStyle w:val="Sansinterligne"/>
              <w:jc w:val="center"/>
              <w:rPr>
                <w:b/>
                <w:bCs/>
              </w:rPr>
            </w:pPr>
            <w:r w:rsidRPr="00EE7303">
              <w:rPr>
                <w:b/>
                <w:bCs/>
              </w:rPr>
              <w:t>Non-cases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16F78" w:rsidRPr="00EE7303" w:rsidRDefault="00716F78" w:rsidP="00F427E1">
            <w:pPr>
              <w:pStyle w:val="Sansinterligne"/>
              <w:jc w:val="center"/>
              <w:rPr>
                <w:b/>
                <w:bCs/>
              </w:rPr>
            </w:pPr>
            <w:r w:rsidRPr="00EE7303">
              <w:rPr>
                <w:b/>
                <w:bCs/>
              </w:rPr>
              <w:t>ROR [95% CI]</w:t>
            </w:r>
          </w:p>
        </w:tc>
      </w:tr>
      <w:tr w:rsidR="00716F78" w:rsidRPr="008D55EA" w:rsidTr="00F427E1">
        <w:trPr>
          <w:trHeight w:val="400"/>
        </w:trPr>
        <w:tc>
          <w:tcPr>
            <w:tcW w:w="949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16F78" w:rsidRPr="00C53748" w:rsidRDefault="00716F78" w:rsidP="00F427E1">
            <w:pPr>
              <w:pStyle w:val="Sansinterligne"/>
              <w:rPr>
                <w:b/>
                <w:bCs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First analysis - compare to influenza vaccines</w:t>
            </w:r>
          </w:p>
        </w:tc>
      </w:tr>
      <w:tr w:rsidR="00716F78" w:rsidRPr="00044F20" w:rsidTr="00F427E1">
        <w:trPr>
          <w:trHeight w:val="340"/>
        </w:trPr>
        <w:tc>
          <w:tcPr>
            <w:tcW w:w="354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716F78" w:rsidRPr="00C53748" w:rsidRDefault="00716F78" w:rsidP="00F427E1">
            <w:pPr>
              <w:pStyle w:val="Sansinterligne"/>
              <w:rPr>
                <w:b/>
                <w:lang w:val="en-US"/>
              </w:rPr>
            </w:pPr>
            <w:r w:rsidRPr="00C53748">
              <w:rPr>
                <w:b/>
                <w:lang w:val="en-US"/>
              </w:rPr>
              <w:t xml:space="preserve">Both mRNA COVID-19 vaccine </w:t>
            </w:r>
            <w:r>
              <w:rPr>
                <w:rFonts w:cs="Times New Roman"/>
                <w:b/>
                <w:lang w:val="en-US"/>
              </w:rPr>
              <w:t>recipients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>
              <w:t>1449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>
              <w:t>228,489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vAlign w:val="center"/>
          </w:tcPr>
          <w:p w:rsidR="00716F78" w:rsidRDefault="00716F78" w:rsidP="00F427E1">
            <w:pPr>
              <w:pStyle w:val="Sansinterligne"/>
              <w:jc w:val="center"/>
            </w:pPr>
            <w:r>
              <w:t>1.9 [1.8-2.1</w:t>
            </w:r>
            <w:r w:rsidRPr="00044F20">
              <w:t>]</w:t>
            </w:r>
          </w:p>
        </w:tc>
      </w:tr>
      <w:tr w:rsidR="00716F78" w:rsidRPr="00044F20" w:rsidTr="00F427E1">
        <w:trPr>
          <w:trHeight w:val="454"/>
        </w:trPr>
        <w:tc>
          <w:tcPr>
            <w:tcW w:w="3544" w:type="dxa"/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rPr>
                <w:b/>
              </w:rPr>
            </w:pPr>
            <w:r w:rsidRPr="00032102">
              <w:rPr>
                <w:b/>
              </w:rPr>
              <w:t>BNT162b2</w:t>
            </w:r>
            <w:r>
              <w:rPr>
                <w:b/>
              </w:rPr>
              <w:t xml:space="preserve"> </w:t>
            </w:r>
            <w:r>
              <w:rPr>
                <w:rFonts w:cs="Times New Roman"/>
                <w:b/>
                <w:lang w:val="en-US"/>
              </w:rPr>
              <w:t>recipients</w:t>
            </w:r>
          </w:p>
        </w:tc>
        <w:tc>
          <w:tcPr>
            <w:tcW w:w="1559" w:type="dxa"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 w:rsidRPr="00044F20">
              <w:t>1292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 w:rsidRPr="00044F20">
              <w:t>196</w:t>
            </w:r>
            <w:r>
              <w:t>,</w:t>
            </w:r>
            <w:r w:rsidRPr="00044F20">
              <w:t>365</w:t>
            </w:r>
          </w:p>
        </w:tc>
        <w:tc>
          <w:tcPr>
            <w:tcW w:w="3119" w:type="dxa"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>
              <w:t>2.0 [1.8-2.2</w:t>
            </w:r>
            <w:r w:rsidRPr="00044F20">
              <w:t>]</w:t>
            </w:r>
          </w:p>
        </w:tc>
      </w:tr>
      <w:tr w:rsidR="00716F78" w:rsidRPr="00044F20" w:rsidTr="00F427E1">
        <w:trPr>
          <w:trHeight w:val="454"/>
        </w:trPr>
        <w:tc>
          <w:tcPr>
            <w:tcW w:w="3544" w:type="dxa"/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rPr>
                <w:b/>
              </w:rPr>
            </w:pPr>
            <w:r w:rsidRPr="00032102">
              <w:rPr>
                <w:b/>
              </w:rPr>
              <w:t>mRNA-1273</w:t>
            </w:r>
            <w:r>
              <w:rPr>
                <w:rFonts w:cs="Times New Roman"/>
                <w:b/>
                <w:lang w:val="en-US"/>
              </w:rPr>
              <w:t xml:space="preserve"> recipients</w:t>
            </w:r>
          </w:p>
        </w:tc>
        <w:tc>
          <w:tcPr>
            <w:tcW w:w="1559" w:type="dxa"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>
              <w:t>157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>
              <w:t>32,124</w:t>
            </w:r>
          </w:p>
        </w:tc>
        <w:tc>
          <w:tcPr>
            <w:tcW w:w="3119" w:type="dxa"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>
              <w:t>1.5</w:t>
            </w:r>
            <w:r w:rsidRPr="00044F20">
              <w:t xml:space="preserve"> [</w:t>
            </w:r>
            <w:r>
              <w:t>1.2-1.8</w:t>
            </w:r>
            <w:r w:rsidRPr="00044F20">
              <w:t>]</w:t>
            </w:r>
          </w:p>
        </w:tc>
      </w:tr>
      <w:tr w:rsidR="00716F78" w:rsidRPr="00044F20" w:rsidTr="00F427E1">
        <w:trPr>
          <w:trHeight w:val="454"/>
        </w:trPr>
        <w:tc>
          <w:tcPr>
            <w:tcW w:w="354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rPr>
                <w:b/>
              </w:rPr>
            </w:pPr>
            <w:r w:rsidRPr="00044F20">
              <w:rPr>
                <w:b/>
              </w:rPr>
              <w:t>Influenza vaccine</w:t>
            </w:r>
            <w:r>
              <w:rPr>
                <w:b/>
              </w:rPr>
              <w:t xml:space="preserve"> </w:t>
            </w:r>
            <w:r>
              <w:rPr>
                <w:rFonts w:cs="Times New Roman"/>
                <w:b/>
                <w:lang w:val="en-US"/>
              </w:rPr>
              <w:t>recipients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 w:rsidRPr="00044F20">
              <w:t>665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r w:rsidRPr="00044F20">
              <w:t>201</w:t>
            </w:r>
            <w:r>
              <w:t>,</w:t>
            </w:r>
            <w:r w:rsidRPr="00044F20">
              <w:t>452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:rsidR="00716F78" w:rsidRPr="00044F20" w:rsidRDefault="00716F78" w:rsidP="00F427E1">
            <w:pPr>
              <w:pStyle w:val="Sansinterligne"/>
              <w:jc w:val="center"/>
            </w:pPr>
            <w:proofErr w:type="spellStart"/>
            <w:r>
              <w:t>ref</w:t>
            </w:r>
            <w:proofErr w:type="spellEnd"/>
          </w:p>
        </w:tc>
      </w:tr>
      <w:tr w:rsidR="00716F78" w:rsidRPr="008D55EA" w:rsidTr="00F427E1">
        <w:trPr>
          <w:trHeight w:val="340"/>
        </w:trPr>
        <w:tc>
          <w:tcPr>
            <w:tcW w:w="949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16F78" w:rsidRPr="008042BD" w:rsidRDefault="00716F78" w:rsidP="00F427E1">
            <w:pPr>
              <w:pStyle w:val="Sansinterligne"/>
              <w:rPr>
                <w:rFonts w:cs="Times New Roman"/>
                <w:b/>
                <w:iCs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Second analysis - </w:t>
            </w:r>
            <w:r>
              <w:rPr>
                <w:rFonts w:cs="Times New Roman"/>
                <w:b/>
                <w:iCs/>
                <w:lang w:val="en-US"/>
              </w:rPr>
              <w:t>according to age</w:t>
            </w:r>
          </w:p>
        </w:tc>
      </w:tr>
      <w:tr w:rsidR="00716F78" w:rsidRPr="00044F20" w:rsidTr="00F427E1">
        <w:trPr>
          <w:trHeight w:val="454"/>
        </w:trPr>
        <w:tc>
          <w:tcPr>
            <w:tcW w:w="354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716F78" w:rsidRPr="00C53748" w:rsidRDefault="00716F78" w:rsidP="00F427E1">
            <w:pPr>
              <w:pStyle w:val="Sansinterligne"/>
              <w:rPr>
                <w:b/>
                <w:lang w:val="en-US"/>
              </w:rPr>
            </w:pPr>
            <w:r w:rsidRPr="00C53748">
              <w:rPr>
                <w:rFonts w:cs="Times New Roman"/>
                <w:b/>
                <w:lang w:val="en-US"/>
              </w:rPr>
              <w:t>≤</w:t>
            </w:r>
            <w:r w:rsidRPr="00C53748">
              <w:rPr>
                <w:b/>
                <w:lang w:val="en-US"/>
              </w:rPr>
              <w:t xml:space="preserve"> 40 years mRNA COVID-19 vaccine</w:t>
            </w:r>
            <w:r w:rsidRPr="00C53748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b/>
                <w:lang w:val="en-US"/>
              </w:rPr>
              <w:t>recipients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16F78" w:rsidRPr="004B18CB" w:rsidRDefault="00716F78" w:rsidP="00F427E1">
            <w:pPr>
              <w:pStyle w:val="Sansinterligne"/>
              <w:jc w:val="center"/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1262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16F78" w:rsidRPr="004B18CB" w:rsidRDefault="00716F78" w:rsidP="00F427E1">
            <w:pPr>
              <w:pStyle w:val="Sansinterligne"/>
              <w:jc w:val="center"/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233,937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16F78" w:rsidRPr="004B18CB" w:rsidRDefault="00716F78" w:rsidP="00F427E1">
            <w:pPr>
              <w:pStyle w:val="Sansinterligne"/>
              <w:jc w:val="center"/>
              <w:rPr>
                <w:rFonts w:cs="Times New Roman"/>
                <w:iCs/>
                <w:lang w:val="en-US"/>
              </w:rPr>
            </w:pPr>
            <w:r>
              <w:t>0.39 [0.36-0.41</w:t>
            </w:r>
            <w:r w:rsidRPr="00044F20">
              <w:t>]</w:t>
            </w:r>
          </w:p>
        </w:tc>
      </w:tr>
      <w:tr w:rsidR="00716F78" w:rsidRPr="00044F20" w:rsidTr="00F427E1">
        <w:trPr>
          <w:trHeight w:val="454"/>
        </w:trPr>
        <w:tc>
          <w:tcPr>
            <w:tcW w:w="354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16F78" w:rsidRPr="00C53748" w:rsidRDefault="00716F78" w:rsidP="00F427E1">
            <w:pPr>
              <w:pStyle w:val="Sansinterligne"/>
              <w:rPr>
                <w:b/>
                <w:lang w:val="en-US"/>
              </w:rPr>
            </w:pPr>
            <w:r w:rsidRPr="00C53748">
              <w:rPr>
                <w:b/>
                <w:lang w:val="en-US"/>
              </w:rPr>
              <w:t>&gt; 40 years</w:t>
            </w:r>
            <w:r w:rsidRPr="00DB38C1">
              <w:rPr>
                <w:b/>
                <w:lang w:val="en-US"/>
              </w:rPr>
              <w:t xml:space="preserve"> mRNA COVID-19 vaccine</w:t>
            </w:r>
            <w:r w:rsidRPr="00DB38C1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b/>
                <w:lang w:val="en-US"/>
              </w:rPr>
              <w:t>recipients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16F78" w:rsidRPr="004B18CB" w:rsidRDefault="00716F78" w:rsidP="00F427E1">
            <w:pPr>
              <w:pStyle w:val="Sansinterligne"/>
              <w:jc w:val="center"/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5964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16F78" w:rsidRPr="004B18CB" w:rsidRDefault="00716F78" w:rsidP="00F427E1">
            <w:pPr>
              <w:pStyle w:val="Sansinterligne"/>
              <w:jc w:val="center"/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431,063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16F78" w:rsidRPr="004B18CB" w:rsidRDefault="00716F78" w:rsidP="00F427E1">
            <w:pPr>
              <w:pStyle w:val="Sansinterligne"/>
              <w:jc w:val="center"/>
              <w:rPr>
                <w:rFonts w:cs="Times New Roman"/>
                <w:iCs/>
                <w:lang w:val="en-US"/>
              </w:rPr>
            </w:pPr>
            <w:r>
              <w:t>ref</w:t>
            </w:r>
          </w:p>
        </w:tc>
      </w:tr>
    </w:tbl>
    <w:p w:rsidR="00716F78" w:rsidRDefault="00716F78" w:rsidP="00716F78">
      <w:pPr>
        <w:spacing w:line="240" w:lineRule="auto"/>
        <w:jc w:val="both"/>
        <w:rPr>
          <w:rFonts w:cs="Times New Roman"/>
          <w:i/>
          <w:iCs/>
          <w:color w:val="000000" w:themeColor="text1"/>
          <w:lang w:val="en-US"/>
        </w:rPr>
      </w:pPr>
      <w:r w:rsidRPr="00AF2AD8">
        <w:rPr>
          <w:rFonts w:cs="Times New Roman"/>
          <w:i/>
          <w:iCs/>
          <w:lang w:val="en-US"/>
        </w:rPr>
        <w:t>Abbreviations:</w:t>
      </w:r>
      <w:r>
        <w:rPr>
          <w:rFonts w:cs="Times New Roman"/>
          <w:i/>
          <w:iCs/>
          <w:lang w:val="en-US"/>
        </w:rPr>
        <w:t xml:space="preserve"> </w:t>
      </w:r>
      <w:r w:rsidRPr="00513E92">
        <w:rPr>
          <w:lang w:val="en-US" w:eastAsia="fr-FR"/>
        </w:rPr>
        <w:t xml:space="preserve">ROR: </w:t>
      </w:r>
      <w:r w:rsidRPr="00513E92">
        <w:rPr>
          <w:lang w:val="en-US"/>
        </w:rPr>
        <w:t xml:space="preserve">Reporting Odds-Ratio, 95% CI: 95% confidence interval. </w:t>
      </w:r>
    </w:p>
    <w:p w:rsidR="00716F78" w:rsidRDefault="00716F78" w:rsidP="00716F78">
      <w:pPr>
        <w:spacing w:line="240" w:lineRule="auto"/>
        <w:jc w:val="both"/>
        <w:rPr>
          <w:rFonts w:eastAsia="Times New Roman" w:cs="Times New Roman"/>
          <w:lang w:val="en-US" w:eastAsia="fr-FR"/>
        </w:rPr>
      </w:pPr>
      <w:r w:rsidRPr="00AF2AD8">
        <w:rPr>
          <w:rFonts w:cs="Times New Roman"/>
          <w:i/>
          <w:iCs/>
          <w:color w:val="000000" w:themeColor="text1"/>
          <w:lang w:val="en-US"/>
        </w:rPr>
        <w:t>Footnote:</w:t>
      </w:r>
      <w:r w:rsidRPr="00EC5C34">
        <w:rPr>
          <w:rFonts w:cs="Times New Roman"/>
          <w:color w:val="000000" w:themeColor="text1"/>
          <w:lang w:val="en-US"/>
        </w:rPr>
        <w:t xml:space="preserve"> </w:t>
      </w:r>
      <w:r w:rsidRPr="003F3D49">
        <w:rPr>
          <w:rFonts w:cs="Times New Roman"/>
          <w:color w:val="000000" w:themeColor="text1"/>
          <w:lang w:val="en-US"/>
        </w:rPr>
        <w:t xml:space="preserve">Cases are reports containing a </w:t>
      </w:r>
      <w:r>
        <w:rPr>
          <w:rFonts w:eastAsia="Times New Roman" w:cs="Times New Roman"/>
          <w:lang w:val="en-US" w:eastAsia="fr-FR"/>
        </w:rPr>
        <w:t>herpes zoster</w:t>
      </w:r>
      <w:r w:rsidRPr="00B93F73">
        <w:rPr>
          <w:rFonts w:eastAsia="Times New Roman" w:cs="Times New Roman"/>
          <w:lang w:val="en-US" w:eastAsia="fr-FR"/>
        </w:rPr>
        <w:t xml:space="preserve"> </w:t>
      </w:r>
      <w:r w:rsidRPr="003F3D49">
        <w:rPr>
          <w:rFonts w:cs="Times New Roman"/>
          <w:color w:val="000000" w:themeColor="text1"/>
          <w:lang w:val="en-US"/>
        </w:rPr>
        <w:t xml:space="preserve">reaction (Table S1), whereas non-cases are reports including all other adverse reaction with these vaccines. </w:t>
      </w:r>
      <w:r w:rsidRPr="00B93F73">
        <w:rPr>
          <w:rFonts w:eastAsia="Calibri" w:cs="Times New Roman"/>
          <w:lang w:val="en-US" w:eastAsia="fr-FR"/>
        </w:rPr>
        <w:t>ROR [95% CI] are calculated as</w:t>
      </w:r>
      <w:r w:rsidRPr="00B93F73">
        <w:rPr>
          <w:rFonts w:eastAsia="Times New Roman" w:cs="Times New Roman"/>
          <w:lang w:val="en-US" w:eastAsia="fr-FR"/>
        </w:rPr>
        <w:t xml:space="preserve"> ROR=</w:t>
      </w:r>
      <w:r>
        <w:rPr>
          <w:rFonts w:eastAsia="Times New Roman" w:cs="Times New Roman"/>
          <w:lang w:val="en-US" w:eastAsia="fr-FR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  <w:lang w:val="en-US" w:eastAsia="fr-FR"/>
              </w:rPr>
            </m:ctrlPr>
          </m:fPr>
          <m:num>
            <m:r>
              <w:rPr>
                <w:rFonts w:ascii="Cambria Math" w:eastAsia="Calibri" w:hAnsi="Cambria Math" w:cs="Times New Roman"/>
                <w:lang w:val="en-US" w:eastAsia="fr-FR"/>
              </w:rPr>
              <m:t>ad</m:t>
            </m:r>
          </m:num>
          <m:den>
            <m:r>
              <w:rPr>
                <w:rFonts w:ascii="Cambria Math" w:eastAsia="Calibri" w:hAnsi="Cambria Math" w:cs="Times New Roman"/>
                <w:lang w:val="en-US" w:eastAsia="fr-FR"/>
              </w:rPr>
              <m:t>bc</m:t>
            </m:r>
          </m:den>
        </m:f>
        <m:r>
          <w:rPr>
            <w:rFonts w:ascii="Cambria Math" w:eastAsia="Calibri" w:hAnsi="Cambria Math" w:cs="Times New Roman"/>
            <w:lang w:val="en-US" w:eastAsia="fr-FR"/>
          </w:rPr>
          <m:t xml:space="preserve"> </m:t>
        </m:r>
        <m:sSup>
          <m:sSupPr>
            <m:ctrlPr>
              <w:rPr>
                <w:rFonts w:ascii="Cambria Math" w:eastAsia="Calibri" w:hAnsi="Cambria Math" w:cs="Times New Roman"/>
                <w:i/>
                <w:lang w:val="en-US" w:eastAsia="fr-FR"/>
              </w:rPr>
            </m:ctrlPr>
          </m:sSupPr>
          <m:e>
            <m:r>
              <w:rPr>
                <w:rFonts w:ascii="Cambria Math" w:eastAsia="Calibri" w:hAnsi="Cambria Math" w:cs="Times New Roman"/>
                <w:lang w:val="en-US" w:eastAsia="fr-FR"/>
              </w:rPr>
              <m:t xml:space="preserve">[ e </m:t>
            </m:r>
          </m:e>
          <m:sup>
            <m:r>
              <w:rPr>
                <w:rFonts w:ascii="Cambria Math" w:eastAsia="Calibri" w:hAnsi="Cambria Math" w:cs="Times New Roman"/>
                <w:lang w:val="en-US" w:eastAsia="fr-FR"/>
              </w:rPr>
              <m:t>±1.96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lang w:val="en-US" w:eastAsia="fr-FR"/>
                  </w:rPr>
                </m:ctrlPr>
              </m:radPr>
              <m:deg/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lang w:val="en-US" w:eastAsia="fr-F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lang w:val="en-US" w:eastAsia="fr-F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lang w:val="en-US" w:eastAsia="fr-FR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lang w:val="en-US" w:eastAsia="fr-F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lang w:val="en-US" w:eastAsia="fr-FR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lang w:val="en-US" w:eastAsia="fr-F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c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lang w:val="en-US" w:eastAsia="fr-FR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lang w:val="en-US" w:eastAsia="fr-F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lang w:val="en-US" w:eastAsia="fr-FR"/>
                          </w:rPr>
                          <m:t>d</m:t>
                        </m:r>
                      </m:den>
                    </m:f>
                  </m:e>
                </m:d>
              </m:e>
            </m:rad>
          </m:sup>
        </m:sSup>
        <m:r>
          <w:rPr>
            <w:rFonts w:ascii="Cambria Math" w:eastAsia="Calibri" w:hAnsi="Cambria Math" w:cs="Times New Roman"/>
            <w:lang w:val="en-US" w:eastAsia="fr-FR"/>
          </w:rPr>
          <m:t>]</m:t>
        </m:r>
      </m:oMath>
      <w:r w:rsidRPr="00B93F73">
        <w:rPr>
          <w:rFonts w:eastAsia="Times New Roman" w:cs="Times New Roman"/>
          <w:lang w:val="en-US" w:eastAsia="fr-FR"/>
        </w:rPr>
        <w:t xml:space="preserve">, where </w:t>
      </w:r>
      <w:r w:rsidRPr="00B93F73">
        <w:rPr>
          <w:rFonts w:eastAsia="Times New Roman" w:cs="Times New Roman"/>
          <w:i/>
          <w:lang w:val="en-US" w:eastAsia="fr-FR"/>
        </w:rPr>
        <w:t>a</w:t>
      </w:r>
      <w:r w:rsidRPr="00B93F73">
        <w:rPr>
          <w:rFonts w:eastAsia="Times New Roman" w:cs="Times New Roman"/>
          <w:lang w:val="en-US" w:eastAsia="fr-FR"/>
        </w:rPr>
        <w:t xml:space="preserve"> is the number of </w:t>
      </w:r>
      <w:r>
        <w:rPr>
          <w:rFonts w:eastAsia="Times New Roman" w:cs="Times New Roman"/>
          <w:lang w:val="en-US" w:eastAsia="fr-FR"/>
        </w:rPr>
        <w:t>herpes zoster</w:t>
      </w:r>
      <w:r w:rsidRPr="00B93F73">
        <w:rPr>
          <w:rFonts w:eastAsia="Times New Roman" w:cs="Times New Roman"/>
          <w:lang w:val="en-US" w:eastAsia="fr-FR"/>
        </w:rPr>
        <w:t xml:space="preserve"> cases </w:t>
      </w:r>
      <w:r>
        <w:rPr>
          <w:rFonts w:eastAsia="Times New Roman" w:cs="Times New Roman"/>
          <w:lang w:val="en-US" w:eastAsia="fr-FR"/>
        </w:rPr>
        <w:t>in a group of interest</w:t>
      </w:r>
      <w:r w:rsidRPr="00B93F73">
        <w:rPr>
          <w:rFonts w:eastAsia="Times New Roman" w:cs="Times New Roman"/>
          <w:lang w:val="en-US" w:eastAsia="fr-FR"/>
        </w:rPr>
        <w:t xml:space="preserve">, </w:t>
      </w:r>
      <w:r w:rsidRPr="00B93F73">
        <w:rPr>
          <w:rFonts w:eastAsia="Times New Roman" w:cs="Times New Roman"/>
          <w:i/>
          <w:lang w:val="en-US" w:eastAsia="fr-FR"/>
        </w:rPr>
        <w:t>b</w:t>
      </w:r>
      <w:r w:rsidRPr="00B93F73">
        <w:rPr>
          <w:rFonts w:eastAsia="Times New Roman" w:cs="Times New Roman"/>
          <w:lang w:val="en-US" w:eastAsia="fr-FR"/>
        </w:rPr>
        <w:t xml:space="preserve"> is the number of other </w:t>
      </w:r>
      <w:r>
        <w:rPr>
          <w:rFonts w:eastAsia="Times New Roman" w:cs="Times New Roman"/>
          <w:lang w:val="en-US" w:eastAsia="fr-FR"/>
        </w:rPr>
        <w:t>reaction</w:t>
      </w:r>
      <w:r w:rsidRPr="00B93F73">
        <w:rPr>
          <w:rFonts w:eastAsia="Times New Roman" w:cs="Times New Roman"/>
          <w:lang w:val="en-US" w:eastAsia="fr-FR"/>
        </w:rPr>
        <w:t xml:space="preserve"> cases </w:t>
      </w:r>
      <w:r>
        <w:rPr>
          <w:rFonts w:eastAsia="Times New Roman" w:cs="Times New Roman"/>
          <w:lang w:val="en-US" w:eastAsia="fr-FR"/>
        </w:rPr>
        <w:t>in a group of interest</w:t>
      </w:r>
      <w:r w:rsidRPr="00B93F73">
        <w:rPr>
          <w:rFonts w:eastAsia="Times New Roman" w:cs="Times New Roman"/>
          <w:lang w:val="en-US" w:eastAsia="fr-FR"/>
        </w:rPr>
        <w:t xml:space="preserve">, </w:t>
      </w:r>
      <w:r w:rsidRPr="00B93F73">
        <w:rPr>
          <w:rFonts w:eastAsia="Times New Roman" w:cs="Times New Roman"/>
          <w:i/>
          <w:lang w:val="en-US" w:eastAsia="fr-FR"/>
        </w:rPr>
        <w:t>c</w:t>
      </w:r>
      <w:r w:rsidRPr="00B93F73">
        <w:rPr>
          <w:rFonts w:eastAsia="Times New Roman" w:cs="Times New Roman"/>
          <w:lang w:val="en-US" w:eastAsia="fr-FR"/>
        </w:rPr>
        <w:t xml:space="preserve"> is the number of </w:t>
      </w:r>
      <w:r>
        <w:rPr>
          <w:rFonts w:eastAsia="Times New Roman" w:cs="Times New Roman"/>
          <w:lang w:val="en-US" w:eastAsia="fr-FR"/>
        </w:rPr>
        <w:t>herpes zoster</w:t>
      </w:r>
      <w:r w:rsidRPr="00B93F73">
        <w:rPr>
          <w:rFonts w:eastAsia="Times New Roman" w:cs="Times New Roman"/>
          <w:lang w:val="en-US" w:eastAsia="fr-FR"/>
        </w:rPr>
        <w:t xml:space="preserve"> cases </w:t>
      </w:r>
      <w:r>
        <w:rPr>
          <w:rFonts w:eastAsia="Times New Roman" w:cs="Times New Roman"/>
          <w:lang w:val="en-US" w:eastAsia="fr-FR"/>
        </w:rPr>
        <w:t>in</w:t>
      </w:r>
      <w:r w:rsidRPr="00B93F73">
        <w:rPr>
          <w:rFonts w:eastAsia="Times New Roman" w:cs="Times New Roman"/>
          <w:lang w:val="en-US" w:eastAsia="fr-FR"/>
        </w:rPr>
        <w:t xml:space="preserve"> </w:t>
      </w:r>
      <w:r>
        <w:rPr>
          <w:rFonts w:eastAsia="Times New Roman" w:cs="Times New Roman"/>
          <w:lang w:val="en-US" w:eastAsia="fr-FR"/>
        </w:rPr>
        <w:t>a comparator</w:t>
      </w:r>
      <w:r w:rsidRPr="00B93F73">
        <w:rPr>
          <w:rFonts w:eastAsia="Times New Roman" w:cs="Times New Roman"/>
          <w:lang w:val="en-US" w:eastAsia="fr-FR"/>
        </w:rPr>
        <w:t xml:space="preserve"> </w:t>
      </w:r>
      <w:r>
        <w:rPr>
          <w:rFonts w:eastAsia="Times New Roman" w:cs="Times New Roman"/>
          <w:lang w:val="en-US" w:eastAsia="fr-FR"/>
        </w:rPr>
        <w:t xml:space="preserve">group </w:t>
      </w:r>
      <w:r w:rsidRPr="00B93F73">
        <w:rPr>
          <w:rFonts w:eastAsia="Times New Roman" w:cs="Times New Roman"/>
          <w:lang w:val="en-US" w:eastAsia="fr-FR"/>
        </w:rPr>
        <w:t xml:space="preserve">and </w:t>
      </w:r>
      <w:r w:rsidRPr="00B93F73">
        <w:rPr>
          <w:rFonts w:eastAsia="Times New Roman" w:cs="Times New Roman"/>
          <w:i/>
          <w:lang w:val="en-US" w:eastAsia="fr-FR"/>
        </w:rPr>
        <w:t>d</w:t>
      </w:r>
      <w:r w:rsidRPr="00B93F73">
        <w:rPr>
          <w:rFonts w:eastAsia="Times New Roman" w:cs="Times New Roman"/>
          <w:lang w:val="en-US" w:eastAsia="fr-FR"/>
        </w:rPr>
        <w:t xml:space="preserve"> is the number of other </w:t>
      </w:r>
      <w:r>
        <w:rPr>
          <w:rFonts w:eastAsia="Times New Roman" w:cs="Times New Roman"/>
          <w:lang w:val="en-US" w:eastAsia="fr-FR"/>
        </w:rPr>
        <w:t>reaction</w:t>
      </w:r>
      <w:r w:rsidRPr="00B93F73">
        <w:rPr>
          <w:rFonts w:eastAsia="Times New Roman" w:cs="Times New Roman"/>
          <w:lang w:val="en-US" w:eastAsia="fr-FR"/>
        </w:rPr>
        <w:t xml:space="preserve"> cases </w:t>
      </w:r>
      <w:r>
        <w:rPr>
          <w:rFonts w:eastAsia="Times New Roman" w:cs="Times New Roman"/>
          <w:lang w:val="en-US" w:eastAsia="fr-FR"/>
        </w:rPr>
        <w:t>in</w:t>
      </w:r>
      <w:r w:rsidRPr="0074433A">
        <w:rPr>
          <w:rFonts w:eastAsia="Times New Roman" w:cs="Times New Roman"/>
          <w:lang w:val="en-US" w:eastAsia="fr-FR"/>
        </w:rPr>
        <w:t xml:space="preserve"> </w:t>
      </w:r>
      <w:r>
        <w:rPr>
          <w:rFonts w:eastAsia="Times New Roman" w:cs="Times New Roman"/>
          <w:lang w:val="en-US" w:eastAsia="fr-FR"/>
        </w:rPr>
        <w:t>a comparator group</w:t>
      </w:r>
      <w:r w:rsidRPr="00B93F73">
        <w:rPr>
          <w:rFonts w:eastAsia="Times New Roman" w:cs="Times New Roman"/>
          <w:lang w:val="en-US" w:eastAsia="fr-FR"/>
        </w:rPr>
        <w:t>.</w:t>
      </w:r>
      <w:r>
        <w:rPr>
          <w:rFonts w:eastAsia="Times New Roman" w:cs="Times New Roman"/>
          <w:lang w:val="en-US" w:eastAsia="fr-FR"/>
        </w:rPr>
        <w:t xml:space="preserve"> </w:t>
      </w:r>
    </w:p>
    <w:p w:rsidR="00716F78" w:rsidRDefault="00716F78" w:rsidP="00716F78">
      <w:pPr>
        <w:spacing w:line="240" w:lineRule="auto"/>
        <w:jc w:val="both"/>
        <w:rPr>
          <w:rFonts w:cs="Times New Roman"/>
          <w:szCs w:val="24"/>
          <w:lang w:val="en-US"/>
        </w:rPr>
      </w:pPr>
      <w:r>
        <w:rPr>
          <w:rFonts w:eastAsia="Times New Roman" w:cs="Times New Roman"/>
          <w:lang w:val="en-US" w:eastAsia="fr-FR"/>
        </w:rPr>
        <w:t xml:space="preserve">First analysis: group of interest was </w:t>
      </w:r>
      <w:r w:rsidRPr="0074433A">
        <w:rPr>
          <w:rFonts w:cs="Times New Roman"/>
          <w:color w:val="000000" w:themeColor="text1"/>
          <w:lang w:val="en-US"/>
        </w:rPr>
        <w:t>mRNA COVID-19 vaccine</w:t>
      </w:r>
      <w:r>
        <w:rPr>
          <w:rFonts w:cs="Times New Roman"/>
          <w:color w:val="000000" w:themeColor="text1"/>
          <w:lang w:val="en-US"/>
        </w:rPr>
        <w:t xml:space="preserve"> recipients and comparator group was any influenza vaccine recipients. R</w:t>
      </w:r>
      <w:r>
        <w:rPr>
          <w:rFonts w:cs="Times New Roman"/>
          <w:szCs w:val="24"/>
          <w:lang w:val="en-US"/>
        </w:rPr>
        <w:t xml:space="preserve">eports that involved any </w:t>
      </w:r>
      <w:r w:rsidRPr="00133D3F">
        <w:rPr>
          <w:rFonts w:cs="Times New Roman"/>
          <w:color w:val="000000" w:themeColor="text1"/>
          <w:szCs w:val="24"/>
          <w:lang w:val="en-US"/>
        </w:rPr>
        <w:t xml:space="preserve">influenza </w:t>
      </w:r>
      <w:r>
        <w:rPr>
          <w:rFonts w:cs="Times New Roman"/>
          <w:color w:val="000000" w:themeColor="text1"/>
          <w:szCs w:val="24"/>
          <w:lang w:val="en-US"/>
        </w:rPr>
        <w:t xml:space="preserve">vaccine </w:t>
      </w:r>
      <w:r w:rsidRPr="00133D3F">
        <w:rPr>
          <w:rFonts w:cs="Times New Roman"/>
          <w:color w:val="000000" w:themeColor="text1"/>
          <w:szCs w:val="24"/>
          <w:lang w:val="en-US"/>
        </w:rPr>
        <w:t>or</w:t>
      </w:r>
      <w:r>
        <w:rPr>
          <w:rFonts w:cs="Times New Roman"/>
          <w:color w:val="000000" w:themeColor="text1"/>
          <w:szCs w:val="24"/>
          <w:lang w:val="en-US"/>
        </w:rPr>
        <w:t xml:space="preserve"> </w:t>
      </w:r>
      <w:r w:rsidRPr="00133D3F">
        <w:rPr>
          <w:rFonts w:cs="Times New Roman"/>
          <w:color w:val="000000" w:themeColor="text1"/>
          <w:szCs w:val="24"/>
          <w:lang w:val="en-US"/>
        </w:rPr>
        <w:t>varicella-zoster virus vaccine</w:t>
      </w:r>
      <w:r>
        <w:rPr>
          <w:rFonts w:cs="Times New Roman"/>
          <w:color w:val="000000" w:themeColor="text1"/>
          <w:szCs w:val="24"/>
          <w:lang w:val="en-US"/>
        </w:rPr>
        <w:t xml:space="preserve"> in addition to </w:t>
      </w:r>
      <w:r w:rsidRPr="00133D3F">
        <w:rPr>
          <w:rFonts w:cs="Times New Roman"/>
          <w:color w:val="000000" w:themeColor="text1"/>
          <w:szCs w:val="24"/>
          <w:lang w:val="en-US"/>
        </w:rPr>
        <w:t>mRNA COVID-19</w:t>
      </w:r>
      <w:r>
        <w:rPr>
          <w:rFonts w:cs="Times New Roman"/>
          <w:color w:val="000000" w:themeColor="text1"/>
          <w:szCs w:val="24"/>
          <w:lang w:val="en-US"/>
        </w:rPr>
        <w:t xml:space="preserve"> vaccine </w:t>
      </w:r>
      <w:proofErr w:type="gramStart"/>
      <w:r>
        <w:rPr>
          <w:rFonts w:cs="Times New Roman"/>
          <w:color w:val="000000" w:themeColor="text1"/>
          <w:szCs w:val="24"/>
          <w:lang w:val="en-US"/>
        </w:rPr>
        <w:t>were excluded</w:t>
      </w:r>
      <w:proofErr w:type="gramEnd"/>
      <w:r>
        <w:rPr>
          <w:rFonts w:cs="Times New Roman"/>
          <w:color w:val="000000" w:themeColor="text1"/>
          <w:szCs w:val="24"/>
          <w:lang w:val="en-US"/>
        </w:rPr>
        <w:t xml:space="preserve">. </w:t>
      </w:r>
      <w:r>
        <w:rPr>
          <w:rFonts w:cs="Times New Roman"/>
          <w:szCs w:val="24"/>
          <w:lang w:val="en-US"/>
        </w:rPr>
        <w:t xml:space="preserve">To avoid a notoriety bias, a longstanding known bias in disproportionality </w:t>
      </w:r>
      <w:proofErr w:type="gramStart"/>
      <w:r>
        <w:rPr>
          <w:rFonts w:cs="Times New Roman"/>
          <w:szCs w:val="24"/>
          <w:lang w:val="en-US"/>
        </w:rPr>
        <w:t xml:space="preserve">studies which is related to an inflation reporting following a scientific communication, this </w:t>
      </w:r>
      <w:r w:rsidRPr="00133D3F">
        <w:rPr>
          <w:rFonts w:cs="Times New Roman"/>
          <w:szCs w:val="24"/>
          <w:lang w:val="en-US"/>
        </w:rPr>
        <w:t>analys</w:t>
      </w:r>
      <w:r>
        <w:rPr>
          <w:rFonts w:cs="Times New Roman"/>
          <w:szCs w:val="24"/>
          <w:lang w:val="en-US"/>
        </w:rPr>
        <w:t>is</w:t>
      </w:r>
      <w:proofErr w:type="gramEnd"/>
      <w:r w:rsidRPr="00133D3F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was </w:t>
      </w:r>
      <w:r w:rsidRPr="00133D3F">
        <w:rPr>
          <w:rFonts w:cs="Times New Roman"/>
          <w:szCs w:val="24"/>
          <w:lang w:val="en-US"/>
        </w:rPr>
        <w:t xml:space="preserve">restricted to </w:t>
      </w:r>
      <w:r>
        <w:rPr>
          <w:rFonts w:cs="Times New Roman"/>
          <w:szCs w:val="24"/>
          <w:lang w:val="en-US"/>
        </w:rPr>
        <w:t xml:space="preserve">reports </w:t>
      </w:r>
      <w:r w:rsidRPr="00133D3F">
        <w:rPr>
          <w:rFonts w:cs="Times New Roman"/>
          <w:szCs w:val="24"/>
          <w:lang w:val="en-US"/>
        </w:rPr>
        <w:t xml:space="preserve">recorded in </w:t>
      </w:r>
      <w:proofErr w:type="spellStart"/>
      <w:r w:rsidRPr="00133D3F">
        <w:rPr>
          <w:rFonts w:cs="Times New Roman"/>
          <w:szCs w:val="24"/>
          <w:lang w:val="en-US"/>
        </w:rPr>
        <w:t>VigiBase</w:t>
      </w:r>
      <w:proofErr w:type="spellEnd"/>
      <w:r w:rsidRPr="00133D3F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before </w:t>
      </w:r>
      <w:r w:rsidRPr="00133D3F">
        <w:rPr>
          <w:rFonts w:cs="Times New Roman"/>
          <w:szCs w:val="24"/>
          <w:lang w:val="en-US"/>
        </w:rPr>
        <w:t>April 12</w:t>
      </w:r>
      <w:r w:rsidRPr="00133D3F">
        <w:rPr>
          <w:rFonts w:cs="Times New Roman"/>
          <w:szCs w:val="24"/>
          <w:vertAlign w:val="superscript"/>
          <w:lang w:val="en-US"/>
        </w:rPr>
        <w:t>th</w:t>
      </w:r>
      <w:r w:rsidRPr="00133D3F">
        <w:rPr>
          <w:rFonts w:cs="Times New Roman"/>
          <w:szCs w:val="24"/>
          <w:lang w:val="en-US"/>
        </w:rPr>
        <w:t>, 2021 (corresponding to the date of first publication of herpes zoster following mRNA vaccination case series</w:t>
      </w:r>
      <w:r>
        <w:rPr>
          <w:rFonts w:cs="Times New Roman"/>
          <w:szCs w:val="24"/>
          <w:lang w:val="en-US"/>
        </w:rPr>
        <w:t xml:space="preserve"> (</w:t>
      </w:r>
      <w:hyperlink r:id="rId4" w:history="1">
        <w:r w:rsidRPr="00670259">
          <w:rPr>
            <w:rStyle w:val="Lienhypertexte"/>
            <w:lang w:val="en-US"/>
          </w:rPr>
          <w:t>https://doi.org/10.1093/rheumatology/keab345</w:t>
        </w:r>
      </w:hyperlink>
      <w:r w:rsidRPr="00670259">
        <w:rPr>
          <w:lang w:val="en-US"/>
        </w:rPr>
        <w:t>)</w:t>
      </w:r>
      <w:r w:rsidRPr="00133D3F">
        <w:rPr>
          <w:rFonts w:cs="Times New Roman"/>
          <w:szCs w:val="24"/>
          <w:lang w:val="en-US"/>
        </w:rPr>
        <w:t>.</w:t>
      </w:r>
      <w:r>
        <w:rPr>
          <w:rFonts w:cs="Times New Roman"/>
          <w:szCs w:val="24"/>
          <w:lang w:val="en-US"/>
        </w:rPr>
        <w:t xml:space="preserve"> For influenza vaccine, analysis included reports registered after </w:t>
      </w:r>
      <w:r w:rsidRPr="00133D3F">
        <w:rPr>
          <w:rFonts w:cs="Times New Roman"/>
          <w:szCs w:val="24"/>
          <w:lang w:val="en-US"/>
        </w:rPr>
        <w:t xml:space="preserve">January </w:t>
      </w:r>
      <w:proofErr w:type="gramStart"/>
      <w:r w:rsidRPr="00133D3F">
        <w:rPr>
          <w:rFonts w:cs="Times New Roman"/>
          <w:szCs w:val="24"/>
          <w:lang w:val="en-US"/>
        </w:rPr>
        <w:t>1</w:t>
      </w:r>
      <w:r w:rsidRPr="00133D3F">
        <w:rPr>
          <w:rFonts w:cs="Times New Roman"/>
          <w:szCs w:val="24"/>
          <w:vertAlign w:val="superscript"/>
          <w:lang w:val="en-US"/>
        </w:rPr>
        <w:t>st</w:t>
      </w:r>
      <w:proofErr w:type="gramEnd"/>
      <w:r w:rsidRPr="00133D3F">
        <w:rPr>
          <w:rFonts w:cs="Times New Roman"/>
          <w:szCs w:val="24"/>
          <w:lang w:val="en-US"/>
        </w:rPr>
        <w:t>, 2011</w:t>
      </w:r>
      <w:r>
        <w:rPr>
          <w:rFonts w:cs="Times New Roman"/>
          <w:szCs w:val="24"/>
          <w:lang w:val="en-US"/>
        </w:rPr>
        <w:t xml:space="preserve"> (</w:t>
      </w:r>
      <w:r w:rsidRPr="00133D3F">
        <w:rPr>
          <w:rFonts w:cs="Times New Roman"/>
          <w:szCs w:val="24"/>
          <w:lang w:val="en-US"/>
        </w:rPr>
        <w:t>coinciding after the H1N1 mass immunization</w:t>
      </w:r>
      <w:r>
        <w:rPr>
          <w:rFonts w:cs="Times New Roman"/>
          <w:szCs w:val="24"/>
          <w:lang w:val="en-US"/>
        </w:rPr>
        <w:t>).</w:t>
      </w:r>
    </w:p>
    <w:p w:rsidR="00716F78" w:rsidRDefault="00716F78" w:rsidP="00716F78">
      <w:pPr>
        <w:rPr>
          <w:rFonts w:cs="Times New Roman"/>
          <w:szCs w:val="24"/>
          <w:lang w:val="en-US"/>
        </w:rPr>
      </w:pPr>
      <w:r>
        <w:rPr>
          <w:rFonts w:cs="Times New Roman"/>
          <w:color w:val="000000" w:themeColor="text1"/>
          <w:lang w:val="en-US"/>
        </w:rPr>
        <w:t xml:space="preserve">Second analysis: </w:t>
      </w:r>
      <w:r>
        <w:rPr>
          <w:rFonts w:eastAsia="Times New Roman" w:cs="Times New Roman"/>
          <w:lang w:val="en-US" w:eastAsia="fr-FR"/>
        </w:rPr>
        <w:t xml:space="preserve">group of interest was </w:t>
      </w:r>
      <w:r w:rsidRPr="0074433A">
        <w:rPr>
          <w:rFonts w:cs="Times New Roman"/>
          <w:color w:val="000000" w:themeColor="text1"/>
          <w:lang w:val="en-US"/>
        </w:rPr>
        <w:t>mRNA COVID-19 vaccine</w:t>
      </w:r>
      <w:r>
        <w:rPr>
          <w:rFonts w:cs="Times New Roman"/>
          <w:color w:val="000000" w:themeColor="text1"/>
          <w:lang w:val="en-US"/>
        </w:rPr>
        <w:t xml:space="preserve"> recipients being under 40 years and comparator group was </w:t>
      </w:r>
      <w:r w:rsidRPr="0074433A">
        <w:rPr>
          <w:rFonts w:cs="Times New Roman"/>
          <w:color w:val="000000" w:themeColor="text1"/>
          <w:lang w:val="en-US"/>
        </w:rPr>
        <w:t>mRNA COVID-19 vaccine</w:t>
      </w:r>
      <w:r>
        <w:rPr>
          <w:rFonts w:cs="Times New Roman"/>
          <w:color w:val="000000" w:themeColor="text1"/>
          <w:lang w:val="en-US"/>
        </w:rPr>
        <w:t xml:space="preserve"> recipients being over 40 years. </w:t>
      </w:r>
      <w:r>
        <w:rPr>
          <w:rFonts w:cs="Times New Roman"/>
          <w:lang w:val="en-US"/>
        </w:rPr>
        <w:t xml:space="preserve">Of note, patient age is not known in some </w:t>
      </w:r>
      <w:proofErr w:type="gramStart"/>
      <w:r>
        <w:rPr>
          <w:rFonts w:cs="Times New Roman"/>
          <w:lang w:val="en-US"/>
        </w:rPr>
        <w:t>reports, that</w:t>
      </w:r>
      <w:proofErr w:type="gramEnd"/>
      <w:r>
        <w:rPr>
          <w:rFonts w:cs="Times New Roman"/>
          <w:lang w:val="en-US"/>
        </w:rPr>
        <w:t xml:space="preserve"> were not considered in this analysis.</w:t>
      </w:r>
    </w:p>
    <w:p w:rsidR="00936F2A" w:rsidRDefault="00716F78">
      <w:bookmarkStart w:id="0" w:name="_GoBack"/>
      <w:bookmarkEnd w:id="0"/>
    </w:p>
    <w:sectPr w:rsidR="00936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78"/>
    <w:rsid w:val="003255CF"/>
    <w:rsid w:val="00530728"/>
    <w:rsid w:val="0071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8D51F-6098-43C0-B9E3-58C596F0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F78"/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716F78"/>
    <w:rPr>
      <w:color w:val="0000FF"/>
      <w:u w:val="single"/>
    </w:rPr>
  </w:style>
  <w:style w:type="paragraph" w:styleId="Sansinterligne">
    <w:name w:val="No Spacing"/>
    <w:uiPriority w:val="1"/>
    <w:qFormat/>
    <w:rsid w:val="00716F7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93/rheumatology/keab34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PRETA Laure Helene</dc:creator>
  <cp:keywords/>
  <dc:description/>
  <cp:lastModifiedBy>PRETA Laure Helene</cp:lastModifiedBy>
  <cp:revision>1</cp:revision>
  <dcterms:created xsi:type="dcterms:W3CDTF">2021-09-28T09:08:00Z</dcterms:created>
  <dcterms:modified xsi:type="dcterms:W3CDTF">2021-09-28T09:08:00Z</dcterms:modified>
</cp:coreProperties>
</file>