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C9175" w14:textId="30797ACB" w:rsidR="00EA65D4" w:rsidRDefault="002B168E" w:rsidP="002B168E">
      <w:pPr>
        <w:spacing w:line="480" w:lineRule="auto"/>
        <w:rPr>
          <w:rFonts w:ascii="Times New Roman" w:hAnsi="Times New Roman" w:cs="Times New Roman"/>
          <w:b/>
          <w:bCs/>
        </w:rPr>
      </w:pPr>
      <w:r w:rsidRPr="002B168E">
        <w:rPr>
          <w:rFonts w:ascii="Times New Roman" w:hAnsi="Times New Roman" w:cs="Times New Roman"/>
          <w:b/>
          <w:bCs/>
        </w:rPr>
        <w:t>Osteomyelitis infection disguised as Reiter’s Syndrome in a child: A case report</w:t>
      </w:r>
      <w:r>
        <w:rPr>
          <w:rFonts w:ascii="Times New Roman" w:hAnsi="Times New Roman" w:cs="Times New Roman"/>
          <w:b/>
          <w:bCs/>
        </w:rPr>
        <w:t xml:space="preserve"> </w:t>
      </w:r>
    </w:p>
    <w:p w14:paraId="3F6886F4" w14:textId="0BF83C68" w:rsidR="002B168E" w:rsidRDefault="002B168E" w:rsidP="002B168E">
      <w:pPr>
        <w:spacing w:line="480" w:lineRule="auto"/>
        <w:rPr>
          <w:rFonts w:ascii="Times New Roman" w:hAnsi="Times New Roman" w:cs="Times New Roman"/>
          <w:b/>
          <w:bCs/>
        </w:rPr>
      </w:pPr>
      <w:r>
        <w:rPr>
          <w:rFonts w:ascii="Times New Roman" w:hAnsi="Times New Roman" w:cs="Times New Roman"/>
          <w:b/>
          <w:bCs/>
        </w:rPr>
        <w:t xml:space="preserve">Abstract </w:t>
      </w:r>
    </w:p>
    <w:p w14:paraId="68119BA6" w14:textId="4F195155" w:rsidR="002B168E" w:rsidRDefault="00FB6985" w:rsidP="002B168E">
      <w:pPr>
        <w:spacing w:line="480" w:lineRule="auto"/>
        <w:rPr>
          <w:rFonts w:ascii="Times New Roman" w:hAnsi="Times New Roman" w:cs="Times New Roman"/>
        </w:rPr>
      </w:pPr>
      <w:r w:rsidRPr="00FB6985">
        <w:rPr>
          <w:rFonts w:ascii="Times New Roman" w:hAnsi="Times New Roman" w:cs="Times New Roman"/>
        </w:rPr>
        <w:t>Reiter's syndrome (reactive arthritis) should always prompt a thorough clinical investigation of a potential more serious disease condition in every pediatric patient and adults. it should always be regarded as a warning sign and not a disease.</w:t>
      </w:r>
      <w:r>
        <w:rPr>
          <w:rFonts w:ascii="Times New Roman" w:hAnsi="Times New Roman" w:cs="Times New Roman"/>
        </w:rPr>
        <w:t xml:space="preserve"> T</w:t>
      </w:r>
      <w:r w:rsidR="002B168E">
        <w:rPr>
          <w:rFonts w:ascii="Times New Roman" w:hAnsi="Times New Roman" w:cs="Times New Roman"/>
        </w:rPr>
        <w:t>his is a case of a 16-year-old African boy with Osteomyelitis presenting with symptoms of reactive arthritis (Reiter’s syndrome)</w:t>
      </w:r>
      <w:r>
        <w:rPr>
          <w:rFonts w:ascii="Times New Roman" w:hAnsi="Times New Roman" w:cs="Times New Roman"/>
        </w:rPr>
        <w:t>.</w:t>
      </w:r>
    </w:p>
    <w:p w14:paraId="624D3283" w14:textId="49F6C9D0" w:rsidR="002B168E" w:rsidRPr="004817D7" w:rsidRDefault="002B168E" w:rsidP="002B168E">
      <w:pPr>
        <w:spacing w:line="480" w:lineRule="auto"/>
        <w:rPr>
          <w:rFonts w:ascii="Times New Roman" w:hAnsi="Times New Roman" w:cs="Times New Roman"/>
          <w:b/>
          <w:bCs/>
        </w:rPr>
      </w:pPr>
      <w:r w:rsidRPr="004817D7">
        <w:rPr>
          <w:rFonts w:ascii="Times New Roman" w:hAnsi="Times New Roman" w:cs="Times New Roman"/>
          <w:b/>
          <w:bCs/>
        </w:rPr>
        <w:t>K</w:t>
      </w:r>
      <w:r w:rsidR="001A7C44" w:rsidRPr="004817D7">
        <w:rPr>
          <w:rFonts w:ascii="Times New Roman" w:hAnsi="Times New Roman" w:cs="Times New Roman"/>
          <w:b/>
          <w:bCs/>
        </w:rPr>
        <w:t>ey words</w:t>
      </w:r>
    </w:p>
    <w:p w14:paraId="1BA91E1C" w14:textId="7324CA4B" w:rsidR="004817D7" w:rsidRPr="001A7C44" w:rsidRDefault="004817D7" w:rsidP="002B168E">
      <w:pPr>
        <w:spacing w:line="480" w:lineRule="auto"/>
        <w:rPr>
          <w:rFonts w:ascii="Times New Roman" w:hAnsi="Times New Roman" w:cs="Times New Roman"/>
        </w:rPr>
      </w:pPr>
      <w:r>
        <w:rPr>
          <w:rFonts w:ascii="Times New Roman" w:hAnsi="Times New Roman" w:cs="Times New Roman"/>
        </w:rPr>
        <w:t>Osteomyelitis, Fever, Bone pain, Reiter’s syndrome, Ewing sarcoma, Erythema</w:t>
      </w:r>
    </w:p>
    <w:p w14:paraId="2B1B9EC7" w14:textId="16E78D69" w:rsidR="00DC73F9" w:rsidRDefault="00DC73F9" w:rsidP="002B168E">
      <w:pPr>
        <w:spacing w:line="480" w:lineRule="auto"/>
        <w:rPr>
          <w:rFonts w:ascii="Times New Roman" w:hAnsi="Times New Roman" w:cs="Times New Roman"/>
          <w:b/>
          <w:bCs/>
        </w:rPr>
      </w:pPr>
      <w:r>
        <w:rPr>
          <w:rFonts w:ascii="Times New Roman" w:hAnsi="Times New Roman" w:cs="Times New Roman"/>
          <w:b/>
          <w:bCs/>
        </w:rPr>
        <w:t>INTRODUCTION</w:t>
      </w:r>
    </w:p>
    <w:p w14:paraId="4C28A480" w14:textId="4D675F65" w:rsidR="00DC73F9" w:rsidRDefault="00DC73F9" w:rsidP="002B168E">
      <w:pPr>
        <w:spacing w:line="480" w:lineRule="auto"/>
        <w:rPr>
          <w:rFonts w:ascii="Times New Roman" w:hAnsi="Times New Roman" w:cs="Times New Roman"/>
        </w:rPr>
      </w:pPr>
      <w:r>
        <w:rPr>
          <w:rFonts w:ascii="Times New Roman" w:hAnsi="Times New Roman" w:cs="Times New Roman"/>
        </w:rPr>
        <w:t>Osteomyelitis is commonly known as inflammation of bone tissue caused by infection. This can occur either hematogenous route (bacteremia, sepsis) or direct contact (</w:t>
      </w:r>
      <w:r w:rsidR="00E63C71">
        <w:rPr>
          <w:rFonts w:ascii="Times New Roman" w:hAnsi="Times New Roman" w:cs="Times New Roman"/>
        </w:rPr>
        <w:t>trauma, surgery)</w:t>
      </w:r>
      <w:r w:rsidR="005E35E5">
        <w:rPr>
          <w:rFonts w:ascii="Times New Roman" w:hAnsi="Times New Roman" w:cs="Times New Roman"/>
        </w:rPr>
        <w:t xml:space="preserve">. </w:t>
      </w:r>
      <w:r w:rsidR="005E35E5">
        <w:rPr>
          <w:rFonts w:ascii="Times New Roman" w:hAnsi="Times New Roman" w:cs="Times New Roman"/>
          <w:vertAlign w:val="superscript"/>
        </w:rPr>
        <w:t xml:space="preserve">1 </w:t>
      </w:r>
      <w:r w:rsidR="00E63C71">
        <w:rPr>
          <w:rFonts w:ascii="Times New Roman" w:hAnsi="Times New Roman" w:cs="Times New Roman"/>
        </w:rPr>
        <w:t>This condition can present suddenly, slow/mild onset or chronically, depending on the source of the infection. Symptoms ranges from fever, bone pain on the affected area, edema with hyperemia of the affected area, warmth, to difficulty bearing weight or movement on the affected bone.</w:t>
      </w:r>
    </w:p>
    <w:p w14:paraId="36AE40DE" w14:textId="22D68409" w:rsidR="00E63C71" w:rsidRDefault="00E63C71" w:rsidP="002B168E">
      <w:pPr>
        <w:spacing w:line="480" w:lineRule="auto"/>
        <w:rPr>
          <w:rFonts w:ascii="Times New Roman" w:hAnsi="Times New Roman" w:cs="Times New Roman"/>
        </w:rPr>
      </w:pPr>
      <w:r>
        <w:rPr>
          <w:rFonts w:ascii="Times New Roman" w:hAnsi="Times New Roman" w:cs="Times New Roman"/>
        </w:rPr>
        <w:t xml:space="preserve">Reiter’s syndrome, on the other hand, is a form of arthritis that </w:t>
      </w:r>
      <w:r w:rsidR="006F3722">
        <w:rPr>
          <w:rFonts w:ascii="Times New Roman" w:hAnsi="Times New Roman" w:cs="Times New Roman"/>
        </w:rPr>
        <w:t>is triggered by an infection in another part of the body</w:t>
      </w:r>
      <w:r w:rsidR="005E35E5">
        <w:rPr>
          <w:rFonts w:ascii="Times New Roman" w:hAnsi="Times New Roman" w:cs="Times New Roman"/>
        </w:rPr>
        <w:t>.</w:t>
      </w:r>
      <w:r w:rsidR="005E35E5">
        <w:rPr>
          <w:rFonts w:ascii="Times New Roman" w:hAnsi="Times New Roman" w:cs="Times New Roman"/>
          <w:vertAlign w:val="superscript"/>
        </w:rPr>
        <w:t>2</w:t>
      </w:r>
      <w:r w:rsidR="005E35E5">
        <w:rPr>
          <w:rFonts w:ascii="Times New Roman" w:hAnsi="Times New Roman" w:cs="Times New Roman"/>
        </w:rPr>
        <w:t xml:space="preserve"> </w:t>
      </w:r>
      <w:r w:rsidR="006F3722">
        <w:rPr>
          <w:rFonts w:ascii="Times New Roman" w:hAnsi="Times New Roman" w:cs="Times New Roman"/>
        </w:rPr>
        <w:t xml:space="preserve">It also </w:t>
      </w:r>
      <w:r>
        <w:rPr>
          <w:rFonts w:ascii="Times New Roman" w:hAnsi="Times New Roman" w:cs="Times New Roman"/>
        </w:rPr>
        <w:t>presents with joint pain, swelling, redness, and similar symptoms with osteomyelitis. What sets these two disease</w:t>
      </w:r>
      <w:r w:rsidR="006F3722">
        <w:rPr>
          <w:rFonts w:ascii="Times New Roman" w:hAnsi="Times New Roman" w:cs="Times New Roman"/>
        </w:rPr>
        <w:t xml:space="preserve">s </w:t>
      </w:r>
      <w:r>
        <w:rPr>
          <w:rFonts w:ascii="Times New Roman" w:hAnsi="Times New Roman" w:cs="Times New Roman"/>
        </w:rPr>
        <w:t>apart is that the later, presents with clinical symptoms such as conjuncti</w:t>
      </w:r>
      <w:r w:rsidR="006F3722">
        <w:rPr>
          <w:rFonts w:ascii="Times New Roman" w:hAnsi="Times New Roman" w:cs="Times New Roman"/>
        </w:rPr>
        <w:t>vitis, sores in the soft palate, urinary tract infection and in some cases, body rashes. It is very uncommon to see a patient presenting with Reiter’s syndrome</w:t>
      </w:r>
      <w:r w:rsidR="007C27D2">
        <w:rPr>
          <w:rFonts w:ascii="Times New Roman" w:hAnsi="Times New Roman" w:cs="Times New Roman"/>
        </w:rPr>
        <w:t xml:space="preserve"> with </w:t>
      </w:r>
      <w:r w:rsidR="006F3722">
        <w:rPr>
          <w:rFonts w:ascii="Times New Roman" w:hAnsi="Times New Roman" w:cs="Times New Roman"/>
        </w:rPr>
        <w:t xml:space="preserve">an underlying </w:t>
      </w:r>
      <w:r w:rsidR="007C27D2">
        <w:rPr>
          <w:rFonts w:ascii="Times New Roman" w:hAnsi="Times New Roman" w:cs="Times New Roman"/>
        </w:rPr>
        <w:t>diagnosis of osteomyelitis. Here, we present such case.</w:t>
      </w:r>
    </w:p>
    <w:p w14:paraId="1A94094A" w14:textId="77777777" w:rsidR="005E35E5" w:rsidRDefault="005E35E5" w:rsidP="002B168E">
      <w:pPr>
        <w:spacing w:line="480" w:lineRule="auto"/>
        <w:rPr>
          <w:rFonts w:ascii="Times New Roman" w:hAnsi="Times New Roman" w:cs="Times New Roman"/>
        </w:rPr>
      </w:pPr>
    </w:p>
    <w:p w14:paraId="08DE725C" w14:textId="58D5DF67" w:rsidR="002D0980" w:rsidRDefault="002D0980" w:rsidP="002B168E">
      <w:pPr>
        <w:spacing w:line="480" w:lineRule="auto"/>
        <w:rPr>
          <w:rFonts w:ascii="Times New Roman" w:hAnsi="Times New Roman" w:cs="Times New Roman"/>
        </w:rPr>
      </w:pPr>
    </w:p>
    <w:p w14:paraId="1FE86429" w14:textId="77777777" w:rsidR="002D0980" w:rsidRDefault="002D0980" w:rsidP="002B168E">
      <w:pPr>
        <w:spacing w:line="480" w:lineRule="auto"/>
        <w:rPr>
          <w:rFonts w:ascii="Times New Roman" w:hAnsi="Times New Roman" w:cs="Times New Roman"/>
        </w:rPr>
      </w:pPr>
    </w:p>
    <w:p w14:paraId="4CBF8150" w14:textId="77777777" w:rsidR="007C27D2" w:rsidRDefault="007C27D2" w:rsidP="002B168E">
      <w:pPr>
        <w:spacing w:line="480" w:lineRule="auto"/>
        <w:rPr>
          <w:rFonts w:ascii="Times New Roman" w:hAnsi="Times New Roman" w:cs="Times New Roman"/>
        </w:rPr>
      </w:pPr>
    </w:p>
    <w:p w14:paraId="4F477F1A" w14:textId="69D0AAFC" w:rsidR="007C27D2" w:rsidRDefault="007C27D2" w:rsidP="002B168E">
      <w:pPr>
        <w:spacing w:line="480" w:lineRule="auto"/>
        <w:rPr>
          <w:rFonts w:ascii="Times New Roman" w:hAnsi="Times New Roman" w:cs="Times New Roman"/>
          <w:b/>
          <w:bCs/>
        </w:rPr>
      </w:pPr>
      <w:r w:rsidRPr="007C27D2">
        <w:rPr>
          <w:rFonts w:ascii="Times New Roman" w:hAnsi="Times New Roman" w:cs="Times New Roman"/>
          <w:b/>
          <w:bCs/>
        </w:rPr>
        <w:t>CASE PRESENTATION</w:t>
      </w:r>
    </w:p>
    <w:p w14:paraId="053C65FC" w14:textId="2422940A" w:rsidR="007C27D2" w:rsidRDefault="007C27D2" w:rsidP="002B168E">
      <w:pPr>
        <w:spacing w:line="480" w:lineRule="auto"/>
        <w:rPr>
          <w:rFonts w:ascii="Times New Roman" w:hAnsi="Times New Roman" w:cs="Times New Roman"/>
        </w:rPr>
      </w:pPr>
      <w:r>
        <w:rPr>
          <w:rFonts w:ascii="Times New Roman" w:hAnsi="Times New Roman" w:cs="Times New Roman"/>
        </w:rPr>
        <w:t>A 16-year-old boy was brought to the hospital</w:t>
      </w:r>
      <w:r w:rsidR="0019659A">
        <w:rPr>
          <w:rFonts w:ascii="Times New Roman" w:hAnsi="Times New Roman" w:cs="Times New Roman"/>
        </w:rPr>
        <w:t xml:space="preserve"> by his mother with complains of fever, </w:t>
      </w:r>
      <w:r w:rsidR="00060919">
        <w:rPr>
          <w:rFonts w:ascii="Times New Roman" w:hAnsi="Times New Roman" w:cs="Times New Roman"/>
        </w:rPr>
        <w:t>fatigue,</w:t>
      </w:r>
      <w:r w:rsidR="0019659A">
        <w:rPr>
          <w:rFonts w:ascii="Times New Roman" w:hAnsi="Times New Roman" w:cs="Times New Roman"/>
        </w:rPr>
        <w:t xml:space="preserve"> abdominal </w:t>
      </w:r>
      <w:r w:rsidR="00060919">
        <w:rPr>
          <w:rFonts w:ascii="Times New Roman" w:hAnsi="Times New Roman" w:cs="Times New Roman"/>
        </w:rPr>
        <w:t>pain,</w:t>
      </w:r>
      <w:r w:rsidR="0019659A">
        <w:rPr>
          <w:rFonts w:ascii="Times New Roman" w:hAnsi="Times New Roman" w:cs="Times New Roman"/>
        </w:rPr>
        <w:t xml:space="preserve"> and anorexia</w:t>
      </w:r>
      <w:r w:rsidR="00060919">
        <w:rPr>
          <w:rFonts w:ascii="Times New Roman" w:hAnsi="Times New Roman" w:cs="Times New Roman"/>
        </w:rPr>
        <w:t xml:space="preserve"> in the last 5 month. Patient’s mother assumed he had stomach bug and administered 400mg </w:t>
      </w:r>
      <w:r w:rsidR="00D455B2">
        <w:rPr>
          <w:rFonts w:ascii="Times New Roman" w:hAnsi="Times New Roman" w:cs="Times New Roman"/>
        </w:rPr>
        <w:t xml:space="preserve">of </w:t>
      </w:r>
      <w:proofErr w:type="spellStart"/>
      <w:r w:rsidR="00D455B2">
        <w:rPr>
          <w:rFonts w:ascii="Times New Roman" w:hAnsi="Times New Roman" w:cs="Times New Roman"/>
        </w:rPr>
        <w:t>Flagil</w:t>
      </w:r>
      <w:proofErr w:type="spellEnd"/>
      <w:r w:rsidR="00060919">
        <w:rPr>
          <w:rFonts w:ascii="Times New Roman" w:hAnsi="Times New Roman" w:cs="Times New Roman"/>
        </w:rPr>
        <w:t xml:space="preserve"> (metronidazole)</w:t>
      </w:r>
      <w:r w:rsidR="00D455B2">
        <w:rPr>
          <w:rFonts w:ascii="Times New Roman" w:hAnsi="Times New Roman" w:cs="Times New Roman"/>
        </w:rPr>
        <w:t xml:space="preserve"> tablet and Tylenol which relieved the symptoms. Three months after the first episode, abdominal pain returns, this time is accompanied with </w:t>
      </w:r>
      <w:r w:rsidR="006A6B92">
        <w:rPr>
          <w:rFonts w:ascii="Times New Roman" w:hAnsi="Times New Roman" w:cs="Times New Roman"/>
        </w:rPr>
        <w:t xml:space="preserve">conjunctivitis, </w:t>
      </w:r>
      <w:r w:rsidR="0038302A">
        <w:rPr>
          <w:rFonts w:ascii="Times New Roman" w:hAnsi="Times New Roman" w:cs="Times New Roman"/>
        </w:rPr>
        <w:t xml:space="preserve">urethritis, </w:t>
      </w:r>
      <w:r w:rsidR="00D455B2">
        <w:rPr>
          <w:rFonts w:ascii="Times New Roman" w:hAnsi="Times New Roman" w:cs="Times New Roman"/>
        </w:rPr>
        <w:t xml:space="preserve">left knee, ankle and </w:t>
      </w:r>
      <w:r w:rsidR="002D3C18">
        <w:rPr>
          <w:rFonts w:ascii="Times New Roman" w:hAnsi="Times New Roman" w:cs="Times New Roman"/>
        </w:rPr>
        <w:t>pain on 2</w:t>
      </w:r>
      <w:r w:rsidR="002D3C18" w:rsidRPr="002D3C18">
        <w:rPr>
          <w:rFonts w:ascii="Times New Roman" w:hAnsi="Times New Roman" w:cs="Times New Roman"/>
          <w:vertAlign w:val="superscript"/>
        </w:rPr>
        <w:t>nd</w:t>
      </w:r>
      <w:r w:rsidR="002D3C18">
        <w:rPr>
          <w:rFonts w:ascii="Times New Roman" w:hAnsi="Times New Roman" w:cs="Times New Roman"/>
        </w:rPr>
        <w:t xml:space="preserve"> and 3</w:t>
      </w:r>
      <w:r w:rsidR="002D3C18" w:rsidRPr="002D3C18">
        <w:rPr>
          <w:rFonts w:ascii="Times New Roman" w:hAnsi="Times New Roman" w:cs="Times New Roman"/>
          <w:vertAlign w:val="superscript"/>
        </w:rPr>
        <w:t>rd</w:t>
      </w:r>
      <w:r w:rsidR="002D3C18">
        <w:rPr>
          <w:rFonts w:ascii="Times New Roman" w:hAnsi="Times New Roman" w:cs="Times New Roman"/>
        </w:rPr>
        <w:t xml:space="preserve"> toes</w:t>
      </w:r>
      <w:r w:rsidR="00D455B2">
        <w:rPr>
          <w:rFonts w:ascii="Times New Roman" w:hAnsi="Times New Roman" w:cs="Times New Roman"/>
        </w:rPr>
        <w:t xml:space="preserve">, fever </w:t>
      </w:r>
      <w:r w:rsidR="002D3C18">
        <w:rPr>
          <w:rFonts w:ascii="Times New Roman" w:hAnsi="Times New Roman" w:cs="Times New Roman"/>
        </w:rPr>
        <w:t>(104 Fahrenheit), anorexia, and fatigue. Patient was unable to bear weight on the left leg, which prompted his mother to seek medical attention.</w:t>
      </w:r>
    </w:p>
    <w:p w14:paraId="6D719C1D" w14:textId="58C0B71E" w:rsidR="002D3C18" w:rsidRDefault="002D3C18" w:rsidP="002B168E">
      <w:pPr>
        <w:spacing w:line="480" w:lineRule="auto"/>
        <w:rPr>
          <w:rFonts w:ascii="Times New Roman" w:hAnsi="Times New Roman" w:cs="Times New Roman"/>
        </w:rPr>
      </w:pPr>
      <w:r>
        <w:rPr>
          <w:rFonts w:ascii="Times New Roman" w:hAnsi="Times New Roman" w:cs="Times New Roman"/>
        </w:rPr>
        <w:t>Patient has no prior medical history of osteomyelitis</w:t>
      </w:r>
      <w:r w:rsidR="002D0980">
        <w:rPr>
          <w:rFonts w:ascii="Times New Roman" w:hAnsi="Times New Roman" w:cs="Times New Roman"/>
        </w:rPr>
        <w:t xml:space="preserve"> or chronic health condition</w:t>
      </w:r>
      <w:r>
        <w:rPr>
          <w:rFonts w:ascii="Times New Roman" w:hAnsi="Times New Roman" w:cs="Times New Roman"/>
        </w:rPr>
        <w:t>. His vaccination was up to date. He is not sexually active and is not on any prescription medication except for multivitamins. There Is no family history of chronic illness. BMI is 22kg/M</w:t>
      </w:r>
      <w:r>
        <w:rPr>
          <w:rFonts w:ascii="Times New Roman" w:hAnsi="Times New Roman" w:cs="Times New Roman"/>
          <w:vertAlign w:val="superscript"/>
        </w:rPr>
        <w:t>2</w:t>
      </w:r>
      <w:r>
        <w:rPr>
          <w:rFonts w:ascii="Times New Roman" w:hAnsi="Times New Roman" w:cs="Times New Roman"/>
        </w:rPr>
        <w:t>. He admitted having had a slight cut on his left thigh while playing soccer in school which was cleansed with sterile solution and treated by the school nurse 6 months prior.</w:t>
      </w:r>
    </w:p>
    <w:p w14:paraId="2B929A33" w14:textId="67060175" w:rsidR="002D3C18" w:rsidRDefault="002D3C18" w:rsidP="002B168E">
      <w:pPr>
        <w:spacing w:line="480" w:lineRule="auto"/>
        <w:rPr>
          <w:rFonts w:ascii="Times New Roman" w:hAnsi="Times New Roman" w:cs="Times New Roman"/>
        </w:rPr>
      </w:pPr>
      <w:r>
        <w:rPr>
          <w:rFonts w:ascii="Times New Roman" w:hAnsi="Times New Roman" w:cs="Times New Roman"/>
        </w:rPr>
        <w:t xml:space="preserve">On clinical examination, He had edema, </w:t>
      </w:r>
      <w:r w:rsidR="0096251C">
        <w:rPr>
          <w:rFonts w:ascii="Times New Roman" w:hAnsi="Times New Roman" w:cs="Times New Roman"/>
        </w:rPr>
        <w:t>erythema</w:t>
      </w:r>
      <w:r>
        <w:rPr>
          <w:rFonts w:ascii="Times New Roman" w:hAnsi="Times New Roman" w:cs="Times New Roman"/>
        </w:rPr>
        <w:t xml:space="preserve"> and tenderness of his left knee and left 2</w:t>
      </w:r>
      <w:r w:rsidRPr="002D3C18">
        <w:rPr>
          <w:rFonts w:ascii="Times New Roman" w:hAnsi="Times New Roman" w:cs="Times New Roman"/>
          <w:vertAlign w:val="superscript"/>
        </w:rPr>
        <w:t>nd</w:t>
      </w:r>
      <w:r>
        <w:rPr>
          <w:rFonts w:ascii="Times New Roman" w:hAnsi="Times New Roman" w:cs="Times New Roman"/>
        </w:rPr>
        <w:t xml:space="preserve"> &amp; 3</w:t>
      </w:r>
      <w:r w:rsidRPr="002D3C18">
        <w:rPr>
          <w:rFonts w:ascii="Times New Roman" w:hAnsi="Times New Roman" w:cs="Times New Roman"/>
          <w:vertAlign w:val="superscript"/>
        </w:rPr>
        <w:t>rd</w:t>
      </w:r>
      <w:r>
        <w:rPr>
          <w:rFonts w:ascii="Times New Roman" w:hAnsi="Times New Roman" w:cs="Times New Roman"/>
        </w:rPr>
        <w:t xml:space="preserve"> metatarsal joints which felt warm to touch.</w:t>
      </w:r>
      <w:r w:rsidR="006A6B92">
        <w:rPr>
          <w:rFonts w:ascii="Times New Roman" w:hAnsi="Times New Roman" w:cs="Times New Roman"/>
        </w:rPr>
        <w:t xml:space="preserve"> He was unable to bear weight at all on his left leg. The right leg appeared normal. On palpation of the abdomen, there was tenderness on the suprapubic region. Further examination revealed bilateral conjunctivitis with clear watery </w:t>
      </w:r>
      <w:r w:rsidR="002D0980">
        <w:rPr>
          <w:rFonts w:ascii="Times New Roman" w:hAnsi="Times New Roman" w:cs="Times New Roman"/>
        </w:rPr>
        <w:t>discharge</w:t>
      </w:r>
      <w:r w:rsidR="006A6B92">
        <w:rPr>
          <w:rFonts w:ascii="Times New Roman" w:hAnsi="Times New Roman" w:cs="Times New Roman"/>
        </w:rPr>
        <w:t xml:space="preserve"> and crust. Temperature was (102F), tachypnea at 20 breath per minute (BPM), and tachycardia at 110 beats per minute (bpm). Blood pressure was normal at 115/72 mmHg. Patient appeared toxic and fatigued.</w:t>
      </w:r>
    </w:p>
    <w:p w14:paraId="2B398229" w14:textId="035D8F73" w:rsidR="006A6B92" w:rsidRDefault="006A6B92" w:rsidP="002B168E">
      <w:pPr>
        <w:spacing w:line="480" w:lineRule="auto"/>
        <w:rPr>
          <w:rFonts w:ascii="Times New Roman" w:hAnsi="Times New Roman" w:cs="Times New Roman"/>
        </w:rPr>
      </w:pPr>
      <w:r>
        <w:rPr>
          <w:rFonts w:ascii="Times New Roman" w:hAnsi="Times New Roman" w:cs="Times New Roman"/>
        </w:rPr>
        <w:t xml:space="preserve">Clinical investigations were started. Urinalysis, blood culture, complete blood count, </w:t>
      </w:r>
      <w:proofErr w:type="spellStart"/>
      <w:r>
        <w:rPr>
          <w:rFonts w:ascii="Times New Roman" w:hAnsi="Times New Roman" w:cs="Times New Roman"/>
        </w:rPr>
        <w:t>widal</w:t>
      </w:r>
      <w:proofErr w:type="spellEnd"/>
      <w:r>
        <w:rPr>
          <w:rFonts w:ascii="Times New Roman" w:hAnsi="Times New Roman" w:cs="Times New Roman"/>
        </w:rPr>
        <w:t xml:space="preserve"> test, serology for gonorrhea and chlamydia, </w:t>
      </w:r>
      <w:r w:rsidR="00122141">
        <w:rPr>
          <w:rFonts w:ascii="Times New Roman" w:hAnsi="Times New Roman" w:cs="Times New Roman"/>
        </w:rPr>
        <w:t xml:space="preserve">and arthrocentesis were ordered. MRI of the left leg was </w:t>
      </w:r>
      <w:r w:rsidR="00122141">
        <w:rPr>
          <w:rFonts w:ascii="Times New Roman" w:hAnsi="Times New Roman" w:cs="Times New Roman"/>
        </w:rPr>
        <w:lastRenderedPageBreak/>
        <w:t xml:space="preserve">also done. Nucleic acid amplification test (NAAT) was negative for gonorrhea and chlamydia. </w:t>
      </w:r>
      <w:proofErr w:type="spellStart"/>
      <w:r w:rsidR="00122141">
        <w:rPr>
          <w:rFonts w:ascii="Times New Roman" w:hAnsi="Times New Roman" w:cs="Times New Roman"/>
        </w:rPr>
        <w:t>Widal</w:t>
      </w:r>
      <w:proofErr w:type="spellEnd"/>
      <w:r w:rsidR="00122141">
        <w:rPr>
          <w:rFonts w:ascii="Times New Roman" w:hAnsi="Times New Roman" w:cs="Times New Roman"/>
        </w:rPr>
        <w:t xml:space="preserve"> test was also negative for typhoid fever. Urinalysis revealed leukocytosis and no bacteriuria. However, arthrocentesis analysis was positive for staph. Aureus infection and leukocytosis. MRI revealed osteomyelitis of left knee [Figure 1]</w:t>
      </w:r>
      <w:r w:rsidR="00994F8B">
        <w:rPr>
          <w:rFonts w:ascii="Times New Roman" w:hAnsi="Times New Roman" w:cs="Times New Roman"/>
        </w:rPr>
        <w:t>. There was also evidence of soft tissue swelling on the scan [Figure 2]. A final diagnosis of osteomyelitis of the Left knee was made. It was obvious that the bone infection was what triggered the Reiter’s syndrome in our patient.</w:t>
      </w:r>
    </w:p>
    <w:p w14:paraId="3754F330" w14:textId="48406062" w:rsidR="00994F8B" w:rsidRDefault="00994F8B" w:rsidP="002B168E">
      <w:pPr>
        <w:spacing w:line="480" w:lineRule="auto"/>
        <w:rPr>
          <w:rFonts w:ascii="Times New Roman" w:hAnsi="Times New Roman" w:cs="Times New Roman"/>
        </w:rPr>
      </w:pPr>
      <w:r>
        <w:rPr>
          <w:rFonts w:ascii="Times New Roman" w:hAnsi="Times New Roman" w:cs="Times New Roman"/>
        </w:rPr>
        <w:t>Treatment for osteomyelitis was initiated immediately with</w:t>
      </w:r>
      <w:r w:rsidR="00775DB2">
        <w:rPr>
          <w:rFonts w:ascii="Times New Roman" w:hAnsi="Times New Roman" w:cs="Times New Roman"/>
        </w:rPr>
        <w:t xml:space="preserve"> </w:t>
      </w:r>
      <w:r>
        <w:rPr>
          <w:rFonts w:ascii="Times New Roman" w:hAnsi="Times New Roman" w:cs="Times New Roman"/>
        </w:rPr>
        <w:t>antibiotics</w:t>
      </w:r>
      <w:r w:rsidR="00775DB2">
        <w:rPr>
          <w:rFonts w:ascii="Times New Roman" w:hAnsi="Times New Roman" w:cs="Times New Roman"/>
        </w:rPr>
        <w:t xml:space="preserve"> </w:t>
      </w:r>
      <w:r w:rsidR="000D240F">
        <w:rPr>
          <w:rFonts w:ascii="Times New Roman" w:hAnsi="Times New Roman" w:cs="Times New Roman"/>
        </w:rPr>
        <w:t>(IV</w:t>
      </w:r>
      <w:r w:rsidR="00775DB2">
        <w:rPr>
          <w:rFonts w:ascii="Times New Roman" w:hAnsi="Times New Roman" w:cs="Times New Roman"/>
        </w:rPr>
        <w:t xml:space="preserve"> 500mg vancomycin every 6 hours at 10mg/minute </w:t>
      </w:r>
      <w:r w:rsidR="000D240F">
        <w:rPr>
          <w:rFonts w:ascii="Times New Roman" w:hAnsi="Times New Roman" w:cs="Times New Roman"/>
        </w:rPr>
        <w:t xml:space="preserve">on days 1 and 2. On day 3, it was switched to oral 1g BID for 4 weeks upon discharge from hospital. Oral Bactrim (2 tablets BID) was administered and was also to be continued for 5 days following discharge. Patient’s overall health condition was stabilized on day 3 of in-hospital </w:t>
      </w:r>
      <w:r w:rsidR="00DE1549">
        <w:rPr>
          <w:rFonts w:ascii="Times New Roman" w:hAnsi="Times New Roman" w:cs="Times New Roman"/>
        </w:rPr>
        <w:t xml:space="preserve">treatment and </w:t>
      </w:r>
      <w:r w:rsidR="005E35E5">
        <w:rPr>
          <w:rFonts w:ascii="Times New Roman" w:hAnsi="Times New Roman" w:cs="Times New Roman"/>
        </w:rPr>
        <w:t xml:space="preserve">he </w:t>
      </w:r>
      <w:r w:rsidR="00DE1549">
        <w:rPr>
          <w:rFonts w:ascii="Times New Roman" w:hAnsi="Times New Roman" w:cs="Times New Roman"/>
        </w:rPr>
        <w:t xml:space="preserve">was discharged </w:t>
      </w:r>
      <w:r w:rsidR="005E35E5">
        <w:rPr>
          <w:rFonts w:ascii="Times New Roman" w:hAnsi="Times New Roman" w:cs="Times New Roman"/>
        </w:rPr>
        <w:t xml:space="preserve">home </w:t>
      </w:r>
      <w:r w:rsidR="00DE1549">
        <w:rPr>
          <w:rFonts w:ascii="Times New Roman" w:hAnsi="Times New Roman" w:cs="Times New Roman"/>
        </w:rPr>
        <w:t>on the third day with a planned follow-up visit with his primary care physician. Six months following hospital discharge, patient’s bone scans and lab workups showed complete resolution of all symptoms, and he had since returned to his regular activities and school.</w:t>
      </w:r>
    </w:p>
    <w:p w14:paraId="7C9ABCA0" w14:textId="0371DA9A" w:rsidR="007C27D2" w:rsidRDefault="00DE1549" w:rsidP="002B168E">
      <w:pPr>
        <w:spacing w:line="480" w:lineRule="auto"/>
        <w:rPr>
          <w:rFonts w:ascii="Times New Roman" w:hAnsi="Times New Roman" w:cs="Times New Roman"/>
          <w:b/>
          <w:bCs/>
        </w:rPr>
      </w:pPr>
      <w:r w:rsidRPr="00DE1549">
        <w:rPr>
          <w:rFonts w:ascii="Times New Roman" w:hAnsi="Times New Roman" w:cs="Times New Roman"/>
          <w:b/>
          <w:bCs/>
        </w:rPr>
        <w:t>DISCUSSION</w:t>
      </w:r>
    </w:p>
    <w:p w14:paraId="41DBEC16" w14:textId="67620E1F" w:rsidR="0096251C" w:rsidRDefault="0096251C" w:rsidP="002B168E">
      <w:pPr>
        <w:spacing w:line="480" w:lineRule="auto"/>
        <w:rPr>
          <w:rFonts w:ascii="Times New Roman" w:hAnsi="Times New Roman" w:cs="Times New Roman"/>
        </w:rPr>
      </w:pPr>
      <w:r>
        <w:rPr>
          <w:rFonts w:ascii="Times New Roman" w:hAnsi="Times New Roman" w:cs="Times New Roman"/>
        </w:rPr>
        <w:t xml:space="preserve">There are few other disease conditions that have similar clinical presentations with osteomyelitis. They are Gout arthritis, disseminated gonococcal arthritis, and Ewing sarcoma to name a few. The </w:t>
      </w:r>
      <w:r w:rsidR="00772852">
        <w:rPr>
          <w:rFonts w:ascii="Times New Roman" w:hAnsi="Times New Roman" w:cs="Times New Roman"/>
        </w:rPr>
        <w:t>disease</w:t>
      </w:r>
      <w:r>
        <w:rPr>
          <w:rFonts w:ascii="Times New Roman" w:hAnsi="Times New Roman" w:cs="Times New Roman"/>
        </w:rPr>
        <w:t xml:space="preserve"> conditions can be seen in patients of similar age group as our patient.</w:t>
      </w:r>
      <w:r w:rsidR="00772852">
        <w:rPr>
          <w:rFonts w:ascii="Times New Roman" w:hAnsi="Times New Roman" w:cs="Times New Roman"/>
        </w:rPr>
        <w:t xml:space="preserve"> Reiter’s syndrome can be triggered </w:t>
      </w:r>
      <w:r w:rsidR="0038302A">
        <w:rPr>
          <w:rFonts w:ascii="Times New Roman" w:hAnsi="Times New Roman" w:cs="Times New Roman"/>
        </w:rPr>
        <w:t>any infection especially bacteria, and on few occasion viruses</w:t>
      </w:r>
      <w:r w:rsidR="005E35E5">
        <w:rPr>
          <w:rFonts w:ascii="Times New Roman" w:hAnsi="Times New Roman" w:cs="Times New Roman"/>
        </w:rPr>
        <w:t>.</w:t>
      </w:r>
      <w:r w:rsidR="005E35E5">
        <w:rPr>
          <w:rFonts w:ascii="Times New Roman" w:hAnsi="Times New Roman" w:cs="Times New Roman"/>
          <w:vertAlign w:val="superscript"/>
        </w:rPr>
        <w:t>3</w:t>
      </w:r>
      <w:r w:rsidR="005E35E5">
        <w:rPr>
          <w:rFonts w:ascii="Times New Roman" w:hAnsi="Times New Roman" w:cs="Times New Roman"/>
        </w:rPr>
        <w:t xml:space="preserve"> </w:t>
      </w:r>
      <w:r w:rsidR="0038302A">
        <w:rPr>
          <w:rFonts w:ascii="Times New Roman" w:hAnsi="Times New Roman" w:cs="Times New Roman"/>
        </w:rPr>
        <w:t>It can also be seen in patients with Gout, and Ewing sarcoma and so this syndrome could mask any inflammatory condition resulting in misdiagnosis of serious diseases. Ewing sarcoma and Gout affect the knee with similar clinical symptoms. Knee pain in gout arthritis is caused by</w:t>
      </w:r>
      <w:r w:rsidR="00FE1B0B">
        <w:rPr>
          <w:rFonts w:ascii="Times New Roman" w:hAnsi="Times New Roman" w:cs="Times New Roman"/>
        </w:rPr>
        <w:t xml:space="preserve"> </w:t>
      </w:r>
      <w:r w:rsidR="00FE1B0B">
        <w:rPr>
          <w:rFonts w:ascii="Times New Roman" w:hAnsi="Times New Roman" w:cs="Times New Roman"/>
        </w:rPr>
        <w:lastRenderedPageBreak/>
        <w:t>accumulation of uric acid crystals in the knee joints which can be detected by special staining of needle aspirate from synovial fluid</w:t>
      </w:r>
      <w:r w:rsidR="005E35E5">
        <w:rPr>
          <w:rFonts w:ascii="Times New Roman" w:hAnsi="Times New Roman" w:cs="Times New Roman"/>
        </w:rPr>
        <w:t>.</w:t>
      </w:r>
      <w:r w:rsidR="005E35E5">
        <w:rPr>
          <w:rFonts w:ascii="Times New Roman" w:hAnsi="Times New Roman" w:cs="Times New Roman"/>
          <w:vertAlign w:val="superscript"/>
        </w:rPr>
        <w:t xml:space="preserve">4 </w:t>
      </w:r>
      <w:r w:rsidR="005E35E5">
        <w:rPr>
          <w:rFonts w:ascii="Times New Roman" w:hAnsi="Times New Roman" w:cs="Times New Roman"/>
        </w:rPr>
        <w:t>These</w:t>
      </w:r>
      <w:r w:rsidR="00FE1B0B">
        <w:rPr>
          <w:rFonts w:ascii="Times New Roman" w:hAnsi="Times New Roman" w:cs="Times New Roman"/>
        </w:rPr>
        <w:t xml:space="preserve"> crystals (negative birefringent) were absent in our patient which ruled out gouty arthritis. Ewing sarcoma on </w:t>
      </w:r>
      <w:r w:rsidR="00BA1FFE">
        <w:rPr>
          <w:rFonts w:ascii="Times New Roman" w:hAnsi="Times New Roman" w:cs="Times New Roman"/>
        </w:rPr>
        <w:t>radiography, often have features such as, a wide transition zone, a Codman triangle, and periosteal reaction resembling onion skinning</w:t>
      </w:r>
      <w:r w:rsidR="005E35E5">
        <w:rPr>
          <w:rFonts w:ascii="Times New Roman" w:hAnsi="Times New Roman" w:cs="Times New Roman"/>
        </w:rPr>
        <w:t>.</w:t>
      </w:r>
      <w:r w:rsidR="005E35E5">
        <w:rPr>
          <w:rFonts w:ascii="Times New Roman" w:hAnsi="Times New Roman" w:cs="Times New Roman"/>
          <w:vertAlign w:val="superscript"/>
        </w:rPr>
        <w:t xml:space="preserve">5 </w:t>
      </w:r>
      <w:r w:rsidR="00BA1FFE">
        <w:rPr>
          <w:rFonts w:ascii="Times New Roman" w:hAnsi="Times New Roman" w:cs="Times New Roman"/>
        </w:rPr>
        <w:t xml:space="preserve">These were not evident on our patient’s MRI scan, which, again rules out Ewing sarcoma. </w:t>
      </w:r>
      <w:r w:rsidR="008C311A">
        <w:rPr>
          <w:rFonts w:ascii="Times New Roman" w:hAnsi="Times New Roman" w:cs="Times New Roman"/>
        </w:rPr>
        <w:t>More so</w:t>
      </w:r>
      <w:r w:rsidR="00BA1FFE">
        <w:rPr>
          <w:rFonts w:ascii="Times New Roman" w:hAnsi="Times New Roman" w:cs="Times New Roman"/>
        </w:rPr>
        <w:t xml:space="preserve">, </w:t>
      </w:r>
      <w:r w:rsidR="008C311A">
        <w:rPr>
          <w:rFonts w:ascii="Times New Roman" w:hAnsi="Times New Roman" w:cs="Times New Roman"/>
        </w:rPr>
        <w:t>African Americans</w:t>
      </w:r>
      <w:r w:rsidR="00BA1FFE">
        <w:rPr>
          <w:rFonts w:ascii="Times New Roman" w:hAnsi="Times New Roman" w:cs="Times New Roman"/>
        </w:rPr>
        <w:t xml:space="preserve"> are more likely to have osteomyelitis</w:t>
      </w:r>
      <w:r w:rsidR="008C311A">
        <w:rPr>
          <w:rFonts w:ascii="Times New Roman" w:hAnsi="Times New Roman" w:cs="Times New Roman"/>
        </w:rPr>
        <w:t xml:space="preserve">, compared to white population who are more likely to have Ewing’s sarcoma. According to the results of multiple regression analysis based on ethnicity. </w:t>
      </w:r>
      <w:r w:rsidR="00D4415C">
        <w:rPr>
          <w:rFonts w:ascii="Times New Roman" w:hAnsi="Times New Roman" w:cs="Times New Roman"/>
        </w:rPr>
        <w:t>On</w:t>
      </w:r>
      <w:r w:rsidR="008C311A">
        <w:rPr>
          <w:rFonts w:ascii="Times New Roman" w:hAnsi="Times New Roman" w:cs="Times New Roman"/>
        </w:rPr>
        <w:t xml:space="preserve"> </w:t>
      </w:r>
      <w:r w:rsidR="00581CC0">
        <w:rPr>
          <w:rFonts w:ascii="Times New Roman" w:hAnsi="Times New Roman" w:cs="Times New Roman"/>
        </w:rPr>
        <w:t>few occasions</w:t>
      </w:r>
      <w:r w:rsidR="008C311A">
        <w:rPr>
          <w:rFonts w:ascii="Times New Roman" w:hAnsi="Times New Roman" w:cs="Times New Roman"/>
        </w:rPr>
        <w:t xml:space="preserve">, Ewing’s sarcoma has been misdiagnosed with osteomyelitis, </w:t>
      </w:r>
      <w:r w:rsidR="00581CC0">
        <w:rPr>
          <w:rFonts w:ascii="Times New Roman" w:hAnsi="Times New Roman" w:cs="Times New Roman"/>
        </w:rPr>
        <w:t xml:space="preserve">which </w:t>
      </w:r>
      <w:r w:rsidR="008C311A">
        <w:rPr>
          <w:rFonts w:ascii="Times New Roman" w:hAnsi="Times New Roman" w:cs="Times New Roman"/>
        </w:rPr>
        <w:t>present</w:t>
      </w:r>
      <w:r w:rsidR="00581CC0">
        <w:rPr>
          <w:rFonts w:ascii="Times New Roman" w:hAnsi="Times New Roman" w:cs="Times New Roman"/>
        </w:rPr>
        <w:t xml:space="preserve">ed with </w:t>
      </w:r>
      <w:r w:rsidR="008C311A">
        <w:rPr>
          <w:rFonts w:ascii="Times New Roman" w:hAnsi="Times New Roman" w:cs="Times New Roman"/>
        </w:rPr>
        <w:t>similar features on MRI as osteomyelitis</w:t>
      </w:r>
      <w:r w:rsidR="005E35E5">
        <w:rPr>
          <w:rFonts w:ascii="Times New Roman" w:hAnsi="Times New Roman" w:cs="Times New Roman"/>
        </w:rPr>
        <w:t>.</w:t>
      </w:r>
      <w:r w:rsidR="005E35E5">
        <w:rPr>
          <w:rFonts w:ascii="Times New Roman" w:hAnsi="Times New Roman" w:cs="Times New Roman"/>
          <w:vertAlign w:val="superscript"/>
        </w:rPr>
        <w:t xml:space="preserve">6 </w:t>
      </w:r>
      <w:r w:rsidR="00581CC0">
        <w:rPr>
          <w:rFonts w:ascii="Times New Roman" w:hAnsi="Times New Roman" w:cs="Times New Roman"/>
        </w:rPr>
        <w:t>Other than ethnicity, Ewing’s sarcoma (EWS) and septic arthritis can present with same clinical features. In some cases, even biopsy finding can be inconclusive in diagnosing EWS</w:t>
      </w:r>
      <w:r w:rsidR="00D7057C">
        <w:rPr>
          <w:rFonts w:ascii="Times New Roman" w:hAnsi="Times New Roman" w:cs="Times New Roman"/>
        </w:rPr>
        <w:t>.</w:t>
      </w:r>
      <w:r w:rsidR="00D7057C">
        <w:rPr>
          <w:rFonts w:ascii="Times New Roman" w:hAnsi="Times New Roman" w:cs="Times New Roman"/>
          <w:vertAlign w:val="superscript"/>
        </w:rPr>
        <w:t>7</w:t>
      </w:r>
      <w:r w:rsidR="00581CC0">
        <w:rPr>
          <w:rFonts w:ascii="Times New Roman" w:hAnsi="Times New Roman" w:cs="Times New Roman"/>
        </w:rPr>
        <w:t xml:space="preserve"> Unfortunately, there are no definitive radiological diagnostic feature of EWS, thus, prompting the need for </w:t>
      </w:r>
      <w:r w:rsidR="00D4415C">
        <w:rPr>
          <w:rFonts w:ascii="Times New Roman" w:hAnsi="Times New Roman" w:cs="Times New Roman"/>
        </w:rPr>
        <w:t>invasive diagnostic testing such as open and percutaneous biopsies in children with diagnosis of osteomyelitis.</w:t>
      </w:r>
    </w:p>
    <w:p w14:paraId="2277CAFF" w14:textId="72792A78" w:rsidR="00D4415C" w:rsidRDefault="00D4415C" w:rsidP="002B168E">
      <w:pPr>
        <w:spacing w:line="480" w:lineRule="auto"/>
        <w:rPr>
          <w:rFonts w:ascii="Times New Roman" w:hAnsi="Times New Roman" w:cs="Times New Roman"/>
        </w:rPr>
      </w:pPr>
      <w:r>
        <w:rPr>
          <w:rFonts w:ascii="Times New Roman" w:hAnsi="Times New Roman" w:cs="Times New Roman"/>
        </w:rPr>
        <w:t>Gonococcal arthritis is grouped under septic arthritis and can be diagnosed with NAAT of synovial fluid. This was negative in our patient who also has never had any sexual activities prior to symptom onset, ruling out septic arthritis due to STIs.</w:t>
      </w:r>
    </w:p>
    <w:p w14:paraId="333C47E0" w14:textId="2F9CA677" w:rsidR="00D4415C" w:rsidRDefault="00D4415C" w:rsidP="002B168E">
      <w:pPr>
        <w:spacing w:line="480" w:lineRule="auto"/>
        <w:rPr>
          <w:rFonts w:ascii="Times New Roman" w:hAnsi="Times New Roman" w:cs="Times New Roman"/>
        </w:rPr>
      </w:pPr>
      <w:r>
        <w:rPr>
          <w:rFonts w:ascii="Times New Roman" w:hAnsi="Times New Roman" w:cs="Times New Roman"/>
        </w:rPr>
        <w:t>In conclusion, reactive arthritis (Reiter’s syndrome) should not be diagnosed as a disease condition, but rather, as a forerunner of a more serious health condition. Our patient’s osteomyelitis could be due to the injury he acquired 6 months prior, which was not adequately treated</w:t>
      </w:r>
      <w:r w:rsidR="00A2157E">
        <w:rPr>
          <w:rFonts w:ascii="Times New Roman" w:hAnsi="Times New Roman" w:cs="Times New Roman"/>
        </w:rPr>
        <w:t>, and was masked with classical Reiter’s syndrome. So, it is very important that clinicians should endeavor to screen patients who presents with this syndrome, of other underlying diseases.</w:t>
      </w:r>
    </w:p>
    <w:p w14:paraId="27AAF2BB" w14:textId="342736F4" w:rsidR="00A2157E" w:rsidRDefault="00FB6985" w:rsidP="002B168E">
      <w:pPr>
        <w:spacing w:line="480" w:lineRule="auto"/>
        <w:rPr>
          <w:rFonts w:ascii="Times New Roman" w:hAnsi="Times New Roman" w:cs="Times New Roman"/>
          <w:b/>
          <w:bCs/>
        </w:rPr>
      </w:pPr>
      <w:r w:rsidRPr="00FB6985">
        <w:rPr>
          <w:rFonts w:ascii="Times New Roman" w:hAnsi="Times New Roman" w:cs="Times New Roman"/>
          <w:b/>
          <w:bCs/>
        </w:rPr>
        <w:lastRenderedPageBreak/>
        <w:t xml:space="preserve">Acknowledgement </w:t>
      </w:r>
    </w:p>
    <w:p w14:paraId="3085F9C7" w14:textId="77777777" w:rsidR="007A62A0" w:rsidRDefault="007A62A0" w:rsidP="007A62A0">
      <w:pPr>
        <w:spacing w:line="480" w:lineRule="auto"/>
        <w:rPr>
          <w:rFonts w:ascii="Times New Roman" w:hAnsi="Times New Roman" w:cs="Times New Roman"/>
        </w:rPr>
      </w:pPr>
      <w:r>
        <w:rPr>
          <w:rFonts w:ascii="Times New Roman" w:hAnsi="Times New Roman" w:cs="Times New Roman"/>
        </w:rPr>
        <w:t>I would like to thank all the staffs at the department of Pediatric and adolescent medicine, who assisted in the care of my patient.</w:t>
      </w:r>
    </w:p>
    <w:p w14:paraId="70647518" w14:textId="58ED00F8" w:rsidR="00A2157E" w:rsidRDefault="00A2157E" w:rsidP="002B168E">
      <w:pPr>
        <w:spacing w:line="480" w:lineRule="auto"/>
        <w:rPr>
          <w:rFonts w:ascii="Times New Roman" w:hAnsi="Times New Roman" w:cs="Times New Roman"/>
        </w:rPr>
      </w:pPr>
    </w:p>
    <w:p w14:paraId="174B0FA0" w14:textId="496499B5" w:rsidR="00A2157E" w:rsidRDefault="00A2157E" w:rsidP="002B168E">
      <w:pPr>
        <w:spacing w:line="480" w:lineRule="auto"/>
        <w:rPr>
          <w:rFonts w:ascii="Times New Roman" w:hAnsi="Times New Roman" w:cs="Times New Roman"/>
        </w:rPr>
      </w:pPr>
    </w:p>
    <w:p w14:paraId="3369865A" w14:textId="7253FD1D" w:rsidR="007A62A0" w:rsidRDefault="007A62A0" w:rsidP="002B168E">
      <w:pPr>
        <w:spacing w:line="480" w:lineRule="auto"/>
        <w:rPr>
          <w:rFonts w:ascii="Times New Roman" w:hAnsi="Times New Roman" w:cs="Times New Roman"/>
        </w:rPr>
      </w:pPr>
    </w:p>
    <w:p w14:paraId="1B223A3F" w14:textId="0B214E58" w:rsidR="007A62A0" w:rsidRDefault="007A62A0" w:rsidP="002B168E">
      <w:pPr>
        <w:spacing w:line="480" w:lineRule="auto"/>
        <w:rPr>
          <w:rFonts w:ascii="Times New Roman" w:hAnsi="Times New Roman" w:cs="Times New Roman"/>
        </w:rPr>
      </w:pPr>
    </w:p>
    <w:p w14:paraId="17C73613" w14:textId="507241E8" w:rsidR="007A62A0" w:rsidRDefault="007A62A0" w:rsidP="002B168E">
      <w:pPr>
        <w:spacing w:line="480" w:lineRule="auto"/>
        <w:rPr>
          <w:rFonts w:ascii="Times New Roman" w:hAnsi="Times New Roman" w:cs="Times New Roman"/>
        </w:rPr>
      </w:pPr>
    </w:p>
    <w:p w14:paraId="4A57344D" w14:textId="0E7E51B5" w:rsidR="007A62A0" w:rsidRDefault="007A62A0" w:rsidP="002B168E">
      <w:pPr>
        <w:spacing w:line="480" w:lineRule="auto"/>
        <w:rPr>
          <w:rFonts w:ascii="Times New Roman" w:hAnsi="Times New Roman" w:cs="Times New Roman"/>
        </w:rPr>
      </w:pPr>
    </w:p>
    <w:p w14:paraId="1F11372A" w14:textId="727E18C0" w:rsidR="007A62A0" w:rsidRDefault="007A62A0" w:rsidP="002B168E">
      <w:pPr>
        <w:spacing w:line="480" w:lineRule="auto"/>
        <w:rPr>
          <w:rFonts w:ascii="Times New Roman" w:hAnsi="Times New Roman" w:cs="Times New Roman"/>
        </w:rPr>
      </w:pPr>
    </w:p>
    <w:p w14:paraId="6A887D6D" w14:textId="1140AC39" w:rsidR="007A62A0" w:rsidRDefault="007A62A0" w:rsidP="002B168E">
      <w:pPr>
        <w:spacing w:line="480" w:lineRule="auto"/>
        <w:rPr>
          <w:rFonts w:ascii="Times New Roman" w:hAnsi="Times New Roman" w:cs="Times New Roman"/>
        </w:rPr>
      </w:pPr>
    </w:p>
    <w:p w14:paraId="791BB037" w14:textId="36441FF3" w:rsidR="007A62A0" w:rsidRDefault="007A62A0" w:rsidP="002B168E">
      <w:pPr>
        <w:spacing w:line="480" w:lineRule="auto"/>
        <w:rPr>
          <w:rFonts w:ascii="Times New Roman" w:hAnsi="Times New Roman" w:cs="Times New Roman"/>
        </w:rPr>
      </w:pPr>
    </w:p>
    <w:p w14:paraId="6E8A6B64" w14:textId="4F46CB6C" w:rsidR="007A62A0" w:rsidRDefault="007A62A0" w:rsidP="002B168E">
      <w:pPr>
        <w:spacing w:line="480" w:lineRule="auto"/>
        <w:rPr>
          <w:rFonts w:ascii="Times New Roman" w:hAnsi="Times New Roman" w:cs="Times New Roman"/>
        </w:rPr>
      </w:pPr>
    </w:p>
    <w:p w14:paraId="69F6BDE2" w14:textId="39DF642A" w:rsidR="007A62A0" w:rsidRDefault="007A62A0" w:rsidP="002B168E">
      <w:pPr>
        <w:spacing w:line="480" w:lineRule="auto"/>
        <w:rPr>
          <w:rFonts w:ascii="Times New Roman" w:hAnsi="Times New Roman" w:cs="Times New Roman"/>
        </w:rPr>
      </w:pPr>
    </w:p>
    <w:p w14:paraId="4A1269A9" w14:textId="3F6C6065" w:rsidR="007A62A0" w:rsidRDefault="007A62A0" w:rsidP="002B168E">
      <w:pPr>
        <w:spacing w:line="480" w:lineRule="auto"/>
        <w:rPr>
          <w:rFonts w:ascii="Times New Roman" w:hAnsi="Times New Roman" w:cs="Times New Roman"/>
        </w:rPr>
      </w:pPr>
    </w:p>
    <w:p w14:paraId="3BBAE107" w14:textId="0B579752" w:rsidR="007A62A0" w:rsidRDefault="007A62A0" w:rsidP="002B168E">
      <w:pPr>
        <w:spacing w:line="480" w:lineRule="auto"/>
        <w:rPr>
          <w:rFonts w:ascii="Times New Roman" w:hAnsi="Times New Roman" w:cs="Times New Roman"/>
        </w:rPr>
      </w:pPr>
    </w:p>
    <w:p w14:paraId="3A54ED18" w14:textId="6718966C" w:rsidR="007A62A0" w:rsidRDefault="007A62A0" w:rsidP="002B168E">
      <w:pPr>
        <w:spacing w:line="480" w:lineRule="auto"/>
        <w:rPr>
          <w:rFonts w:ascii="Times New Roman" w:hAnsi="Times New Roman" w:cs="Times New Roman"/>
        </w:rPr>
      </w:pPr>
    </w:p>
    <w:p w14:paraId="354F8BDF" w14:textId="47B5AD4C" w:rsidR="007A62A0" w:rsidRDefault="007A62A0" w:rsidP="002B168E">
      <w:pPr>
        <w:spacing w:line="480" w:lineRule="auto"/>
        <w:rPr>
          <w:rFonts w:ascii="Times New Roman" w:hAnsi="Times New Roman" w:cs="Times New Roman"/>
        </w:rPr>
      </w:pPr>
    </w:p>
    <w:p w14:paraId="1FC61ACC" w14:textId="0DFEC3F4" w:rsidR="007A62A0" w:rsidRDefault="007A62A0" w:rsidP="002B168E">
      <w:pPr>
        <w:spacing w:line="480" w:lineRule="auto"/>
        <w:rPr>
          <w:rFonts w:ascii="Times New Roman" w:hAnsi="Times New Roman" w:cs="Times New Roman"/>
        </w:rPr>
      </w:pPr>
    </w:p>
    <w:p w14:paraId="01B011D4" w14:textId="5AA8AF9B" w:rsidR="007A62A0" w:rsidRDefault="007A62A0" w:rsidP="002B168E">
      <w:pPr>
        <w:spacing w:line="480" w:lineRule="auto"/>
        <w:rPr>
          <w:rFonts w:ascii="Times New Roman" w:hAnsi="Times New Roman" w:cs="Times New Roman"/>
        </w:rPr>
      </w:pPr>
    </w:p>
    <w:p w14:paraId="1465B2FE" w14:textId="1C90710C" w:rsidR="007A62A0" w:rsidRDefault="007A62A0" w:rsidP="002B168E">
      <w:pPr>
        <w:spacing w:line="480" w:lineRule="auto"/>
        <w:rPr>
          <w:rFonts w:ascii="Times New Roman" w:hAnsi="Times New Roman" w:cs="Times New Roman"/>
        </w:rPr>
      </w:pPr>
    </w:p>
    <w:p w14:paraId="6C4DAABB" w14:textId="7A9BABCF" w:rsidR="007A62A0" w:rsidRDefault="007A62A0" w:rsidP="002B168E">
      <w:pPr>
        <w:spacing w:line="480" w:lineRule="auto"/>
        <w:rPr>
          <w:rFonts w:ascii="Times New Roman" w:hAnsi="Times New Roman" w:cs="Times New Roman"/>
        </w:rPr>
      </w:pPr>
    </w:p>
    <w:p w14:paraId="411B2959" w14:textId="77777777" w:rsidR="007A62A0" w:rsidRDefault="007A62A0" w:rsidP="002B168E">
      <w:pPr>
        <w:spacing w:line="480" w:lineRule="auto"/>
        <w:rPr>
          <w:rFonts w:ascii="Times New Roman" w:hAnsi="Times New Roman" w:cs="Times New Roman"/>
        </w:rPr>
      </w:pPr>
    </w:p>
    <w:p w14:paraId="5775E644" w14:textId="2E8595A1" w:rsidR="00A2157E" w:rsidRDefault="00A2157E" w:rsidP="002B168E">
      <w:pPr>
        <w:spacing w:line="480" w:lineRule="auto"/>
        <w:rPr>
          <w:rFonts w:ascii="Times New Roman" w:hAnsi="Times New Roman" w:cs="Times New Roman"/>
          <w:b/>
          <w:bCs/>
        </w:rPr>
      </w:pPr>
      <w:r w:rsidRPr="00A2157E">
        <w:rPr>
          <w:rFonts w:ascii="Times New Roman" w:hAnsi="Times New Roman" w:cs="Times New Roman"/>
          <w:b/>
          <w:bCs/>
        </w:rPr>
        <w:lastRenderedPageBreak/>
        <w:t>R</w:t>
      </w:r>
      <w:r>
        <w:rPr>
          <w:rFonts w:ascii="Times New Roman" w:hAnsi="Times New Roman" w:cs="Times New Roman"/>
          <w:b/>
          <w:bCs/>
        </w:rPr>
        <w:t>EFERENCES</w:t>
      </w:r>
    </w:p>
    <w:sdt>
      <w:sdtPr>
        <w:rPr>
          <w:rFonts w:asciiTheme="minorHAnsi" w:eastAsiaTheme="minorHAnsi" w:hAnsiTheme="minorHAnsi" w:cstheme="minorBidi"/>
          <w:b w:val="0"/>
          <w:bCs w:val="0"/>
          <w:color w:val="auto"/>
          <w:sz w:val="24"/>
          <w:szCs w:val="24"/>
          <w:lang w:bidi="ar-SA"/>
        </w:rPr>
        <w:id w:val="-814492172"/>
        <w:docPartObj>
          <w:docPartGallery w:val="Bibliographies"/>
          <w:docPartUnique/>
        </w:docPartObj>
      </w:sdtPr>
      <w:sdtEndPr/>
      <w:sdtContent>
        <w:p w14:paraId="474631D2" w14:textId="53715D81" w:rsidR="00A2157E" w:rsidRDefault="00A2157E">
          <w:pPr>
            <w:pStyle w:val="Heading1"/>
          </w:pPr>
        </w:p>
        <w:sdt>
          <w:sdtPr>
            <w:id w:val="111145805"/>
            <w:bibliography/>
          </w:sdtPr>
          <w:sdtEndPr/>
          <w:sdtContent>
            <w:p w14:paraId="42A7877D" w14:textId="4C588361" w:rsidR="00A2157E" w:rsidRDefault="00A2157E" w:rsidP="00D7057C">
              <w:pPr>
                <w:pStyle w:val="Bibliography"/>
                <w:ind w:left="720" w:hanging="720"/>
                <w:rPr>
                  <w:noProof/>
                </w:rPr>
              </w:pPr>
              <w:r>
                <w:fldChar w:fldCharType="begin"/>
              </w:r>
              <w:r>
                <w:instrText xml:space="preserve"> BIBLIOGRAPHY </w:instrText>
              </w:r>
              <w:r>
                <w:fldChar w:fldCharType="separate"/>
              </w:r>
            </w:p>
            <w:sdt>
              <w:sdtPr>
                <w:rPr>
                  <w:rFonts w:asciiTheme="minorHAnsi" w:eastAsiaTheme="minorHAnsi" w:hAnsiTheme="minorHAnsi" w:cstheme="minorBidi"/>
                  <w:b w:val="0"/>
                  <w:bCs w:val="0"/>
                  <w:color w:val="auto"/>
                  <w:sz w:val="24"/>
                  <w:szCs w:val="24"/>
                  <w:lang w:bidi="ar-SA"/>
                </w:rPr>
                <w:id w:val="-1031496289"/>
                <w:docPartObj>
                  <w:docPartGallery w:val="Bibliographies"/>
                  <w:docPartUnique/>
                </w:docPartObj>
              </w:sdtPr>
              <w:sdtEndPr/>
              <w:sdtContent>
                <w:p w14:paraId="1F08C80E" w14:textId="17DAA756" w:rsidR="005E35E5" w:rsidRDefault="005E35E5" w:rsidP="00D7057C">
                  <w:pPr>
                    <w:pStyle w:val="Heading1"/>
                    <w:spacing w:line="480" w:lineRule="auto"/>
                  </w:pPr>
                </w:p>
                <w:sdt>
                  <w:sdtPr>
                    <w:id w:val="-1477440622"/>
                    <w:bibliography/>
                  </w:sdtPr>
                  <w:sdtEndPr/>
                  <w:sdtContent>
                    <w:p w14:paraId="270057D7" w14:textId="77777777" w:rsidR="00D7057C" w:rsidRDefault="00D7057C" w:rsidP="00D7057C">
                      <w:pPr>
                        <w:pStyle w:val="Bibliography"/>
                        <w:numPr>
                          <w:ilvl w:val="0"/>
                          <w:numId w:val="1"/>
                        </w:numPr>
                        <w:spacing w:line="480" w:lineRule="auto"/>
                        <w:rPr>
                          <w:noProof/>
                        </w:rPr>
                      </w:pPr>
                      <w:r>
                        <w:rPr>
                          <w:noProof/>
                        </w:rPr>
                        <w:t xml:space="preserve">clinic, M. (2020, November 14). </w:t>
                      </w:r>
                      <w:r>
                        <w:rPr>
                          <w:i/>
                          <w:iCs/>
                          <w:noProof/>
                        </w:rPr>
                        <w:t>Osteomyelitis</w:t>
                      </w:r>
                      <w:r>
                        <w:rPr>
                          <w:noProof/>
                        </w:rPr>
                        <w:t>. Retrieved from Mayo clinic: https://www.mayoclinic.org/diseases-conditions/osteomyelitis/symptoms-causes/syc-20375913</w:t>
                      </w:r>
                    </w:p>
                    <w:p w14:paraId="742BA622" w14:textId="5336AD18" w:rsidR="005E35E5" w:rsidRDefault="005E35E5" w:rsidP="00D7057C">
                      <w:pPr>
                        <w:pStyle w:val="Bibliography"/>
                        <w:numPr>
                          <w:ilvl w:val="0"/>
                          <w:numId w:val="1"/>
                        </w:numPr>
                        <w:spacing w:line="480" w:lineRule="auto"/>
                        <w:rPr>
                          <w:noProof/>
                        </w:rPr>
                      </w:pPr>
                      <w:r>
                        <w:fldChar w:fldCharType="begin"/>
                      </w:r>
                      <w:r>
                        <w:instrText xml:space="preserve"> BIBLIOGRAPHY </w:instrText>
                      </w:r>
                      <w:r>
                        <w:fldChar w:fldCharType="separate"/>
                      </w:r>
                      <w:r>
                        <w:rPr>
                          <w:noProof/>
                        </w:rPr>
                        <w:t xml:space="preserve">Barth WF., a. S. (1999). Reactive Arthritis (Reiter's Syndrome). </w:t>
                      </w:r>
                      <w:r>
                        <w:rPr>
                          <w:i/>
                          <w:iCs/>
                          <w:noProof/>
                        </w:rPr>
                        <w:t>Am Fam physician</w:t>
                      </w:r>
                      <w:r>
                        <w:rPr>
                          <w:noProof/>
                        </w:rPr>
                        <w:t>, 499-503.</w:t>
                      </w:r>
                    </w:p>
                    <w:p w14:paraId="42A089C7" w14:textId="77777777" w:rsidR="00D7057C" w:rsidRDefault="00D7057C" w:rsidP="00D7057C">
                      <w:pPr>
                        <w:pStyle w:val="Bibliography"/>
                        <w:numPr>
                          <w:ilvl w:val="0"/>
                          <w:numId w:val="1"/>
                        </w:numPr>
                        <w:spacing w:line="480" w:lineRule="auto"/>
                        <w:rPr>
                          <w:noProof/>
                        </w:rPr>
                      </w:pPr>
                      <w:r>
                        <w:rPr>
                          <w:noProof/>
                        </w:rPr>
                        <w:t xml:space="preserve">Wu IB., S. R. (2008). Reiter's syndrome: the classic triad. </w:t>
                      </w:r>
                      <w:r>
                        <w:rPr>
                          <w:i/>
                          <w:iCs/>
                          <w:noProof/>
                        </w:rPr>
                        <w:t>J Am Acad Dermatol</w:t>
                      </w:r>
                      <w:r>
                        <w:rPr>
                          <w:noProof/>
                        </w:rPr>
                        <w:t>, 113-21.</w:t>
                      </w:r>
                    </w:p>
                    <w:p w14:paraId="2CD9D302" w14:textId="77777777" w:rsidR="00D7057C" w:rsidRDefault="00D7057C" w:rsidP="00D7057C">
                      <w:pPr>
                        <w:pStyle w:val="Bibliography"/>
                        <w:numPr>
                          <w:ilvl w:val="0"/>
                          <w:numId w:val="1"/>
                        </w:numPr>
                        <w:spacing w:line="480" w:lineRule="auto"/>
                        <w:rPr>
                          <w:noProof/>
                        </w:rPr>
                      </w:pPr>
                      <w:r>
                        <w:rPr>
                          <w:noProof/>
                        </w:rPr>
                        <w:t xml:space="preserve">Morris H., G. K. (2014). Gout in a 15-year-old boy with juvenile idiopathic arthritis: a case study. </w:t>
                      </w:r>
                      <w:r>
                        <w:rPr>
                          <w:i/>
                          <w:iCs/>
                          <w:noProof/>
                        </w:rPr>
                        <w:t>pediatric Rheumatology</w:t>
                      </w:r>
                      <w:r>
                        <w:rPr>
                          <w:noProof/>
                        </w:rPr>
                        <w:t>.</w:t>
                      </w:r>
                    </w:p>
                    <w:p w14:paraId="1639E37D" w14:textId="77777777" w:rsidR="00D7057C" w:rsidRDefault="00D7057C" w:rsidP="00D7057C">
                      <w:pPr>
                        <w:pStyle w:val="Bibliography"/>
                        <w:numPr>
                          <w:ilvl w:val="0"/>
                          <w:numId w:val="1"/>
                        </w:numPr>
                        <w:spacing w:line="480" w:lineRule="auto"/>
                        <w:rPr>
                          <w:noProof/>
                        </w:rPr>
                      </w:pPr>
                      <w:r>
                        <w:rPr>
                          <w:noProof/>
                        </w:rPr>
                        <w:t xml:space="preserve">McCarville MB., C. J. (2015). Distinguishing Osteomyelitis from Ewing Sarcoma on Radiography and MRI. </w:t>
                      </w:r>
                      <w:r>
                        <w:rPr>
                          <w:i/>
                          <w:iCs/>
                          <w:noProof/>
                        </w:rPr>
                        <w:t>AJR American Journal of Roentgenology</w:t>
                      </w:r>
                      <w:r>
                        <w:rPr>
                          <w:noProof/>
                        </w:rPr>
                        <w:t>, 640-51.</w:t>
                      </w:r>
                    </w:p>
                    <w:p w14:paraId="69EFE924" w14:textId="6D07255D" w:rsidR="005E35E5" w:rsidRDefault="005E35E5" w:rsidP="00D7057C">
                      <w:pPr>
                        <w:pStyle w:val="Bibliography"/>
                        <w:numPr>
                          <w:ilvl w:val="0"/>
                          <w:numId w:val="1"/>
                        </w:numPr>
                        <w:spacing w:line="480" w:lineRule="auto"/>
                        <w:rPr>
                          <w:noProof/>
                        </w:rPr>
                      </w:pPr>
                      <w:r>
                        <w:rPr>
                          <w:noProof/>
                        </w:rPr>
                        <w:t xml:space="preserve">Jordanov MI., B. J. (2009). Transarticular spread of Ewing sarcoma mimicking septic arthritis. </w:t>
                      </w:r>
                      <w:r>
                        <w:rPr>
                          <w:i/>
                          <w:iCs/>
                          <w:noProof/>
                        </w:rPr>
                        <w:t>Pediatr Radiol</w:t>
                      </w:r>
                      <w:r>
                        <w:rPr>
                          <w:noProof/>
                        </w:rPr>
                        <w:t>, 381-4.</w:t>
                      </w:r>
                    </w:p>
                    <w:p w14:paraId="3F8CB3AA" w14:textId="77777777" w:rsidR="005E35E5" w:rsidRDefault="005E35E5" w:rsidP="00D7057C">
                      <w:pPr>
                        <w:pStyle w:val="Bibliography"/>
                        <w:numPr>
                          <w:ilvl w:val="0"/>
                          <w:numId w:val="1"/>
                        </w:numPr>
                        <w:spacing w:line="480" w:lineRule="auto"/>
                        <w:rPr>
                          <w:noProof/>
                        </w:rPr>
                      </w:pPr>
                      <w:r>
                        <w:rPr>
                          <w:noProof/>
                        </w:rPr>
                        <w:t xml:space="preserve">Murphey MD., S. L. (2013). From the radiologic pathology archives: ewing sarcoma family of tumors: radiologic -pathologic correlation. </w:t>
                      </w:r>
                      <w:r>
                        <w:rPr>
                          <w:i/>
                          <w:iCs/>
                          <w:noProof/>
                        </w:rPr>
                        <w:t>Radiographics</w:t>
                      </w:r>
                      <w:r>
                        <w:rPr>
                          <w:noProof/>
                        </w:rPr>
                        <w:t>, 803-31.</w:t>
                      </w:r>
                    </w:p>
                    <w:p w14:paraId="2EEF8D97" w14:textId="305D2F8F" w:rsidR="005E35E5" w:rsidRDefault="005E35E5" w:rsidP="00D7057C">
                      <w:pPr>
                        <w:spacing w:line="480" w:lineRule="auto"/>
                      </w:pPr>
                      <w:r>
                        <w:rPr>
                          <w:b/>
                          <w:bCs/>
                          <w:noProof/>
                        </w:rPr>
                        <w:fldChar w:fldCharType="end"/>
                      </w:r>
                    </w:p>
                  </w:sdtContent>
                </w:sdt>
              </w:sdtContent>
            </w:sdt>
            <w:p w14:paraId="6DC5AFDD" w14:textId="77777777" w:rsidR="005E35E5" w:rsidRPr="005E35E5" w:rsidRDefault="005E35E5" w:rsidP="00D7057C">
              <w:pPr>
                <w:spacing w:line="480" w:lineRule="auto"/>
              </w:pPr>
            </w:p>
            <w:p w14:paraId="6AF23322" w14:textId="1B011CD0" w:rsidR="00A2157E" w:rsidRDefault="00A2157E" w:rsidP="00A2157E">
              <w:r>
                <w:rPr>
                  <w:b/>
                  <w:bCs/>
                  <w:noProof/>
                </w:rPr>
                <w:fldChar w:fldCharType="end"/>
              </w:r>
            </w:p>
          </w:sdtContent>
        </w:sdt>
      </w:sdtContent>
    </w:sdt>
    <w:p w14:paraId="6C76CF0C" w14:textId="5A54023B" w:rsidR="006F3722" w:rsidRPr="00DC73F9" w:rsidRDefault="006F3722" w:rsidP="002B168E">
      <w:pPr>
        <w:spacing w:line="480" w:lineRule="auto"/>
        <w:rPr>
          <w:rFonts w:ascii="Times New Roman" w:hAnsi="Times New Roman" w:cs="Times New Roman"/>
        </w:rPr>
      </w:pPr>
    </w:p>
    <w:sectPr w:rsidR="006F3722" w:rsidRPr="00DC73F9" w:rsidSect="00F47B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B30A8E"/>
    <w:multiLevelType w:val="hybridMultilevel"/>
    <w:tmpl w:val="48623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8E"/>
    <w:rsid w:val="00060919"/>
    <w:rsid w:val="000A48A3"/>
    <w:rsid w:val="000D240F"/>
    <w:rsid w:val="00106484"/>
    <w:rsid w:val="00122141"/>
    <w:rsid w:val="0019659A"/>
    <w:rsid w:val="001A7C44"/>
    <w:rsid w:val="002B168E"/>
    <w:rsid w:val="002C01F1"/>
    <w:rsid w:val="002D0980"/>
    <w:rsid w:val="002D3C18"/>
    <w:rsid w:val="0038302A"/>
    <w:rsid w:val="00462918"/>
    <w:rsid w:val="004817D7"/>
    <w:rsid w:val="00576EFE"/>
    <w:rsid w:val="00581CC0"/>
    <w:rsid w:val="005D035C"/>
    <w:rsid w:val="005E35E5"/>
    <w:rsid w:val="006A6B92"/>
    <w:rsid w:val="006F3722"/>
    <w:rsid w:val="00772852"/>
    <w:rsid w:val="00775DB2"/>
    <w:rsid w:val="007A62A0"/>
    <w:rsid w:val="007C27D2"/>
    <w:rsid w:val="007E16CF"/>
    <w:rsid w:val="00836B71"/>
    <w:rsid w:val="008C311A"/>
    <w:rsid w:val="008E4453"/>
    <w:rsid w:val="0096251C"/>
    <w:rsid w:val="00994F8B"/>
    <w:rsid w:val="009E0F3D"/>
    <w:rsid w:val="00A2157E"/>
    <w:rsid w:val="00A2245F"/>
    <w:rsid w:val="00AB4C09"/>
    <w:rsid w:val="00BA1FFE"/>
    <w:rsid w:val="00CE23DA"/>
    <w:rsid w:val="00CE5D0F"/>
    <w:rsid w:val="00D4415C"/>
    <w:rsid w:val="00D455B2"/>
    <w:rsid w:val="00D7057C"/>
    <w:rsid w:val="00DA2318"/>
    <w:rsid w:val="00DC73F9"/>
    <w:rsid w:val="00DE1549"/>
    <w:rsid w:val="00E63C71"/>
    <w:rsid w:val="00F47BD0"/>
    <w:rsid w:val="00FB02F2"/>
    <w:rsid w:val="00FB6985"/>
    <w:rsid w:val="00FC40D6"/>
    <w:rsid w:val="00FE1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8773D0"/>
  <w15:chartTrackingRefBased/>
  <w15:docId w15:val="{C67E274A-E8F4-E245-B040-AAF2A4AFC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157E"/>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157E"/>
    <w:rPr>
      <w:rFonts w:asciiTheme="majorHAnsi" w:eastAsiaTheme="majorEastAsia" w:hAnsiTheme="majorHAnsi" w:cstheme="majorBidi"/>
      <w:b/>
      <w:bCs/>
      <w:color w:val="2F5496" w:themeColor="accent1" w:themeShade="BF"/>
      <w:sz w:val="28"/>
      <w:szCs w:val="28"/>
      <w:lang w:bidi="en-US"/>
    </w:rPr>
  </w:style>
  <w:style w:type="paragraph" w:styleId="Bibliography">
    <w:name w:val="Bibliography"/>
    <w:basedOn w:val="Normal"/>
    <w:next w:val="Normal"/>
    <w:uiPriority w:val="37"/>
    <w:unhideWhenUsed/>
    <w:rsid w:val="00A21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849731">
      <w:bodyDiv w:val="1"/>
      <w:marLeft w:val="0"/>
      <w:marRight w:val="0"/>
      <w:marTop w:val="0"/>
      <w:marBottom w:val="0"/>
      <w:divBdr>
        <w:top w:val="none" w:sz="0" w:space="0" w:color="auto"/>
        <w:left w:val="none" w:sz="0" w:space="0" w:color="auto"/>
        <w:bottom w:val="none" w:sz="0" w:space="0" w:color="auto"/>
        <w:right w:val="none" w:sz="0" w:space="0" w:color="auto"/>
      </w:divBdr>
    </w:div>
    <w:div w:id="800806014">
      <w:bodyDiv w:val="1"/>
      <w:marLeft w:val="0"/>
      <w:marRight w:val="0"/>
      <w:marTop w:val="0"/>
      <w:marBottom w:val="0"/>
      <w:divBdr>
        <w:top w:val="none" w:sz="0" w:space="0" w:color="auto"/>
        <w:left w:val="none" w:sz="0" w:space="0" w:color="auto"/>
        <w:bottom w:val="none" w:sz="0" w:space="0" w:color="auto"/>
        <w:right w:val="none" w:sz="0" w:space="0" w:color="auto"/>
      </w:divBdr>
    </w:div>
    <w:div w:id="924262452">
      <w:bodyDiv w:val="1"/>
      <w:marLeft w:val="0"/>
      <w:marRight w:val="0"/>
      <w:marTop w:val="0"/>
      <w:marBottom w:val="0"/>
      <w:divBdr>
        <w:top w:val="none" w:sz="0" w:space="0" w:color="auto"/>
        <w:left w:val="none" w:sz="0" w:space="0" w:color="auto"/>
        <w:bottom w:val="none" w:sz="0" w:space="0" w:color="auto"/>
        <w:right w:val="none" w:sz="0" w:space="0" w:color="auto"/>
      </w:divBdr>
    </w:div>
    <w:div w:id="1169177863">
      <w:bodyDiv w:val="1"/>
      <w:marLeft w:val="0"/>
      <w:marRight w:val="0"/>
      <w:marTop w:val="0"/>
      <w:marBottom w:val="0"/>
      <w:divBdr>
        <w:top w:val="none" w:sz="0" w:space="0" w:color="auto"/>
        <w:left w:val="none" w:sz="0" w:space="0" w:color="auto"/>
        <w:bottom w:val="none" w:sz="0" w:space="0" w:color="auto"/>
        <w:right w:val="none" w:sz="0" w:space="0" w:color="auto"/>
      </w:divBdr>
    </w:div>
    <w:div w:id="1220482637">
      <w:bodyDiv w:val="1"/>
      <w:marLeft w:val="0"/>
      <w:marRight w:val="0"/>
      <w:marTop w:val="0"/>
      <w:marBottom w:val="0"/>
      <w:divBdr>
        <w:top w:val="none" w:sz="0" w:space="0" w:color="auto"/>
        <w:left w:val="none" w:sz="0" w:space="0" w:color="auto"/>
        <w:bottom w:val="none" w:sz="0" w:space="0" w:color="auto"/>
        <w:right w:val="none" w:sz="0" w:space="0" w:color="auto"/>
      </w:divBdr>
    </w:div>
    <w:div w:id="1464150571">
      <w:bodyDiv w:val="1"/>
      <w:marLeft w:val="0"/>
      <w:marRight w:val="0"/>
      <w:marTop w:val="0"/>
      <w:marBottom w:val="0"/>
      <w:divBdr>
        <w:top w:val="none" w:sz="0" w:space="0" w:color="auto"/>
        <w:left w:val="none" w:sz="0" w:space="0" w:color="auto"/>
        <w:bottom w:val="none" w:sz="0" w:space="0" w:color="auto"/>
        <w:right w:val="none" w:sz="0" w:space="0" w:color="auto"/>
      </w:divBdr>
    </w:div>
    <w:div w:id="1699577646">
      <w:bodyDiv w:val="1"/>
      <w:marLeft w:val="0"/>
      <w:marRight w:val="0"/>
      <w:marTop w:val="0"/>
      <w:marBottom w:val="0"/>
      <w:divBdr>
        <w:top w:val="none" w:sz="0" w:space="0" w:color="auto"/>
        <w:left w:val="none" w:sz="0" w:space="0" w:color="auto"/>
        <w:bottom w:val="none" w:sz="0" w:space="0" w:color="auto"/>
        <w:right w:val="none" w:sz="0" w:space="0" w:color="auto"/>
      </w:divBdr>
    </w:div>
    <w:div w:id="1755279609">
      <w:bodyDiv w:val="1"/>
      <w:marLeft w:val="0"/>
      <w:marRight w:val="0"/>
      <w:marTop w:val="0"/>
      <w:marBottom w:val="0"/>
      <w:divBdr>
        <w:top w:val="none" w:sz="0" w:space="0" w:color="auto"/>
        <w:left w:val="none" w:sz="0" w:space="0" w:color="auto"/>
        <w:bottom w:val="none" w:sz="0" w:space="0" w:color="auto"/>
        <w:right w:val="none" w:sz="0" w:space="0" w:color="auto"/>
      </w:divBdr>
    </w:div>
    <w:div w:id="182426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WuI08</b:Tag>
    <b:SourceType>JournalArticle</b:SourceType>
    <b:Guid>{8E85903B-BC44-B647-A6CD-FEF2EDC29DE3}</b:Guid>
    <b:Author>
      <b:Author>
        <b:NameList>
          <b:Person>
            <b:Last>Wu IB.</b:Last>
            <b:First>Schwartz</b:First>
            <b:Middle>RA</b:Middle>
          </b:Person>
        </b:NameList>
      </b:Author>
    </b:Author>
    <b:Title>Reiter's syndrome: the classic triad</b:Title>
    <b:JournalName>J Am Acad Dermatol</b:JournalName>
    <b:Year>2008</b:Year>
    <b:Pages>113-21</b:Pages>
    <b:RefOrder>3</b:RefOrder>
  </b:Source>
  <b:Source>
    <b:Tag>Mor14</b:Tag>
    <b:SourceType>JournalArticle</b:SourceType>
    <b:Guid>{2FFE5605-AFF3-E84E-9B97-EF003211F5B4}</b:Guid>
    <b:Author>
      <b:Author>
        <b:NameList>
          <b:Person>
            <b:Last>Morris H.</b:Last>
            <b:First>Grant</b:First>
            <b:Middle>K., Khanna G., et al</b:Middle>
          </b:Person>
        </b:NameList>
      </b:Author>
    </b:Author>
    <b:Title>Gout in a 15-year-old boy with juvenile idiopathic arthritis: a case study</b:Title>
    <b:JournalName>pediatric Rheumatology</b:JournalName>
    <b:Year>2014</b:Year>
    <b:RefOrder>4</b:RefOrder>
  </b:Source>
  <b:Source>
    <b:Tag>McC15</b:Tag>
    <b:SourceType>JournalArticle</b:SourceType>
    <b:Guid>{09AC17A0-82EC-AF48-AFF7-95486B75A369}</b:Guid>
    <b:Author>
      <b:Author>
        <b:NameList>
          <b:Person>
            <b:Last>McCarville MB.</b:Last>
            <b:First>Chen</b:First>
            <b:Middle>JY., Coleman JL., et al</b:Middle>
          </b:Person>
        </b:NameList>
      </b:Author>
    </b:Author>
    <b:Title>Distinguishing Osteomyelitis from Ewing Sarcoma on Radiography and MRI</b:Title>
    <b:JournalName>AJR American Journal of Roentgenology</b:JournalName>
    <b:Year>2015</b:Year>
    <b:Pages>640-51</b:Pages>
    <b:RefOrder>5</b:RefOrder>
  </b:Source>
  <b:Source>
    <b:Tag>Jor09</b:Tag>
    <b:SourceType>JournalArticle</b:SourceType>
    <b:Guid>{88ADD04B-EE97-944F-A703-FAF32D31D6E4}</b:Guid>
    <b:Author>
      <b:Author>
        <b:NameList>
          <b:Person>
            <b:Last>Jordanov MI.</b:Last>
            <b:First>Block</b:First>
            <b:Middle>JJ., Gonzalez AL., et al</b:Middle>
          </b:Person>
        </b:NameList>
      </b:Author>
    </b:Author>
    <b:Title>Transarticular spread of Ewing sarcoma mimicking septic arthritis</b:Title>
    <b:JournalName>Pediatr Radiol</b:JournalName>
    <b:Year>2009</b:Year>
    <b:Pages>381-4</b:Pages>
    <b:RefOrder>6</b:RefOrder>
  </b:Source>
  <b:Source>
    <b:Tag>Mur13</b:Tag>
    <b:SourceType>JournalArticle</b:SourceType>
    <b:Guid>{A0296216-C354-6A41-AC41-ACA3F77C85B3}</b:Guid>
    <b:Author>
      <b:Author>
        <b:NameList>
          <b:Person>
            <b:Last>Murphey MD.</b:Last>
            <b:First>Senchak</b:First>
            <b:Middle>LT., Mambalam PK., et al</b:Middle>
          </b:Person>
        </b:NameList>
      </b:Author>
    </b:Author>
    <b:Title>From the radiologic pathology archives: ewing sarcoma family of tumors: radiologic -pathologic correlation</b:Title>
    <b:JournalName>Radiographics</b:JournalName>
    <b:Year>2013</b:Year>
    <b:Pages>803-31</b:Pages>
    <b:RefOrder>7</b:RefOrder>
  </b:Source>
  <b:Source>
    <b:Tag>May202</b:Tag>
    <b:SourceType>InternetSite</b:SourceType>
    <b:Guid>{F2A5465F-955F-AC4A-AF78-AA66BEBD391E}</b:Guid>
    <b:Title>Osteomyelitis</b:Title>
    <b:Year>2020</b:Year>
    <b:Author>
      <b:Author>
        <b:NameList>
          <b:Person>
            <b:Last>clinic</b:Last>
            <b:First>Mayo</b:First>
          </b:Person>
        </b:NameList>
      </b:Author>
    </b:Author>
    <b:InternetSiteTitle>Mayo clinic</b:InternetSiteTitle>
    <b:URL>https://www.mayoclinic.org/diseases-conditions/osteomyelitis/symptoms-causes/syc-20375913</b:URL>
    <b:Month>November</b:Month>
    <b:Day>14</b:Day>
    <b:RefOrder>1</b:RefOrder>
  </b:Source>
  <b:Source>
    <b:Tag>Bar99</b:Tag>
    <b:SourceType>JournalArticle</b:SourceType>
    <b:Guid>{7CF89738-B533-D945-AFC7-3848FBBEFE25}</b:Guid>
    <b:Title>Reactive Arthritis (Reiter's Syndrome)</b:Title>
    <b:Year>1999</b:Year>
    <b:Author>
      <b:Author>
        <b:NameList>
          <b:Person>
            <b:Last>Barth WF.</b:Last>
            <b:First>and</b:First>
            <b:Middle>Segal K</b:Middle>
          </b:Person>
        </b:NameList>
      </b:Author>
    </b:Author>
    <b:JournalName>Am Fam physician</b:JournalName>
    <b:Pages>499-503</b:Pages>
    <b:RefOrder>2</b:RefOrder>
  </b:Source>
</b:Sources>
</file>

<file path=customXml/itemProps1.xml><?xml version="1.0" encoding="utf-8"?>
<ds:datastoreItem xmlns:ds="http://schemas.openxmlformats.org/officeDocument/2006/customXml" ds:itemID="{4A7CF352-FB0B-A547-9C1D-51B02614F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1263</Words>
  <Characters>7203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Nnennaya Opara</dc:creator>
  <cp:keywords/>
  <dc:description/>
  <cp:lastModifiedBy>Nnennaya Opara</cp:lastModifiedBy>
  <cp:revision>2</cp:revision>
  <dcterms:created xsi:type="dcterms:W3CDTF">2021-11-26T13:35:00Z</dcterms:created>
  <dcterms:modified xsi:type="dcterms:W3CDTF">2021-11-26T13:35:00Z</dcterms:modified>
</cp:coreProperties>
</file>