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79DB5C" w14:textId="46ABC560" w:rsidR="00680212" w:rsidRPr="00576D15" w:rsidRDefault="000532BB" w:rsidP="00DC26C2">
      <w:pPr>
        <w:spacing w:line="276" w:lineRule="auto"/>
        <w:rPr>
          <w:lang w:val="en-US"/>
        </w:rPr>
      </w:pPr>
      <w:bookmarkStart w:id="0" w:name="_GoBack"/>
      <w:r w:rsidRPr="00576D15">
        <w:rPr>
          <w:lang w:val="en-US"/>
        </w:rPr>
        <w:t>Clinical</w:t>
      </w:r>
      <w:r w:rsidR="00272A50" w:rsidRPr="00576D15">
        <w:rPr>
          <w:lang w:val="en-US"/>
        </w:rPr>
        <w:t xml:space="preserve"> Case Reports</w:t>
      </w:r>
      <w:r w:rsidRPr="00576D15">
        <w:rPr>
          <w:lang w:val="en-US"/>
        </w:rPr>
        <w:tab/>
      </w:r>
      <w:r w:rsidRPr="00576D15">
        <w:rPr>
          <w:lang w:val="en-US"/>
        </w:rPr>
        <w:tab/>
      </w:r>
      <w:r w:rsidR="00231A7F" w:rsidRPr="00576D15">
        <w:rPr>
          <w:lang w:val="en-US"/>
        </w:rPr>
        <w:tab/>
      </w:r>
      <w:r w:rsidR="00231A7F" w:rsidRPr="00576D15">
        <w:rPr>
          <w:lang w:val="en-US"/>
        </w:rPr>
        <w:tab/>
      </w:r>
      <w:r w:rsidR="00474F00" w:rsidRPr="00576D15">
        <w:rPr>
          <w:lang w:val="en-US"/>
        </w:rPr>
        <w:t>Manuscript</w:t>
      </w:r>
      <w:r w:rsidRPr="00576D15">
        <w:rPr>
          <w:lang w:val="en-US"/>
        </w:rPr>
        <w:t xml:space="preserve"> Sept 23</w:t>
      </w:r>
      <w:r w:rsidR="00272A50" w:rsidRPr="00576D15">
        <w:rPr>
          <w:lang w:val="en-US"/>
        </w:rPr>
        <w:t xml:space="preserve">, </w:t>
      </w:r>
      <w:r w:rsidR="000E42BE" w:rsidRPr="00576D15">
        <w:rPr>
          <w:lang w:val="en-US"/>
        </w:rPr>
        <w:t>2021</w:t>
      </w:r>
    </w:p>
    <w:p w14:paraId="52CB5537" w14:textId="46BFD715" w:rsidR="00580063" w:rsidRDefault="00580063" w:rsidP="00DC26C2">
      <w:pPr>
        <w:spacing w:line="276" w:lineRule="auto"/>
        <w:rPr>
          <w:lang w:val="en-US"/>
        </w:rPr>
      </w:pPr>
    </w:p>
    <w:p w14:paraId="48AB1DFD" w14:textId="67AA592F" w:rsidR="00576D15" w:rsidRDefault="00576D15" w:rsidP="00DC26C2">
      <w:pPr>
        <w:spacing w:line="276" w:lineRule="auto"/>
        <w:rPr>
          <w:lang w:val="en-US"/>
        </w:rPr>
      </w:pPr>
    </w:p>
    <w:p w14:paraId="0D2C5DF5" w14:textId="7A1D3978" w:rsidR="00576D15" w:rsidRDefault="00576D15" w:rsidP="00DC26C2">
      <w:pPr>
        <w:spacing w:line="276" w:lineRule="auto"/>
        <w:rPr>
          <w:lang w:val="en-US"/>
        </w:rPr>
      </w:pPr>
    </w:p>
    <w:p w14:paraId="4E32BD02" w14:textId="77777777" w:rsidR="00576D15" w:rsidRPr="00576D15" w:rsidRDefault="00576D15" w:rsidP="00DC26C2">
      <w:pPr>
        <w:spacing w:line="276" w:lineRule="auto"/>
        <w:rPr>
          <w:lang w:val="en-US"/>
        </w:rPr>
      </w:pPr>
    </w:p>
    <w:p w14:paraId="2CBCED94" w14:textId="209E4305" w:rsidR="00536ED2" w:rsidRPr="00576D15" w:rsidRDefault="002462E6" w:rsidP="00DC26C2">
      <w:pPr>
        <w:spacing w:line="276" w:lineRule="auto"/>
        <w:rPr>
          <w:lang w:val="en-US"/>
        </w:rPr>
      </w:pPr>
      <w:r w:rsidRPr="00576D15">
        <w:rPr>
          <w:lang w:val="en-US"/>
        </w:rPr>
        <w:t>Case: Unexpected</w:t>
      </w:r>
      <w:r w:rsidR="00272A50" w:rsidRPr="00576D15">
        <w:rPr>
          <w:lang w:val="en-US"/>
        </w:rPr>
        <w:t xml:space="preserve"> de</w:t>
      </w:r>
      <w:r w:rsidR="001261EB" w:rsidRPr="00576D15">
        <w:rPr>
          <w:lang w:val="en-US"/>
        </w:rPr>
        <w:t>ve</w:t>
      </w:r>
      <w:r w:rsidR="00496EDE" w:rsidRPr="00576D15">
        <w:rPr>
          <w:lang w:val="en-US"/>
        </w:rPr>
        <w:t xml:space="preserve">lopment of </w:t>
      </w:r>
      <w:r w:rsidRPr="00576D15">
        <w:rPr>
          <w:lang w:val="en-US"/>
        </w:rPr>
        <w:t xml:space="preserve">severe </w:t>
      </w:r>
      <w:r w:rsidR="00496EDE" w:rsidRPr="00576D15">
        <w:rPr>
          <w:lang w:val="en-US"/>
        </w:rPr>
        <w:t>penicillin a</w:t>
      </w:r>
      <w:r w:rsidR="00272A50" w:rsidRPr="00576D15">
        <w:rPr>
          <w:lang w:val="en-US"/>
        </w:rPr>
        <w:t>llergy</w:t>
      </w:r>
      <w:r w:rsidR="00496EDE" w:rsidRPr="00576D15">
        <w:rPr>
          <w:lang w:val="en-US"/>
        </w:rPr>
        <w:t xml:space="preserve"> and review of literature</w:t>
      </w:r>
    </w:p>
    <w:p w14:paraId="20134607" w14:textId="0ABB88D1" w:rsidR="00580063" w:rsidRDefault="00580063" w:rsidP="00DC26C2">
      <w:pPr>
        <w:spacing w:line="276" w:lineRule="auto"/>
        <w:rPr>
          <w:lang w:val="en-US"/>
        </w:rPr>
      </w:pPr>
    </w:p>
    <w:p w14:paraId="577C7FAF" w14:textId="5E3B3A88" w:rsidR="00D50D9E" w:rsidRDefault="00D50D9E" w:rsidP="00DC26C2">
      <w:pPr>
        <w:spacing w:line="276" w:lineRule="auto"/>
        <w:rPr>
          <w:lang w:val="en-US"/>
        </w:rPr>
      </w:pPr>
    </w:p>
    <w:p w14:paraId="22589586" w14:textId="5FD79873" w:rsidR="00D50D9E" w:rsidRDefault="00D50D9E" w:rsidP="00DC26C2">
      <w:pPr>
        <w:spacing w:line="276" w:lineRule="auto"/>
        <w:rPr>
          <w:lang w:val="en-US"/>
        </w:rPr>
      </w:pPr>
      <w:r>
        <w:rPr>
          <w:lang w:val="en-US"/>
        </w:rPr>
        <w:t>Key Clinical Message</w:t>
      </w:r>
      <w:r w:rsidR="000868F7">
        <w:rPr>
          <w:lang w:val="en-US"/>
        </w:rPr>
        <w:t>:</w:t>
      </w:r>
    </w:p>
    <w:p w14:paraId="21416B12" w14:textId="57E9F795" w:rsidR="00D50D9E" w:rsidRDefault="00D50D9E" w:rsidP="00DC26C2">
      <w:pPr>
        <w:spacing w:line="276" w:lineRule="auto"/>
        <w:rPr>
          <w:lang w:val="en-US"/>
        </w:rPr>
      </w:pPr>
      <w:r>
        <w:rPr>
          <w:lang w:val="en-US"/>
        </w:rPr>
        <w:t xml:space="preserve">A 54-year old male developed unexpectedy a severe penicillin allergy after </w:t>
      </w:r>
      <w:r w:rsidR="007951AF">
        <w:rPr>
          <w:lang w:val="en-US"/>
        </w:rPr>
        <w:t>5</w:t>
      </w:r>
      <w:r>
        <w:rPr>
          <w:lang w:val="en-US"/>
        </w:rPr>
        <w:t xml:space="preserve"> standard erysipelas treatments by intravenous </w:t>
      </w:r>
      <w:r w:rsidRPr="00576D15">
        <w:rPr>
          <w:lang w:val="en-US"/>
        </w:rPr>
        <w:t>benzylpenicillin</w:t>
      </w:r>
      <w:r>
        <w:rPr>
          <w:lang w:val="en-US"/>
        </w:rPr>
        <w:t xml:space="preserve"> and</w:t>
      </w:r>
      <w:r w:rsidR="00014D82">
        <w:rPr>
          <w:lang w:val="en-US"/>
        </w:rPr>
        <w:t>/or</w:t>
      </w:r>
      <w:r>
        <w:rPr>
          <w:lang w:val="en-US"/>
        </w:rPr>
        <w:t xml:space="preserve"> </w:t>
      </w:r>
      <w:r w:rsidRPr="00576D15">
        <w:rPr>
          <w:lang w:val="en-US"/>
        </w:rPr>
        <w:t>oral phenoxymethylpenicillin</w:t>
      </w:r>
      <w:r w:rsidR="008F2F96">
        <w:rPr>
          <w:lang w:val="en-US"/>
        </w:rPr>
        <w:t xml:space="preserve"> without any clinical sympt</w:t>
      </w:r>
      <w:r w:rsidR="00905430">
        <w:rPr>
          <w:lang w:val="en-US"/>
        </w:rPr>
        <w:t>oms</w:t>
      </w:r>
      <w:r w:rsidR="002C6864">
        <w:rPr>
          <w:lang w:val="en-US"/>
        </w:rPr>
        <w:t xml:space="preserve"> </w:t>
      </w:r>
      <w:r w:rsidR="003558C6">
        <w:rPr>
          <w:lang w:val="en-US"/>
        </w:rPr>
        <w:t xml:space="preserve">of allergy </w:t>
      </w:r>
      <w:r w:rsidR="002C6864" w:rsidRPr="002C6864">
        <w:rPr>
          <w:lang w:val="en-US"/>
        </w:rPr>
        <w:t>during 16 years</w:t>
      </w:r>
      <w:r w:rsidR="00951C93">
        <w:rPr>
          <w:lang w:val="en-US"/>
        </w:rPr>
        <w:t>. D</w:t>
      </w:r>
      <w:r w:rsidR="00905430">
        <w:rPr>
          <w:lang w:val="en-US"/>
        </w:rPr>
        <w:t>urin</w:t>
      </w:r>
      <w:r w:rsidR="007951AF">
        <w:rPr>
          <w:lang w:val="en-US"/>
        </w:rPr>
        <w:t>g the 6</w:t>
      </w:r>
      <w:r w:rsidR="00905430">
        <w:rPr>
          <w:lang w:val="en-US"/>
        </w:rPr>
        <w:t>t</w:t>
      </w:r>
      <w:r w:rsidR="00951C93">
        <w:rPr>
          <w:lang w:val="en-US"/>
        </w:rPr>
        <w:t>h</w:t>
      </w:r>
      <w:r w:rsidR="00905430">
        <w:rPr>
          <w:lang w:val="en-US"/>
        </w:rPr>
        <w:t xml:space="preserve"> erysipelas treatment by </w:t>
      </w:r>
      <w:r w:rsidR="00905430">
        <w:rPr>
          <w:lang w:val="en-US"/>
        </w:rPr>
        <w:t xml:space="preserve">intravenous </w:t>
      </w:r>
      <w:r w:rsidR="00905430" w:rsidRPr="00576D15">
        <w:rPr>
          <w:lang w:val="en-US"/>
        </w:rPr>
        <w:t>benzylpenicillin</w:t>
      </w:r>
      <w:r w:rsidR="00905430">
        <w:rPr>
          <w:lang w:val="en-US"/>
        </w:rPr>
        <w:t>, the pat</w:t>
      </w:r>
      <w:r w:rsidR="008F2F96">
        <w:rPr>
          <w:lang w:val="en-US"/>
        </w:rPr>
        <w:t>i</w:t>
      </w:r>
      <w:r w:rsidR="00905430">
        <w:rPr>
          <w:lang w:val="en-US"/>
        </w:rPr>
        <w:t>ent experienced an anap</w:t>
      </w:r>
      <w:r w:rsidR="008F2F96">
        <w:rPr>
          <w:lang w:val="en-US"/>
        </w:rPr>
        <w:t>h</w:t>
      </w:r>
      <w:r w:rsidR="00905430">
        <w:rPr>
          <w:lang w:val="en-US"/>
        </w:rPr>
        <w:t>ylactic reaction</w:t>
      </w:r>
      <w:r w:rsidR="00390090">
        <w:rPr>
          <w:lang w:val="en-US"/>
        </w:rPr>
        <w:t xml:space="preserve"> with</w:t>
      </w:r>
      <w:r w:rsidR="00951C93">
        <w:rPr>
          <w:lang w:val="en-US"/>
        </w:rPr>
        <w:t>in 30 minutes</w:t>
      </w:r>
      <w:r w:rsidR="00905430">
        <w:rPr>
          <w:lang w:val="en-US"/>
        </w:rPr>
        <w:t>.</w:t>
      </w:r>
    </w:p>
    <w:p w14:paraId="0F1947A1" w14:textId="57DDB451" w:rsidR="00576D15" w:rsidRDefault="00576D15" w:rsidP="00DC26C2">
      <w:pPr>
        <w:spacing w:line="276" w:lineRule="auto"/>
        <w:rPr>
          <w:lang w:val="en-US"/>
        </w:rPr>
      </w:pPr>
    </w:p>
    <w:p w14:paraId="6F5B768B" w14:textId="77777777" w:rsidR="00576D15" w:rsidRPr="00576D15" w:rsidRDefault="00576D15" w:rsidP="00DC26C2">
      <w:pPr>
        <w:spacing w:line="276" w:lineRule="auto"/>
        <w:rPr>
          <w:lang w:val="en-US"/>
        </w:rPr>
      </w:pPr>
    </w:p>
    <w:p w14:paraId="1542ADFF" w14:textId="5005DEDF" w:rsidR="00991946" w:rsidRPr="00576D15" w:rsidRDefault="000E19F8" w:rsidP="00DC26C2">
      <w:pPr>
        <w:spacing w:line="276" w:lineRule="auto"/>
      </w:pPr>
      <w:r w:rsidRPr="00576D15">
        <w:t xml:space="preserve">Rauno </w:t>
      </w:r>
      <w:r w:rsidR="00272A50" w:rsidRPr="00576D15">
        <w:t xml:space="preserve">J. </w:t>
      </w:r>
      <w:r w:rsidRPr="00576D15">
        <w:t xml:space="preserve">Harvima </w:t>
      </w:r>
      <w:r w:rsidR="00272A50" w:rsidRPr="00576D15">
        <w:t>and</w:t>
      </w:r>
      <w:r w:rsidR="00991946" w:rsidRPr="00576D15">
        <w:t xml:space="preserve"> Ilkka </w:t>
      </w:r>
      <w:r w:rsidR="00272A50" w:rsidRPr="00576D15">
        <w:t xml:space="preserve">T. </w:t>
      </w:r>
      <w:r w:rsidR="00991946" w:rsidRPr="00576D15">
        <w:t>Harvima</w:t>
      </w:r>
    </w:p>
    <w:p w14:paraId="21DFD380" w14:textId="22586108" w:rsidR="00580063" w:rsidRDefault="00580063" w:rsidP="00DC26C2">
      <w:pPr>
        <w:spacing w:line="276" w:lineRule="auto"/>
      </w:pPr>
    </w:p>
    <w:p w14:paraId="338F3896" w14:textId="187AB3AD" w:rsidR="002C6864" w:rsidRDefault="002C6864" w:rsidP="00DC26C2">
      <w:pPr>
        <w:spacing w:line="276" w:lineRule="auto"/>
      </w:pPr>
    </w:p>
    <w:p w14:paraId="364BBDE1" w14:textId="77777777" w:rsidR="002C6864" w:rsidRPr="00576D15" w:rsidRDefault="002C6864" w:rsidP="00DC26C2">
      <w:pPr>
        <w:spacing w:line="276" w:lineRule="auto"/>
      </w:pPr>
    </w:p>
    <w:p w14:paraId="29907676" w14:textId="77777777" w:rsidR="00030FD9" w:rsidRPr="00576D15" w:rsidRDefault="00BF7F06" w:rsidP="00DC26C2">
      <w:pPr>
        <w:spacing w:line="276" w:lineRule="auto"/>
        <w:rPr>
          <w:lang w:val="en-US"/>
        </w:rPr>
      </w:pPr>
      <w:r w:rsidRPr="00576D15">
        <w:rPr>
          <w:lang w:val="en-US"/>
        </w:rPr>
        <w:t>Case</w:t>
      </w:r>
      <w:r w:rsidR="00FD0E1B" w:rsidRPr="00576D15">
        <w:rPr>
          <w:lang w:val="en-US"/>
        </w:rPr>
        <w:t xml:space="preserve"> history</w:t>
      </w:r>
      <w:r w:rsidRPr="00576D15">
        <w:rPr>
          <w:lang w:val="en-US"/>
        </w:rPr>
        <w:t xml:space="preserve">: </w:t>
      </w:r>
    </w:p>
    <w:p w14:paraId="1A00FD6C" w14:textId="256C95C1" w:rsidR="00030FD9" w:rsidRPr="00576D15" w:rsidRDefault="00BF7F06" w:rsidP="00DC26C2">
      <w:pPr>
        <w:spacing w:line="276" w:lineRule="auto"/>
        <w:rPr>
          <w:lang w:val="en-US"/>
        </w:rPr>
      </w:pPr>
      <w:r w:rsidRPr="00576D15">
        <w:rPr>
          <w:lang w:val="en-US"/>
        </w:rPr>
        <w:t>In September 2008, a 54-</w:t>
      </w:r>
      <w:r w:rsidR="00B2227B" w:rsidRPr="00576D15">
        <w:rPr>
          <w:lang w:val="en-US"/>
        </w:rPr>
        <w:t>year-</w:t>
      </w:r>
      <w:r w:rsidR="006A1E7A" w:rsidRPr="00576D15">
        <w:rPr>
          <w:lang w:val="en-US"/>
        </w:rPr>
        <w:t>old</w:t>
      </w:r>
      <w:r w:rsidRPr="00576D15">
        <w:rPr>
          <w:lang w:val="en-US"/>
        </w:rPr>
        <w:t xml:space="preserve"> male</w:t>
      </w:r>
      <w:r w:rsidR="00617497" w:rsidRPr="00576D15">
        <w:rPr>
          <w:lang w:val="en-US"/>
        </w:rPr>
        <w:t xml:space="preserve"> (</w:t>
      </w:r>
      <w:r w:rsidR="00B2227B" w:rsidRPr="00576D15">
        <w:rPr>
          <w:lang w:val="en-US"/>
        </w:rPr>
        <w:t>BMI 41.9</w:t>
      </w:r>
      <w:r w:rsidR="00617497" w:rsidRPr="00576D15">
        <w:rPr>
          <w:lang w:val="en-US"/>
        </w:rPr>
        <w:t>)</w:t>
      </w:r>
      <w:r w:rsidR="00030FD9" w:rsidRPr="00576D15">
        <w:rPr>
          <w:lang w:val="en-US"/>
        </w:rPr>
        <w:t xml:space="preserve"> was </w:t>
      </w:r>
      <w:r w:rsidRPr="00576D15">
        <w:rPr>
          <w:lang w:val="en-US"/>
        </w:rPr>
        <w:t xml:space="preserve">suffering from left knee arthrosis, chronic obstructive pulmonary disease, and venous insufficiency of legs. </w:t>
      </w:r>
      <w:r w:rsidR="00CB167B" w:rsidRPr="00576D15">
        <w:rPr>
          <w:lang w:val="en-US"/>
        </w:rPr>
        <w:t xml:space="preserve"> </w:t>
      </w:r>
      <w:r w:rsidR="0064235E" w:rsidRPr="00576D15">
        <w:rPr>
          <w:lang w:val="en-US"/>
        </w:rPr>
        <w:t>The h</w:t>
      </w:r>
      <w:r w:rsidR="00FD0E1B" w:rsidRPr="00576D15">
        <w:rPr>
          <w:lang w:val="en-US"/>
        </w:rPr>
        <w:t xml:space="preserve">istory for </w:t>
      </w:r>
      <w:r w:rsidR="0064235E" w:rsidRPr="00576D15">
        <w:rPr>
          <w:lang w:val="en-US"/>
        </w:rPr>
        <w:t>dermatitis, allergies and atopy</w:t>
      </w:r>
      <w:r w:rsidR="00FD0E1B" w:rsidRPr="00576D15">
        <w:rPr>
          <w:lang w:val="en-US"/>
        </w:rPr>
        <w:t xml:space="preserve"> for </w:t>
      </w:r>
      <w:r w:rsidR="0064235E" w:rsidRPr="00576D15">
        <w:rPr>
          <w:lang w:val="en-US"/>
        </w:rPr>
        <w:t>the patient,</w:t>
      </w:r>
      <w:r w:rsidR="00FD0E1B" w:rsidRPr="00576D15">
        <w:rPr>
          <w:lang w:val="en-US"/>
        </w:rPr>
        <w:t xml:space="preserve"> 6 sibling</w:t>
      </w:r>
      <w:r w:rsidR="0064235E" w:rsidRPr="00576D15">
        <w:rPr>
          <w:lang w:val="en-US"/>
        </w:rPr>
        <w:t>s and parents was</w:t>
      </w:r>
      <w:r w:rsidR="006508F1" w:rsidRPr="00576D15">
        <w:rPr>
          <w:lang w:val="en-US"/>
        </w:rPr>
        <w:t xml:space="preserve"> negative.</w:t>
      </w:r>
      <w:r w:rsidR="00FD0E1B" w:rsidRPr="00576D15">
        <w:rPr>
          <w:lang w:val="en-US"/>
        </w:rPr>
        <w:t xml:space="preserve"> The patient had a smoking history of 15 cigarettes a day for 37 years.</w:t>
      </w:r>
      <w:r w:rsidR="00EA1ED1" w:rsidRPr="00576D15">
        <w:rPr>
          <w:lang w:val="en-US"/>
        </w:rPr>
        <w:t xml:space="preserve"> </w:t>
      </w:r>
      <w:r w:rsidR="006508F1" w:rsidRPr="00576D15">
        <w:rPr>
          <w:lang w:val="en-US"/>
        </w:rPr>
        <w:t>The</w:t>
      </w:r>
      <w:r w:rsidR="009C6AB7" w:rsidRPr="00576D15">
        <w:rPr>
          <w:lang w:val="en-US"/>
        </w:rPr>
        <w:t xml:space="preserve"> medication</w:t>
      </w:r>
      <w:r w:rsidR="006508F1" w:rsidRPr="00576D15">
        <w:rPr>
          <w:lang w:val="en-US"/>
        </w:rPr>
        <w:t xml:space="preserve"> included</w:t>
      </w:r>
      <w:r w:rsidR="009C6AB7" w:rsidRPr="00576D15">
        <w:rPr>
          <w:lang w:val="en-US"/>
        </w:rPr>
        <w:t xml:space="preserve"> </w:t>
      </w:r>
      <w:r w:rsidR="006508F1" w:rsidRPr="00576D15">
        <w:rPr>
          <w:lang w:val="en-US"/>
        </w:rPr>
        <w:t xml:space="preserve">only </w:t>
      </w:r>
      <w:r w:rsidR="009C6AB7" w:rsidRPr="00576D15">
        <w:rPr>
          <w:lang w:val="en-US"/>
        </w:rPr>
        <w:t xml:space="preserve">inhaled </w:t>
      </w:r>
      <w:r w:rsidR="008125B2" w:rsidRPr="00576D15">
        <w:rPr>
          <w:lang w:val="en-US"/>
        </w:rPr>
        <w:t>aerosol</w:t>
      </w:r>
      <w:r w:rsidR="001E7F5E" w:rsidRPr="00576D15">
        <w:rPr>
          <w:lang w:val="en-US"/>
        </w:rPr>
        <w:t>,</w:t>
      </w:r>
      <w:r w:rsidR="008125B2" w:rsidRPr="00576D15">
        <w:rPr>
          <w:lang w:val="en-US"/>
        </w:rPr>
        <w:t xml:space="preserve"> </w:t>
      </w:r>
      <w:r w:rsidR="009C6AB7" w:rsidRPr="00576D15">
        <w:rPr>
          <w:lang w:val="en-US"/>
        </w:rPr>
        <w:t>Seretide 50</w:t>
      </w:r>
      <w:r w:rsidR="001B78B9" w:rsidRPr="00576D15">
        <w:rPr>
          <w:lang w:val="en-US"/>
        </w:rPr>
        <w:t xml:space="preserve"> </w:t>
      </w:r>
      <w:r w:rsidR="001E7F5E" w:rsidRPr="00576D15">
        <w:rPr>
          <w:rFonts w:cstheme="minorHAnsi"/>
          <w:lang w:val="en-US"/>
        </w:rPr>
        <w:t>µ</w:t>
      </w:r>
      <w:r w:rsidR="001E7F5E" w:rsidRPr="00576D15">
        <w:rPr>
          <w:lang w:val="en-US"/>
        </w:rPr>
        <w:t>g</w:t>
      </w:r>
      <w:r w:rsidR="009C6AB7" w:rsidRPr="00576D15">
        <w:rPr>
          <w:lang w:val="en-US"/>
        </w:rPr>
        <w:t>/250</w:t>
      </w:r>
      <w:r w:rsidR="001E7F5E" w:rsidRPr="00576D15">
        <w:rPr>
          <w:lang w:val="en-US"/>
        </w:rPr>
        <w:t xml:space="preserve"> </w:t>
      </w:r>
      <w:r w:rsidR="001E7F5E" w:rsidRPr="00576D15">
        <w:rPr>
          <w:rFonts w:cstheme="minorHAnsi"/>
          <w:lang w:val="en-US"/>
        </w:rPr>
        <w:t>µ</w:t>
      </w:r>
      <w:r w:rsidR="001B78B9" w:rsidRPr="00576D15">
        <w:rPr>
          <w:lang w:val="en-US"/>
        </w:rPr>
        <w:t>g</w:t>
      </w:r>
      <w:r w:rsidR="009C6AB7" w:rsidRPr="00576D15">
        <w:rPr>
          <w:lang w:val="en-US"/>
        </w:rPr>
        <w:t xml:space="preserve"> (</w:t>
      </w:r>
      <w:r w:rsidR="008125B2" w:rsidRPr="00576D15">
        <w:rPr>
          <w:lang w:val="en-US"/>
        </w:rPr>
        <w:t>salmeterol/fluticasone propionate</w:t>
      </w:r>
      <w:r w:rsidR="009C6AB7" w:rsidRPr="00576D15">
        <w:rPr>
          <w:lang w:val="en-US"/>
        </w:rPr>
        <w:t>).</w:t>
      </w:r>
    </w:p>
    <w:p w14:paraId="0AC0914E" w14:textId="42B5DD31" w:rsidR="00991946" w:rsidRPr="00576D15" w:rsidRDefault="008B0CCF" w:rsidP="00DC26C2">
      <w:pPr>
        <w:spacing w:line="276" w:lineRule="auto"/>
        <w:rPr>
          <w:lang w:val="en-US"/>
        </w:rPr>
      </w:pPr>
      <w:r w:rsidRPr="00576D15">
        <w:rPr>
          <w:lang w:val="en-US"/>
        </w:rPr>
        <w:t>In 1983 and 1996, v</w:t>
      </w:r>
      <w:r w:rsidR="00B25ABD" w:rsidRPr="00576D15">
        <w:rPr>
          <w:lang w:val="en-US"/>
        </w:rPr>
        <w:t>aric</w:t>
      </w:r>
      <w:r w:rsidR="00B554C7" w:rsidRPr="00576D15">
        <w:rPr>
          <w:lang w:val="en-US"/>
        </w:rPr>
        <w:t>ose vein surgeries</w:t>
      </w:r>
      <w:r w:rsidR="00B25ABD" w:rsidRPr="00576D15">
        <w:rPr>
          <w:lang w:val="en-US"/>
        </w:rPr>
        <w:t xml:space="preserve"> </w:t>
      </w:r>
      <w:r w:rsidRPr="00576D15">
        <w:rPr>
          <w:lang w:val="en-US"/>
        </w:rPr>
        <w:t xml:space="preserve">were performed </w:t>
      </w:r>
      <w:r w:rsidR="00B25ABD" w:rsidRPr="00576D15">
        <w:rPr>
          <w:lang w:val="en-US"/>
        </w:rPr>
        <w:t xml:space="preserve">on </w:t>
      </w:r>
      <w:r w:rsidR="00E5797E" w:rsidRPr="00576D15">
        <w:rPr>
          <w:lang w:val="en-US"/>
        </w:rPr>
        <w:t>the right leg</w:t>
      </w:r>
      <w:r w:rsidR="00B25ABD" w:rsidRPr="00576D15">
        <w:rPr>
          <w:lang w:val="en-US"/>
        </w:rPr>
        <w:t>.</w:t>
      </w:r>
      <w:r w:rsidR="00B554C7" w:rsidRPr="00576D15">
        <w:rPr>
          <w:lang w:val="en-US"/>
        </w:rPr>
        <w:t xml:space="preserve"> </w:t>
      </w:r>
      <w:r w:rsidRPr="00576D15">
        <w:rPr>
          <w:lang w:val="en-US"/>
        </w:rPr>
        <w:t>Seven years later the patient was treated</w:t>
      </w:r>
      <w:r w:rsidR="00E5797E" w:rsidRPr="00576D15">
        <w:rPr>
          <w:lang w:val="en-US"/>
        </w:rPr>
        <w:t xml:space="preserve"> for an infected</w:t>
      </w:r>
      <w:r w:rsidR="00B554C7" w:rsidRPr="00576D15">
        <w:rPr>
          <w:lang w:val="en-US"/>
        </w:rPr>
        <w:t xml:space="preserve"> </w:t>
      </w:r>
      <w:r w:rsidR="00F238D3" w:rsidRPr="00576D15">
        <w:rPr>
          <w:lang w:val="en-US"/>
        </w:rPr>
        <w:t xml:space="preserve">right leg </w:t>
      </w:r>
      <w:r w:rsidR="00B554C7" w:rsidRPr="00576D15">
        <w:rPr>
          <w:lang w:val="en-US"/>
        </w:rPr>
        <w:t>wou</w:t>
      </w:r>
      <w:r w:rsidR="00202BAE" w:rsidRPr="00576D15">
        <w:rPr>
          <w:lang w:val="en-US"/>
        </w:rPr>
        <w:t>n</w:t>
      </w:r>
      <w:r w:rsidR="00B554C7" w:rsidRPr="00576D15">
        <w:rPr>
          <w:lang w:val="en-US"/>
        </w:rPr>
        <w:t>d</w:t>
      </w:r>
      <w:r w:rsidR="00E5797E" w:rsidRPr="00576D15">
        <w:rPr>
          <w:lang w:val="en-US"/>
        </w:rPr>
        <w:t xml:space="preserve"> </w:t>
      </w:r>
      <w:r w:rsidR="00F238D3" w:rsidRPr="00576D15">
        <w:rPr>
          <w:lang w:val="en-US"/>
        </w:rPr>
        <w:t>by</w:t>
      </w:r>
      <w:r w:rsidRPr="00576D15">
        <w:rPr>
          <w:lang w:val="en-US"/>
        </w:rPr>
        <w:t xml:space="preserve"> using</w:t>
      </w:r>
      <w:r w:rsidR="00B554C7" w:rsidRPr="00576D15">
        <w:rPr>
          <w:lang w:val="en-US"/>
        </w:rPr>
        <w:t xml:space="preserve"> ora</w:t>
      </w:r>
      <w:r w:rsidR="00202BAE" w:rsidRPr="00576D15">
        <w:rPr>
          <w:lang w:val="en-US"/>
        </w:rPr>
        <w:t>l</w:t>
      </w:r>
      <w:r w:rsidR="00137DA5" w:rsidRPr="00576D15">
        <w:rPr>
          <w:lang w:val="en-US"/>
        </w:rPr>
        <w:t xml:space="preserve"> </w:t>
      </w:r>
      <w:r w:rsidR="000532BB" w:rsidRPr="00576D15">
        <w:rPr>
          <w:lang w:val="en-US"/>
        </w:rPr>
        <w:t>cefadroxil</w:t>
      </w:r>
      <w:r w:rsidR="00CB4F9C" w:rsidRPr="00576D15">
        <w:rPr>
          <w:lang w:val="en-US"/>
        </w:rPr>
        <w:t>.</w:t>
      </w:r>
    </w:p>
    <w:p w14:paraId="5858A700" w14:textId="19C2B05A" w:rsidR="002607B0" w:rsidRPr="00576D15" w:rsidRDefault="00DA09CA" w:rsidP="00DC26C2">
      <w:pPr>
        <w:spacing w:line="276" w:lineRule="auto"/>
        <w:rPr>
          <w:lang w:val="en-US"/>
        </w:rPr>
      </w:pPr>
      <w:r w:rsidRPr="00576D15">
        <w:rPr>
          <w:lang w:val="en-US"/>
        </w:rPr>
        <w:t xml:space="preserve">The patient </w:t>
      </w:r>
      <w:r w:rsidR="00836F95" w:rsidRPr="00576D15">
        <w:rPr>
          <w:lang w:val="en-US"/>
        </w:rPr>
        <w:t xml:space="preserve">suffered </w:t>
      </w:r>
      <w:r w:rsidR="00F5280D" w:rsidRPr="00576D15">
        <w:rPr>
          <w:lang w:val="en-US"/>
        </w:rPr>
        <w:t xml:space="preserve">twice </w:t>
      </w:r>
      <w:r w:rsidR="00836F95" w:rsidRPr="00576D15">
        <w:rPr>
          <w:lang w:val="en-US"/>
        </w:rPr>
        <w:t>from</w:t>
      </w:r>
      <w:r w:rsidR="00EA3759" w:rsidRPr="00576D15">
        <w:rPr>
          <w:lang w:val="en-US"/>
        </w:rPr>
        <w:t xml:space="preserve"> right leg erysipelas</w:t>
      </w:r>
      <w:r w:rsidR="00F5280D" w:rsidRPr="00576D15">
        <w:rPr>
          <w:lang w:val="en-US"/>
        </w:rPr>
        <w:t xml:space="preserve"> in 1990s, and on both occasions it was</w:t>
      </w:r>
      <w:r w:rsidR="00EA3759" w:rsidRPr="00576D15">
        <w:rPr>
          <w:lang w:val="en-US"/>
        </w:rPr>
        <w:t xml:space="preserve"> treated </w:t>
      </w:r>
      <w:r w:rsidR="00454C1A" w:rsidRPr="00576D15">
        <w:rPr>
          <w:lang w:val="en-US"/>
        </w:rPr>
        <w:t xml:space="preserve">with </w:t>
      </w:r>
      <w:r w:rsidRPr="00576D15">
        <w:rPr>
          <w:lang w:val="en-US"/>
        </w:rPr>
        <w:t xml:space="preserve">oral </w:t>
      </w:r>
      <w:proofErr w:type="gramStart"/>
      <w:r w:rsidR="00F24DFA" w:rsidRPr="00576D15">
        <w:rPr>
          <w:lang w:val="en-US"/>
        </w:rPr>
        <w:t>phenoxymethylpenicillin</w:t>
      </w:r>
      <w:proofErr w:type="gramEnd"/>
      <w:r w:rsidRPr="00576D15">
        <w:rPr>
          <w:lang w:val="en-US"/>
        </w:rPr>
        <w:t>.</w:t>
      </w:r>
      <w:r w:rsidR="00406053" w:rsidRPr="00576D15">
        <w:rPr>
          <w:lang w:val="en-US"/>
        </w:rPr>
        <w:t xml:space="preserve"> </w:t>
      </w:r>
      <w:r w:rsidR="00F5280D" w:rsidRPr="00576D15">
        <w:rPr>
          <w:lang w:val="en-US"/>
        </w:rPr>
        <w:t xml:space="preserve">In April 2006, the </w:t>
      </w:r>
      <w:r w:rsidR="00406053" w:rsidRPr="00576D15">
        <w:rPr>
          <w:lang w:val="en-US"/>
        </w:rPr>
        <w:t>erys</w:t>
      </w:r>
      <w:r w:rsidR="00F5280D" w:rsidRPr="00576D15">
        <w:rPr>
          <w:lang w:val="en-US"/>
        </w:rPr>
        <w:t>ipelas was treated</w:t>
      </w:r>
      <w:r w:rsidR="00406053" w:rsidRPr="00576D15">
        <w:rPr>
          <w:lang w:val="en-US"/>
        </w:rPr>
        <w:t xml:space="preserve"> </w:t>
      </w:r>
      <w:r w:rsidR="00F5280D" w:rsidRPr="00576D15">
        <w:rPr>
          <w:lang w:val="en-US"/>
        </w:rPr>
        <w:t>first with</w:t>
      </w:r>
      <w:r w:rsidR="00ED132F" w:rsidRPr="00576D15">
        <w:rPr>
          <w:lang w:val="en-US"/>
        </w:rPr>
        <w:t xml:space="preserve"> intravenous</w:t>
      </w:r>
      <w:r w:rsidR="00DA4B0C" w:rsidRPr="00576D15">
        <w:rPr>
          <w:lang w:val="en-US"/>
        </w:rPr>
        <w:t xml:space="preserve"> (i.v.)</w:t>
      </w:r>
      <w:r w:rsidR="00ED132F" w:rsidRPr="00576D15">
        <w:rPr>
          <w:lang w:val="en-US"/>
        </w:rPr>
        <w:t xml:space="preserve"> benzylpenicillin, </w:t>
      </w:r>
      <w:r w:rsidR="00F5280D" w:rsidRPr="00576D15">
        <w:rPr>
          <w:lang w:val="en-US"/>
        </w:rPr>
        <w:t>then with</w:t>
      </w:r>
      <w:r w:rsidR="00ED132F" w:rsidRPr="00576D15">
        <w:rPr>
          <w:lang w:val="en-US"/>
        </w:rPr>
        <w:t xml:space="preserve"> </w:t>
      </w:r>
      <w:r w:rsidR="00DA4B0C" w:rsidRPr="00576D15">
        <w:rPr>
          <w:lang w:val="en-US"/>
        </w:rPr>
        <w:t>i.v.</w:t>
      </w:r>
      <w:r w:rsidR="0096417E" w:rsidRPr="00576D15">
        <w:rPr>
          <w:lang w:val="en-US"/>
        </w:rPr>
        <w:t xml:space="preserve"> </w:t>
      </w:r>
      <w:r w:rsidR="00ED132F" w:rsidRPr="00576D15">
        <w:rPr>
          <w:lang w:val="en-US"/>
        </w:rPr>
        <w:t>cefuroxime</w:t>
      </w:r>
      <w:r w:rsidR="0096417E" w:rsidRPr="00576D15">
        <w:rPr>
          <w:lang w:val="en-US"/>
        </w:rPr>
        <w:t xml:space="preserve"> followed by </w:t>
      </w:r>
      <w:r w:rsidR="00BD513C" w:rsidRPr="00576D15">
        <w:rPr>
          <w:lang w:val="en-US"/>
        </w:rPr>
        <w:t>oral clindamycin</w:t>
      </w:r>
      <w:r w:rsidR="00ED132F" w:rsidRPr="00576D15">
        <w:rPr>
          <w:lang w:val="en-US"/>
        </w:rPr>
        <w:t>.</w:t>
      </w:r>
      <w:r w:rsidR="00202BAE" w:rsidRPr="00576D15">
        <w:rPr>
          <w:lang w:val="en-US"/>
        </w:rPr>
        <w:t xml:space="preserve"> </w:t>
      </w:r>
      <w:r w:rsidR="00406053" w:rsidRPr="00576D15">
        <w:rPr>
          <w:lang w:val="en-US"/>
        </w:rPr>
        <w:t>A</w:t>
      </w:r>
      <w:r w:rsidR="00ED132F" w:rsidRPr="00576D15">
        <w:rPr>
          <w:lang w:val="en-US"/>
        </w:rPr>
        <w:t xml:space="preserve"> relapse occurr</w:t>
      </w:r>
      <w:r w:rsidR="00991B4D" w:rsidRPr="00576D15">
        <w:rPr>
          <w:lang w:val="en-US"/>
        </w:rPr>
        <w:t xml:space="preserve">ed </w:t>
      </w:r>
      <w:r w:rsidR="00406053" w:rsidRPr="00576D15">
        <w:rPr>
          <w:lang w:val="en-US"/>
        </w:rPr>
        <w:t>3 weeks later</w:t>
      </w:r>
      <w:r w:rsidR="00E777BC" w:rsidRPr="00576D15">
        <w:rPr>
          <w:lang w:val="en-US"/>
        </w:rPr>
        <w:t>, and it was</w:t>
      </w:r>
      <w:r w:rsidR="00BD513C" w:rsidRPr="00576D15">
        <w:rPr>
          <w:lang w:val="en-US"/>
        </w:rPr>
        <w:t xml:space="preserve"> </w:t>
      </w:r>
      <w:r w:rsidR="002E6ED3" w:rsidRPr="00576D15">
        <w:rPr>
          <w:lang w:val="en-US"/>
        </w:rPr>
        <w:t>treated with</w:t>
      </w:r>
      <w:r w:rsidR="00DA4B0C" w:rsidRPr="00576D15">
        <w:rPr>
          <w:lang w:val="en-US"/>
        </w:rPr>
        <w:t xml:space="preserve"> i.v.</w:t>
      </w:r>
      <w:r w:rsidR="00792957" w:rsidRPr="00576D15">
        <w:rPr>
          <w:lang w:val="en-US"/>
        </w:rPr>
        <w:t xml:space="preserve"> </w:t>
      </w:r>
      <w:r w:rsidR="00E777BC" w:rsidRPr="00576D15">
        <w:rPr>
          <w:lang w:val="en-US"/>
        </w:rPr>
        <w:t xml:space="preserve">and oral </w:t>
      </w:r>
      <w:r w:rsidR="00991B4D" w:rsidRPr="00576D15">
        <w:rPr>
          <w:lang w:val="en-US"/>
        </w:rPr>
        <w:t>clindamycin</w:t>
      </w:r>
      <w:r w:rsidR="00ED132F" w:rsidRPr="00576D15">
        <w:rPr>
          <w:lang w:val="en-US"/>
        </w:rPr>
        <w:t>.</w:t>
      </w:r>
      <w:r w:rsidR="00792957" w:rsidRPr="00576D15">
        <w:rPr>
          <w:lang w:val="en-US"/>
        </w:rPr>
        <w:t xml:space="preserve"> </w:t>
      </w:r>
      <w:r w:rsidR="00406053" w:rsidRPr="00576D15">
        <w:rPr>
          <w:lang w:val="en-US"/>
        </w:rPr>
        <w:t>E</w:t>
      </w:r>
      <w:r w:rsidR="007828A0" w:rsidRPr="00576D15">
        <w:rPr>
          <w:lang w:val="en-US"/>
        </w:rPr>
        <w:t>rysipelas reappeared</w:t>
      </w:r>
      <w:r w:rsidR="00FB2D84" w:rsidRPr="00576D15">
        <w:rPr>
          <w:lang w:val="en-US"/>
        </w:rPr>
        <w:t xml:space="preserve"> in October 2006</w:t>
      </w:r>
      <w:r w:rsidR="007828A0" w:rsidRPr="00576D15">
        <w:rPr>
          <w:lang w:val="en-US"/>
        </w:rPr>
        <w:t>, and it was</w:t>
      </w:r>
      <w:r w:rsidR="00FB2D84" w:rsidRPr="00576D15">
        <w:rPr>
          <w:lang w:val="en-US"/>
        </w:rPr>
        <w:t xml:space="preserve"> tre</w:t>
      </w:r>
      <w:r w:rsidR="00D409BF" w:rsidRPr="00576D15">
        <w:rPr>
          <w:lang w:val="en-US"/>
        </w:rPr>
        <w:t>ated</w:t>
      </w:r>
      <w:r w:rsidR="009252FC" w:rsidRPr="00576D15">
        <w:rPr>
          <w:lang w:val="en-US"/>
        </w:rPr>
        <w:t xml:space="preserve">, again, with </w:t>
      </w:r>
      <w:r w:rsidR="007828A0" w:rsidRPr="00576D15">
        <w:rPr>
          <w:lang w:val="en-US"/>
        </w:rPr>
        <w:t>clindamycin</w:t>
      </w:r>
      <w:r w:rsidR="00FB2D84" w:rsidRPr="00576D15">
        <w:rPr>
          <w:lang w:val="en-US"/>
        </w:rPr>
        <w:t xml:space="preserve">. </w:t>
      </w:r>
      <w:r w:rsidR="002607B0" w:rsidRPr="00576D15">
        <w:rPr>
          <w:lang w:val="en-US"/>
        </w:rPr>
        <w:t xml:space="preserve"> </w:t>
      </w:r>
      <w:r w:rsidR="003918EA" w:rsidRPr="00576D15">
        <w:rPr>
          <w:lang w:val="en-US"/>
        </w:rPr>
        <w:t xml:space="preserve">As </w:t>
      </w:r>
      <w:r w:rsidR="008C7E9B" w:rsidRPr="00576D15">
        <w:rPr>
          <w:lang w:val="en-US"/>
        </w:rPr>
        <w:t xml:space="preserve">the </w:t>
      </w:r>
      <w:r w:rsidR="003918EA" w:rsidRPr="00576D15">
        <w:rPr>
          <w:lang w:val="en-US"/>
        </w:rPr>
        <w:t>prophylaxis of erysipe</w:t>
      </w:r>
      <w:r w:rsidR="002607B0" w:rsidRPr="00576D15">
        <w:rPr>
          <w:lang w:val="en-US"/>
        </w:rPr>
        <w:t>l</w:t>
      </w:r>
      <w:r w:rsidR="003918EA" w:rsidRPr="00576D15">
        <w:rPr>
          <w:lang w:val="en-US"/>
        </w:rPr>
        <w:t>as</w:t>
      </w:r>
      <w:r w:rsidR="00202BAE" w:rsidRPr="00576D15">
        <w:rPr>
          <w:lang w:val="en-US"/>
        </w:rPr>
        <w:t>,</w:t>
      </w:r>
      <w:r w:rsidR="003918EA" w:rsidRPr="00576D15">
        <w:rPr>
          <w:lang w:val="en-US"/>
        </w:rPr>
        <w:t xml:space="preserve"> an</w:t>
      </w:r>
      <w:r w:rsidR="002607B0" w:rsidRPr="00576D15">
        <w:rPr>
          <w:lang w:val="en-US"/>
        </w:rPr>
        <w:t xml:space="preserve"> oral </w:t>
      </w:r>
      <w:r w:rsidR="008C7E9B" w:rsidRPr="00576D15">
        <w:rPr>
          <w:lang w:val="en-US"/>
        </w:rPr>
        <w:t>phenoxymethylpenicillin</w:t>
      </w:r>
      <w:r w:rsidR="002607B0" w:rsidRPr="00576D15">
        <w:rPr>
          <w:lang w:val="en-US"/>
        </w:rPr>
        <w:t xml:space="preserve"> </w:t>
      </w:r>
      <w:r w:rsidR="003918EA" w:rsidRPr="00576D15">
        <w:rPr>
          <w:lang w:val="en-US"/>
        </w:rPr>
        <w:t xml:space="preserve">was </w:t>
      </w:r>
      <w:r w:rsidR="002607B0" w:rsidRPr="00576D15">
        <w:rPr>
          <w:lang w:val="en-US"/>
        </w:rPr>
        <w:t xml:space="preserve">started, </w:t>
      </w:r>
      <w:r w:rsidR="0030039A" w:rsidRPr="00576D15">
        <w:rPr>
          <w:lang w:val="en-US"/>
        </w:rPr>
        <w:t>but was soon discontinued</w:t>
      </w:r>
      <w:r w:rsidR="003918EA" w:rsidRPr="00576D15">
        <w:rPr>
          <w:lang w:val="en-US"/>
        </w:rPr>
        <w:t xml:space="preserve"> </w:t>
      </w:r>
      <w:r w:rsidR="0030039A" w:rsidRPr="00576D15">
        <w:rPr>
          <w:lang w:val="en-US"/>
        </w:rPr>
        <w:t>because of</w:t>
      </w:r>
      <w:r w:rsidR="002607B0" w:rsidRPr="00576D15">
        <w:rPr>
          <w:lang w:val="en-US"/>
        </w:rPr>
        <w:t xml:space="preserve"> </w:t>
      </w:r>
      <w:r w:rsidR="008C7E9B" w:rsidRPr="00576D15">
        <w:rPr>
          <w:lang w:val="en-US"/>
        </w:rPr>
        <w:t xml:space="preserve">adverse effects in </w:t>
      </w:r>
      <w:r w:rsidR="002607B0" w:rsidRPr="00576D15">
        <w:rPr>
          <w:lang w:val="en-US"/>
        </w:rPr>
        <w:t>stomach.</w:t>
      </w:r>
    </w:p>
    <w:p w14:paraId="603AE0D1" w14:textId="00ED8272" w:rsidR="00B31366" w:rsidRPr="00576D15" w:rsidRDefault="00EA0E69" w:rsidP="00DC26C2">
      <w:pPr>
        <w:spacing w:line="276" w:lineRule="auto"/>
        <w:rPr>
          <w:lang w:val="en-US"/>
        </w:rPr>
      </w:pPr>
      <w:r w:rsidRPr="00576D15">
        <w:rPr>
          <w:lang w:val="en-US"/>
        </w:rPr>
        <w:t>In October 2007, a</w:t>
      </w:r>
      <w:r w:rsidR="00B31366" w:rsidRPr="00576D15">
        <w:rPr>
          <w:lang w:val="en-US"/>
        </w:rPr>
        <w:t xml:space="preserve"> surgical operation was performed due to</w:t>
      </w:r>
      <w:r w:rsidR="003918EA" w:rsidRPr="00576D15">
        <w:rPr>
          <w:lang w:val="en-US"/>
        </w:rPr>
        <w:t xml:space="preserve"> </w:t>
      </w:r>
      <w:r w:rsidR="00B13DD3" w:rsidRPr="00576D15">
        <w:rPr>
          <w:lang w:val="en-US"/>
        </w:rPr>
        <w:t>varicose vein relapse and ulcer in</w:t>
      </w:r>
      <w:r w:rsidR="00D409BF" w:rsidRPr="00576D15">
        <w:rPr>
          <w:lang w:val="en-US"/>
        </w:rPr>
        <w:t xml:space="preserve"> </w:t>
      </w:r>
      <w:r w:rsidR="00B13DD3" w:rsidRPr="00576D15">
        <w:rPr>
          <w:lang w:val="en-US"/>
        </w:rPr>
        <w:t>the right leg</w:t>
      </w:r>
      <w:r w:rsidR="00202BAE" w:rsidRPr="00576D15">
        <w:rPr>
          <w:lang w:val="en-US"/>
        </w:rPr>
        <w:t>, and the</w:t>
      </w:r>
      <w:r w:rsidR="00B31366" w:rsidRPr="00576D15">
        <w:rPr>
          <w:lang w:val="en-US"/>
        </w:rPr>
        <w:t xml:space="preserve"> p</w:t>
      </w:r>
      <w:r w:rsidR="00B13DD3" w:rsidRPr="00576D15">
        <w:rPr>
          <w:lang w:val="en-US"/>
        </w:rPr>
        <w:t>atient received one 3-</w:t>
      </w:r>
      <w:r w:rsidR="00D409BF" w:rsidRPr="00576D15">
        <w:rPr>
          <w:lang w:val="en-US"/>
        </w:rPr>
        <w:t>g</w:t>
      </w:r>
      <w:r w:rsidR="00CA549C" w:rsidRPr="00576D15">
        <w:rPr>
          <w:lang w:val="en-US"/>
        </w:rPr>
        <w:t>ram dose of i.v.</w:t>
      </w:r>
      <w:r w:rsidR="00D409BF" w:rsidRPr="00576D15">
        <w:rPr>
          <w:lang w:val="en-US"/>
        </w:rPr>
        <w:t xml:space="preserve"> </w:t>
      </w:r>
      <w:r w:rsidR="00B31366" w:rsidRPr="00576D15">
        <w:rPr>
          <w:lang w:val="en-US"/>
        </w:rPr>
        <w:t>cefuroxime</w:t>
      </w:r>
      <w:r w:rsidR="00B13DD3" w:rsidRPr="00576D15">
        <w:rPr>
          <w:lang w:val="en-US"/>
        </w:rPr>
        <w:t>.</w:t>
      </w:r>
    </w:p>
    <w:p w14:paraId="30149A26" w14:textId="7F005E99" w:rsidR="00B31366" w:rsidRPr="00576D15" w:rsidRDefault="00CA549C" w:rsidP="00DC26C2">
      <w:pPr>
        <w:spacing w:line="276" w:lineRule="auto"/>
        <w:rPr>
          <w:lang w:val="en-US"/>
        </w:rPr>
      </w:pPr>
      <w:r w:rsidRPr="00576D15">
        <w:rPr>
          <w:lang w:val="en-US"/>
        </w:rPr>
        <w:lastRenderedPageBreak/>
        <w:t>In May 2008, t</w:t>
      </w:r>
      <w:r w:rsidR="00F754EE" w:rsidRPr="00576D15">
        <w:rPr>
          <w:lang w:val="en-US"/>
        </w:rPr>
        <w:t>he patient</w:t>
      </w:r>
      <w:r w:rsidRPr="00576D15">
        <w:rPr>
          <w:lang w:val="en-US"/>
        </w:rPr>
        <w:t>, suffering</w:t>
      </w:r>
      <w:r w:rsidR="00F754EE" w:rsidRPr="00576D15">
        <w:rPr>
          <w:lang w:val="en-US"/>
        </w:rPr>
        <w:t xml:space="preserve"> from the 5</w:t>
      </w:r>
      <w:r w:rsidR="00F754EE" w:rsidRPr="00576D15">
        <w:rPr>
          <w:vertAlign w:val="superscript"/>
          <w:lang w:val="en-US"/>
        </w:rPr>
        <w:t>th</w:t>
      </w:r>
      <w:r w:rsidR="00F754EE" w:rsidRPr="00576D15">
        <w:rPr>
          <w:lang w:val="en-US"/>
        </w:rPr>
        <w:t xml:space="preserve"> erysipelas</w:t>
      </w:r>
      <w:r w:rsidRPr="00576D15">
        <w:rPr>
          <w:lang w:val="en-US"/>
        </w:rPr>
        <w:t>, was</w:t>
      </w:r>
      <w:r w:rsidR="00406053" w:rsidRPr="00576D15">
        <w:rPr>
          <w:lang w:val="en-US"/>
        </w:rPr>
        <w:t xml:space="preserve"> treated with i.v.</w:t>
      </w:r>
      <w:r w:rsidR="00A13805" w:rsidRPr="00576D15">
        <w:rPr>
          <w:lang w:val="en-US"/>
        </w:rPr>
        <w:t xml:space="preserve"> </w:t>
      </w:r>
      <w:r w:rsidR="00F754EE" w:rsidRPr="00576D15">
        <w:rPr>
          <w:lang w:val="en-US"/>
        </w:rPr>
        <w:t>clindamycin for 1</w:t>
      </w:r>
      <w:r w:rsidR="00A13805" w:rsidRPr="00576D15">
        <w:rPr>
          <w:lang w:val="en-US"/>
        </w:rPr>
        <w:t xml:space="preserve"> day followed by i</w:t>
      </w:r>
      <w:r w:rsidRPr="00576D15">
        <w:rPr>
          <w:lang w:val="en-US"/>
        </w:rPr>
        <w:t>.v.</w:t>
      </w:r>
      <w:r w:rsidR="00A13805" w:rsidRPr="00576D15">
        <w:rPr>
          <w:lang w:val="en-US"/>
        </w:rPr>
        <w:t xml:space="preserve"> </w:t>
      </w:r>
      <w:r w:rsidR="00F754EE" w:rsidRPr="00576D15">
        <w:rPr>
          <w:lang w:val="en-US"/>
        </w:rPr>
        <w:t>benzylpenicillin for 3 days. Thereafter, the patient was discharged from the hospital with oral phenoxymethylpenicillin</w:t>
      </w:r>
      <w:r w:rsidR="00A13805" w:rsidRPr="00576D15">
        <w:rPr>
          <w:lang w:val="en-US"/>
        </w:rPr>
        <w:t xml:space="preserve"> for 3 weeks.</w:t>
      </w:r>
    </w:p>
    <w:p w14:paraId="6F54E5EA" w14:textId="7419F3BC" w:rsidR="00F678D6" w:rsidRPr="00576D15" w:rsidRDefault="00CD1209" w:rsidP="00AD5224">
      <w:pPr>
        <w:spacing w:line="276" w:lineRule="auto"/>
        <w:rPr>
          <w:lang w:val="en-US"/>
        </w:rPr>
      </w:pPr>
      <w:r w:rsidRPr="00576D15">
        <w:rPr>
          <w:lang w:val="en-US"/>
        </w:rPr>
        <w:t>The 6</w:t>
      </w:r>
      <w:r w:rsidRPr="00576D15">
        <w:rPr>
          <w:vertAlign w:val="superscript"/>
          <w:lang w:val="en-US"/>
        </w:rPr>
        <w:t>th</w:t>
      </w:r>
      <w:r w:rsidRPr="00576D15">
        <w:rPr>
          <w:lang w:val="en-US"/>
        </w:rPr>
        <w:t xml:space="preserve"> </w:t>
      </w:r>
      <w:r w:rsidR="00367A04" w:rsidRPr="00576D15">
        <w:rPr>
          <w:lang w:val="en-US"/>
        </w:rPr>
        <w:t xml:space="preserve">and severe </w:t>
      </w:r>
      <w:r w:rsidR="00D43181" w:rsidRPr="00576D15">
        <w:rPr>
          <w:lang w:val="en-US"/>
        </w:rPr>
        <w:t xml:space="preserve">right leg </w:t>
      </w:r>
      <w:r w:rsidR="009F2E5F" w:rsidRPr="00576D15">
        <w:rPr>
          <w:lang w:val="en-US"/>
        </w:rPr>
        <w:t>erysipelas</w:t>
      </w:r>
      <w:r w:rsidR="00A448C5" w:rsidRPr="00576D15">
        <w:rPr>
          <w:lang w:val="en-US"/>
        </w:rPr>
        <w:t xml:space="preserve"> took place</w:t>
      </w:r>
      <w:r w:rsidR="00202BAE" w:rsidRPr="00576D15">
        <w:rPr>
          <w:lang w:val="en-US"/>
        </w:rPr>
        <w:t xml:space="preserve"> </w:t>
      </w:r>
      <w:r w:rsidR="006F06EC" w:rsidRPr="00576D15">
        <w:rPr>
          <w:lang w:val="en-US"/>
        </w:rPr>
        <w:t>3 months later in early September 2008.</w:t>
      </w:r>
      <w:r w:rsidR="00A448C5" w:rsidRPr="00576D15">
        <w:rPr>
          <w:lang w:val="en-US"/>
        </w:rPr>
        <w:t xml:space="preserve"> In the </w:t>
      </w:r>
      <w:r w:rsidR="00D43181" w:rsidRPr="00576D15">
        <w:rPr>
          <w:lang w:val="en-US"/>
        </w:rPr>
        <w:t>Emergency Care Unit</w:t>
      </w:r>
      <w:r w:rsidR="00A448C5" w:rsidRPr="00576D15">
        <w:rPr>
          <w:lang w:val="en-US"/>
        </w:rPr>
        <w:t>,</w:t>
      </w:r>
      <w:r w:rsidR="00D43181" w:rsidRPr="00576D15">
        <w:rPr>
          <w:lang w:val="en-US"/>
        </w:rPr>
        <w:t xml:space="preserve"> </w:t>
      </w:r>
      <w:r w:rsidR="00202BAE" w:rsidRPr="00576D15">
        <w:rPr>
          <w:lang w:val="en-US"/>
        </w:rPr>
        <w:t xml:space="preserve">the </w:t>
      </w:r>
      <w:r w:rsidR="00367A04" w:rsidRPr="00576D15">
        <w:rPr>
          <w:lang w:val="en-US"/>
        </w:rPr>
        <w:t xml:space="preserve">patient </w:t>
      </w:r>
      <w:r w:rsidR="00D43181" w:rsidRPr="00576D15">
        <w:rPr>
          <w:lang w:val="en-US"/>
        </w:rPr>
        <w:t>was suspect</w:t>
      </w:r>
      <w:r w:rsidR="00A448C5" w:rsidRPr="00576D15">
        <w:rPr>
          <w:lang w:val="en-US"/>
        </w:rPr>
        <w:t>ed to have an initial sepsis without findings suggestive for</w:t>
      </w:r>
      <w:r w:rsidR="00B65771" w:rsidRPr="00576D15">
        <w:rPr>
          <w:lang w:val="en-US"/>
        </w:rPr>
        <w:t xml:space="preserve"> </w:t>
      </w:r>
      <w:r w:rsidR="00D409BF" w:rsidRPr="00576D15">
        <w:rPr>
          <w:lang w:val="en-US"/>
        </w:rPr>
        <w:t xml:space="preserve">necrotizing </w:t>
      </w:r>
      <w:r w:rsidR="00A448C5" w:rsidRPr="00576D15">
        <w:rPr>
          <w:lang w:val="en-US"/>
        </w:rPr>
        <w:t>fascitis</w:t>
      </w:r>
      <w:r w:rsidR="00B65771" w:rsidRPr="00576D15">
        <w:rPr>
          <w:lang w:val="en-US"/>
        </w:rPr>
        <w:t xml:space="preserve">. </w:t>
      </w:r>
      <w:r w:rsidR="009E3866" w:rsidRPr="00576D15">
        <w:rPr>
          <w:lang w:val="en-US"/>
        </w:rPr>
        <w:t>The patient was planne</w:t>
      </w:r>
      <w:r w:rsidR="008A2FE5" w:rsidRPr="00576D15">
        <w:rPr>
          <w:lang w:val="en-US"/>
        </w:rPr>
        <w:t>d to be treated with i.v.</w:t>
      </w:r>
      <w:r w:rsidR="00B65771" w:rsidRPr="00576D15">
        <w:rPr>
          <w:lang w:val="en-US"/>
        </w:rPr>
        <w:t xml:space="preserve"> clindamycin (</w:t>
      </w:r>
      <w:r w:rsidR="009E3866" w:rsidRPr="00576D15">
        <w:rPr>
          <w:lang w:val="en-US"/>
        </w:rPr>
        <w:t>6</w:t>
      </w:r>
      <w:r w:rsidR="008A2FE5" w:rsidRPr="00576D15">
        <w:rPr>
          <w:lang w:val="en-US"/>
        </w:rPr>
        <w:t>00 mg x 4 per day) and benzyl</w:t>
      </w:r>
      <w:r w:rsidR="009E3866" w:rsidRPr="00576D15">
        <w:rPr>
          <w:lang w:val="en-US"/>
        </w:rPr>
        <w:t>penicillin</w:t>
      </w:r>
      <w:r w:rsidR="00D409BF" w:rsidRPr="00576D15">
        <w:rPr>
          <w:lang w:val="en-US"/>
        </w:rPr>
        <w:t xml:space="preserve"> (4 million IU </w:t>
      </w:r>
      <w:r w:rsidR="008A2FE5" w:rsidRPr="00576D15">
        <w:rPr>
          <w:lang w:val="en-US"/>
        </w:rPr>
        <w:t xml:space="preserve">x 4 per </w:t>
      </w:r>
      <w:r w:rsidR="00D409BF" w:rsidRPr="00576D15">
        <w:rPr>
          <w:lang w:val="en-US"/>
        </w:rPr>
        <w:t>day</w:t>
      </w:r>
      <w:r w:rsidR="008A2FE5" w:rsidRPr="00576D15">
        <w:rPr>
          <w:lang w:val="en-US"/>
        </w:rPr>
        <w:t>).</w:t>
      </w:r>
      <w:r w:rsidR="00676836" w:rsidRPr="00576D15">
        <w:rPr>
          <w:lang w:val="en-US"/>
        </w:rPr>
        <w:t xml:space="preserve"> </w:t>
      </w:r>
      <w:r w:rsidR="009E3866" w:rsidRPr="00576D15">
        <w:rPr>
          <w:lang w:val="en-US"/>
        </w:rPr>
        <w:t>However, s</w:t>
      </w:r>
      <w:r w:rsidR="00676836" w:rsidRPr="00576D15">
        <w:rPr>
          <w:lang w:val="en-US"/>
        </w:rPr>
        <w:t>oon after initiation of the drug infusion</w:t>
      </w:r>
      <w:r w:rsidR="009E3866" w:rsidRPr="00576D15">
        <w:rPr>
          <w:lang w:val="en-US"/>
        </w:rPr>
        <w:t>, that is,</w:t>
      </w:r>
      <w:r w:rsidR="00676836" w:rsidRPr="00576D15">
        <w:rPr>
          <w:lang w:val="en-US"/>
        </w:rPr>
        <w:t xml:space="preserve"> </w:t>
      </w:r>
      <w:r w:rsidR="009E3866" w:rsidRPr="00576D15">
        <w:rPr>
          <w:lang w:val="en-US"/>
        </w:rPr>
        <w:t>with</w:t>
      </w:r>
      <w:r w:rsidR="00676836" w:rsidRPr="00576D15">
        <w:rPr>
          <w:lang w:val="en-US"/>
        </w:rPr>
        <w:t>in about 30 mi</w:t>
      </w:r>
      <w:r w:rsidR="00202BAE" w:rsidRPr="00576D15">
        <w:rPr>
          <w:lang w:val="en-US"/>
        </w:rPr>
        <w:t>n</w:t>
      </w:r>
      <w:r w:rsidR="009E3866" w:rsidRPr="00576D15">
        <w:rPr>
          <w:lang w:val="en-US"/>
        </w:rPr>
        <w:t>,</w:t>
      </w:r>
      <w:r w:rsidR="00202BAE" w:rsidRPr="00576D15">
        <w:rPr>
          <w:lang w:val="en-US"/>
        </w:rPr>
        <w:t xml:space="preserve"> the face became symmetrically</w:t>
      </w:r>
      <w:r w:rsidR="00676836" w:rsidRPr="00576D15">
        <w:rPr>
          <w:lang w:val="en-US"/>
        </w:rPr>
        <w:t xml:space="preserve"> swollen</w:t>
      </w:r>
      <w:r w:rsidR="008A2FE5" w:rsidRPr="00576D15">
        <w:rPr>
          <w:lang w:val="en-US"/>
        </w:rPr>
        <w:t>,</w:t>
      </w:r>
      <w:r w:rsidR="00676836" w:rsidRPr="00576D15">
        <w:rPr>
          <w:lang w:val="en-US"/>
        </w:rPr>
        <w:t xml:space="preserve"> which was considered</w:t>
      </w:r>
      <w:r w:rsidR="009E3866" w:rsidRPr="00576D15">
        <w:rPr>
          <w:lang w:val="en-US"/>
        </w:rPr>
        <w:t xml:space="preserve"> to be an</w:t>
      </w:r>
      <w:r w:rsidR="00676836" w:rsidRPr="00576D15">
        <w:rPr>
          <w:lang w:val="en-US"/>
        </w:rPr>
        <w:t xml:space="preserve"> allergic reaction. </w:t>
      </w:r>
      <w:r w:rsidR="009E3866" w:rsidRPr="00576D15">
        <w:rPr>
          <w:lang w:val="en-US"/>
        </w:rPr>
        <w:t>The b</w:t>
      </w:r>
      <w:r w:rsidR="00676836" w:rsidRPr="00576D15">
        <w:rPr>
          <w:lang w:val="en-US"/>
        </w:rPr>
        <w:t>lood pressure decreas</w:t>
      </w:r>
      <w:r w:rsidR="008A2FE5" w:rsidRPr="00576D15">
        <w:rPr>
          <w:lang w:val="en-US"/>
        </w:rPr>
        <w:t>ed down to 96/48 mmHg</w:t>
      </w:r>
      <w:r w:rsidR="009E3866" w:rsidRPr="00576D15">
        <w:rPr>
          <w:lang w:val="en-US"/>
        </w:rPr>
        <w:t xml:space="preserve">, the patient </w:t>
      </w:r>
      <w:r w:rsidR="00391922" w:rsidRPr="00576D15">
        <w:rPr>
          <w:lang w:val="en-US"/>
        </w:rPr>
        <w:t>received</w:t>
      </w:r>
      <w:r w:rsidR="009E3866" w:rsidRPr="00576D15">
        <w:rPr>
          <w:lang w:val="en-US"/>
        </w:rPr>
        <w:t xml:space="preserve"> oral</w:t>
      </w:r>
      <w:r w:rsidR="00391922" w:rsidRPr="00576D15">
        <w:rPr>
          <w:lang w:val="en-US"/>
        </w:rPr>
        <w:t xml:space="preserve"> </w:t>
      </w:r>
      <w:r w:rsidR="00D409BF" w:rsidRPr="00576D15">
        <w:rPr>
          <w:lang w:val="en-US"/>
        </w:rPr>
        <w:t>cetirizine</w:t>
      </w:r>
      <w:r w:rsidR="008A2FE5" w:rsidRPr="00576D15">
        <w:rPr>
          <w:lang w:val="en-US"/>
        </w:rPr>
        <w:t xml:space="preserve"> </w:t>
      </w:r>
      <w:r w:rsidR="002328F7" w:rsidRPr="00576D15">
        <w:rPr>
          <w:lang w:val="en-US"/>
        </w:rPr>
        <w:t>(</w:t>
      </w:r>
      <w:r w:rsidR="008A2FE5" w:rsidRPr="00576D15">
        <w:rPr>
          <w:lang w:val="en-US"/>
        </w:rPr>
        <w:t>10 mg</w:t>
      </w:r>
      <w:r w:rsidR="002328F7" w:rsidRPr="00576D15">
        <w:rPr>
          <w:lang w:val="en-US"/>
        </w:rPr>
        <w:t>)</w:t>
      </w:r>
      <w:r w:rsidR="008A2FE5" w:rsidRPr="00576D15">
        <w:rPr>
          <w:lang w:val="en-US"/>
        </w:rPr>
        <w:t xml:space="preserve"> and i.v.</w:t>
      </w:r>
      <w:r w:rsidR="00391922" w:rsidRPr="00576D15">
        <w:rPr>
          <w:lang w:val="en-US"/>
        </w:rPr>
        <w:t xml:space="preserve"> </w:t>
      </w:r>
      <w:r w:rsidR="00135EDD" w:rsidRPr="00576D15">
        <w:rPr>
          <w:rFonts w:ascii="Verdana" w:hAnsi="Verdana"/>
          <w:sz w:val="18"/>
          <w:szCs w:val="18"/>
          <w:lang w:val="en-US"/>
        </w:rPr>
        <w:t>hydrocortisone sodium</w:t>
      </w:r>
      <w:r w:rsidR="002328F7" w:rsidRPr="00576D15">
        <w:rPr>
          <w:rFonts w:ascii="Verdana" w:hAnsi="Verdana"/>
          <w:sz w:val="18"/>
          <w:szCs w:val="18"/>
          <w:lang w:val="en-US"/>
        </w:rPr>
        <w:t xml:space="preserve"> </w:t>
      </w:r>
      <w:r w:rsidR="00135EDD" w:rsidRPr="00576D15">
        <w:rPr>
          <w:rFonts w:ascii="Verdana" w:hAnsi="Verdana"/>
          <w:sz w:val="18"/>
          <w:szCs w:val="18"/>
          <w:lang w:val="en-US"/>
        </w:rPr>
        <w:t>su</w:t>
      </w:r>
      <w:r w:rsidR="00676836" w:rsidRPr="00576D15">
        <w:rPr>
          <w:rFonts w:ascii="Verdana" w:hAnsi="Verdana"/>
          <w:sz w:val="18"/>
          <w:szCs w:val="18"/>
          <w:lang w:val="en-US"/>
        </w:rPr>
        <w:t>cc</w:t>
      </w:r>
      <w:r w:rsidR="00135EDD" w:rsidRPr="00576D15">
        <w:rPr>
          <w:rFonts w:ascii="Verdana" w:hAnsi="Verdana"/>
          <w:sz w:val="18"/>
          <w:szCs w:val="18"/>
          <w:lang w:val="en-US"/>
        </w:rPr>
        <w:t>in</w:t>
      </w:r>
      <w:r w:rsidR="00676836" w:rsidRPr="00576D15">
        <w:rPr>
          <w:rFonts w:ascii="Verdana" w:hAnsi="Verdana"/>
          <w:sz w:val="18"/>
          <w:szCs w:val="18"/>
          <w:lang w:val="en-US"/>
        </w:rPr>
        <w:t>ate</w:t>
      </w:r>
      <w:r w:rsidR="00391922" w:rsidRPr="00576D15">
        <w:rPr>
          <w:rFonts w:ascii="Verdana" w:hAnsi="Verdana"/>
          <w:sz w:val="18"/>
          <w:szCs w:val="18"/>
          <w:lang w:val="en-US"/>
        </w:rPr>
        <w:t xml:space="preserve"> </w:t>
      </w:r>
      <w:r w:rsidR="002328F7" w:rsidRPr="00576D15">
        <w:rPr>
          <w:rFonts w:ascii="Verdana" w:hAnsi="Verdana"/>
          <w:sz w:val="18"/>
          <w:szCs w:val="18"/>
          <w:lang w:val="en-US"/>
        </w:rPr>
        <w:t>(</w:t>
      </w:r>
      <w:r w:rsidR="00391922" w:rsidRPr="00576D15">
        <w:rPr>
          <w:rFonts w:ascii="Verdana" w:hAnsi="Verdana"/>
          <w:sz w:val="18"/>
          <w:szCs w:val="18"/>
          <w:lang w:val="en-US"/>
        </w:rPr>
        <w:t>125 mg</w:t>
      </w:r>
      <w:r w:rsidR="002328F7" w:rsidRPr="00576D15">
        <w:rPr>
          <w:rFonts w:ascii="Verdana" w:hAnsi="Verdana"/>
          <w:sz w:val="18"/>
          <w:szCs w:val="18"/>
          <w:lang w:val="en-US"/>
        </w:rPr>
        <w:t>)</w:t>
      </w:r>
      <w:r w:rsidR="00AD5224" w:rsidRPr="00576D15">
        <w:rPr>
          <w:lang w:val="en-US"/>
        </w:rPr>
        <w:t xml:space="preserve">. </w:t>
      </w:r>
      <w:r w:rsidR="00391922" w:rsidRPr="00576D15">
        <w:rPr>
          <w:lang w:val="en-US"/>
        </w:rPr>
        <w:t xml:space="preserve"> I</w:t>
      </w:r>
      <w:r w:rsidR="00466330" w:rsidRPr="00576D15">
        <w:rPr>
          <w:lang w:val="en-US"/>
        </w:rPr>
        <w:t>n the following morning</w:t>
      </w:r>
      <w:r w:rsidR="00391922" w:rsidRPr="00576D15">
        <w:rPr>
          <w:lang w:val="en-US"/>
        </w:rPr>
        <w:t>,</w:t>
      </w:r>
      <w:r w:rsidR="00466330" w:rsidRPr="00576D15">
        <w:rPr>
          <w:lang w:val="en-US"/>
        </w:rPr>
        <w:t xml:space="preserve"> the patient </w:t>
      </w:r>
      <w:r w:rsidR="00391922" w:rsidRPr="00576D15">
        <w:rPr>
          <w:lang w:val="en-US"/>
        </w:rPr>
        <w:t>felt better without fever</w:t>
      </w:r>
      <w:r w:rsidR="00466330" w:rsidRPr="00576D15">
        <w:rPr>
          <w:lang w:val="en-US"/>
        </w:rPr>
        <w:t xml:space="preserve">, </w:t>
      </w:r>
      <w:r w:rsidR="00C81019" w:rsidRPr="00576D15">
        <w:rPr>
          <w:lang w:val="en-US"/>
        </w:rPr>
        <w:t>and</w:t>
      </w:r>
      <w:r w:rsidR="00391922" w:rsidRPr="00576D15">
        <w:rPr>
          <w:lang w:val="en-US"/>
        </w:rPr>
        <w:t xml:space="preserve"> the</w:t>
      </w:r>
      <w:r w:rsidR="00C81019" w:rsidRPr="00576D15">
        <w:rPr>
          <w:lang w:val="en-US"/>
        </w:rPr>
        <w:t xml:space="preserve"> blood pressure was normal</w:t>
      </w:r>
      <w:r w:rsidR="00DA772B" w:rsidRPr="00576D15">
        <w:rPr>
          <w:lang w:val="en-US"/>
        </w:rPr>
        <w:t>ized</w:t>
      </w:r>
      <w:r w:rsidR="00C81019" w:rsidRPr="00576D15">
        <w:rPr>
          <w:lang w:val="en-US"/>
        </w:rPr>
        <w:t xml:space="preserve"> (124/67</w:t>
      </w:r>
      <w:r w:rsidR="00DA772B" w:rsidRPr="00576D15">
        <w:rPr>
          <w:lang w:val="en-US"/>
        </w:rPr>
        <w:t xml:space="preserve"> mmHg</w:t>
      </w:r>
      <w:r w:rsidR="00C81019" w:rsidRPr="00576D15">
        <w:rPr>
          <w:lang w:val="en-US"/>
        </w:rPr>
        <w:t>).</w:t>
      </w:r>
      <w:r w:rsidR="0097449F" w:rsidRPr="00576D15">
        <w:rPr>
          <w:lang w:val="en-US"/>
        </w:rPr>
        <w:t xml:space="preserve"> S</w:t>
      </w:r>
      <w:r w:rsidR="00391922" w:rsidRPr="00576D15">
        <w:rPr>
          <w:lang w:val="en-US"/>
        </w:rPr>
        <w:t xml:space="preserve">light facial redness </w:t>
      </w:r>
      <w:r w:rsidR="00E8216A" w:rsidRPr="00576D15">
        <w:rPr>
          <w:lang w:val="en-US"/>
        </w:rPr>
        <w:t>and eye lid edema were seen</w:t>
      </w:r>
      <w:r w:rsidR="00391922" w:rsidRPr="00576D15">
        <w:rPr>
          <w:lang w:val="en-US"/>
        </w:rPr>
        <w:t xml:space="preserve">. </w:t>
      </w:r>
      <w:r w:rsidR="00FB251A" w:rsidRPr="00576D15">
        <w:rPr>
          <w:lang w:val="en-US"/>
        </w:rPr>
        <w:t>However, t</w:t>
      </w:r>
      <w:r w:rsidR="00391922" w:rsidRPr="00576D15">
        <w:rPr>
          <w:lang w:val="en-US"/>
        </w:rPr>
        <w:t>here was</w:t>
      </w:r>
      <w:r w:rsidR="00FB251A" w:rsidRPr="00576D15">
        <w:rPr>
          <w:lang w:val="en-US"/>
        </w:rPr>
        <w:t xml:space="preserve"> still </w:t>
      </w:r>
      <w:r w:rsidR="00391922" w:rsidRPr="00576D15">
        <w:rPr>
          <w:lang w:val="en-US"/>
        </w:rPr>
        <w:t>clear</w:t>
      </w:r>
      <w:r w:rsidR="00C81019" w:rsidRPr="00576D15">
        <w:rPr>
          <w:lang w:val="en-US"/>
        </w:rPr>
        <w:t xml:space="preserve"> </w:t>
      </w:r>
      <w:r w:rsidR="00391922" w:rsidRPr="00576D15">
        <w:rPr>
          <w:lang w:val="en-US"/>
        </w:rPr>
        <w:t xml:space="preserve">edema </w:t>
      </w:r>
      <w:r w:rsidR="00FB251A" w:rsidRPr="00576D15">
        <w:rPr>
          <w:lang w:val="en-US"/>
        </w:rPr>
        <w:t>and erythema</w:t>
      </w:r>
      <w:r w:rsidR="00C81019" w:rsidRPr="00576D15">
        <w:rPr>
          <w:lang w:val="en-US"/>
        </w:rPr>
        <w:t xml:space="preserve"> in the right leg</w:t>
      </w:r>
      <w:r w:rsidR="0097449F" w:rsidRPr="00576D15">
        <w:rPr>
          <w:lang w:val="en-US"/>
        </w:rPr>
        <w:t>. I</w:t>
      </w:r>
      <w:r w:rsidR="00391922" w:rsidRPr="00576D15">
        <w:rPr>
          <w:lang w:val="en-US"/>
        </w:rPr>
        <w:t xml:space="preserve">n laboratory analyses, </w:t>
      </w:r>
      <w:r w:rsidR="00304DAF" w:rsidRPr="00576D15">
        <w:rPr>
          <w:lang w:val="en-US"/>
        </w:rPr>
        <w:t xml:space="preserve">the level of </w:t>
      </w:r>
      <w:r w:rsidR="00391922" w:rsidRPr="00576D15">
        <w:rPr>
          <w:lang w:val="en-US"/>
        </w:rPr>
        <w:t>serum C-reactive protein</w:t>
      </w:r>
      <w:r w:rsidR="00DB1952" w:rsidRPr="00576D15">
        <w:rPr>
          <w:lang w:val="en-US"/>
        </w:rPr>
        <w:t xml:space="preserve"> (CRP)</w:t>
      </w:r>
      <w:r w:rsidR="0097449F" w:rsidRPr="00576D15">
        <w:rPr>
          <w:lang w:val="en-US"/>
        </w:rPr>
        <w:t xml:space="preserve"> was 198 mg/L and blood </w:t>
      </w:r>
      <w:r w:rsidR="00AD5224" w:rsidRPr="00576D15">
        <w:rPr>
          <w:lang w:val="en-US"/>
        </w:rPr>
        <w:t>leu</w:t>
      </w:r>
      <w:r w:rsidR="00391922" w:rsidRPr="00576D15">
        <w:rPr>
          <w:lang w:val="en-US"/>
        </w:rPr>
        <w:t>cocyte count</w:t>
      </w:r>
      <w:r w:rsidR="00304DAF" w:rsidRPr="00576D15">
        <w:rPr>
          <w:lang w:val="en-US"/>
        </w:rPr>
        <w:t xml:space="preserve"> was</w:t>
      </w:r>
      <w:r w:rsidR="00D409BF" w:rsidRPr="00576D15">
        <w:rPr>
          <w:lang w:val="en-US"/>
        </w:rPr>
        <w:t xml:space="preserve"> 20.</w:t>
      </w:r>
      <w:r w:rsidR="00AD5224" w:rsidRPr="00576D15">
        <w:rPr>
          <w:lang w:val="en-US"/>
        </w:rPr>
        <w:t>2 x 10</w:t>
      </w:r>
      <w:r w:rsidR="00AD5224" w:rsidRPr="00576D15">
        <w:rPr>
          <w:rFonts w:cstheme="minorHAnsi"/>
          <w:vertAlign w:val="superscript"/>
          <w:lang w:val="en-US"/>
        </w:rPr>
        <w:t>9</w:t>
      </w:r>
      <w:r w:rsidR="0097449F" w:rsidRPr="00576D15">
        <w:rPr>
          <w:lang w:val="en-US"/>
        </w:rPr>
        <w:t>/L</w:t>
      </w:r>
      <w:r w:rsidR="00F678D6" w:rsidRPr="00576D15">
        <w:rPr>
          <w:lang w:val="en-US"/>
        </w:rPr>
        <w:t>.</w:t>
      </w:r>
      <w:r w:rsidR="00221BEA" w:rsidRPr="00576D15">
        <w:rPr>
          <w:lang w:val="en-US"/>
        </w:rPr>
        <w:t xml:space="preserve"> Therefore, t</w:t>
      </w:r>
      <w:r w:rsidR="00FB251A" w:rsidRPr="00576D15">
        <w:rPr>
          <w:lang w:val="en-US"/>
        </w:rPr>
        <w:t>he treatment with i.v.</w:t>
      </w:r>
      <w:r w:rsidR="00F678D6" w:rsidRPr="00576D15">
        <w:rPr>
          <w:lang w:val="en-US"/>
        </w:rPr>
        <w:t xml:space="preserve"> clindam</w:t>
      </w:r>
      <w:r w:rsidR="00DB1952" w:rsidRPr="00576D15">
        <w:rPr>
          <w:lang w:val="en-US"/>
        </w:rPr>
        <w:t>ycin wa</w:t>
      </w:r>
      <w:r w:rsidR="00FB251A" w:rsidRPr="00576D15">
        <w:rPr>
          <w:lang w:val="en-US"/>
        </w:rPr>
        <w:t>s continued, but without benzyl</w:t>
      </w:r>
      <w:r w:rsidR="00DB1952" w:rsidRPr="00576D15">
        <w:rPr>
          <w:lang w:val="en-US"/>
        </w:rPr>
        <w:t>penicillin</w:t>
      </w:r>
      <w:r w:rsidR="00C16934" w:rsidRPr="00576D15">
        <w:rPr>
          <w:lang w:val="en-US"/>
        </w:rPr>
        <w:t xml:space="preserve">. </w:t>
      </w:r>
      <w:r w:rsidR="00DB1952" w:rsidRPr="00576D15">
        <w:rPr>
          <w:lang w:val="en-US"/>
        </w:rPr>
        <w:t xml:space="preserve">The leg </w:t>
      </w:r>
      <w:r w:rsidR="00C16934" w:rsidRPr="00576D15">
        <w:rPr>
          <w:lang w:val="en-US"/>
        </w:rPr>
        <w:t>edema</w:t>
      </w:r>
      <w:r w:rsidR="00221BEA" w:rsidRPr="00576D15">
        <w:rPr>
          <w:lang w:val="en-US"/>
        </w:rPr>
        <w:t xml:space="preserve"> and erythema</w:t>
      </w:r>
      <w:r w:rsidR="00BA6BA2" w:rsidRPr="00576D15">
        <w:rPr>
          <w:lang w:val="en-US"/>
        </w:rPr>
        <w:t xml:space="preserve"> </w:t>
      </w:r>
      <w:r w:rsidR="00D409BF" w:rsidRPr="00576D15">
        <w:rPr>
          <w:lang w:val="en-US"/>
        </w:rPr>
        <w:t>disappeared</w:t>
      </w:r>
      <w:r w:rsidR="00BA6BA2" w:rsidRPr="00576D15">
        <w:rPr>
          <w:lang w:val="en-US"/>
        </w:rPr>
        <w:t xml:space="preserve"> during</w:t>
      </w:r>
      <w:r w:rsidR="00C16934" w:rsidRPr="00576D15">
        <w:rPr>
          <w:lang w:val="en-US"/>
        </w:rPr>
        <w:t xml:space="preserve"> the </w:t>
      </w:r>
      <w:r w:rsidR="00DB1952" w:rsidRPr="00576D15">
        <w:rPr>
          <w:lang w:val="en-US"/>
        </w:rPr>
        <w:t>following days,</w:t>
      </w:r>
      <w:r w:rsidR="0007075B" w:rsidRPr="00576D15">
        <w:rPr>
          <w:lang w:val="en-US"/>
        </w:rPr>
        <w:t xml:space="preserve"> like decreased steadily</w:t>
      </w:r>
      <w:r w:rsidR="00DB1952" w:rsidRPr="00576D15">
        <w:rPr>
          <w:lang w:val="en-US"/>
        </w:rPr>
        <w:t xml:space="preserve"> also the CRP level and leukocyte count down to</w:t>
      </w:r>
      <w:r w:rsidR="00193C2C" w:rsidRPr="00576D15">
        <w:rPr>
          <w:lang w:val="en-US"/>
        </w:rPr>
        <w:t xml:space="preserve"> 16 mg/</w:t>
      </w:r>
      <w:r w:rsidR="00DB1952" w:rsidRPr="00576D15">
        <w:rPr>
          <w:lang w:val="en-US"/>
        </w:rPr>
        <w:t>L and</w:t>
      </w:r>
      <w:r w:rsidR="00193C2C" w:rsidRPr="00576D15">
        <w:rPr>
          <w:lang w:val="en-US"/>
        </w:rPr>
        <w:t xml:space="preserve"> 10.1 x 10</w:t>
      </w:r>
      <w:r w:rsidR="00193C2C" w:rsidRPr="00576D15">
        <w:rPr>
          <w:rFonts w:cstheme="minorHAnsi"/>
          <w:vertAlign w:val="superscript"/>
          <w:lang w:val="en-US"/>
        </w:rPr>
        <w:t>9</w:t>
      </w:r>
      <w:r w:rsidR="00193C2C" w:rsidRPr="00576D15">
        <w:rPr>
          <w:lang w:val="en-US"/>
        </w:rPr>
        <w:t>/L</w:t>
      </w:r>
      <w:r w:rsidR="00DB1952" w:rsidRPr="00576D15">
        <w:rPr>
          <w:lang w:val="en-US"/>
        </w:rPr>
        <w:t>, respectively</w:t>
      </w:r>
      <w:r w:rsidR="00193C2C" w:rsidRPr="00576D15">
        <w:rPr>
          <w:lang w:val="en-US"/>
        </w:rPr>
        <w:t>.</w:t>
      </w:r>
      <w:r w:rsidR="00D409BF" w:rsidRPr="00576D15">
        <w:rPr>
          <w:lang w:val="en-US"/>
        </w:rPr>
        <w:t xml:space="preserve"> </w:t>
      </w:r>
      <w:r w:rsidR="00221BEA" w:rsidRPr="00576D15">
        <w:rPr>
          <w:lang w:val="en-US"/>
        </w:rPr>
        <w:t>Upon discharge,</w:t>
      </w:r>
      <w:r w:rsidR="000433D8" w:rsidRPr="00576D15">
        <w:rPr>
          <w:lang w:val="en-US"/>
        </w:rPr>
        <w:t xml:space="preserve"> </w:t>
      </w:r>
      <w:r w:rsidR="000B70AF" w:rsidRPr="00576D15">
        <w:rPr>
          <w:lang w:val="en-US"/>
        </w:rPr>
        <w:t>oral clindamycin</w:t>
      </w:r>
      <w:r w:rsidR="00221BEA" w:rsidRPr="00576D15">
        <w:rPr>
          <w:lang w:val="en-US"/>
        </w:rPr>
        <w:t xml:space="preserve"> capsules were</w:t>
      </w:r>
      <w:r w:rsidR="007A5074" w:rsidRPr="00576D15">
        <w:rPr>
          <w:lang w:val="en-US"/>
        </w:rPr>
        <w:t xml:space="preserve"> prescribed</w:t>
      </w:r>
      <w:r w:rsidR="000433D8" w:rsidRPr="00576D15">
        <w:rPr>
          <w:lang w:val="en-US"/>
        </w:rPr>
        <w:t xml:space="preserve"> for 4.5</w:t>
      </w:r>
      <w:r w:rsidR="0045438A" w:rsidRPr="00576D15">
        <w:rPr>
          <w:lang w:val="en-US"/>
        </w:rPr>
        <w:t xml:space="preserve"> weeks without adverse effects.</w:t>
      </w:r>
    </w:p>
    <w:p w14:paraId="7ACB472D" w14:textId="267C7FCF" w:rsidR="005A5470" w:rsidRPr="00576D15" w:rsidRDefault="005A5470" w:rsidP="00DC26C2">
      <w:pPr>
        <w:spacing w:line="276" w:lineRule="auto"/>
        <w:rPr>
          <w:lang w:val="en-US"/>
        </w:rPr>
      </w:pPr>
      <w:r w:rsidRPr="00576D15">
        <w:rPr>
          <w:lang w:val="en-US"/>
        </w:rPr>
        <w:t>In the follow-up, the patient was</w:t>
      </w:r>
      <w:r w:rsidR="00221BEA" w:rsidRPr="00576D15">
        <w:rPr>
          <w:lang w:val="en-US"/>
        </w:rPr>
        <w:t xml:space="preserve"> free of symptoms</w:t>
      </w:r>
      <w:r w:rsidR="00925E52" w:rsidRPr="00576D15">
        <w:rPr>
          <w:lang w:val="en-US"/>
        </w:rPr>
        <w:t>, until</w:t>
      </w:r>
      <w:r w:rsidRPr="00576D15">
        <w:rPr>
          <w:lang w:val="en-US"/>
        </w:rPr>
        <w:t xml:space="preserve"> the 7</w:t>
      </w:r>
      <w:r w:rsidRPr="00576D15">
        <w:rPr>
          <w:vertAlign w:val="superscript"/>
          <w:lang w:val="en-US"/>
        </w:rPr>
        <w:t>th</w:t>
      </w:r>
      <w:r w:rsidRPr="00576D15">
        <w:rPr>
          <w:lang w:val="en-US"/>
        </w:rPr>
        <w:t xml:space="preserve"> right leg erysipelas </w:t>
      </w:r>
      <w:r w:rsidR="00925E52" w:rsidRPr="00576D15">
        <w:rPr>
          <w:lang w:val="en-US"/>
        </w:rPr>
        <w:t>occurred in August 2014. T</w:t>
      </w:r>
      <w:r w:rsidR="00F017B8" w:rsidRPr="00576D15">
        <w:rPr>
          <w:lang w:val="en-US"/>
        </w:rPr>
        <w:t>he infection</w:t>
      </w:r>
      <w:r w:rsidR="008A4488" w:rsidRPr="00576D15">
        <w:rPr>
          <w:lang w:val="en-US"/>
        </w:rPr>
        <w:t xml:space="preserve"> was </w:t>
      </w:r>
      <w:r w:rsidRPr="00576D15">
        <w:rPr>
          <w:lang w:val="en-US"/>
        </w:rPr>
        <w:t xml:space="preserve">treated </w:t>
      </w:r>
      <w:r w:rsidR="001D7B39" w:rsidRPr="00576D15">
        <w:rPr>
          <w:lang w:val="en-US"/>
        </w:rPr>
        <w:t xml:space="preserve">successfully </w:t>
      </w:r>
      <w:r w:rsidRPr="00576D15">
        <w:rPr>
          <w:lang w:val="en-US"/>
        </w:rPr>
        <w:t>wit</w:t>
      </w:r>
      <w:r w:rsidR="00F017B8" w:rsidRPr="00576D15">
        <w:rPr>
          <w:lang w:val="en-US"/>
        </w:rPr>
        <w:t>h i.v.</w:t>
      </w:r>
      <w:r w:rsidRPr="00576D15">
        <w:rPr>
          <w:lang w:val="en-US"/>
        </w:rPr>
        <w:t xml:space="preserve"> and oral </w:t>
      </w:r>
      <w:r w:rsidR="006E025A" w:rsidRPr="00576D15">
        <w:rPr>
          <w:lang w:val="en-US"/>
        </w:rPr>
        <w:t>clindamycin.</w:t>
      </w:r>
    </w:p>
    <w:p w14:paraId="68A49290" w14:textId="3E3A1205" w:rsidR="006E025A" w:rsidRPr="00576D15" w:rsidRDefault="006E025A" w:rsidP="00DC26C2">
      <w:pPr>
        <w:spacing w:line="276" w:lineRule="auto"/>
        <w:rPr>
          <w:lang w:val="en-US"/>
        </w:rPr>
      </w:pPr>
    </w:p>
    <w:p w14:paraId="54D21CB0" w14:textId="24C50D40" w:rsidR="009830D3" w:rsidRPr="00576D15" w:rsidRDefault="009830D3" w:rsidP="00DC26C2">
      <w:pPr>
        <w:spacing w:line="276" w:lineRule="auto"/>
        <w:rPr>
          <w:lang w:val="en-US"/>
        </w:rPr>
      </w:pPr>
      <w:r w:rsidRPr="00576D15">
        <w:rPr>
          <w:lang w:val="en-US"/>
        </w:rPr>
        <w:t>Question:</w:t>
      </w:r>
    </w:p>
    <w:p w14:paraId="369A07FF" w14:textId="094CF48F" w:rsidR="009830D3" w:rsidRPr="00576D15" w:rsidRDefault="009830D3" w:rsidP="00DC26C2">
      <w:pPr>
        <w:spacing w:line="276" w:lineRule="auto"/>
        <w:rPr>
          <w:lang w:val="en-US"/>
        </w:rPr>
      </w:pPr>
      <w:r w:rsidRPr="00576D15">
        <w:rPr>
          <w:lang w:val="en-US"/>
        </w:rPr>
        <w:t>What caused the suspected allergic</w:t>
      </w:r>
      <w:r w:rsidR="0062328D" w:rsidRPr="00576D15">
        <w:rPr>
          <w:lang w:val="en-US"/>
        </w:rPr>
        <w:t>/anaphylactic</w:t>
      </w:r>
      <w:r w:rsidRPr="00576D15">
        <w:rPr>
          <w:lang w:val="en-US"/>
        </w:rPr>
        <w:t xml:space="preserve"> reaction during the infusion of </w:t>
      </w:r>
      <w:r w:rsidR="006430C6" w:rsidRPr="00576D15">
        <w:rPr>
          <w:lang w:val="en-US"/>
        </w:rPr>
        <w:t>clindamycin and benzyl</w:t>
      </w:r>
      <w:r w:rsidR="001E1147" w:rsidRPr="00576D15">
        <w:rPr>
          <w:lang w:val="en-US"/>
        </w:rPr>
        <w:t>penicillin</w:t>
      </w:r>
      <w:r w:rsidRPr="00576D15">
        <w:rPr>
          <w:lang w:val="en-US"/>
        </w:rPr>
        <w:t>, when the patient had sept</w:t>
      </w:r>
      <w:r w:rsidR="006430C6" w:rsidRPr="00576D15">
        <w:rPr>
          <w:lang w:val="en-US"/>
        </w:rPr>
        <w:t>ic erysipelas and the infection-related</w:t>
      </w:r>
      <w:r w:rsidRPr="00576D15">
        <w:rPr>
          <w:lang w:val="en-US"/>
        </w:rPr>
        <w:t xml:space="preserve"> parame</w:t>
      </w:r>
      <w:r w:rsidR="001E1147" w:rsidRPr="00576D15">
        <w:rPr>
          <w:lang w:val="en-US"/>
        </w:rPr>
        <w:t xml:space="preserve">ters were increasing? </w:t>
      </w:r>
      <w:r w:rsidR="00676B87" w:rsidRPr="00576D15">
        <w:rPr>
          <w:lang w:val="en-US"/>
        </w:rPr>
        <w:t>The culprit is t</w:t>
      </w:r>
      <w:r w:rsidR="00C01436" w:rsidRPr="00576D15">
        <w:rPr>
          <w:lang w:val="en-US"/>
        </w:rPr>
        <w:t xml:space="preserve">he infection itself and/or the drugs? </w:t>
      </w:r>
      <w:r w:rsidR="001E1147" w:rsidRPr="00576D15">
        <w:rPr>
          <w:lang w:val="en-US"/>
        </w:rPr>
        <w:t>The preceding</w:t>
      </w:r>
      <w:r w:rsidR="00202BAE" w:rsidRPr="00576D15">
        <w:rPr>
          <w:lang w:val="en-US"/>
        </w:rPr>
        <w:t xml:space="preserve"> erysi</w:t>
      </w:r>
      <w:r w:rsidRPr="00576D15">
        <w:rPr>
          <w:lang w:val="en-US"/>
        </w:rPr>
        <w:t xml:space="preserve">pelas </w:t>
      </w:r>
      <w:r w:rsidR="00C01436" w:rsidRPr="00576D15">
        <w:rPr>
          <w:lang w:val="en-US"/>
        </w:rPr>
        <w:t xml:space="preserve">about </w:t>
      </w:r>
      <w:r w:rsidRPr="00576D15">
        <w:rPr>
          <w:lang w:val="en-US"/>
        </w:rPr>
        <w:t>3 month</w:t>
      </w:r>
      <w:r w:rsidR="001E1147" w:rsidRPr="00576D15">
        <w:rPr>
          <w:lang w:val="en-US"/>
        </w:rPr>
        <w:t>s earlier was treated wit</w:t>
      </w:r>
      <w:r w:rsidR="00676B87" w:rsidRPr="00576D15">
        <w:rPr>
          <w:lang w:val="en-US"/>
        </w:rPr>
        <w:t>h benzyl</w:t>
      </w:r>
      <w:r w:rsidR="001E1147" w:rsidRPr="00576D15">
        <w:rPr>
          <w:lang w:val="en-US"/>
        </w:rPr>
        <w:t>penicillin for 3 days</w:t>
      </w:r>
      <w:r w:rsidRPr="00576D15">
        <w:rPr>
          <w:lang w:val="en-US"/>
        </w:rPr>
        <w:t xml:space="preserve"> followed by </w:t>
      </w:r>
      <w:r w:rsidR="00676B87" w:rsidRPr="00576D15">
        <w:rPr>
          <w:lang w:val="en-US"/>
        </w:rPr>
        <w:t>phenoxymethyl</w:t>
      </w:r>
      <w:r w:rsidR="001E1147" w:rsidRPr="00576D15">
        <w:rPr>
          <w:lang w:val="en-US"/>
        </w:rPr>
        <w:t>penicillin for 3 weeks without any adverse</w:t>
      </w:r>
      <w:r w:rsidRPr="00576D15">
        <w:rPr>
          <w:lang w:val="en-US"/>
        </w:rPr>
        <w:t xml:space="preserve"> effects.</w:t>
      </w:r>
    </w:p>
    <w:p w14:paraId="2C16E8C1" w14:textId="77777777" w:rsidR="006E025A" w:rsidRPr="00576D15" w:rsidRDefault="006E025A" w:rsidP="00DC26C2">
      <w:pPr>
        <w:spacing w:line="276" w:lineRule="auto"/>
        <w:rPr>
          <w:lang w:val="en-US"/>
        </w:rPr>
      </w:pPr>
    </w:p>
    <w:p w14:paraId="0F4C9C7D" w14:textId="61C88930" w:rsidR="006F7C15" w:rsidRPr="00576D15" w:rsidRDefault="003E4B92" w:rsidP="00DC26C2">
      <w:pPr>
        <w:spacing w:line="276" w:lineRule="auto"/>
        <w:rPr>
          <w:lang w:val="en-US"/>
        </w:rPr>
      </w:pPr>
      <w:r w:rsidRPr="00576D15">
        <w:rPr>
          <w:lang w:val="en-US"/>
        </w:rPr>
        <w:t>Answer:</w:t>
      </w:r>
    </w:p>
    <w:p w14:paraId="271368C2" w14:textId="7028FAB4" w:rsidR="00901817" w:rsidRPr="00576D15" w:rsidRDefault="001B5050" w:rsidP="00DC26C2">
      <w:pPr>
        <w:spacing w:line="276" w:lineRule="auto"/>
        <w:rPr>
          <w:lang w:val="en-US"/>
        </w:rPr>
      </w:pPr>
      <w:r w:rsidRPr="00576D15">
        <w:rPr>
          <w:lang w:val="en-US"/>
        </w:rPr>
        <w:t>L</w:t>
      </w:r>
      <w:r w:rsidR="00FE02E8" w:rsidRPr="00576D15">
        <w:rPr>
          <w:lang w:val="en-US"/>
        </w:rPr>
        <w:t>aborato</w:t>
      </w:r>
      <w:r w:rsidR="009D20FE" w:rsidRPr="00576D15">
        <w:rPr>
          <w:lang w:val="en-US"/>
        </w:rPr>
        <w:t>ry</w:t>
      </w:r>
      <w:r w:rsidR="00FE02E8" w:rsidRPr="00576D15">
        <w:rPr>
          <w:lang w:val="en-US"/>
        </w:rPr>
        <w:t xml:space="preserve"> analyses were performed</w:t>
      </w:r>
      <w:r w:rsidR="00A93C1E" w:rsidRPr="00576D15">
        <w:rPr>
          <w:lang w:val="en-US"/>
        </w:rPr>
        <w:t xml:space="preserve">. </w:t>
      </w:r>
      <w:r w:rsidR="00D409BF" w:rsidRPr="00576D15">
        <w:rPr>
          <w:lang w:val="en-US"/>
        </w:rPr>
        <w:t>One week after the</w:t>
      </w:r>
      <w:r w:rsidR="00A93C1E" w:rsidRPr="00576D15">
        <w:rPr>
          <w:lang w:val="en-US"/>
        </w:rPr>
        <w:t xml:space="preserve"> allergic</w:t>
      </w:r>
      <w:r w:rsidR="0062328D" w:rsidRPr="00576D15">
        <w:rPr>
          <w:lang w:val="en-US"/>
        </w:rPr>
        <w:t xml:space="preserve">/anaphylactic reaction serum total IgE </w:t>
      </w:r>
      <w:r w:rsidR="00105C72" w:rsidRPr="00576D15">
        <w:rPr>
          <w:lang w:val="en-US"/>
        </w:rPr>
        <w:t xml:space="preserve">level was </w:t>
      </w:r>
      <w:r w:rsidR="00A93C1E" w:rsidRPr="00576D15">
        <w:rPr>
          <w:lang w:val="en-US"/>
        </w:rPr>
        <w:t>markedly elevated</w:t>
      </w:r>
      <w:r w:rsidR="00105C72" w:rsidRPr="00576D15">
        <w:rPr>
          <w:lang w:val="en-US"/>
        </w:rPr>
        <w:t xml:space="preserve">, as well as </w:t>
      </w:r>
      <w:r w:rsidR="00BB7DF2" w:rsidRPr="00576D15">
        <w:rPr>
          <w:lang w:val="en-US"/>
        </w:rPr>
        <w:t xml:space="preserve">serum </w:t>
      </w:r>
      <w:r w:rsidR="00A93C1E" w:rsidRPr="00576D15">
        <w:rPr>
          <w:lang w:val="en-US"/>
        </w:rPr>
        <w:t>level</w:t>
      </w:r>
      <w:r w:rsidR="00BB7DF2" w:rsidRPr="00576D15">
        <w:rPr>
          <w:lang w:val="en-US"/>
        </w:rPr>
        <w:t>s</w:t>
      </w:r>
      <w:r w:rsidR="00A93C1E" w:rsidRPr="00576D15">
        <w:rPr>
          <w:lang w:val="en-US"/>
        </w:rPr>
        <w:t xml:space="preserve"> of </w:t>
      </w:r>
      <w:r w:rsidR="0062328D" w:rsidRPr="00576D15">
        <w:rPr>
          <w:lang w:val="en-US"/>
        </w:rPr>
        <w:t>specific IgE</w:t>
      </w:r>
      <w:r w:rsidR="00AA1493" w:rsidRPr="00576D15">
        <w:rPr>
          <w:lang w:val="en-US"/>
        </w:rPr>
        <w:t xml:space="preserve"> to benzyl</w:t>
      </w:r>
      <w:r w:rsidR="00BB7DF2" w:rsidRPr="00576D15">
        <w:rPr>
          <w:lang w:val="en-US"/>
        </w:rPr>
        <w:t>penicillin</w:t>
      </w:r>
      <w:r w:rsidR="00A93C1E" w:rsidRPr="00576D15">
        <w:rPr>
          <w:lang w:val="en-US"/>
        </w:rPr>
        <w:t xml:space="preserve"> </w:t>
      </w:r>
      <w:r w:rsidR="00BB7DF2" w:rsidRPr="00576D15">
        <w:rPr>
          <w:lang w:val="en-US"/>
        </w:rPr>
        <w:t>and</w:t>
      </w:r>
      <w:r w:rsidR="009D20FE" w:rsidRPr="00576D15">
        <w:rPr>
          <w:lang w:val="en-US"/>
        </w:rPr>
        <w:t xml:space="preserve"> </w:t>
      </w:r>
      <w:r w:rsidR="00AA1493" w:rsidRPr="00576D15">
        <w:rPr>
          <w:lang w:val="en-US"/>
        </w:rPr>
        <w:t>phenoxymethyl</w:t>
      </w:r>
      <w:r w:rsidR="00105C72" w:rsidRPr="00576D15">
        <w:rPr>
          <w:lang w:val="en-US"/>
        </w:rPr>
        <w:t>penicillin</w:t>
      </w:r>
      <w:r w:rsidR="00BB7DF2" w:rsidRPr="00576D15">
        <w:rPr>
          <w:lang w:val="en-US"/>
        </w:rPr>
        <w:t>. Instead, specific IgE to</w:t>
      </w:r>
      <w:r w:rsidR="00A93C1E" w:rsidRPr="00576D15">
        <w:rPr>
          <w:lang w:val="en-US"/>
        </w:rPr>
        <w:t xml:space="preserve"> amoxicillin</w:t>
      </w:r>
      <w:r w:rsidR="00BB7DF2" w:rsidRPr="00576D15">
        <w:rPr>
          <w:lang w:val="en-US"/>
        </w:rPr>
        <w:t xml:space="preserve"> was normal</w:t>
      </w:r>
      <w:r w:rsidR="00A93C1E" w:rsidRPr="00576D15">
        <w:rPr>
          <w:lang w:val="en-US"/>
        </w:rPr>
        <w:t xml:space="preserve"> </w:t>
      </w:r>
      <w:r w:rsidR="00105C72" w:rsidRPr="00576D15">
        <w:rPr>
          <w:lang w:val="en-US"/>
        </w:rPr>
        <w:t>(Table 1</w:t>
      </w:r>
      <w:r w:rsidR="00CB2B63" w:rsidRPr="00576D15">
        <w:rPr>
          <w:lang w:val="en-US"/>
        </w:rPr>
        <w:t>).</w:t>
      </w:r>
    </w:p>
    <w:p w14:paraId="091C2F92" w14:textId="34D578DB" w:rsidR="00F650AC" w:rsidRPr="00576D15" w:rsidRDefault="00901817" w:rsidP="00DC26C2">
      <w:pPr>
        <w:spacing w:line="276" w:lineRule="auto"/>
        <w:rPr>
          <w:lang w:val="en-US"/>
        </w:rPr>
      </w:pPr>
      <w:r w:rsidRPr="00576D15">
        <w:rPr>
          <w:lang w:val="en-US"/>
        </w:rPr>
        <w:t>One month later</w:t>
      </w:r>
      <w:r w:rsidR="003F244B" w:rsidRPr="00576D15">
        <w:rPr>
          <w:lang w:val="en-US"/>
        </w:rPr>
        <w:t>,</w:t>
      </w:r>
      <w:r w:rsidRPr="00576D15">
        <w:rPr>
          <w:lang w:val="en-US"/>
        </w:rPr>
        <w:t xml:space="preserve"> serum </w:t>
      </w:r>
      <w:r w:rsidR="000A0109" w:rsidRPr="00576D15">
        <w:rPr>
          <w:lang w:val="en-US"/>
        </w:rPr>
        <w:t>total IgE</w:t>
      </w:r>
      <w:r w:rsidRPr="00576D15">
        <w:rPr>
          <w:lang w:val="en-US"/>
        </w:rPr>
        <w:t xml:space="preserve"> was </w:t>
      </w:r>
      <w:r w:rsidR="00EF1C70" w:rsidRPr="00576D15">
        <w:rPr>
          <w:lang w:val="en-US"/>
        </w:rPr>
        <w:t>decrease</w:t>
      </w:r>
      <w:r w:rsidR="00AA1493" w:rsidRPr="00576D15">
        <w:rPr>
          <w:lang w:val="en-US"/>
        </w:rPr>
        <w:t>d</w:t>
      </w:r>
      <w:r w:rsidR="00EF1C70" w:rsidRPr="00576D15">
        <w:rPr>
          <w:lang w:val="en-US"/>
        </w:rPr>
        <w:t xml:space="preserve"> by about 10%</w:t>
      </w:r>
      <w:r w:rsidR="00362D54" w:rsidRPr="00576D15">
        <w:rPr>
          <w:lang w:val="en-US"/>
        </w:rPr>
        <w:t xml:space="preserve">. </w:t>
      </w:r>
      <w:r w:rsidRPr="00576D15">
        <w:rPr>
          <w:lang w:val="en-US"/>
        </w:rPr>
        <w:t xml:space="preserve">By </w:t>
      </w:r>
      <w:r w:rsidR="000A0109" w:rsidRPr="00576D15">
        <w:rPr>
          <w:lang w:val="en-US"/>
        </w:rPr>
        <w:t xml:space="preserve">using a </w:t>
      </w:r>
      <w:r w:rsidRPr="00576D15">
        <w:rPr>
          <w:lang w:val="en-US"/>
        </w:rPr>
        <w:t>dilution method</w:t>
      </w:r>
      <w:r w:rsidR="003F244B" w:rsidRPr="00576D15">
        <w:rPr>
          <w:lang w:val="en-US"/>
        </w:rPr>
        <w:t xml:space="preserve">, a more accurate estimation </w:t>
      </w:r>
      <w:r w:rsidR="00B774A2" w:rsidRPr="00576D15">
        <w:rPr>
          <w:lang w:val="en-US"/>
        </w:rPr>
        <w:t xml:space="preserve">for </w:t>
      </w:r>
      <w:r w:rsidR="000A0109" w:rsidRPr="00576D15">
        <w:rPr>
          <w:lang w:val="en-US"/>
        </w:rPr>
        <w:t>the specific IgE</w:t>
      </w:r>
      <w:r w:rsidR="009102F7" w:rsidRPr="00576D15">
        <w:rPr>
          <w:lang w:val="en-US"/>
        </w:rPr>
        <w:t xml:space="preserve"> was obtained: </w:t>
      </w:r>
      <w:r w:rsidR="003F244B" w:rsidRPr="00576D15">
        <w:rPr>
          <w:lang w:val="en-US"/>
        </w:rPr>
        <w:t xml:space="preserve">for </w:t>
      </w:r>
      <w:r w:rsidR="000019F0" w:rsidRPr="00576D15">
        <w:rPr>
          <w:lang w:val="en-US"/>
        </w:rPr>
        <w:t>benzyl</w:t>
      </w:r>
      <w:r w:rsidR="000A0109" w:rsidRPr="00576D15">
        <w:rPr>
          <w:lang w:val="en-US"/>
        </w:rPr>
        <w:t>penicillin it was</w:t>
      </w:r>
      <w:r w:rsidR="009102F7" w:rsidRPr="00576D15">
        <w:rPr>
          <w:lang w:val="en-US"/>
        </w:rPr>
        <w:t xml:space="preserve"> 137</w:t>
      </w:r>
      <w:proofErr w:type="gramStart"/>
      <w:r w:rsidR="009102F7" w:rsidRPr="00576D15">
        <w:rPr>
          <w:lang w:val="en-US"/>
        </w:rPr>
        <w:t>,5</w:t>
      </w:r>
      <w:proofErr w:type="gramEnd"/>
      <w:r w:rsidR="009102F7" w:rsidRPr="00576D15">
        <w:rPr>
          <w:lang w:val="en-US"/>
        </w:rPr>
        <w:t xml:space="preserve"> kU/L</w:t>
      </w:r>
      <w:r w:rsidR="00F650AC" w:rsidRPr="00576D15">
        <w:rPr>
          <w:lang w:val="en-US"/>
        </w:rPr>
        <w:t>,</w:t>
      </w:r>
      <w:r w:rsidR="009102F7" w:rsidRPr="00576D15">
        <w:rPr>
          <w:lang w:val="en-US"/>
        </w:rPr>
        <w:t xml:space="preserve"> </w:t>
      </w:r>
      <w:r w:rsidR="000019F0" w:rsidRPr="00576D15">
        <w:rPr>
          <w:lang w:val="en-US"/>
        </w:rPr>
        <w:t xml:space="preserve">and </w:t>
      </w:r>
      <w:r w:rsidR="009102F7" w:rsidRPr="00576D15">
        <w:rPr>
          <w:lang w:val="en-US"/>
        </w:rPr>
        <w:t xml:space="preserve">for </w:t>
      </w:r>
      <w:r w:rsidR="000019F0" w:rsidRPr="00576D15">
        <w:rPr>
          <w:lang w:val="en-US"/>
        </w:rPr>
        <w:t>phenoxymethyl</w:t>
      </w:r>
      <w:r w:rsidR="000A0109" w:rsidRPr="00576D15">
        <w:rPr>
          <w:lang w:val="en-US"/>
        </w:rPr>
        <w:t>penicillin</w:t>
      </w:r>
      <w:r w:rsidR="00EF1C70" w:rsidRPr="00576D15">
        <w:rPr>
          <w:lang w:val="en-US"/>
        </w:rPr>
        <w:t xml:space="preserve"> </w:t>
      </w:r>
      <w:r w:rsidR="0087381D" w:rsidRPr="00576D15">
        <w:rPr>
          <w:lang w:val="en-US"/>
        </w:rPr>
        <w:t>very</w:t>
      </w:r>
      <w:r w:rsidR="009102F7" w:rsidRPr="00576D15">
        <w:rPr>
          <w:lang w:val="en-US"/>
        </w:rPr>
        <w:t xml:space="preserve"> high </w:t>
      </w:r>
      <w:r w:rsidR="00362D54" w:rsidRPr="00576D15">
        <w:rPr>
          <w:lang w:val="en-US"/>
        </w:rPr>
        <w:t xml:space="preserve">307,5 kU/l. </w:t>
      </w:r>
      <w:r w:rsidR="0087381D" w:rsidRPr="00576D15">
        <w:rPr>
          <w:lang w:val="en-US"/>
        </w:rPr>
        <w:t>Specific IgE to cefachlor was also elevated</w:t>
      </w:r>
      <w:r w:rsidR="000019F0" w:rsidRPr="00576D15">
        <w:rPr>
          <w:lang w:val="en-US"/>
        </w:rPr>
        <w:t>,</w:t>
      </w:r>
      <w:r w:rsidR="009102F7" w:rsidRPr="00576D15">
        <w:rPr>
          <w:lang w:val="en-US"/>
        </w:rPr>
        <w:t xml:space="preserve"> </w:t>
      </w:r>
      <w:r w:rsidR="00F650AC" w:rsidRPr="00576D15">
        <w:rPr>
          <w:lang w:val="en-US"/>
        </w:rPr>
        <w:t>11,1</w:t>
      </w:r>
      <w:r w:rsidR="009102F7" w:rsidRPr="00576D15">
        <w:rPr>
          <w:lang w:val="en-US"/>
        </w:rPr>
        <w:t xml:space="preserve"> kU/L</w:t>
      </w:r>
      <w:r w:rsidR="00F650AC" w:rsidRPr="00576D15">
        <w:rPr>
          <w:lang w:val="en-US"/>
        </w:rPr>
        <w:t xml:space="preserve">. </w:t>
      </w:r>
      <w:r w:rsidR="009102F7" w:rsidRPr="00576D15">
        <w:rPr>
          <w:lang w:val="en-US"/>
        </w:rPr>
        <w:t xml:space="preserve"> Blood eosinophil</w:t>
      </w:r>
      <w:r w:rsidR="000019F0" w:rsidRPr="00576D15">
        <w:rPr>
          <w:lang w:val="en-US"/>
        </w:rPr>
        <w:t>ic leuk</w:t>
      </w:r>
      <w:r w:rsidR="009102F7" w:rsidRPr="00576D15">
        <w:rPr>
          <w:lang w:val="en-US"/>
        </w:rPr>
        <w:t>ocytes were marginally elevated (0,</w:t>
      </w:r>
      <w:r w:rsidR="00ED547D" w:rsidRPr="00576D15">
        <w:rPr>
          <w:lang w:val="en-US"/>
        </w:rPr>
        <w:t>5</w:t>
      </w:r>
      <w:r w:rsidR="009F2140" w:rsidRPr="00576D15">
        <w:rPr>
          <w:lang w:val="en-US"/>
        </w:rPr>
        <w:t>x10</w:t>
      </w:r>
      <w:r w:rsidR="009F2140" w:rsidRPr="00576D15">
        <w:rPr>
          <w:rFonts w:cstheme="minorHAnsi"/>
          <w:vertAlign w:val="superscript"/>
          <w:lang w:val="en-US"/>
        </w:rPr>
        <w:t>9</w:t>
      </w:r>
      <w:r w:rsidR="003F4540" w:rsidRPr="00576D15">
        <w:rPr>
          <w:lang w:val="en-US"/>
        </w:rPr>
        <w:t>/L</w:t>
      </w:r>
      <w:r w:rsidR="009102F7" w:rsidRPr="00576D15">
        <w:rPr>
          <w:lang w:val="en-US"/>
        </w:rPr>
        <w:t>, ref. 0</w:t>
      </w:r>
      <w:proofErr w:type="gramStart"/>
      <w:r w:rsidR="009102F7" w:rsidRPr="00576D15">
        <w:rPr>
          <w:lang w:val="en-US"/>
        </w:rPr>
        <w:t>,</w:t>
      </w:r>
      <w:r w:rsidR="00ED547D" w:rsidRPr="00576D15">
        <w:rPr>
          <w:lang w:val="en-US"/>
        </w:rPr>
        <w:t>1</w:t>
      </w:r>
      <w:proofErr w:type="gramEnd"/>
      <w:r w:rsidR="00ED547D" w:rsidRPr="00576D15">
        <w:rPr>
          <w:lang w:val="en-US"/>
        </w:rPr>
        <w:t>-0,4</w:t>
      </w:r>
      <w:r w:rsidR="00677B0A" w:rsidRPr="00576D15">
        <w:rPr>
          <w:lang w:val="en-US"/>
        </w:rPr>
        <w:t>x10</w:t>
      </w:r>
      <w:r w:rsidR="00677B0A" w:rsidRPr="00576D15">
        <w:rPr>
          <w:rFonts w:cstheme="minorHAnsi"/>
          <w:vertAlign w:val="superscript"/>
          <w:lang w:val="en-US"/>
        </w:rPr>
        <w:t>9</w:t>
      </w:r>
      <w:r w:rsidR="009102F7" w:rsidRPr="00576D15">
        <w:rPr>
          <w:lang w:val="en-US"/>
        </w:rPr>
        <w:t>/L</w:t>
      </w:r>
      <w:r w:rsidR="00CA70F6" w:rsidRPr="00576D15">
        <w:rPr>
          <w:lang w:val="en-US"/>
        </w:rPr>
        <w:t>).</w:t>
      </w:r>
      <w:r w:rsidR="004D4635" w:rsidRPr="00576D15">
        <w:rPr>
          <w:lang w:val="en-US"/>
        </w:rPr>
        <w:t xml:space="preserve"> </w:t>
      </w:r>
      <w:r w:rsidR="00D409BF" w:rsidRPr="00576D15">
        <w:rPr>
          <w:lang w:val="en-US"/>
        </w:rPr>
        <w:t>Later the</w:t>
      </w:r>
      <w:r w:rsidR="009102F7" w:rsidRPr="00576D15">
        <w:rPr>
          <w:lang w:val="en-US"/>
        </w:rPr>
        <w:t xml:space="preserve"> patient’s e</w:t>
      </w:r>
      <w:r w:rsidR="000019F0" w:rsidRPr="00576D15">
        <w:rPr>
          <w:lang w:val="en-US"/>
        </w:rPr>
        <w:t>osinophil counts</w:t>
      </w:r>
      <w:r w:rsidR="0006217C" w:rsidRPr="00576D15">
        <w:rPr>
          <w:lang w:val="en-US"/>
        </w:rPr>
        <w:t xml:space="preserve"> were measured 6</w:t>
      </w:r>
      <w:r w:rsidR="009102F7" w:rsidRPr="00576D15">
        <w:rPr>
          <w:lang w:val="en-US"/>
        </w:rPr>
        <w:t xml:space="preserve"> times </w:t>
      </w:r>
      <w:r w:rsidR="000019F0" w:rsidRPr="00576D15">
        <w:rPr>
          <w:lang w:val="en-US"/>
        </w:rPr>
        <w:t>being with</w:t>
      </w:r>
      <w:r w:rsidR="009102F7" w:rsidRPr="00576D15">
        <w:rPr>
          <w:lang w:val="en-US"/>
        </w:rPr>
        <w:t xml:space="preserve">in </w:t>
      </w:r>
      <w:r w:rsidR="000019F0" w:rsidRPr="00576D15">
        <w:rPr>
          <w:lang w:val="en-US"/>
        </w:rPr>
        <w:t>normal range</w:t>
      </w:r>
      <w:r w:rsidR="008F478F" w:rsidRPr="00576D15">
        <w:rPr>
          <w:lang w:val="en-US"/>
        </w:rPr>
        <w:t>.</w:t>
      </w:r>
    </w:p>
    <w:p w14:paraId="562BF018" w14:textId="6B4D587C" w:rsidR="00826C75" w:rsidRPr="00576D15" w:rsidRDefault="00BA193D" w:rsidP="00DC26C2">
      <w:pPr>
        <w:spacing w:line="276" w:lineRule="auto"/>
        <w:rPr>
          <w:lang w:val="en-US"/>
        </w:rPr>
      </w:pPr>
      <w:r w:rsidRPr="00576D15">
        <w:rPr>
          <w:lang w:val="en-US"/>
        </w:rPr>
        <w:t>I</w:t>
      </w:r>
      <w:r w:rsidR="00CB57FB" w:rsidRPr="00576D15">
        <w:rPr>
          <w:lang w:val="en-US"/>
        </w:rPr>
        <w:t>n June 20</w:t>
      </w:r>
      <w:r w:rsidRPr="00576D15">
        <w:rPr>
          <w:lang w:val="en-US"/>
        </w:rPr>
        <w:t>20, additional laboratory analyses were performed</w:t>
      </w:r>
      <w:r w:rsidR="00CB57FB" w:rsidRPr="00576D15">
        <w:rPr>
          <w:lang w:val="en-US"/>
        </w:rPr>
        <w:t xml:space="preserve">. </w:t>
      </w:r>
      <w:r w:rsidR="00353A7B" w:rsidRPr="00576D15">
        <w:rPr>
          <w:lang w:val="en-US"/>
        </w:rPr>
        <w:t xml:space="preserve">Serum total IgE was </w:t>
      </w:r>
      <w:r w:rsidR="00703296" w:rsidRPr="00576D15">
        <w:rPr>
          <w:lang w:val="en-US"/>
        </w:rPr>
        <w:t xml:space="preserve">decreased down to </w:t>
      </w:r>
      <w:r w:rsidR="00202BAE" w:rsidRPr="00576D15">
        <w:rPr>
          <w:lang w:val="en-US"/>
        </w:rPr>
        <w:t>156 kU/L. Also</w:t>
      </w:r>
      <w:r w:rsidR="00353A7B" w:rsidRPr="00576D15">
        <w:rPr>
          <w:lang w:val="en-US"/>
        </w:rPr>
        <w:t>,</w:t>
      </w:r>
      <w:r w:rsidR="00703296" w:rsidRPr="00576D15">
        <w:rPr>
          <w:lang w:val="en-US"/>
        </w:rPr>
        <w:t xml:space="preserve"> </w:t>
      </w:r>
      <w:r w:rsidR="00CB57FB" w:rsidRPr="00576D15">
        <w:rPr>
          <w:lang w:val="en-US"/>
        </w:rPr>
        <w:t>spe</w:t>
      </w:r>
      <w:r w:rsidR="00353A7B" w:rsidRPr="00576D15">
        <w:rPr>
          <w:lang w:val="en-US"/>
        </w:rPr>
        <w:t>cific IgE</w:t>
      </w:r>
      <w:r w:rsidR="00703296" w:rsidRPr="00576D15">
        <w:rPr>
          <w:lang w:val="en-US"/>
        </w:rPr>
        <w:t xml:space="preserve"> levels</w:t>
      </w:r>
      <w:r w:rsidR="00353A7B" w:rsidRPr="00576D15">
        <w:rPr>
          <w:lang w:val="en-US"/>
        </w:rPr>
        <w:t xml:space="preserve"> to be</w:t>
      </w:r>
      <w:r w:rsidR="00DB72A6" w:rsidRPr="00576D15">
        <w:rPr>
          <w:lang w:val="en-US"/>
        </w:rPr>
        <w:t>nzyl</w:t>
      </w:r>
      <w:r w:rsidR="00703296" w:rsidRPr="00576D15">
        <w:rPr>
          <w:lang w:val="en-US"/>
        </w:rPr>
        <w:t>penicilli</w:t>
      </w:r>
      <w:r w:rsidR="00DB72A6" w:rsidRPr="00576D15">
        <w:rPr>
          <w:lang w:val="en-US"/>
        </w:rPr>
        <w:t>n (0</w:t>
      </w:r>
      <w:proofErr w:type="gramStart"/>
      <w:r w:rsidR="00DB72A6" w:rsidRPr="00576D15">
        <w:rPr>
          <w:lang w:val="en-US"/>
        </w:rPr>
        <w:t>,77</w:t>
      </w:r>
      <w:proofErr w:type="gramEnd"/>
      <w:r w:rsidR="00DB72A6" w:rsidRPr="00576D15">
        <w:rPr>
          <w:lang w:val="en-US"/>
        </w:rPr>
        <w:t xml:space="preserve"> kU/L) and phenoxymethyl</w:t>
      </w:r>
      <w:r w:rsidR="00703296" w:rsidRPr="00576D15">
        <w:rPr>
          <w:lang w:val="en-US"/>
        </w:rPr>
        <w:t>penicillin</w:t>
      </w:r>
      <w:r w:rsidR="00CB57FB" w:rsidRPr="00576D15">
        <w:rPr>
          <w:lang w:val="en-US"/>
        </w:rPr>
        <w:t xml:space="preserve"> (2.93 kU/L</w:t>
      </w:r>
      <w:r w:rsidR="008B2735" w:rsidRPr="00576D15">
        <w:rPr>
          <w:lang w:val="en-US"/>
        </w:rPr>
        <w:t xml:space="preserve">) </w:t>
      </w:r>
      <w:r w:rsidR="004A4238" w:rsidRPr="00576D15">
        <w:rPr>
          <w:lang w:val="en-US"/>
        </w:rPr>
        <w:t>were markedly decreased. Spec</w:t>
      </w:r>
      <w:r w:rsidR="00202BAE" w:rsidRPr="00576D15">
        <w:rPr>
          <w:lang w:val="en-US"/>
        </w:rPr>
        <w:t>ific</w:t>
      </w:r>
      <w:r w:rsidR="00703296" w:rsidRPr="00576D15">
        <w:rPr>
          <w:lang w:val="en-US"/>
        </w:rPr>
        <w:t xml:space="preserve"> IgE antibodies to</w:t>
      </w:r>
      <w:r w:rsidR="00D84ECD" w:rsidRPr="00576D15">
        <w:rPr>
          <w:lang w:val="en-US"/>
        </w:rPr>
        <w:t xml:space="preserve"> amo</w:t>
      </w:r>
      <w:r w:rsidR="004A4238" w:rsidRPr="00576D15">
        <w:rPr>
          <w:lang w:val="en-US"/>
        </w:rPr>
        <w:t>xicillin</w:t>
      </w:r>
      <w:r w:rsidR="00D84ECD" w:rsidRPr="00576D15">
        <w:rPr>
          <w:lang w:val="en-US"/>
        </w:rPr>
        <w:t xml:space="preserve"> </w:t>
      </w:r>
      <w:r w:rsidR="00703296" w:rsidRPr="00576D15">
        <w:rPr>
          <w:lang w:val="en-US"/>
        </w:rPr>
        <w:t>and</w:t>
      </w:r>
      <w:r w:rsidR="004A4238" w:rsidRPr="00576D15">
        <w:rPr>
          <w:lang w:val="en-US"/>
        </w:rPr>
        <w:t xml:space="preserve"> cefachlor</w:t>
      </w:r>
      <w:r w:rsidR="008B2735" w:rsidRPr="00576D15">
        <w:rPr>
          <w:lang w:val="en-US"/>
        </w:rPr>
        <w:t xml:space="preserve"> </w:t>
      </w:r>
      <w:r w:rsidR="004A4238" w:rsidRPr="00576D15">
        <w:rPr>
          <w:lang w:val="en-US"/>
        </w:rPr>
        <w:t xml:space="preserve">were </w:t>
      </w:r>
      <w:r w:rsidR="00703296" w:rsidRPr="00576D15">
        <w:rPr>
          <w:lang w:val="en-US"/>
        </w:rPr>
        <w:t>normal</w:t>
      </w:r>
      <w:r w:rsidR="00DD66F1" w:rsidRPr="00576D15">
        <w:rPr>
          <w:lang w:val="en-US"/>
        </w:rPr>
        <w:t>.</w:t>
      </w:r>
    </w:p>
    <w:p w14:paraId="510A8F31" w14:textId="3467F3E2" w:rsidR="000A702F" w:rsidRPr="00576D15" w:rsidRDefault="004C1762" w:rsidP="00DC26C2">
      <w:pPr>
        <w:spacing w:line="276" w:lineRule="auto"/>
        <w:rPr>
          <w:lang w:val="en-US"/>
        </w:rPr>
      </w:pPr>
      <w:r w:rsidRPr="00576D15">
        <w:rPr>
          <w:lang w:val="en-US"/>
        </w:rPr>
        <w:lastRenderedPageBreak/>
        <w:t xml:space="preserve">In order to obtain </w:t>
      </w:r>
      <w:r w:rsidR="00DB72A6" w:rsidRPr="00576D15">
        <w:rPr>
          <w:lang w:val="en-US"/>
        </w:rPr>
        <w:t xml:space="preserve">information for comparison and on </w:t>
      </w:r>
      <w:r w:rsidR="00827C30" w:rsidRPr="00576D15">
        <w:rPr>
          <w:lang w:val="en-US"/>
        </w:rPr>
        <w:t>the prevalence of elevated</w:t>
      </w:r>
      <w:r w:rsidRPr="00576D15">
        <w:rPr>
          <w:lang w:val="en-US"/>
        </w:rPr>
        <w:t xml:space="preserve"> specific IgE to these antibiotics, a search for laboratory values in</w:t>
      </w:r>
      <w:r w:rsidR="00B511CF" w:rsidRPr="00576D15">
        <w:rPr>
          <w:lang w:val="en-US"/>
        </w:rPr>
        <w:t xml:space="preserve"> </w:t>
      </w:r>
      <w:r w:rsidR="00827C30" w:rsidRPr="00576D15">
        <w:rPr>
          <w:lang w:val="en-US"/>
        </w:rPr>
        <w:t xml:space="preserve">the hospital district of </w:t>
      </w:r>
      <w:r w:rsidR="00B511CF" w:rsidRPr="00576D15">
        <w:rPr>
          <w:lang w:val="en-US"/>
        </w:rPr>
        <w:t>Kuopio U</w:t>
      </w:r>
      <w:r w:rsidRPr="00576D15">
        <w:rPr>
          <w:lang w:val="en-US"/>
        </w:rPr>
        <w:t xml:space="preserve">niversity Hospital </w:t>
      </w:r>
      <w:r w:rsidR="00827C30" w:rsidRPr="00576D15">
        <w:rPr>
          <w:lang w:val="en-US"/>
        </w:rPr>
        <w:t>(population about 251</w:t>
      </w:r>
      <w:r w:rsidR="008F502C" w:rsidRPr="00576D15">
        <w:rPr>
          <w:lang w:val="en-US"/>
        </w:rPr>
        <w:t xml:space="preserve">,000) </w:t>
      </w:r>
      <w:r w:rsidR="00B26B2A" w:rsidRPr="00576D15">
        <w:rPr>
          <w:lang w:val="en-US"/>
        </w:rPr>
        <w:t>between</w:t>
      </w:r>
      <w:r w:rsidR="004B0B75" w:rsidRPr="00576D15">
        <w:rPr>
          <w:lang w:val="en-US"/>
        </w:rPr>
        <w:t xml:space="preserve"> January 2010 and</w:t>
      </w:r>
      <w:r w:rsidR="005C6CCE" w:rsidRPr="00576D15">
        <w:rPr>
          <w:lang w:val="en-US"/>
        </w:rPr>
        <w:t xml:space="preserve"> August 2021</w:t>
      </w:r>
      <w:r w:rsidRPr="00576D15">
        <w:rPr>
          <w:lang w:val="en-US"/>
        </w:rPr>
        <w:t xml:space="preserve"> was performed</w:t>
      </w:r>
      <w:r w:rsidR="00B26B2A" w:rsidRPr="00576D15">
        <w:rPr>
          <w:lang w:val="en-US"/>
        </w:rPr>
        <w:t>.</w:t>
      </w:r>
      <w:r w:rsidR="00AD4CA4" w:rsidRPr="00576D15">
        <w:rPr>
          <w:lang w:val="en-US"/>
        </w:rPr>
        <w:t xml:space="preserve"> The </w:t>
      </w:r>
      <w:r w:rsidR="00357C8B" w:rsidRPr="00576D15">
        <w:rPr>
          <w:lang w:val="en-US"/>
        </w:rPr>
        <w:t>results of 13 othe</w:t>
      </w:r>
      <w:r w:rsidR="00DD66F1" w:rsidRPr="00576D15">
        <w:rPr>
          <w:lang w:val="en-US"/>
        </w:rPr>
        <w:t>r patients are shown in Table 1</w:t>
      </w:r>
      <w:r w:rsidR="00357C8B" w:rsidRPr="00576D15">
        <w:rPr>
          <w:lang w:val="en-US"/>
        </w:rPr>
        <w:t>.  As</w:t>
      </w:r>
      <w:r w:rsidR="00AC7823" w:rsidRPr="00576D15">
        <w:rPr>
          <w:lang w:val="en-US"/>
        </w:rPr>
        <w:t xml:space="preserve"> </w:t>
      </w:r>
      <w:r w:rsidR="00DB72A6" w:rsidRPr="00576D15">
        <w:rPr>
          <w:lang w:val="en-US"/>
        </w:rPr>
        <w:t xml:space="preserve">a </w:t>
      </w:r>
      <w:r w:rsidR="008F502C" w:rsidRPr="00576D15">
        <w:rPr>
          <w:lang w:val="en-US"/>
        </w:rPr>
        <w:t>summa</w:t>
      </w:r>
      <w:r w:rsidR="00186AB7" w:rsidRPr="00576D15">
        <w:rPr>
          <w:lang w:val="en-US"/>
        </w:rPr>
        <w:t>ry, c</w:t>
      </w:r>
      <w:r w:rsidR="008F502C" w:rsidRPr="00576D15">
        <w:rPr>
          <w:lang w:val="en-US"/>
        </w:rPr>
        <w:t>linicall</w:t>
      </w:r>
      <w:r w:rsidR="00186AB7" w:rsidRPr="00576D15">
        <w:rPr>
          <w:lang w:val="en-US"/>
        </w:rPr>
        <w:t>y releva</w:t>
      </w:r>
      <w:r w:rsidR="000C7C2A" w:rsidRPr="00576D15">
        <w:rPr>
          <w:lang w:val="en-US"/>
        </w:rPr>
        <w:t>nt increase</w:t>
      </w:r>
      <w:r w:rsidR="002D3BC9" w:rsidRPr="00576D15">
        <w:rPr>
          <w:lang w:val="en-US"/>
        </w:rPr>
        <w:t>s</w:t>
      </w:r>
      <w:r w:rsidR="00914FEF" w:rsidRPr="00576D15">
        <w:rPr>
          <w:lang w:val="en-US"/>
        </w:rPr>
        <w:t xml:space="preserve"> (&gt;</w:t>
      </w:r>
      <w:proofErr w:type="gramStart"/>
      <w:r w:rsidR="00914FEF" w:rsidRPr="00576D15">
        <w:rPr>
          <w:lang w:val="en-US"/>
        </w:rPr>
        <w:t>0.8  kU</w:t>
      </w:r>
      <w:proofErr w:type="gramEnd"/>
      <w:r w:rsidR="00914FEF" w:rsidRPr="00576D15">
        <w:rPr>
          <w:lang w:val="en-US"/>
        </w:rPr>
        <w:t>/L)</w:t>
      </w:r>
      <w:r w:rsidR="00186AB7" w:rsidRPr="00576D15">
        <w:rPr>
          <w:lang w:val="en-US"/>
        </w:rPr>
        <w:t xml:space="preserve"> in </w:t>
      </w:r>
      <w:r w:rsidR="002D3BC9" w:rsidRPr="00576D15">
        <w:rPr>
          <w:lang w:val="en-US"/>
        </w:rPr>
        <w:t>specific IgE to phenoxymethyl</w:t>
      </w:r>
      <w:r w:rsidR="00AC7823" w:rsidRPr="00576D15">
        <w:rPr>
          <w:lang w:val="en-US"/>
        </w:rPr>
        <w:t>penicillin</w:t>
      </w:r>
      <w:r w:rsidR="002D3BC9" w:rsidRPr="00576D15">
        <w:rPr>
          <w:lang w:val="en-US"/>
        </w:rPr>
        <w:t xml:space="preserve"> were</w:t>
      </w:r>
      <w:r w:rsidR="00E13FFD" w:rsidRPr="00576D15">
        <w:rPr>
          <w:lang w:val="en-US"/>
        </w:rPr>
        <w:t xml:space="preserve"> detected only in 5</w:t>
      </w:r>
      <w:r w:rsidR="00186AB7" w:rsidRPr="00576D15">
        <w:rPr>
          <w:lang w:val="en-US"/>
        </w:rPr>
        <w:t xml:space="preserve"> other patients.</w:t>
      </w:r>
    </w:p>
    <w:p w14:paraId="45DB533A" w14:textId="55257685" w:rsidR="007D4A18" w:rsidRPr="00576D15" w:rsidRDefault="003E139E" w:rsidP="00DC26C2">
      <w:pPr>
        <w:spacing w:line="276" w:lineRule="auto"/>
        <w:rPr>
          <w:lang w:val="en-US"/>
        </w:rPr>
      </w:pPr>
      <w:r w:rsidRPr="00576D15">
        <w:rPr>
          <w:lang w:val="en-US"/>
        </w:rPr>
        <w:t xml:space="preserve">Only 2 patients had elevated </w:t>
      </w:r>
      <w:r w:rsidR="002D3BC9" w:rsidRPr="00576D15">
        <w:rPr>
          <w:lang w:val="en-US"/>
        </w:rPr>
        <w:t>specific IgE levels simultaneously to both phenoxymethyl</w:t>
      </w:r>
      <w:r w:rsidRPr="00576D15">
        <w:rPr>
          <w:lang w:val="en-US"/>
        </w:rPr>
        <w:t>penicillin</w:t>
      </w:r>
      <w:r w:rsidR="009420F7" w:rsidRPr="00576D15">
        <w:rPr>
          <w:lang w:val="en-US"/>
        </w:rPr>
        <w:t xml:space="preserve"> and amo</w:t>
      </w:r>
      <w:r w:rsidRPr="00576D15">
        <w:rPr>
          <w:lang w:val="en-US"/>
        </w:rPr>
        <w:t>xicillin.</w:t>
      </w:r>
      <w:r w:rsidR="009420F7" w:rsidRPr="00576D15">
        <w:rPr>
          <w:lang w:val="en-US"/>
        </w:rPr>
        <w:t xml:space="preserve"> </w:t>
      </w:r>
      <w:r w:rsidR="002D3BC9" w:rsidRPr="00576D15">
        <w:rPr>
          <w:lang w:val="en-US"/>
        </w:rPr>
        <w:t>There was o</w:t>
      </w:r>
      <w:r w:rsidR="009420F7" w:rsidRPr="00576D15">
        <w:rPr>
          <w:lang w:val="en-US"/>
        </w:rPr>
        <w:t>ne patient wi</w:t>
      </w:r>
      <w:r w:rsidR="00EF7482" w:rsidRPr="00576D15">
        <w:rPr>
          <w:lang w:val="en-US"/>
        </w:rPr>
        <w:t>th either of these, and 2 p</w:t>
      </w:r>
      <w:r w:rsidR="009420F7" w:rsidRPr="00576D15">
        <w:rPr>
          <w:lang w:val="en-US"/>
        </w:rPr>
        <w:t>atient</w:t>
      </w:r>
      <w:r w:rsidR="00EF7482" w:rsidRPr="00576D15">
        <w:rPr>
          <w:lang w:val="en-US"/>
        </w:rPr>
        <w:t>s</w:t>
      </w:r>
      <w:r w:rsidR="009420F7" w:rsidRPr="00576D15">
        <w:rPr>
          <w:lang w:val="en-US"/>
        </w:rPr>
        <w:t xml:space="preserve"> </w:t>
      </w:r>
      <w:r w:rsidR="002D3BC9" w:rsidRPr="00576D15">
        <w:rPr>
          <w:lang w:val="en-US"/>
        </w:rPr>
        <w:t xml:space="preserve">with simultaneous specific IgE to phenoxymethylpenicillin and </w:t>
      </w:r>
      <w:r w:rsidR="00B37E4C" w:rsidRPr="00576D15">
        <w:rPr>
          <w:lang w:val="en-US"/>
        </w:rPr>
        <w:t>Cefaclor</w:t>
      </w:r>
      <w:r w:rsidR="009420F7" w:rsidRPr="00576D15">
        <w:rPr>
          <w:lang w:val="en-US"/>
        </w:rPr>
        <w:t>.</w:t>
      </w:r>
      <w:r w:rsidR="002D3BC9" w:rsidRPr="00576D15">
        <w:rPr>
          <w:lang w:val="en-US"/>
        </w:rPr>
        <w:t xml:space="preserve"> One patient showed markedly elevated specific IgE to amoxicillin</w:t>
      </w:r>
      <w:r w:rsidR="00480DA3" w:rsidRPr="00576D15">
        <w:rPr>
          <w:lang w:val="en-US"/>
        </w:rPr>
        <w:t xml:space="preserve"> </w:t>
      </w:r>
      <w:r w:rsidR="002D3BC9" w:rsidRPr="00576D15">
        <w:rPr>
          <w:lang w:val="en-US"/>
        </w:rPr>
        <w:t>(11.2 kU/L) without any increase in</w:t>
      </w:r>
      <w:r w:rsidR="00480DA3" w:rsidRPr="00576D15">
        <w:rPr>
          <w:lang w:val="en-US"/>
        </w:rPr>
        <w:t xml:space="preserve"> </w:t>
      </w:r>
      <w:r w:rsidR="002D3BC9" w:rsidRPr="00576D15">
        <w:rPr>
          <w:lang w:val="en-US"/>
        </w:rPr>
        <w:t xml:space="preserve">IgE to </w:t>
      </w:r>
      <w:r w:rsidR="00480DA3" w:rsidRPr="00576D15">
        <w:rPr>
          <w:lang w:val="en-US"/>
        </w:rPr>
        <w:t>phenoxymethyl</w:t>
      </w:r>
      <w:r w:rsidR="002D3BC9" w:rsidRPr="00576D15">
        <w:rPr>
          <w:lang w:val="en-US"/>
        </w:rPr>
        <w:t>penicillin and benzylpenicillin</w:t>
      </w:r>
      <w:r w:rsidR="00607DD9" w:rsidRPr="00576D15">
        <w:rPr>
          <w:lang w:val="en-US"/>
        </w:rPr>
        <w:t>.</w:t>
      </w:r>
    </w:p>
    <w:p w14:paraId="562A8791" w14:textId="77777777" w:rsidR="00246129" w:rsidRPr="00576D15" w:rsidRDefault="00246129" w:rsidP="00DC26C2">
      <w:pPr>
        <w:spacing w:line="276" w:lineRule="auto"/>
        <w:rPr>
          <w:lang w:val="en-US"/>
        </w:rPr>
      </w:pPr>
    </w:p>
    <w:p w14:paraId="6128AAC1" w14:textId="34A555DA" w:rsidR="008E6641" w:rsidRPr="00576D15" w:rsidRDefault="008E6641" w:rsidP="00DC26C2">
      <w:pPr>
        <w:spacing w:line="276" w:lineRule="auto"/>
        <w:rPr>
          <w:lang w:val="en-US"/>
        </w:rPr>
      </w:pPr>
      <w:r w:rsidRPr="00576D15">
        <w:rPr>
          <w:lang w:val="en-US"/>
        </w:rPr>
        <w:t>Discussion:</w:t>
      </w:r>
    </w:p>
    <w:p w14:paraId="79ABEEB9" w14:textId="7F0038C2" w:rsidR="000F76BF" w:rsidRPr="00576D15" w:rsidRDefault="00202BAE" w:rsidP="00064253">
      <w:pPr>
        <w:spacing w:line="276" w:lineRule="auto"/>
        <w:rPr>
          <w:lang w:val="en-US"/>
        </w:rPr>
      </w:pPr>
      <w:r w:rsidRPr="00576D15">
        <w:rPr>
          <w:lang w:val="en-US"/>
        </w:rPr>
        <w:t>Accor</w:t>
      </w:r>
      <w:r w:rsidR="000F76BF" w:rsidRPr="00576D15">
        <w:rPr>
          <w:lang w:val="en-US"/>
        </w:rPr>
        <w:t xml:space="preserve">ding to </w:t>
      </w:r>
      <w:r w:rsidRPr="00576D15">
        <w:rPr>
          <w:lang w:val="en-US"/>
        </w:rPr>
        <w:t>the literature, an anaphy</w:t>
      </w:r>
      <w:r w:rsidR="000F76BF" w:rsidRPr="00576D15">
        <w:rPr>
          <w:lang w:val="en-US"/>
        </w:rPr>
        <w:t>l</w:t>
      </w:r>
      <w:r w:rsidRPr="00576D15">
        <w:rPr>
          <w:lang w:val="en-US"/>
        </w:rPr>
        <w:t>a</w:t>
      </w:r>
      <w:r w:rsidR="000F76BF" w:rsidRPr="00576D15">
        <w:rPr>
          <w:lang w:val="en-US"/>
        </w:rPr>
        <w:t>c</w:t>
      </w:r>
      <w:r w:rsidRPr="00576D15">
        <w:rPr>
          <w:lang w:val="en-US"/>
        </w:rPr>
        <w:t>tic</w:t>
      </w:r>
      <w:r w:rsidR="0052288C" w:rsidRPr="00576D15">
        <w:rPr>
          <w:lang w:val="en-US"/>
        </w:rPr>
        <w:t xml:space="preserve"> reaction to</w:t>
      </w:r>
      <w:r w:rsidR="000F76BF" w:rsidRPr="00576D15">
        <w:rPr>
          <w:lang w:val="en-US"/>
        </w:rPr>
        <w:t xml:space="preserve"> penicillin is very rare, about </w:t>
      </w:r>
      <w:r w:rsidR="001A47C5" w:rsidRPr="00576D15">
        <w:rPr>
          <w:lang w:val="en-US"/>
        </w:rPr>
        <w:t>0.0</w:t>
      </w:r>
      <w:r w:rsidR="00AC0D8E" w:rsidRPr="00576D15">
        <w:rPr>
          <w:lang w:val="en-US"/>
        </w:rPr>
        <w:t>01%</w:t>
      </w:r>
      <w:r w:rsidR="00282460" w:rsidRPr="00576D15">
        <w:rPr>
          <w:lang w:val="en-US"/>
        </w:rPr>
        <w:t xml:space="preserve"> in parenteral and 0.0005% </w:t>
      </w:r>
      <w:r w:rsidR="00AE22D2" w:rsidRPr="00576D15">
        <w:rPr>
          <w:lang w:val="en-US"/>
        </w:rPr>
        <w:t xml:space="preserve">in </w:t>
      </w:r>
      <w:r w:rsidR="00282460" w:rsidRPr="00576D15">
        <w:rPr>
          <w:lang w:val="en-US"/>
        </w:rPr>
        <w:t>tablet dosing</w:t>
      </w:r>
      <w:r w:rsidR="00AC0D8E" w:rsidRPr="00576D15">
        <w:rPr>
          <w:lang w:val="en-US"/>
        </w:rPr>
        <w:t xml:space="preserve"> (1</w:t>
      </w:r>
      <w:r w:rsidR="001A47C5" w:rsidRPr="00576D15">
        <w:rPr>
          <w:lang w:val="en-US"/>
        </w:rPr>
        <w:t xml:space="preserve">). </w:t>
      </w:r>
      <w:r w:rsidR="00474F00" w:rsidRPr="00576D15">
        <w:rPr>
          <w:lang w:val="en-US"/>
        </w:rPr>
        <w:t>In the Western co</w:t>
      </w:r>
      <w:r w:rsidR="00AE22D2" w:rsidRPr="00576D15">
        <w:rPr>
          <w:lang w:val="en-US"/>
        </w:rPr>
        <w:t>untries, about 10% of adults declare to be</w:t>
      </w:r>
      <w:r w:rsidR="00474F00" w:rsidRPr="00576D15">
        <w:rPr>
          <w:lang w:val="en-US"/>
        </w:rPr>
        <w:t xml:space="preserve"> a</w:t>
      </w:r>
      <w:r w:rsidR="00AE22D2" w:rsidRPr="00576D15">
        <w:rPr>
          <w:lang w:val="en-US"/>
        </w:rPr>
        <w:t>llergic for penicillin, and adverse</w:t>
      </w:r>
      <w:r w:rsidR="00474F00" w:rsidRPr="00576D15">
        <w:rPr>
          <w:lang w:val="en-US"/>
        </w:rPr>
        <w:t xml:space="preserve"> effects</w:t>
      </w:r>
      <w:r w:rsidR="00AE22D2" w:rsidRPr="00576D15">
        <w:rPr>
          <w:lang w:val="en-US"/>
        </w:rPr>
        <w:t>,</w:t>
      </w:r>
      <w:r w:rsidR="00474F00" w:rsidRPr="00576D15">
        <w:rPr>
          <w:lang w:val="en-US"/>
        </w:rPr>
        <w:t xml:space="preserve"> like stomach symptoms</w:t>
      </w:r>
      <w:r w:rsidR="00AE22D2" w:rsidRPr="00576D15">
        <w:rPr>
          <w:lang w:val="en-US"/>
        </w:rPr>
        <w:t>,</w:t>
      </w:r>
      <w:r w:rsidR="00AB61B3" w:rsidRPr="00576D15">
        <w:rPr>
          <w:lang w:val="en-US"/>
        </w:rPr>
        <w:t xml:space="preserve"> are believed to mean</w:t>
      </w:r>
      <w:r w:rsidR="00474F00" w:rsidRPr="00576D15">
        <w:rPr>
          <w:lang w:val="en-US"/>
        </w:rPr>
        <w:t xml:space="preserve"> allergy. However, the real penicil</w:t>
      </w:r>
      <w:r w:rsidR="00AB61B3" w:rsidRPr="00576D15">
        <w:rPr>
          <w:lang w:val="en-US"/>
        </w:rPr>
        <w:t>lin allergy is much more rare than</w:t>
      </w:r>
      <w:r w:rsidR="00474F00" w:rsidRPr="00576D15">
        <w:rPr>
          <w:lang w:val="en-US"/>
        </w:rPr>
        <w:t xml:space="preserve"> reported: of patients claiming to</w:t>
      </w:r>
      <w:r w:rsidR="00282460" w:rsidRPr="00576D15">
        <w:rPr>
          <w:lang w:val="en-US"/>
        </w:rPr>
        <w:t xml:space="preserve"> be allergic for penicillin, up to </w:t>
      </w:r>
      <w:r w:rsidR="00474F00" w:rsidRPr="00576D15">
        <w:rPr>
          <w:lang w:val="en-US"/>
        </w:rPr>
        <w:t xml:space="preserve">98% of them </w:t>
      </w:r>
      <w:r w:rsidR="00282460" w:rsidRPr="00576D15">
        <w:rPr>
          <w:lang w:val="en-US"/>
        </w:rPr>
        <w:t>still tolerate penicillin (2</w:t>
      </w:r>
      <w:r w:rsidR="00474F00" w:rsidRPr="00576D15">
        <w:rPr>
          <w:lang w:val="en-US"/>
        </w:rPr>
        <w:t>).</w:t>
      </w:r>
      <w:r w:rsidR="00237E89" w:rsidRPr="00576D15">
        <w:rPr>
          <w:lang w:val="en-US"/>
        </w:rPr>
        <w:t xml:space="preserve"> </w:t>
      </w:r>
      <w:r w:rsidR="00474F00" w:rsidRPr="00576D15">
        <w:rPr>
          <w:lang w:val="en-US"/>
        </w:rPr>
        <w:t xml:space="preserve"> When making estimations about real penicillin </w:t>
      </w:r>
      <w:r w:rsidR="00AB61B3" w:rsidRPr="00576D15">
        <w:rPr>
          <w:lang w:val="en-US"/>
        </w:rPr>
        <w:t>allergy, it is of</w:t>
      </w:r>
      <w:r w:rsidR="00474F00" w:rsidRPr="00576D15">
        <w:rPr>
          <w:lang w:val="en-US"/>
        </w:rPr>
        <w:t xml:space="preserve"> importance</w:t>
      </w:r>
      <w:r w:rsidR="00C20578" w:rsidRPr="00576D15">
        <w:rPr>
          <w:lang w:val="en-US"/>
        </w:rPr>
        <w:t xml:space="preserve"> to document very carefully the</w:t>
      </w:r>
      <w:r w:rsidR="00474F00" w:rsidRPr="00576D15">
        <w:rPr>
          <w:lang w:val="en-US"/>
        </w:rPr>
        <w:t xml:space="preserve"> </w:t>
      </w:r>
      <w:r w:rsidR="007D313D" w:rsidRPr="00576D15">
        <w:rPr>
          <w:lang w:val="en-US"/>
        </w:rPr>
        <w:t>fact</w:t>
      </w:r>
      <w:r w:rsidR="00A7375C" w:rsidRPr="00576D15">
        <w:rPr>
          <w:lang w:val="en-US"/>
        </w:rPr>
        <w:t>s to patient file for future</w:t>
      </w:r>
      <w:r w:rsidR="007D313D" w:rsidRPr="00576D15">
        <w:rPr>
          <w:lang w:val="en-US"/>
        </w:rPr>
        <w:t xml:space="preserve"> evaluation</w:t>
      </w:r>
      <w:r w:rsidR="00474F00" w:rsidRPr="00576D15">
        <w:rPr>
          <w:lang w:val="en-US"/>
        </w:rPr>
        <w:t>.</w:t>
      </w:r>
    </w:p>
    <w:p w14:paraId="0ABBBBCB" w14:textId="617527DC" w:rsidR="000F76BF" w:rsidRPr="00576D15" w:rsidRDefault="009E7565" w:rsidP="00064253">
      <w:pPr>
        <w:spacing w:line="276" w:lineRule="auto"/>
        <w:rPr>
          <w:lang w:val="en-US"/>
        </w:rPr>
      </w:pPr>
      <w:r w:rsidRPr="00576D15">
        <w:rPr>
          <w:lang w:val="en-US"/>
        </w:rPr>
        <w:t>The allergic/anaphylactic reaction in the present case was very likely due to</w:t>
      </w:r>
      <w:r w:rsidR="006C00D4" w:rsidRPr="00576D15">
        <w:rPr>
          <w:lang w:val="en-US"/>
        </w:rPr>
        <w:t xml:space="preserve"> i.v. infusion of benzyl</w:t>
      </w:r>
      <w:r w:rsidRPr="00576D15">
        <w:rPr>
          <w:lang w:val="en-US"/>
        </w:rPr>
        <w:t>penicillin</w:t>
      </w:r>
      <w:r w:rsidR="00F428DA" w:rsidRPr="00576D15">
        <w:rPr>
          <w:lang w:val="en-US"/>
        </w:rPr>
        <w:t xml:space="preserve">, </w:t>
      </w:r>
      <w:r w:rsidRPr="00576D15">
        <w:rPr>
          <w:lang w:val="en-US"/>
        </w:rPr>
        <w:t>because of</w:t>
      </w:r>
      <w:r w:rsidR="00F428DA" w:rsidRPr="00576D15">
        <w:rPr>
          <w:lang w:val="en-US"/>
        </w:rPr>
        <w:t xml:space="preserve"> the very high </w:t>
      </w:r>
      <w:r w:rsidR="00202BAE" w:rsidRPr="00576D15">
        <w:rPr>
          <w:lang w:val="en-US"/>
        </w:rPr>
        <w:t xml:space="preserve">level of </w:t>
      </w:r>
      <w:r w:rsidRPr="00576D15">
        <w:rPr>
          <w:lang w:val="en-US"/>
        </w:rPr>
        <w:t>specific IgE</w:t>
      </w:r>
      <w:r w:rsidR="006C00D4" w:rsidRPr="00576D15">
        <w:rPr>
          <w:lang w:val="en-US"/>
        </w:rPr>
        <w:t xml:space="preserve"> to benzyl</w:t>
      </w:r>
      <w:r w:rsidR="006A39DF" w:rsidRPr="00576D15">
        <w:rPr>
          <w:lang w:val="en-US"/>
        </w:rPr>
        <w:t>penicillin</w:t>
      </w:r>
      <w:r w:rsidR="00202BAE" w:rsidRPr="00576D15">
        <w:rPr>
          <w:lang w:val="en-US"/>
        </w:rPr>
        <w:t xml:space="preserve"> (</w:t>
      </w:r>
      <w:r w:rsidR="00F428DA" w:rsidRPr="00576D15">
        <w:rPr>
          <w:lang w:val="en-US"/>
        </w:rPr>
        <w:t>137.5 kU/L)</w:t>
      </w:r>
      <w:r w:rsidRPr="00576D15">
        <w:rPr>
          <w:lang w:val="en-US"/>
        </w:rPr>
        <w:t xml:space="preserve"> and the</w:t>
      </w:r>
      <w:r w:rsidR="006A39DF" w:rsidRPr="00576D15">
        <w:rPr>
          <w:lang w:val="en-US"/>
        </w:rPr>
        <w:t xml:space="preserve"> reaction subsided</w:t>
      </w:r>
      <w:r w:rsidRPr="00576D15">
        <w:rPr>
          <w:lang w:val="en-US"/>
        </w:rPr>
        <w:t xml:space="preserve"> when continuing </w:t>
      </w:r>
      <w:r w:rsidR="006C00D4" w:rsidRPr="00576D15">
        <w:rPr>
          <w:lang w:val="en-US"/>
        </w:rPr>
        <w:t xml:space="preserve">with </w:t>
      </w:r>
      <w:r w:rsidRPr="00576D15">
        <w:rPr>
          <w:lang w:val="en-US"/>
        </w:rPr>
        <w:t>clindamycin alone</w:t>
      </w:r>
      <w:r w:rsidR="006A39DF" w:rsidRPr="00576D15">
        <w:rPr>
          <w:lang w:val="en-US"/>
        </w:rPr>
        <w:t>. I</w:t>
      </w:r>
      <w:r w:rsidR="00F428DA" w:rsidRPr="00576D15">
        <w:rPr>
          <w:lang w:val="en-US"/>
        </w:rPr>
        <w:t>nte</w:t>
      </w:r>
      <w:r w:rsidR="00202BAE" w:rsidRPr="00576D15">
        <w:rPr>
          <w:lang w:val="en-US"/>
        </w:rPr>
        <w:t>resting</w:t>
      </w:r>
      <w:r w:rsidR="006A39DF" w:rsidRPr="00576D15">
        <w:rPr>
          <w:lang w:val="en-US"/>
        </w:rPr>
        <w:t xml:space="preserve">ly, </w:t>
      </w:r>
      <w:r w:rsidR="00202BAE" w:rsidRPr="00576D15">
        <w:rPr>
          <w:lang w:val="en-US"/>
        </w:rPr>
        <w:t xml:space="preserve">this patient had </w:t>
      </w:r>
      <w:r w:rsidR="006A39DF" w:rsidRPr="00576D15">
        <w:rPr>
          <w:lang w:val="en-US"/>
        </w:rPr>
        <w:t>been treated with</w:t>
      </w:r>
      <w:r w:rsidR="00F428DA" w:rsidRPr="00576D15">
        <w:rPr>
          <w:lang w:val="en-US"/>
        </w:rPr>
        <w:t xml:space="preserve"> the same </w:t>
      </w:r>
      <w:r w:rsidR="00A61F5B" w:rsidRPr="00576D15">
        <w:rPr>
          <w:lang w:val="en-US"/>
        </w:rPr>
        <w:t>i.v. benzyl</w:t>
      </w:r>
      <w:r w:rsidR="006A39DF" w:rsidRPr="00576D15">
        <w:rPr>
          <w:lang w:val="en-US"/>
        </w:rPr>
        <w:t>penicillin</w:t>
      </w:r>
      <w:r w:rsidR="00F428DA" w:rsidRPr="00576D15">
        <w:rPr>
          <w:lang w:val="en-US"/>
        </w:rPr>
        <w:t xml:space="preserve"> followed by </w:t>
      </w:r>
      <w:r w:rsidR="00A61F5B" w:rsidRPr="00576D15">
        <w:rPr>
          <w:lang w:val="en-US"/>
        </w:rPr>
        <w:t>oral phenoxymethyl</w:t>
      </w:r>
      <w:r w:rsidR="006A39DF" w:rsidRPr="00576D15">
        <w:rPr>
          <w:lang w:val="en-US"/>
        </w:rPr>
        <w:t xml:space="preserve">penicillin </w:t>
      </w:r>
      <w:r w:rsidR="00F428DA" w:rsidRPr="00576D15">
        <w:rPr>
          <w:lang w:val="en-US"/>
        </w:rPr>
        <w:t>about</w:t>
      </w:r>
      <w:r w:rsidR="00ED2E3B" w:rsidRPr="00576D15">
        <w:rPr>
          <w:lang w:val="en-US"/>
        </w:rPr>
        <w:t xml:space="preserve"> </w:t>
      </w:r>
      <w:r w:rsidR="007B268D" w:rsidRPr="00576D15">
        <w:rPr>
          <w:lang w:val="en-US"/>
        </w:rPr>
        <w:t>2-</w:t>
      </w:r>
      <w:r w:rsidR="006A39DF" w:rsidRPr="00576D15">
        <w:rPr>
          <w:lang w:val="en-US"/>
        </w:rPr>
        <w:t>3 months earlier without any adverse effects</w:t>
      </w:r>
      <w:r w:rsidR="00F428DA" w:rsidRPr="00576D15">
        <w:rPr>
          <w:lang w:val="en-US"/>
        </w:rPr>
        <w:t>.</w:t>
      </w:r>
      <w:r w:rsidR="00E33ED5" w:rsidRPr="00576D15">
        <w:rPr>
          <w:lang w:val="en-US"/>
        </w:rPr>
        <w:t xml:space="preserve"> </w:t>
      </w:r>
      <w:r w:rsidR="007B268D" w:rsidRPr="00576D15">
        <w:rPr>
          <w:lang w:val="en-US"/>
        </w:rPr>
        <w:t>Ther</w:t>
      </w:r>
      <w:r w:rsidR="00AE4624" w:rsidRPr="00576D15">
        <w:rPr>
          <w:lang w:val="en-US"/>
        </w:rPr>
        <w:t>efore, it</w:t>
      </w:r>
      <w:r w:rsidR="00D41695" w:rsidRPr="00576D15">
        <w:rPr>
          <w:lang w:val="en-US"/>
        </w:rPr>
        <w:t xml:space="preserve"> </w:t>
      </w:r>
      <w:r w:rsidR="00AE4624" w:rsidRPr="00576D15">
        <w:rPr>
          <w:lang w:val="en-US"/>
        </w:rPr>
        <w:t>is assumed</w:t>
      </w:r>
      <w:r w:rsidR="00D41695" w:rsidRPr="00576D15">
        <w:rPr>
          <w:lang w:val="en-US"/>
        </w:rPr>
        <w:t xml:space="preserve"> that the patient was sensitized at the end of the oral </w:t>
      </w:r>
      <w:r w:rsidR="00E33ED5" w:rsidRPr="00576D15">
        <w:rPr>
          <w:lang w:val="en-US"/>
        </w:rPr>
        <w:t>treat</w:t>
      </w:r>
      <w:r w:rsidR="00A61F5B" w:rsidRPr="00576D15">
        <w:rPr>
          <w:lang w:val="en-US"/>
        </w:rPr>
        <w:t>ment with phenoxymethyl</w:t>
      </w:r>
      <w:r w:rsidR="00E33ED5" w:rsidRPr="00576D15">
        <w:rPr>
          <w:lang w:val="en-US"/>
        </w:rPr>
        <w:t>penicillin</w:t>
      </w:r>
      <w:r w:rsidR="00D41695" w:rsidRPr="00576D15">
        <w:rPr>
          <w:lang w:val="en-US"/>
        </w:rPr>
        <w:t>.</w:t>
      </w:r>
      <w:r w:rsidR="00AE4624" w:rsidRPr="00576D15">
        <w:rPr>
          <w:lang w:val="en-US"/>
        </w:rPr>
        <w:t xml:space="preserve"> It is, ho</w:t>
      </w:r>
      <w:r w:rsidR="00A61F5B" w:rsidRPr="00576D15">
        <w:rPr>
          <w:lang w:val="en-US"/>
        </w:rPr>
        <w:t>wever, possible</w:t>
      </w:r>
      <w:r w:rsidR="008E2EC9" w:rsidRPr="00576D15">
        <w:rPr>
          <w:lang w:val="en-US"/>
        </w:rPr>
        <w:t xml:space="preserve"> that the septic-like </w:t>
      </w:r>
      <w:r w:rsidR="00AE4624" w:rsidRPr="00576D15">
        <w:rPr>
          <w:lang w:val="en-US"/>
        </w:rPr>
        <w:t>erysipelas may have had some additional effect</w:t>
      </w:r>
      <w:r w:rsidR="00A83969" w:rsidRPr="00576D15">
        <w:rPr>
          <w:lang w:val="en-US"/>
        </w:rPr>
        <w:t xml:space="preserve"> on the</w:t>
      </w:r>
      <w:r w:rsidR="008E2EC9" w:rsidRPr="00576D15">
        <w:rPr>
          <w:lang w:val="en-US"/>
        </w:rPr>
        <w:t xml:space="preserve"> clinical outcome</w:t>
      </w:r>
      <w:r w:rsidR="00AE4624" w:rsidRPr="00576D15">
        <w:rPr>
          <w:lang w:val="en-US"/>
        </w:rPr>
        <w:t>.</w:t>
      </w:r>
      <w:r w:rsidR="008E2EC9" w:rsidRPr="00576D15">
        <w:rPr>
          <w:lang w:val="en-US"/>
        </w:rPr>
        <w:t xml:space="preserve"> Of note is the observation, that the sensitization with </w:t>
      </w:r>
      <w:r w:rsidR="00EF3A6B" w:rsidRPr="00576D15">
        <w:rPr>
          <w:lang w:val="en-US"/>
        </w:rPr>
        <w:t xml:space="preserve">severe </w:t>
      </w:r>
      <w:r w:rsidR="008E2EC9" w:rsidRPr="00576D15">
        <w:rPr>
          <w:lang w:val="en-US"/>
        </w:rPr>
        <w:t>clinical reaction can take place unexpectedly even after a heavy</w:t>
      </w:r>
      <w:r w:rsidR="00A61F5B" w:rsidRPr="00576D15">
        <w:rPr>
          <w:lang w:val="en-US"/>
        </w:rPr>
        <w:t xml:space="preserve"> and long</w:t>
      </w:r>
      <w:r w:rsidR="008E2EC9" w:rsidRPr="00576D15">
        <w:rPr>
          <w:lang w:val="en-US"/>
        </w:rPr>
        <w:t xml:space="preserve"> background of</w:t>
      </w:r>
      <w:r w:rsidR="00A61F5B" w:rsidRPr="00576D15">
        <w:rPr>
          <w:lang w:val="en-US"/>
        </w:rPr>
        <w:t xml:space="preserve"> penicillin use for erysipelas.</w:t>
      </w:r>
    </w:p>
    <w:p w14:paraId="7A2D63D4" w14:textId="6A96F17C" w:rsidR="00AE4624" w:rsidRPr="00576D15" w:rsidRDefault="00900044" w:rsidP="00064253">
      <w:pPr>
        <w:spacing w:line="276" w:lineRule="auto"/>
        <w:rPr>
          <w:lang w:val="en-US"/>
        </w:rPr>
      </w:pPr>
      <w:r w:rsidRPr="00576D15">
        <w:rPr>
          <w:lang w:val="en-US"/>
        </w:rPr>
        <w:t>In 2008, serum tryptase analysis was not available</w:t>
      </w:r>
      <w:r w:rsidR="00E429D7" w:rsidRPr="00576D15">
        <w:rPr>
          <w:lang w:val="en-US"/>
        </w:rPr>
        <w:t xml:space="preserve"> in this hospital</w:t>
      </w:r>
      <w:r w:rsidRPr="00576D15">
        <w:rPr>
          <w:lang w:val="en-US"/>
        </w:rPr>
        <w:t xml:space="preserve">. This </w:t>
      </w:r>
      <w:r w:rsidR="00413040" w:rsidRPr="00576D15">
        <w:rPr>
          <w:lang w:val="en-US"/>
        </w:rPr>
        <w:t xml:space="preserve">assay </w:t>
      </w:r>
      <w:r w:rsidRPr="00576D15">
        <w:rPr>
          <w:lang w:val="en-US"/>
        </w:rPr>
        <w:t>might have given additional information about mast cell activatio</w:t>
      </w:r>
      <w:r w:rsidR="005626DD" w:rsidRPr="00576D15">
        <w:rPr>
          <w:lang w:val="en-US"/>
        </w:rPr>
        <w:t>n</w:t>
      </w:r>
      <w:r w:rsidR="00A51976" w:rsidRPr="00576D15">
        <w:rPr>
          <w:lang w:val="en-US"/>
        </w:rPr>
        <w:t>.</w:t>
      </w:r>
      <w:r w:rsidR="0083146D" w:rsidRPr="00576D15">
        <w:rPr>
          <w:lang w:val="en-US"/>
        </w:rPr>
        <w:t xml:space="preserve"> A positive skin prick-test and slightly elevated specific IgE levels are not reliable to predict IgE-dependent penicillin allergy. </w:t>
      </w:r>
    </w:p>
    <w:p w14:paraId="3DAE4559" w14:textId="1F5214C3" w:rsidR="00CF0C36" w:rsidRPr="00576D15" w:rsidRDefault="001A1ED0" w:rsidP="00B70C7C">
      <w:pPr>
        <w:rPr>
          <w:lang w:val="en-US"/>
        </w:rPr>
      </w:pPr>
      <w:r w:rsidRPr="00576D15">
        <w:rPr>
          <w:lang w:val="en-US"/>
        </w:rPr>
        <w:t>A</w:t>
      </w:r>
      <w:r w:rsidR="00282861" w:rsidRPr="00576D15">
        <w:rPr>
          <w:lang w:val="en-US"/>
        </w:rPr>
        <w:t xml:space="preserve">n interesting finding was that </w:t>
      </w:r>
      <w:r w:rsidR="00ED2E3B" w:rsidRPr="00576D15">
        <w:rPr>
          <w:lang w:val="en-US"/>
        </w:rPr>
        <w:t xml:space="preserve">the </w:t>
      </w:r>
      <w:r w:rsidRPr="00576D15">
        <w:rPr>
          <w:lang w:val="en-US"/>
        </w:rPr>
        <w:t>specific IgE to amoxicillin was normal, even though specific IgE</w:t>
      </w:r>
      <w:r w:rsidR="009E56E6" w:rsidRPr="00576D15">
        <w:rPr>
          <w:lang w:val="en-US"/>
        </w:rPr>
        <w:t xml:space="preserve"> levels</w:t>
      </w:r>
      <w:r w:rsidRPr="00576D15">
        <w:rPr>
          <w:lang w:val="en-US"/>
        </w:rPr>
        <w:t xml:space="preserve"> to benzyl</w:t>
      </w:r>
      <w:r w:rsidR="009E56E6" w:rsidRPr="00576D15">
        <w:rPr>
          <w:lang w:val="en-US"/>
        </w:rPr>
        <w:t>-</w:t>
      </w:r>
      <w:r w:rsidRPr="00576D15">
        <w:rPr>
          <w:lang w:val="en-US"/>
        </w:rPr>
        <w:t xml:space="preserve"> and phenoxymethylpenicillins </w:t>
      </w:r>
      <w:r w:rsidR="009E56E6" w:rsidRPr="00576D15">
        <w:rPr>
          <w:lang w:val="en-US"/>
        </w:rPr>
        <w:t>were</w:t>
      </w:r>
      <w:r w:rsidR="00282861" w:rsidRPr="00576D15">
        <w:rPr>
          <w:lang w:val="en-US"/>
        </w:rPr>
        <w:t xml:space="preserve"> very high.</w:t>
      </w:r>
      <w:r w:rsidR="00F857DB" w:rsidRPr="00576D15">
        <w:rPr>
          <w:lang w:val="en-US"/>
        </w:rPr>
        <w:t xml:space="preserve"> In the case of amoxicillin, a direct oral exposition</w:t>
      </w:r>
      <w:r w:rsidR="00271064" w:rsidRPr="00576D15">
        <w:rPr>
          <w:lang w:val="en-US"/>
        </w:rPr>
        <w:t xml:space="preserve"> can be performed if a mild delayed</w:t>
      </w:r>
      <w:r w:rsidR="00F857DB" w:rsidRPr="00576D15">
        <w:rPr>
          <w:lang w:val="en-US"/>
        </w:rPr>
        <w:t>-type</w:t>
      </w:r>
      <w:r w:rsidR="00271064" w:rsidRPr="00576D15">
        <w:rPr>
          <w:lang w:val="en-US"/>
        </w:rPr>
        <w:t xml:space="preserve"> rea</w:t>
      </w:r>
      <w:r w:rsidR="00FC74CD" w:rsidRPr="00576D15">
        <w:rPr>
          <w:lang w:val="en-US"/>
        </w:rPr>
        <w:t>ction has</w:t>
      </w:r>
      <w:r w:rsidR="00F857DB" w:rsidRPr="00576D15">
        <w:rPr>
          <w:lang w:val="en-US"/>
        </w:rPr>
        <w:t xml:space="preserve"> occurred</w:t>
      </w:r>
      <w:r w:rsidR="00271064" w:rsidRPr="00576D15">
        <w:rPr>
          <w:lang w:val="en-US"/>
        </w:rPr>
        <w:t xml:space="preserve">. In the literature, </w:t>
      </w:r>
      <w:r w:rsidR="00F857DB" w:rsidRPr="00576D15">
        <w:rPr>
          <w:lang w:val="en-US"/>
        </w:rPr>
        <w:t>there are conflicting</w:t>
      </w:r>
      <w:r w:rsidR="00FC74CD" w:rsidRPr="00576D15">
        <w:rPr>
          <w:lang w:val="en-US"/>
        </w:rPr>
        <w:t xml:space="preserve"> views on </w:t>
      </w:r>
      <w:r w:rsidR="00F857DB" w:rsidRPr="00576D15">
        <w:rPr>
          <w:lang w:val="en-US"/>
        </w:rPr>
        <w:t>the direct exposition with</w:t>
      </w:r>
      <w:r w:rsidR="00FC74CD" w:rsidRPr="00576D15">
        <w:rPr>
          <w:lang w:val="en-US"/>
        </w:rPr>
        <w:t xml:space="preserve"> amoxicillin</w:t>
      </w:r>
      <w:r w:rsidR="00F857DB" w:rsidRPr="00576D15">
        <w:rPr>
          <w:lang w:val="en-US"/>
        </w:rPr>
        <w:t>, if a patient has experienced</w:t>
      </w:r>
      <w:r w:rsidR="00FC74CD" w:rsidRPr="00576D15">
        <w:rPr>
          <w:lang w:val="en-US"/>
        </w:rPr>
        <w:t xml:space="preserve"> an immediate</w:t>
      </w:r>
      <w:r w:rsidR="00F857DB" w:rsidRPr="00576D15">
        <w:rPr>
          <w:lang w:val="en-US"/>
        </w:rPr>
        <w:t>-type</w:t>
      </w:r>
      <w:r w:rsidR="00FC74CD" w:rsidRPr="00576D15">
        <w:rPr>
          <w:lang w:val="en-US"/>
        </w:rPr>
        <w:t xml:space="preserve"> reaction</w:t>
      </w:r>
      <w:r w:rsidR="00F857DB" w:rsidRPr="00576D15">
        <w:rPr>
          <w:lang w:val="en-US"/>
        </w:rPr>
        <w:t>. T</w:t>
      </w:r>
      <w:r w:rsidR="00FC74CD" w:rsidRPr="00576D15">
        <w:rPr>
          <w:lang w:val="en-US"/>
        </w:rPr>
        <w:t>herefore</w:t>
      </w:r>
      <w:r w:rsidR="00F857DB" w:rsidRPr="00576D15">
        <w:rPr>
          <w:lang w:val="en-US"/>
        </w:rPr>
        <w:t>,</w:t>
      </w:r>
      <w:r w:rsidR="00FC74CD" w:rsidRPr="00576D15">
        <w:rPr>
          <w:lang w:val="en-US"/>
        </w:rPr>
        <w:t xml:space="preserve"> it is not recommended to </w:t>
      </w:r>
      <w:r w:rsidR="00F857DB" w:rsidRPr="00576D15">
        <w:rPr>
          <w:lang w:val="en-US"/>
        </w:rPr>
        <w:t xml:space="preserve">be </w:t>
      </w:r>
      <w:r w:rsidR="00FC74CD" w:rsidRPr="00576D15">
        <w:rPr>
          <w:lang w:val="en-US"/>
        </w:rPr>
        <w:t>use</w:t>
      </w:r>
      <w:r w:rsidR="00F857DB" w:rsidRPr="00576D15">
        <w:rPr>
          <w:lang w:val="en-US"/>
        </w:rPr>
        <w:t>d</w:t>
      </w:r>
      <w:r w:rsidR="00FC74CD" w:rsidRPr="00576D15">
        <w:rPr>
          <w:lang w:val="en-US"/>
        </w:rPr>
        <w:t xml:space="preserve">, if </w:t>
      </w:r>
      <w:r w:rsidR="00F857DB" w:rsidRPr="00576D15">
        <w:rPr>
          <w:lang w:val="en-US"/>
        </w:rPr>
        <w:t xml:space="preserve">an </w:t>
      </w:r>
      <w:r w:rsidR="00FC74CD" w:rsidRPr="00576D15">
        <w:rPr>
          <w:lang w:val="en-US"/>
        </w:rPr>
        <w:t>Ig</w:t>
      </w:r>
      <w:r w:rsidR="00F857DB" w:rsidRPr="00576D15">
        <w:rPr>
          <w:lang w:val="en-US"/>
        </w:rPr>
        <w:t>E-mediated reaction has taken place</w:t>
      </w:r>
      <w:r w:rsidR="00FC74CD" w:rsidRPr="00576D15">
        <w:rPr>
          <w:lang w:val="en-US"/>
        </w:rPr>
        <w:t xml:space="preserve"> from</w:t>
      </w:r>
      <w:r w:rsidR="00F857DB" w:rsidRPr="00576D15">
        <w:rPr>
          <w:lang w:val="en-US"/>
        </w:rPr>
        <w:t xml:space="preserve"> another penicillin type</w:t>
      </w:r>
      <w:r w:rsidR="00FC74CD" w:rsidRPr="00576D15">
        <w:rPr>
          <w:lang w:val="en-US"/>
        </w:rPr>
        <w:t>. Howeve</w:t>
      </w:r>
      <w:r w:rsidR="00F857DB" w:rsidRPr="00576D15">
        <w:rPr>
          <w:lang w:val="en-US"/>
        </w:rPr>
        <w:t>r, a direct amoxicillin exposition</w:t>
      </w:r>
      <w:r w:rsidR="00FC74CD" w:rsidRPr="00576D15">
        <w:rPr>
          <w:lang w:val="en-US"/>
        </w:rPr>
        <w:t xml:space="preserve"> is considered to be safe, if </w:t>
      </w:r>
      <w:r w:rsidR="00992915" w:rsidRPr="00576D15">
        <w:rPr>
          <w:lang w:val="en-US"/>
        </w:rPr>
        <w:t>mo</w:t>
      </w:r>
      <w:r w:rsidR="00383889" w:rsidRPr="00576D15">
        <w:rPr>
          <w:lang w:val="en-US"/>
        </w:rPr>
        <w:t>re than 10 years have</w:t>
      </w:r>
      <w:r w:rsidR="00FC74CD" w:rsidRPr="00576D15">
        <w:rPr>
          <w:lang w:val="en-US"/>
        </w:rPr>
        <w:t xml:space="preserve"> gone since the reaction (2).</w:t>
      </w:r>
      <w:r w:rsidR="00E0695E" w:rsidRPr="00576D15">
        <w:rPr>
          <w:lang w:val="en-US"/>
        </w:rPr>
        <w:t xml:space="preserve"> According to present</w:t>
      </w:r>
      <w:r w:rsidR="009E56E6" w:rsidRPr="00576D15">
        <w:rPr>
          <w:lang w:val="en-US"/>
        </w:rPr>
        <w:t xml:space="preserve"> findings on the case and</w:t>
      </w:r>
      <w:r w:rsidR="000F4DC3" w:rsidRPr="00576D15">
        <w:rPr>
          <w:lang w:val="en-US"/>
        </w:rPr>
        <w:t xml:space="preserve"> other</w:t>
      </w:r>
      <w:r w:rsidR="009E56E6" w:rsidRPr="00576D15">
        <w:rPr>
          <w:lang w:val="en-US"/>
        </w:rPr>
        <w:t xml:space="preserve"> </w:t>
      </w:r>
      <w:r w:rsidR="000F4DC3" w:rsidRPr="00576D15">
        <w:rPr>
          <w:lang w:val="en-US"/>
        </w:rPr>
        <w:t>cases with positive IgE</w:t>
      </w:r>
      <w:r w:rsidR="009E56E6" w:rsidRPr="00576D15">
        <w:rPr>
          <w:lang w:val="en-US"/>
        </w:rPr>
        <w:t xml:space="preserve"> to antibiotics</w:t>
      </w:r>
      <w:r w:rsidR="00284C6F" w:rsidRPr="00576D15">
        <w:rPr>
          <w:lang w:val="en-US"/>
        </w:rPr>
        <w:t>, am</w:t>
      </w:r>
      <w:r w:rsidR="000F4DC3" w:rsidRPr="00576D15">
        <w:rPr>
          <w:lang w:val="en-US"/>
        </w:rPr>
        <w:t>oxicillin exposition may not</w:t>
      </w:r>
      <w:r w:rsidR="009E56E6" w:rsidRPr="00576D15">
        <w:rPr>
          <w:lang w:val="en-US"/>
        </w:rPr>
        <w:t xml:space="preserve"> be reliable in</w:t>
      </w:r>
      <w:r w:rsidR="00B70C7C" w:rsidRPr="00576D15">
        <w:rPr>
          <w:lang w:val="en-US"/>
        </w:rPr>
        <w:t xml:space="preserve"> showing </w:t>
      </w:r>
      <w:r w:rsidR="00E0695E" w:rsidRPr="00576D15">
        <w:rPr>
          <w:lang w:val="en-US"/>
        </w:rPr>
        <w:t xml:space="preserve">immediate </w:t>
      </w:r>
      <w:r w:rsidR="00B70C7C" w:rsidRPr="00576D15">
        <w:rPr>
          <w:lang w:val="en-US"/>
        </w:rPr>
        <w:t>allergies for p</w:t>
      </w:r>
      <w:r w:rsidR="009E56E6" w:rsidRPr="00576D15">
        <w:rPr>
          <w:lang w:val="en-US"/>
        </w:rPr>
        <w:t>henoxymethyl</w:t>
      </w:r>
      <w:r w:rsidR="00B70C7C" w:rsidRPr="00576D15">
        <w:rPr>
          <w:lang w:val="en-US"/>
        </w:rPr>
        <w:t xml:space="preserve">penicillin or </w:t>
      </w:r>
      <w:r w:rsidR="00284C6F" w:rsidRPr="00576D15">
        <w:rPr>
          <w:lang w:val="en-US"/>
        </w:rPr>
        <w:t>b</w:t>
      </w:r>
      <w:r w:rsidR="009E56E6" w:rsidRPr="00576D15">
        <w:rPr>
          <w:lang w:val="en-US"/>
        </w:rPr>
        <w:t>enzyl</w:t>
      </w:r>
      <w:r w:rsidR="00B70C7C" w:rsidRPr="00576D15">
        <w:rPr>
          <w:lang w:val="en-US"/>
        </w:rPr>
        <w:t>penicillin</w:t>
      </w:r>
      <w:r w:rsidR="009E56E6" w:rsidRPr="00576D15">
        <w:rPr>
          <w:lang w:val="en-US"/>
        </w:rPr>
        <w:t>. T</w:t>
      </w:r>
      <w:r w:rsidR="000F4DC3" w:rsidRPr="00576D15">
        <w:rPr>
          <w:lang w:val="en-US"/>
        </w:rPr>
        <w:t>herefore</w:t>
      </w:r>
      <w:r w:rsidR="00B70C7C" w:rsidRPr="00576D15">
        <w:rPr>
          <w:lang w:val="en-US"/>
        </w:rPr>
        <w:t xml:space="preserve">, the </w:t>
      </w:r>
      <w:r w:rsidR="000F4DC3" w:rsidRPr="00576D15">
        <w:rPr>
          <w:lang w:val="en-US"/>
        </w:rPr>
        <w:t>exposition should be done with</w:t>
      </w:r>
      <w:r w:rsidR="00284C6F" w:rsidRPr="00576D15">
        <w:rPr>
          <w:lang w:val="en-US"/>
        </w:rPr>
        <w:t xml:space="preserve"> penicillins</w:t>
      </w:r>
      <w:r w:rsidR="009E56E6" w:rsidRPr="00576D15">
        <w:rPr>
          <w:lang w:val="en-US"/>
        </w:rPr>
        <w:t>. However,</w:t>
      </w:r>
      <w:r w:rsidR="00B70C7C" w:rsidRPr="00576D15">
        <w:rPr>
          <w:lang w:val="en-US"/>
        </w:rPr>
        <w:t xml:space="preserve"> due to the severity of the reaction</w:t>
      </w:r>
      <w:r w:rsidR="00284C6F" w:rsidRPr="00576D15">
        <w:rPr>
          <w:lang w:val="en-US"/>
        </w:rPr>
        <w:t>,</w:t>
      </w:r>
      <w:r w:rsidR="00B70C7C" w:rsidRPr="00576D15">
        <w:rPr>
          <w:lang w:val="en-US"/>
        </w:rPr>
        <w:t xml:space="preserve"> it was not performed in this case.</w:t>
      </w:r>
    </w:p>
    <w:p w14:paraId="7FFF7D17" w14:textId="0364A9B7" w:rsidR="0026468B" w:rsidRPr="00576D15" w:rsidRDefault="00FD3AC8" w:rsidP="00D82EA6">
      <w:pPr>
        <w:spacing w:line="276" w:lineRule="auto"/>
        <w:rPr>
          <w:lang w:val="en-US"/>
        </w:rPr>
      </w:pPr>
      <w:r w:rsidRPr="00576D15">
        <w:rPr>
          <w:lang w:val="en-US"/>
        </w:rPr>
        <w:t xml:space="preserve">In the present </w:t>
      </w:r>
      <w:r w:rsidR="0026468B" w:rsidRPr="00576D15">
        <w:rPr>
          <w:lang w:val="en-US"/>
        </w:rPr>
        <w:t xml:space="preserve">case, </w:t>
      </w:r>
      <w:r w:rsidR="00132DAD" w:rsidRPr="00576D15">
        <w:rPr>
          <w:lang w:val="en-US"/>
        </w:rPr>
        <w:t>almost</w:t>
      </w:r>
      <w:r w:rsidR="00EA2212" w:rsidRPr="00576D15">
        <w:rPr>
          <w:lang w:val="en-US"/>
        </w:rPr>
        <w:t xml:space="preserve"> </w:t>
      </w:r>
      <w:r w:rsidR="0026468B" w:rsidRPr="00576D15">
        <w:rPr>
          <w:lang w:val="en-US"/>
        </w:rPr>
        <w:t>12 years</w:t>
      </w:r>
      <w:r w:rsidR="0029761A" w:rsidRPr="00576D15">
        <w:rPr>
          <w:lang w:val="en-US"/>
        </w:rPr>
        <w:t xml:space="preserve"> </w:t>
      </w:r>
      <w:r w:rsidR="00ED2E3B" w:rsidRPr="00576D15">
        <w:rPr>
          <w:lang w:val="en-US"/>
        </w:rPr>
        <w:t xml:space="preserve">later </w:t>
      </w:r>
      <w:r w:rsidR="0029761A" w:rsidRPr="00576D15">
        <w:rPr>
          <w:lang w:val="en-US"/>
        </w:rPr>
        <w:t>s</w:t>
      </w:r>
      <w:r w:rsidR="0026468B" w:rsidRPr="00576D15">
        <w:rPr>
          <w:lang w:val="en-US"/>
        </w:rPr>
        <w:t>erum total IgE level was decreased by about 84%.</w:t>
      </w:r>
      <w:r w:rsidR="00AD4A68" w:rsidRPr="00576D15">
        <w:rPr>
          <w:lang w:val="en-US"/>
        </w:rPr>
        <w:t xml:space="preserve"> This is in accordance with previously published data: </w:t>
      </w:r>
      <w:r w:rsidR="005D0BDB" w:rsidRPr="00576D15">
        <w:rPr>
          <w:lang w:val="en-US"/>
        </w:rPr>
        <w:t>IgE-mediat</w:t>
      </w:r>
      <w:r w:rsidR="0029761A" w:rsidRPr="00576D15">
        <w:rPr>
          <w:lang w:val="en-US"/>
        </w:rPr>
        <w:t xml:space="preserve">ed reactions </w:t>
      </w:r>
      <w:r w:rsidR="00444551" w:rsidRPr="00576D15">
        <w:rPr>
          <w:lang w:val="en-US"/>
        </w:rPr>
        <w:t>to</w:t>
      </w:r>
      <w:r w:rsidR="0029761A" w:rsidRPr="00576D15">
        <w:rPr>
          <w:lang w:val="en-US"/>
        </w:rPr>
        <w:t xml:space="preserve"> betalactams have decreased</w:t>
      </w:r>
      <w:r w:rsidR="005D0BDB" w:rsidRPr="00576D15">
        <w:rPr>
          <w:lang w:val="en-US"/>
        </w:rPr>
        <w:t xml:space="preserve"> by 80% </w:t>
      </w:r>
      <w:r w:rsidR="005D0BDB" w:rsidRPr="00576D15">
        <w:rPr>
          <w:lang w:val="en-US"/>
        </w:rPr>
        <w:lastRenderedPageBreak/>
        <w:t xml:space="preserve">in 10 years as determined by skin </w:t>
      </w:r>
      <w:r w:rsidR="00B108C8" w:rsidRPr="00576D15">
        <w:rPr>
          <w:lang w:val="en-US"/>
        </w:rPr>
        <w:t xml:space="preserve">prick </w:t>
      </w:r>
      <w:r w:rsidR="005D0BDB" w:rsidRPr="00576D15">
        <w:rPr>
          <w:lang w:val="en-US"/>
        </w:rPr>
        <w:t>tests (1)</w:t>
      </w:r>
      <w:r w:rsidR="00331F0C" w:rsidRPr="00576D15">
        <w:rPr>
          <w:lang w:val="en-US"/>
        </w:rPr>
        <w:t xml:space="preserve">.  Also, the levels of </w:t>
      </w:r>
      <w:r w:rsidR="000B5F85" w:rsidRPr="00576D15">
        <w:rPr>
          <w:lang w:val="en-US"/>
        </w:rPr>
        <w:t xml:space="preserve">specific IgE </w:t>
      </w:r>
      <w:r w:rsidR="00865F2D" w:rsidRPr="00576D15">
        <w:rPr>
          <w:lang w:val="en-US"/>
        </w:rPr>
        <w:t xml:space="preserve">of our patient </w:t>
      </w:r>
      <w:r w:rsidR="000B5F85" w:rsidRPr="00576D15">
        <w:rPr>
          <w:lang w:val="en-US"/>
        </w:rPr>
        <w:t>to</w:t>
      </w:r>
      <w:r w:rsidR="00331F0C" w:rsidRPr="00576D15">
        <w:rPr>
          <w:lang w:val="en-US"/>
        </w:rPr>
        <w:t xml:space="preserve"> both </w:t>
      </w:r>
      <w:r w:rsidR="000B5F85" w:rsidRPr="00576D15">
        <w:rPr>
          <w:lang w:val="en-US"/>
        </w:rPr>
        <w:t>benzyl</w:t>
      </w:r>
      <w:r w:rsidR="00444551" w:rsidRPr="00576D15">
        <w:rPr>
          <w:lang w:val="en-US"/>
        </w:rPr>
        <w:t>-</w:t>
      </w:r>
      <w:r w:rsidR="000B5F85" w:rsidRPr="00576D15">
        <w:rPr>
          <w:lang w:val="en-US"/>
        </w:rPr>
        <w:t xml:space="preserve"> and phenoxymethylpenicillins</w:t>
      </w:r>
      <w:r w:rsidR="00331F0C" w:rsidRPr="00576D15">
        <w:rPr>
          <w:lang w:val="en-US"/>
        </w:rPr>
        <w:t xml:space="preserve"> w</w:t>
      </w:r>
      <w:r w:rsidR="007C2BB6" w:rsidRPr="00576D15">
        <w:rPr>
          <w:lang w:val="en-US"/>
        </w:rPr>
        <w:t>ere decreased by 99%</w:t>
      </w:r>
      <w:r w:rsidR="00912FA4" w:rsidRPr="00576D15">
        <w:rPr>
          <w:lang w:val="en-US"/>
        </w:rPr>
        <w:t xml:space="preserve"> </w:t>
      </w:r>
      <w:r w:rsidR="004C3B97" w:rsidRPr="00576D15">
        <w:rPr>
          <w:lang w:val="en-US"/>
        </w:rPr>
        <w:t>during about the same time</w:t>
      </w:r>
      <w:r w:rsidR="007C2BB6" w:rsidRPr="00576D15">
        <w:rPr>
          <w:lang w:val="en-US"/>
        </w:rPr>
        <w:t xml:space="preserve">, and for </w:t>
      </w:r>
      <w:r w:rsidR="00B37E4C" w:rsidRPr="00576D15">
        <w:rPr>
          <w:lang w:val="en-US"/>
        </w:rPr>
        <w:t>Cefaclor</w:t>
      </w:r>
      <w:r w:rsidR="007C2BB6" w:rsidRPr="00576D15">
        <w:rPr>
          <w:lang w:val="en-US"/>
        </w:rPr>
        <w:t xml:space="preserve">, no </w:t>
      </w:r>
      <w:r w:rsidR="000B5F85" w:rsidRPr="00576D15">
        <w:rPr>
          <w:lang w:val="en-US"/>
        </w:rPr>
        <w:t>specific IgE was</w:t>
      </w:r>
      <w:r w:rsidR="00331F0C" w:rsidRPr="00576D15">
        <w:rPr>
          <w:lang w:val="en-US"/>
        </w:rPr>
        <w:t xml:space="preserve"> detected.</w:t>
      </w:r>
    </w:p>
    <w:p w14:paraId="6EFBBB8F" w14:textId="402C646E" w:rsidR="00D81AE1" w:rsidRPr="00576D15" w:rsidRDefault="002E4AAF" w:rsidP="00D82EA6">
      <w:pPr>
        <w:spacing w:line="276" w:lineRule="auto"/>
        <w:rPr>
          <w:lang w:val="en-US"/>
        </w:rPr>
      </w:pPr>
      <w:r w:rsidRPr="00576D15">
        <w:rPr>
          <w:lang w:val="en-US"/>
        </w:rPr>
        <w:t xml:space="preserve">The levels of </w:t>
      </w:r>
      <w:r w:rsidR="00C8487B" w:rsidRPr="00576D15">
        <w:rPr>
          <w:lang w:val="en-US"/>
        </w:rPr>
        <w:t xml:space="preserve">specific </w:t>
      </w:r>
      <w:r w:rsidRPr="00576D15">
        <w:rPr>
          <w:lang w:val="en-US"/>
        </w:rPr>
        <w:t>IgE</w:t>
      </w:r>
      <w:r w:rsidR="00C8487B" w:rsidRPr="00576D15">
        <w:rPr>
          <w:lang w:val="en-US"/>
        </w:rPr>
        <w:t xml:space="preserve"> to </w:t>
      </w:r>
      <w:r w:rsidR="00B37E4C" w:rsidRPr="00576D15">
        <w:rPr>
          <w:lang w:val="en-US"/>
        </w:rPr>
        <w:t>Cefaclor</w:t>
      </w:r>
      <w:r w:rsidRPr="00576D15">
        <w:rPr>
          <w:lang w:val="en-US"/>
        </w:rPr>
        <w:t xml:space="preserve"> were elevated</w:t>
      </w:r>
      <w:r w:rsidR="00C8487B" w:rsidRPr="00576D15">
        <w:rPr>
          <w:lang w:val="en-US"/>
        </w:rPr>
        <w:t xml:space="preserve"> in this case</w:t>
      </w:r>
      <w:r w:rsidRPr="00576D15">
        <w:rPr>
          <w:lang w:val="en-US"/>
        </w:rPr>
        <w:t xml:space="preserve">, as </w:t>
      </w:r>
      <w:r w:rsidR="00C8487B" w:rsidRPr="00576D15">
        <w:rPr>
          <w:lang w:val="en-US"/>
        </w:rPr>
        <w:t>also to benzyl</w:t>
      </w:r>
      <w:r w:rsidR="00CA60B1" w:rsidRPr="00576D15">
        <w:rPr>
          <w:lang w:val="en-US"/>
        </w:rPr>
        <w:t>- and phenoxymethyl</w:t>
      </w:r>
      <w:r w:rsidR="00C8487B" w:rsidRPr="00576D15">
        <w:rPr>
          <w:lang w:val="en-US"/>
        </w:rPr>
        <w:t>penicillins</w:t>
      </w:r>
      <w:r w:rsidRPr="00576D15">
        <w:rPr>
          <w:lang w:val="en-US"/>
        </w:rPr>
        <w:t>. The patien</w:t>
      </w:r>
      <w:r w:rsidR="00700309" w:rsidRPr="00576D15">
        <w:rPr>
          <w:lang w:val="en-US"/>
        </w:rPr>
        <w:t xml:space="preserve">t </w:t>
      </w:r>
      <w:r w:rsidR="00B04940" w:rsidRPr="00576D15">
        <w:rPr>
          <w:lang w:val="en-US"/>
        </w:rPr>
        <w:t>had been treated</w:t>
      </w:r>
      <w:r w:rsidRPr="00576D15">
        <w:rPr>
          <w:lang w:val="en-US"/>
        </w:rPr>
        <w:t xml:space="preserve"> 5 years earlier </w:t>
      </w:r>
      <w:r w:rsidR="00B04940" w:rsidRPr="00576D15">
        <w:rPr>
          <w:lang w:val="en-US"/>
        </w:rPr>
        <w:t>with an oral</w:t>
      </w:r>
      <w:r w:rsidRPr="00576D15">
        <w:rPr>
          <w:lang w:val="en-US"/>
        </w:rPr>
        <w:t xml:space="preserve"> 1</w:t>
      </w:r>
      <w:r w:rsidRPr="00576D15">
        <w:rPr>
          <w:vertAlign w:val="superscript"/>
          <w:lang w:val="en-US"/>
        </w:rPr>
        <w:t>st</w:t>
      </w:r>
      <w:r w:rsidRPr="00576D15">
        <w:rPr>
          <w:lang w:val="en-US"/>
        </w:rPr>
        <w:t xml:space="preserve"> generation</w:t>
      </w:r>
      <w:r w:rsidR="007B238C" w:rsidRPr="00576D15">
        <w:rPr>
          <w:lang w:val="en-US"/>
        </w:rPr>
        <w:t xml:space="preserve"> cephalosporin</w:t>
      </w:r>
      <w:r w:rsidR="00B04940" w:rsidRPr="00576D15">
        <w:rPr>
          <w:lang w:val="en-US"/>
        </w:rPr>
        <w:t>,</w:t>
      </w:r>
      <w:r w:rsidRPr="00576D15">
        <w:rPr>
          <w:lang w:val="en-US"/>
        </w:rPr>
        <w:t xml:space="preserve"> </w:t>
      </w:r>
      <w:r w:rsidR="000532BB" w:rsidRPr="00576D15">
        <w:rPr>
          <w:lang w:val="en-US"/>
        </w:rPr>
        <w:t>cefadroxil</w:t>
      </w:r>
      <w:r w:rsidR="00B04940" w:rsidRPr="00576D15">
        <w:rPr>
          <w:lang w:val="en-US"/>
        </w:rPr>
        <w:t>. Also, the patient had been treated about</w:t>
      </w:r>
      <w:r w:rsidRPr="00576D15">
        <w:rPr>
          <w:lang w:val="en-US"/>
        </w:rPr>
        <w:t xml:space="preserve"> 2 years earlier </w:t>
      </w:r>
      <w:r w:rsidR="00CA60B1" w:rsidRPr="00576D15">
        <w:rPr>
          <w:lang w:val="en-US"/>
        </w:rPr>
        <w:t>with some</w:t>
      </w:r>
      <w:r w:rsidR="00B04940" w:rsidRPr="00576D15">
        <w:rPr>
          <w:lang w:val="en-US"/>
        </w:rPr>
        <w:t xml:space="preserve"> </w:t>
      </w:r>
      <w:r w:rsidR="00CA60B1" w:rsidRPr="00576D15">
        <w:rPr>
          <w:lang w:val="en-US"/>
        </w:rPr>
        <w:t>i.v.</w:t>
      </w:r>
      <w:r w:rsidRPr="00576D15">
        <w:rPr>
          <w:lang w:val="en-US"/>
        </w:rPr>
        <w:t xml:space="preserve"> d</w:t>
      </w:r>
      <w:r w:rsidR="00927494" w:rsidRPr="00576D15">
        <w:rPr>
          <w:lang w:val="en-US"/>
        </w:rPr>
        <w:t>oses</w:t>
      </w:r>
      <w:r w:rsidRPr="00576D15">
        <w:rPr>
          <w:lang w:val="en-US"/>
        </w:rPr>
        <w:t xml:space="preserve"> </w:t>
      </w:r>
      <w:r w:rsidR="00927494" w:rsidRPr="00576D15">
        <w:rPr>
          <w:lang w:val="en-US"/>
        </w:rPr>
        <w:t xml:space="preserve">and </w:t>
      </w:r>
      <w:r w:rsidR="00B04940" w:rsidRPr="00576D15">
        <w:rPr>
          <w:lang w:val="en-US"/>
        </w:rPr>
        <w:t>almost one year earlier with a</w:t>
      </w:r>
      <w:r w:rsidRPr="00576D15">
        <w:rPr>
          <w:lang w:val="en-US"/>
        </w:rPr>
        <w:t xml:space="preserve"> single</w:t>
      </w:r>
      <w:r w:rsidR="00CA60B1" w:rsidRPr="00576D15">
        <w:rPr>
          <w:lang w:val="en-US"/>
        </w:rPr>
        <w:t xml:space="preserve"> i.v.</w:t>
      </w:r>
      <w:r w:rsidRPr="00576D15">
        <w:rPr>
          <w:lang w:val="en-US"/>
        </w:rPr>
        <w:t xml:space="preserve"> dose of 2</w:t>
      </w:r>
      <w:r w:rsidRPr="00576D15">
        <w:rPr>
          <w:vertAlign w:val="superscript"/>
          <w:lang w:val="en-US"/>
        </w:rPr>
        <w:t>nd</w:t>
      </w:r>
      <w:r w:rsidRPr="00576D15">
        <w:rPr>
          <w:lang w:val="en-US"/>
        </w:rPr>
        <w:t xml:space="preserve"> generation</w:t>
      </w:r>
      <w:r w:rsidR="00B04940" w:rsidRPr="00576D15">
        <w:rPr>
          <w:lang w:val="en-US"/>
        </w:rPr>
        <w:t xml:space="preserve"> drug, i.e.,</w:t>
      </w:r>
      <w:r w:rsidR="00CA60B1" w:rsidRPr="00576D15">
        <w:rPr>
          <w:lang w:val="en-US"/>
        </w:rPr>
        <w:t xml:space="preserve"> </w:t>
      </w:r>
      <w:r w:rsidR="00B37E4C" w:rsidRPr="00576D15">
        <w:rPr>
          <w:lang w:val="en-US"/>
        </w:rPr>
        <w:t>cefuroxime</w:t>
      </w:r>
      <w:r w:rsidR="00B04940" w:rsidRPr="00576D15">
        <w:rPr>
          <w:lang w:val="en-US"/>
        </w:rPr>
        <w:t>,</w:t>
      </w:r>
      <w:r w:rsidRPr="00576D15">
        <w:rPr>
          <w:lang w:val="en-US"/>
        </w:rPr>
        <w:t xml:space="preserve"> before surgical operation.</w:t>
      </w:r>
      <w:r w:rsidR="00B04940" w:rsidRPr="00576D15">
        <w:rPr>
          <w:lang w:val="en-US"/>
        </w:rPr>
        <w:t xml:space="preserve"> </w:t>
      </w:r>
      <w:r w:rsidR="000532BB" w:rsidRPr="00576D15">
        <w:rPr>
          <w:lang w:val="en-US"/>
        </w:rPr>
        <w:t>Cefaclor</w:t>
      </w:r>
      <w:r w:rsidR="00B04940" w:rsidRPr="00576D15">
        <w:rPr>
          <w:lang w:val="en-US"/>
        </w:rPr>
        <w:t xml:space="preserve"> is, like</w:t>
      </w:r>
      <w:r w:rsidR="004F277D" w:rsidRPr="00576D15">
        <w:rPr>
          <w:lang w:val="en-US"/>
        </w:rPr>
        <w:t xml:space="preserve"> </w:t>
      </w:r>
      <w:r w:rsidR="00B37E4C" w:rsidRPr="00576D15">
        <w:rPr>
          <w:lang w:val="en-US"/>
        </w:rPr>
        <w:t>cefuroxime</w:t>
      </w:r>
      <w:r w:rsidR="00B04940" w:rsidRPr="00576D15">
        <w:rPr>
          <w:lang w:val="en-US"/>
        </w:rPr>
        <w:t>,</w:t>
      </w:r>
      <w:r w:rsidR="004F277D" w:rsidRPr="00576D15">
        <w:rPr>
          <w:lang w:val="en-US"/>
        </w:rPr>
        <w:t xml:space="preserve"> a 2</w:t>
      </w:r>
      <w:r w:rsidR="004F277D" w:rsidRPr="00576D15">
        <w:rPr>
          <w:vertAlign w:val="superscript"/>
          <w:lang w:val="en-US"/>
        </w:rPr>
        <w:t>nd</w:t>
      </w:r>
      <w:r w:rsidR="004F277D" w:rsidRPr="00576D15">
        <w:rPr>
          <w:lang w:val="en-US"/>
        </w:rPr>
        <w:t xml:space="preserve"> generation cephalosporin.</w:t>
      </w:r>
      <w:r w:rsidR="003D671D" w:rsidRPr="00576D15">
        <w:rPr>
          <w:lang w:val="en-US"/>
        </w:rPr>
        <w:t xml:space="preserve"> Since the cross-reaction between </w:t>
      </w:r>
      <w:r w:rsidR="00FC1784" w:rsidRPr="00576D15">
        <w:rPr>
          <w:lang w:val="en-US"/>
        </w:rPr>
        <w:t>cefuroxime</w:t>
      </w:r>
      <w:r w:rsidR="003D671D" w:rsidRPr="00576D15">
        <w:rPr>
          <w:lang w:val="en-US"/>
        </w:rPr>
        <w:t xml:space="preserve"> and penicillin is very low (2), it is </w:t>
      </w:r>
      <w:r w:rsidR="001D1B2B" w:rsidRPr="00576D15">
        <w:rPr>
          <w:lang w:val="en-US"/>
        </w:rPr>
        <w:t>likely</w:t>
      </w:r>
      <w:r w:rsidR="00CA60B1" w:rsidRPr="00576D15">
        <w:rPr>
          <w:lang w:val="en-US"/>
        </w:rPr>
        <w:t xml:space="preserve"> that sensitization to</w:t>
      </w:r>
      <w:r w:rsidR="003D671D" w:rsidRPr="00576D15">
        <w:rPr>
          <w:lang w:val="en-US"/>
        </w:rPr>
        <w:t xml:space="preserve"> </w:t>
      </w:r>
      <w:r w:rsidR="00B37E4C" w:rsidRPr="00576D15">
        <w:rPr>
          <w:lang w:val="en-US"/>
        </w:rPr>
        <w:t>cefaclor</w:t>
      </w:r>
      <w:r w:rsidR="001D1B2B" w:rsidRPr="00576D15">
        <w:rPr>
          <w:lang w:val="en-US"/>
        </w:rPr>
        <w:t xml:space="preserve"> had d</w:t>
      </w:r>
      <w:r w:rsidR="00CA60B1" w:rsidRPr="00576D15">
        <w:rPr>
          <w:lang w:val="en-US"/>
        </w:rPr>
        <w:t>eveloped by previous i.v.</w:t>
      </w:r>
      <w:r w:rsidR="003D671D" w:rsidRPr="00576D15">
        <w:rPr>
          <w:lang w:val="en-US"/>
        </w:rPr>
        <w:t xml:space="preserve"> </w:t>
      </w:r>
      <w:r w:rsidR="00FC1784" w:rsidRPr="00576D15">
        <w:rPr>
          <w:lang w:val="en-US"/>
        </w:rPr>
        <w:t>cefuroxime</w:t>
      </w:r>
      <w:r w:rsidR="003D671D" w:rsidRPr="00576D15">
        <w:rPr>
          <w:lang w:val="en-US"/>
        </w:rPr>
        <w:t xml:space="preserve"> </w:t>
      </w:r>
      <w:r w:rsidR="001D1B2B" w:rsidRPr="00576D15">
        <w:rPr>
          <w:lang w:val="en-US"/>
        </w:rPr>
        <w:t>doses</w:t>
      </w:r>
      <w:r w:rsidR="003D671D" w:rsidRPr="00576D15">
        <w:rPr>
          <w:lang w:val="en-US"/>
        </w:rPr>
        <w:t>.</w:t>
      </w:r>
    </w:p>
    <w:p w14:paraId="6C940FFE" w14:textId="5BA17306" w:rsidR="00941C48" w:rsidRPr="00576D15" w:rsidRDefault="00941C48" w:rsidP="00D82EA6">
      <w:pPr>
        <w:spacing w:line="276" w:lineRule="auto"/>
        <w:rPr>
          <w:lang w:val="en-US"/>
        </w:rPr>
      </w:pPr>
      <w:r w:rsidRPr="00576D15">
        <w:rPr>
          <w:lang w:val="en-US"/>
        </w:rPr>
        <w:t xml:space="preserve">Although the levels of specific IgE to both penicillins and </w:t>
      </w:r>
      <w:r w:rsidR="00B37E4C" w:rsidRPr="00576D15">
        <w:rPr>
          <w:lang w:val="en-US"/>
        </w:rPr>
        <w:t>cefaclor</w:t>
      </w:r>
      <w:r w:rsidRPr="00576D15">
        <w:rPr>
          <w:lang w:val="en-US"/>
        </w:rPr>
        <w:t xml:space="preserve"> in our patient have markedly decreased or even disappeared, it is recommended to avoid betalactam antibiot</w:t>
      </w:r>
      <w:r w:rsidR="00B82303" w:rsidRPr="00576D15">
        <w:rPr>
          <w:lang w:val="en-US"/>
        </w:rPr>
        <w:t>ic</w:t>
      </w:r>
      <w:r w:rsidRPr="00576D15">
        <w:rPr>
          <w:lang w:val="en-US"/>
        </w:rPr>
        <w:t>s and also 2</w:t>
      </w:r>
      <w:r w:rsidRPr="00576D15">
        <w:rPr>
          <w:vertAlign w:val="superscript"/>
          <w:lang w:val="en-US"/>
        </w:rPr>
        <w:t>nd</w:t>
      </w:r>
      <w:r w:rsidRPr="00576D15">
        <w:rPr>
          <w:lang w:val="en-US"/>
        </w:rPr>
        <w:t xml:space="preserve"> generation cephalosporins – until exposition has been performed.</w:t>
      </w:r>
    </w:p>
    <w:p w14:paraId="51BF3ED5" w14:textId="1353D854" w:rsidR="006C4467" w:rsidRPr="00576D15" w:rsidRDefault="006C4467" w:rsidP="00D82EA6">
      <w:pPr>
        <w:spacing w:line="276" w:lineRule="auto"/>
        <w:rPr>
          <w:lang w:val="en-US"/>
        </w:rPr>
      </w:pPr>
      <w:r w:rsidRPr="00576D15">
        <w:rPr>
          <w:lang w:val="en-US"/>
        </w:rPr>
        <w:t xml:space="preserve">Amoxicillin can cross-react, e.g., with </w:t>
      </w:r>
      <w:r w:rsidR="00B37E4C" w:rsidRPr="00576D15">
        <w:rPr>
          <w:lang w:val="en-US"/>
        </w:rPr>
        <w:t>cefaclor</w:t>
      </w:r>
      <w:r w:rsidRPr="00576D15">
        <w:rPr>
          <w:lang w:val="en-US"/>
        </w:rPr>
        <w:t xml:space="preserve">, </w:t>
      </w:r>
      <w:r w:rsidR="000532BB" w:rsidRPr="00576D15">
        <w:rPr>
          <w:lang w:val="en-US"/>
        </w:rPr>
        <w:t>cefadroxil</w:t>
      </w:r>
      <w:r w:rsidRPr="00576D15">
        <w:rPr>
          <w:lang w:val="en-US"/>
        </w:rPr>
        <w:t xml:space="preserve"> and </w:t>
      </w:r>
      <w:r w:rsidR="00B37E4C" w:rsidRPr="00576D15">
        <w:rPr>
          <w:lang w:val="en-US"/>
        </w:rPr>
        <w:t>c</w:t>
      </w:r>
      <w:r w:rsidR="000532BB" w:rsidRPr="00576D15">
        <w:rPr>
          <w:lang w:val="en-US"/>
        </w:rPr>
        <w:t>efalexin</w:t>
      </w:r>
      <w:r w:rsidR="00FC1784" w:rsidRPr="00576D15">
        <w:rPr>
          <w:lang w:val="en-US"/>
        </w:rPr>
        <w:t>. The ratio between</w:t>
      </w:r>
      <w:r w:rsidRPr="00576D15">
        <w:rPr>
          <w:lang w:val="en-US"/>
        </w:rPr>
        <w:t xml:space="preserve"> </w:t>
      </w:r>
      <w:r w:rsidR="000532BB" w:rsidRPr="00576D15">
        <w:rPr>
          <w:lang w:val="en-US"/>
        </w:rPr>
        <w:t>cefadroxil</w:t>
      </w:r>
      <w:r w:rsidRPr="00576D15">
        <w:rPr>
          <w:lang w:val="en-US"/>
        </w:rPr>
        <w:t xml:space="preserve"> and amo</w:t>
      </w:r>
      <w:r w:rsidR="00213830" w:rsidRPr="00576D15">
        <w:rPr>
          <w:lang w:val="en-US"/>
        </w:rPr>
        <w:t>xicillin is 12%, but higher percentages of</w:t>
      </w:r>
      <w:r w:rsidRPr="00576D15">
        <w:rPr>
          <w:lang w:val="en-US"/>
        </w:rPr>
        <w:t xml:space="preserve"> even 27%</w:t>
      </w:r>
      <w:r w:rsidR="00213830" w:rsidRPr="00576D15">
        <w:rPr>
          <w:lang w:val="en-US"/>
        </w:rPr>
        <w:t xml:space="preserve"> has also been reported</w:t>
      </w:r>
      <w:r w:rsidRPr="00576D15">
        <w:rPr>
          <w:lang w:val="en-US"/>
        </w:rPr>
        <w:t xml:space="preserve"> (3).</w:t>
      </w:r>
    </w:p>
    <w:p w14:paraId="51040953" w14:textId="1348BB1D" w:rsidR="00D81AE1" w:rsidRPr="00576D15" w:rsidRDefault="00A45B24" w:rsidP="00D82EA6">
      <w:pPr>
        <w:spacing w:line="276" w:lineRule="auto"/>
        <w:rPr>
          <w:lang w:val="en-US"/>
        </w:rPr>
      </w:pPr>
      <w:r w:rsidRPr="00576D15">
        <w:rPr>
          <w:lang w:val="en-US"/>
        </w:rPr>
        <w:t>The cross-r</w:t>
      </w:r>
      <w:r w:rsidR="009579B7" w:rsidRPr="00576D15">
        <w:rPr>
          <w:lang w:val="en-US"/>
        </w:rPr>
        <w:t>eactions</w:t>
      </w:r>
      <w:r w:rsidRPr="00576D15">
        <w:rPr>
          <w:lang w:val="en-US"/>
        </w:rPr>
        <w:t xml:space="preserve"> o</w:t>
      </w:r>
      <w:r w:rsidR="009F3CBB" w:rsidRPr="00576D15">
        <w:rPr>
          <w:lang w:val="en-US"/>
        </w:rPr>
        <w:t>f betalactam antibiotics can result from</w:t>
      </w:r>
      <w:r w:rsidRPr="00576D15">
        <w:rPr>
          <w:lang w:val="en-US"/>
        </w:rPr>
        <w:t xml:space="preserve"> several structures in t</w:t>
      </w:r>
      <w:r w:rsidR="009F3CBB" w:rsidRPr="00576D15">
        <w:rPr>
          <w:lang w:val="en-US"/>
        </w:rPr>
        <w:t>he molecule</w:t>
      </w:r>
      <w:r w:rsidR="007B238C" w:rsidRPr="00576D15">
        <w:rPr>
          <w:lang w:val="en-US"/>
        </w:rPr>
        <w:t>: tiazolidine ring (p</w:t>
      </w:r>
      <w:r w:rsidRPr="00576D15">
        <w:rPr>
          <w:lang w:val="en-US"/>
        </w:rPr>
        <w:t>enicillin)</w:t>
      </w:r>
      <w:r w:rsidR="00CE400C" w:rsidRPr="00576D15">
        <w:rPr>
          <w:lang w:val="en-US"/>
        </w:rPr>
        <w:t>, dihydrotiazine ring (ce</w:t>
      </w:r>
      <w:r w:rsidR="00BB4040" w:rsidRPr="00576D15">
        <w:rPr>
          <w:lang w:val="en-US"/>
        </w:rPr>
        <w:t xml:space="preserve">phalosporins), R1- and R2- </w:t>
      </w:r>
      <w:r w:rsidR="009F3CBB" w:rsidRPr="00576D15">
        <w:rPr>
          <w:lang w:val="en-US"/>
        </w:rPr>
        <w:t>side chains, or</w:t>
      </w:r>
      <w:r w:rsidR="007C2BB6" w:rsidRPr="00576D15">
        <w:rPr>
          <w:lang w:val="en-US"/>
        </w:rPr>
        <w:t xml:space="preserve"> several</w:t>
      </w:r>
      <w:r w:rsidR="00BB4040" w:rsidRPr="00576D15">
        <w:rPr>
          <w:lang w:val="en-US"/>
        </w:rPr>
        <w:t xml:space="preserve"> positions at the same time, but mostly </w:t>
      </w:r>
      <w:r w:rsidR="009F3CBB" w:rsidRPr="00576D15">
        <w:rPr>
          <w:lang w:val="en-US"/>
        </w:rPr>
        <w:t xml:space="preserve">due </w:t>
      </w:r>
      <w:r w:rsidR="00BB4040" w:rsidRPr="00576D15">
        <w:rPr>
          <w:lang w:val="en-US"/>
        </w:rPr>
        <w:t>to s</w:t>
      </w:r>
      <w:r w:rsidR="00CE400C" w:rsidRPr="00576D15">
        <w:rPr>
          <w:lang w:val="en-US"/>
        </w:rPr>
        <w:t xml:space="preserve">ide chains (1). As </w:t>
      </w:r>
      <w:r w:rsidR="009F3CBB" w:rsidRPr="00576D15">
        <w:rPr>
          <w:lang w:val="en-US"/>
        </w:rPr>
        <w:t xml:space="preserve">a </w:t>
      </w:r>
      <w:r w:rsidR="00CE400C" w:rsidRPr="00576D15">
        <w:rPr>
          <w:lang w:val="en-US"/>
        </w:rPr>
        <w:t xml:space="preserve">conclusion, </w:t>
      </w:r>
      <w:r w:rsidR="00BB4040" w:rsidRPr="00576D15">
        <w:rPr>
          <w:lang w:val="en-US"/>
        </w:rPr>
        <w:t>it is very difficult to predict in advance the possible cross-reaction based on the drug itself or on the drug group.</w:t>
      </w:r>
    </w:p>
    <w:p w14:paraId="3897FCB1" w14:textId="6A635396" w:rsidR="00CE400C" w:rsidRPr="00576D15" w:rsidRDefault="00A86099" w:rsidP="00D82EA6">
      <w:pPr>
        <w:spacing w:line="276" w:lineRule="auto"/>
        <w:rPr>
          <w:lang w:val="en-US"/>
        </w:rPr>
      </w:pPr>
      <w:r w:rsidRPr="00576D15">
        <w:rPr>
          <w:lang w:val="en-US"/>
        </w:rPr>
        <w:t>In the literature, a</w:t>
      </w:r>
      <w:r w:rsidR="00CE400C" w:rsidRPr="00576D15">
        <w:rPr>
          <w:lang w:val="en-US"/>
        </w:rPr>
        <w:t xml:space="preserve"> cross-r</w:t>
      </w:r>
      <w:r w:rsidR="00E9091B" w:rsidRPr="00576D15">
        <w:rPr>
          <w:lang w:val="en-US"/>
        </w:rPr>
        <w:t>eaction</w:t>
      </w:r>
      <w:r w:rsidR="00CE400C" w:rsidRPr="00576D15">
        <w:rPr>
          <w:lang w:val="en-US"/>
        </w:rPr>
        <w:t xml:space="preserve"> between penicillin and cephalosporins</w:t>
      </w:r>
      <w:r w:rsidRPr="00576D15">
        <w:rPr>
          <w:lang w:val="en-US"/>
        </w:rPr>
        <w:t xml:space="preserve"> has been</w:t>
      </w:r>
      <w:r w:rsidR="00E9091B" w:rsidRPr="00576D15">
        <w:rPr>
          <w:lang w:val="en-US"/>
        </w:rPr>
        <w:t xml:space="preserve"> reported to be at the level of 10%, but thereafter it has been found that the early cep</w:t>
      </w:r>
      <w:r w:rsidRPr="00576D15">
        <w:rPr>
          <w:lang w:val="en-US"/>
        </w:rPr>
        <w:t>halosporin preparations</w:t>
      </w:r>
      <w:r w:rsidR="00E9091B" w:rsidRPr="00576D15">
        <w:rPr>
          <w:lang w:val="en-US"/>
        </w:rPr>
        <w:t xml:space="preserve"> contained penicillin as contamination leading to</w:t>
      </w:r>
      <w:r w:rsidRPr="00576D15">
        <w:rPr>
          <w:lang w:val="en-US"/>
        </w:rPr>
        <w:t xml:space="preserve"> over-estimation of the </w:t>
      </w:r>
      <w:r w:rsidR="00E9091B" w:rsidRPr="00576D15">
        <w:rPr>
          <w:lang w:val="en-US"/>
        </w:rPr>
        <w:t>cross-reactivity; the present estimate for this cross-reactivity is 1-2.5% (1,</w:t>
      </w:r>
      <w:r w:rsidR="00247CFA" w:rsidRPr="00576D15">
        <w:rPr>
          <w:lang w:val="en-US"/>
        </w:rPr>
        <w:t xml:space="preserve"> </w:t>
      </w:r>
      <w:r w:rsidR="00E9091B" w:rsidRPr="00576D15">
        <w:rPr>
          <w:lang w:val="en-US"/>
        </w:rPr>
        <w:t>2).</w:t>
      </w:r>
      <w:r w:rsidR="00B33672" w:rsidRPr="00576D15">
        <w:rPr>
          <w:lang w:val="en-US"/>
        </w:rPr>
        <w:t xml:space="preserve"> The cross-reaction between penicillin and carbapenems is less than 1%. Monobactams do</w:t>
      </w:r>
      <w:r w:rsidR="009B3E91" w:rsidRPr="00576D15">
        <w:rPr>
          <w:lang w:val="en-US"/>
        </w:rPr>
        <w:t xml:space="preserve"> not cross-react</w:t>
      </w:r>
      <w:r w:rsidR="00262793" w:rsidRPr="00576D15">
        <w:rPr>
          <w:lang w:val="en-US"/>
        </w:rPr>
        <w:t xml:space="preserve"> with neither</w:t>
      </w:r>
      <w:r w:rsidR="00B33672" w:rsidRPr="00576D15">
        <w:rPr>
          <w:lang w:val="en-US"/>
        </w:rPr>
        <w:t xml:space="preserve"> penicillin nor carbapenems (1).</w:t>
      </w:r>
    </w:p>
    <w:p w14:paraId="2A21E952" w14:textId="0B82A1FB" w:rsidR="00700309" w:rsidRPr="00576D15" w:rsidRDefault="004C3B97" w:rsidP="00D82EA6">
      <w:pPr>
        <w:spacing w:line="276" w:lineRule="auto"/>
        <w:rPr>
          <w:lang w:val="en-US"/>
        </w:rPr>
      </w:pPr>
      <w:r w:rsidRPr="00576D15">
        <w:rPr>
          <w:lang w:val="en-US"/>
        </w:rPr>
        <w:t>In the clinical practic</w:t>
      </w:r>
      <w:r w:rsidR="0022340A" w:rsidRPr="00576D15">
        <w:rPr>
          <w:lang w:val="en-US"/>
        </w:rPr>
        <w:t>e, physicians</w:t>
      </w:r>
      <w:r w:rsidR="00A94B20" w:rsidRPr="00576D15">
        <w:rPr>
          <w:lang w:val="en-US"/>
        </w:rPr>
        <w:t xml:space="preserve"> may face the situation that penicillin is the most recommended drug. In such </w:t>
      </w:r>
      <w:r w:rsidR="0022340A" w:rsidRPr="00576D15">
        <w:rPr>
          <w:lang w:val="en-US"/>
        </w:rPr>
        <w:t xml:space="preserve">a </w:t>
      </w:r>
      <w:r w:rsidR="00A94B20" w:rsidRPr="00576D15">
        <w:rPr>
          <w:lang w:val="en-US"/>
        </w:rPr>
        <w:t xml:space="preserve">case, </w:t>
      </w:r>
      <w:r w:rsidR="00AA49B7" w:rsidRPr="00576D15">
        <w:rPr>
          <w:lang w:val="en-US"/>
        </w:rPr>
        <w:t>desentitization</w:t>
      </w:r>
      <w:r w:rsidR="003F6BDC" w:rsidRPr="00576D15">
        <w:rPr>
          <w:lang w:val="en-US"/>
        </w:rPr>
        <w:t xml:space="preserve"> therapy</w:t>
      </w:r>
      <w:r w:rsidR="0022340A" w:rsidRPr="00576D15">
        <w:rPr>
          <w:lang w:val="en-US"/>
        </w:rPr>
        <w:t>, first with</w:t>
      </w:r>
      <w:r w:rsidR="00A94B20" w:rsidRPr="00576D15">
        <w:rPr>
          <w:lang w:val="en-US"/>
        </w:rPr>
        <w:t xml:space="preserve"> </w:t>
      </w:r>
      <w:r w:rsidR="009B3E91" w:rsidRPr="00576D15">
        <w:rPr>
          <w:lang w:val="en-US"/>
        </w:rPr>
        <w:t>phenoxymethyl</w:t>
      </w:r>
      <w:r w:rsidR="0022340A" w:rsidRPr="00576D15">
        <w:rPr>
          <w:lang w:val="en-US"/>
        </w:rPr>
        <w:t>penicillin and later with</w:t>
      </w:r>
      <w:r w:rsidR="00A94B20" w:rsidRPr="00576D15">
        <w:rPr>
          <w:lang w:val="en-US"/>
        </w:rPr>
        <w:t xml:space="preserve"> </w:t>
      </w:r>
      <w:r w:rsidR="009B3E91" w:rsidRPr="00576D15">
        <w:rPr>
          <w:lang w:val="en-US"/>
        </w:rPr>
        <w:t>benzyl</w:t>
      </w:r>
      <w:r w:rsidR="0022340A" w:rsidRPr="00576D15">
        <w:rPr>
          <w:lang w:val="en-US"/>
        </w:rPr>
        <w:t>penicillin</w:t>
      </w:r>
      <w:r w:rsidR="00114B5E" w:rsidRPr="00576D15">
        <w:rPr>
          <w:lang w:val="en-US"/>
        </w:rPr>
        <w:t>,</w:t>
      </w:r>
      <w:r w:rsidR="00A94B20" w:rsidRPr="00576D15">
        <w:rPr>
          <w:lang w:val="en-US"/>
        </w:rPr>
        <w:t xml:space="preserve"> might be possible</w:t>
      </w:r>
      <w:r w:rsidR="0022340A" w:rsidRPr="00576D15">
        <w:rPr>
          <w:lang w:val="en-US"/>
        </w:rPr>
        <w:t xml:space="preserve"> to perform,</w:t>
      </w:r>
      <w:r w:rsidR="00A94B20" w:rsidRPr="00576D15">
        <w:rPr>
          <w:lang w:val="en-US"/>
        </w:rPr>
        <w:t xml:space="preserve"> but </w:t>
      </w:r>
      <w:r w:rsidR="0022340A" w:rsidRPr="00576D15">
        <w:rPr>
          <w:lang w:val="en-US"/>
        </w:rPr>
        <w:t xml:space="preserve">it </w:t>
      </w:r>
      <w:r w:rsidR="00A94B20" w:rsidRPr="00576D15">
        <w:rPr>
          <w:lang w:val="en-US"/>
        </w:rPr>
        <w:t xml:space="preserve">requires several weeks to </w:t>
      </w:r>
      <w:r w:rsidR="0022340A" w:rsidRPr="00576D15">
        <w:rPr>
          <w:lang w:val="en-US"/>
        </w:rPr>
        <w:t>complete</w:t>
      </w:r>
      <w:r w:rsidR="00A94B20" w:rsidRPr="00576D15">
        <w:rPr>
          <w:lang w:val="en-US"/>
        </w:rPr>
        <w:t xml:space="preserve"> the procedure</w:t>
      </w:r>
      <w:r w:rsidR="00D46C94" w:rsidRPr="00576D15">
        <w:rPr>
          <w:lang w:val="en-US"/>
        </w:rPr>
        <w:t xml:space="preserve"> </w:t>
      </w:r>
      <w:r w:rsidR="00A94B20" w:rsidRPr="00576D15">
        <w:rPr>
          <w:lang w:val="en-US"/>
        </w:rPr>
        <w:t>(5).</w:t>
      </w:r>
    </w:p>
    <w:p w14:paraId="75C9CA37" w14:textId="1837CDB6" w:rsidR="00A80DF5" w:rsidRPr="00576D15" w:rsidRDefault="009B3E91" w:rsidP="00DC26C2">
      <w:pPr>
        <w:spacing w:line="276" w:lineRule="auto"/>
        <w:rPr>
          <w:lang w:val="en-US"/>
        </w:rPr>
      </w:pPr>
      <w:r w:rsidRPr="00576D15">
        <w:rPr>
          <w:lang w:val="en-US"/>
        </w:rPr>
        <w:t>In this report,</w:t>
      </w:r>
      <w:r w:rsidR="007540D0" w:rsidRPr="00576D15">
        <w:rPr>
          <w:lang w:val="en-US"/>
        </w:rPr>
        <w:t xml:space="preserve"> only 2 men an</w:t>
      </w:r>
      <w:r w:rsidRPr="00576D15">
        <w:rPr>
          <w:lang w:val="en-US"/>
        </w:rPr>
        <w:t>d</w:t>
      </w:r>
      <w:r w:rsidR="007540D0" w:rsidRPr="00576D15">
        <w:rPr>
          <w:lang w:val="en-US"/>
        </w:rPr>
        <w:t xml:space="preserve"> 12 women</w:t>
      </w:r>
      <w:r w:rsidRPr="00576D15">
        <w:rPr>
          <w:lang w:val="en-US"/>
        </w:rPr>
        <w:t>,</w:t>
      </w:r>
      <w:r w:rsidR="007540D0" w:rsidRPr="00576D15">
        <w:rPr>
          <w:lang w:val="en-US"/>
        </w:rPr>
        <w:t xml:space="preserve"> tested </w:t>
      </w:r>
      <w:r w:rsidRPr="00576D15">
        <w:rPr>
          <w:lang w:val="en-US"/>
        </w:rPr>
        <w:t xml:space="preserve">positive </w:t>
      </w:r>
      <w:r w:rsidR="007540D0" w:rsidRPr="00576D15">
        <w:rPr>
          <w:lang w:val="en-US"/>
        </w:rPr>
        <w:t>for elevated</w:t>
      </w:r>
      <w:r w:rsidRPr="00576D15">
        <w:rPr>
          <w:lang w:val="en-US"/>
        </w:rPr>
        <w:t xml:space="preserve"> </w:t>
      </w:r>
      <w:r w:rsidR="007540D0" w:rsidRPr="00576D15">
        <w:rPr>
          <w:lang w:val="en-US"/>
        </w:rPr>
        <w:t>specific IgE to an antibiotic</w:t>
      </w:r>
      <w:r w:rsidRPr="00576D15">
        <w:rPr>
          <w:lang w:val="en-US"/>
        </w:rPr>
        <w:t>, were found</w:t>
      </w:r>
      <w:r w:rsidR="007540D0" w:rsidRPr="00576D15">
        <w:rPr>
          <w:lang w:val="en-US"/>
        </w:rPr>
        <w:t xml:space="preserve"> </w:t>
      </w:r>
      <w:r w:rsidRPr="00576D15">
        <w:rPr>
          <w:lang w:val="en-US"/>
        </w:rPr>
        <w:t>in about 12 years</w:t>
      </w:r>
      <w:r w:rsidR="007540D0" w:rsidRPr="00576D15">
        <w:rPr>
          <w:lang w:val="en-US"/>
        </w:rPr>
        <w:t xml:space="preserve">. </w:t>
      </w:r>
      <w:r w:rsidR="00B94E40" w:rsidRPr="00576D15">
        <w:rPr>
          <w:lang w:val="en-US"/>
        </w:rPr>
        <w:t>The female predominance</w:t>
      </w:r>
      <w:r w:rsidRPr="00576D15">
        <w:rPr>
          <w:lang w:val="en-US"/>
        </w:rPr>
        <w:t xml:space="preserve"> over males</w:t>
      </w:r>
      <w:r w:rsidR="007540D0" w:rsidRPr="00576D15">
        <w:rPr>
          <w:lang w:val="en-US"/>
        </w:rPr>
        <w:t xml:space="preserve"> is in concordance </w:t>
      </w:r>
      <w:r w:rsidRPr="00576D15">
        <w:rPr>
          <w:lang w:val="en-US"/>
        </w:rPr>
        <w:t>with</w:t>
      </w:r>
      <w:r w:rsidR="00AA4436" w:rsidRPr="00576D15">
        <w:rPr>
          <w:lang w:val="en-US"/>
        </w:rPr>
        <w:t xml:space="preserve"> </w:t>
      </w:r>
      <w:r w:rsidR="00C4309C" w:rsidRPr="00576D15">
        <w:rPr>
          <w:lang w:val="en-US"/>
        </w:rPr>
        <w:t xml:space="preserve">a recent review </w:t>
      </w:r>
      <w:r w:rsidR="00AA4436" w:rsidRPr="00576D15">
        <w:rPr>
          <w:lang w:val="en-US"/>
        </w:rPr>
        <w:t>that</w:t>
      </w:r>
      <w:r w:rsidRPr="00576D15">
        <w:rPr>
          <w:lang w:val="en-US"/>
        </w:rPr>
        <w:t xml:space="preserve"> a</w:t>
      </w:r>
      <w:r w:rsidR="00AA4436" w:rsidRPr="00576D15">
        <w:rPr>
          <w:lang w:val="en-US"/>
        </w:rPr>
        <w:t xml:space="preserve"> drug aller</w:t>
      </w:r>
      <w:r w:rsidRPr="00576D15">
        <w:rPr>
          <w:lang w:val="en-US"/>
        </w:rPr>
        <w:t>gy is more frequently reported in adult females than</w:t>
      </w:r>
      <w:r w:rsidR="00AA4436" w:rsidRPr="00576D15">
        <w:rPr>
          <w:lang w:val="en-US"/>
        </w:rPr>
        <w:t xml:space="preserve"> males</w:t>
      </w:r>
      <w:r w:rsidR="00C4309C" w:rsidRPr="00576D15">
        <w:rPr>
          <w:lang w:val="en-US"/>
        </w:rPr>
        <w:t xml:space="preserve">, and </w:t>
      </w:r>
      <w:r w:rsidRPr="00576D15">
        <w:rPr>
          <w:lang w:val="en-US"/>
        </w:rPr>
        <w:t xml:space="preserve">57.9-73.9 % of the </w:t>
      </w:r>
      <w:r w:rsidR="00C4309C" w:rsidRPr="00576D15">
        <w:rPr>
          <w:lang w:val="en-US"/>
        </w:rPr>
        <w:t>drug-induced anaphylaxis</w:t>
      </w:r>
      <w:r w:rsidRPr="00576D15">
        <w:rPr>
          <w:lang w:val="en-US"/>
        </w:rPr>
        <w:t xml:space="preserve"> cases were among</w:t>
      </w:r>
      <w:r w:rsidR="007D313D" w:rsidRPr="00576D15">
        <w:rPr>
          <w:lang w:val="en-US"/>
        </w:rPr>
        <w:t xml:space="preserve"> females (6</w:t>
      </w:r>
      <w:r w:rsidR="00C4309C" w:rsidRPr="00576D15">
        <w:rPr>
          <w:lang w:val="en-US"/>
        </w:rPr>
        <w:t>)</w:t>
      </w:r>
      <w:r w:rsidR="00AA4436" w:rsidRPr="00576D15">
        <w:rPr>
          <w:lang w:val="en-US"/>
        </w:rPr>
        <w:t>.</w:t>
      </w:r>
      <w:r w:rsidR="00BA7717" w:rsidRPr="00576D15">
        <w:rPr>
          <w:lang w:val="en-US"/>
        </w:rPr>
        <w:t xml:space="preserve"> </w:t>
      </w:r>
    </w:p>
    <w:p w14:paraId="3190A73C" w14:textId="604035B3" w:rsidR="007540D0" w:rsidRPr="00576D15" w:rsidRDefault="00FB7013" w:rsidP="00DC26C2">
      <w:pPr>
        <w:spacing w:line="276" w:lineRule="auto"/>
        <w:rPr>
          <w:lang w:val="en-US"/>
        </w:rPr>
      </w:pPr>
      <w:r w:rsidRPr="00576D15">
        <w:rPr>
          <w:lang w:val="en-US"/>
        </w:rPr>
        <w:t>The search for elevated specific IgE to antibiotics in this hospital district revealed only 5 relevant positive results for penicillin in over 11 years, being in accordance with the estimation elsewhere. However, some rare patients can unexpectedly develop a severe allergy even after a long history of penicillin use, like did the present patient. In addition, every time an immediate reaction to betalactams develops</w:t>
      </w:r>
      <w:r w:rsidR="00191113" w:rsidRPr="00576D15">
        <w:rPr>
          <w:lang w:val="en-US"/>
        </w:rPr>
        <w:t>,</w:t>
      </w:r>
      <w:r w:rsidRPr="00576D15">
        <w:rPr>
          <w:lang w:val="en-US"/>
        </w:rPr>
        <w:t xml:space="preserve"> it is recommended to analyze specific IgE to penicillin</w:t>
      </w:r>
      <w:r w:rsidR="00AF271A" w:rsidRPr="00576D15">
        <w:rPr>
          <w:lang w:val="en-US"/>
        </w:rPr>
        <w:t>s, amoxicillin and cephalosporin</w:t>
      </w:r>
      <w:r w:rsidRPr="00576D15">
        <w:rPr>
          <w:lang w:val="en-US"/>
        </w:rPr>
        <w:t>, as well as total IgE, in order to obtain</w:t>
      </w:r>
      <w:r w:rsidR="00BA7717" w:rsidRPr="00576D15">
        <w:rPr>
          <w:lang w:val="en-US"/>
        </w:rPr>
        <w:t xml:space="preserve"> more acc</w:t>
      </w:r>
      <w:r w:rsidRPr="00576D15">
        <w:rPr>
          <w:lang w:val="en-US"/>
        </w:rPr>
        <w:t>urate estimations</w:t>
      </w:r>
      <w:r w:rsidR="00191113" w:rsidRPr="00576D15">
        <w:rPr>
          <w:lang w:val="en-US"/>
        </w:rPr>
        <w:t xml:space="preserve"> for</w:t>
      </w:r>
      <w:r w:rsidRPr="00576D15">
        <w:rPr>
          <w:lang w:val="en-US"/>
        </w:rPr>
        <w:t xml:space="preserve"> allergy</w:t>
      </w:r>
      <w:r w:rsidR="00191113" w:rsidRPr="00576D15">
        <w:rPr>
          <w:lang w:val="en-US"/>
        </w:rPr>
        <w:t xml:space="preserve"> and cross-reactions.</w:t>
      </w:r>
    </w:p>
    <w:p w14:paraId="6B6168F8" w14:textId="25AD4880" w:rsidR="00191113" w:rsidRDefault="00191113">
      <w:pPr>
        <w:rPr>
          <w:lang w:val="en-US"/>
        </w:rPr>
      </w:pPr>
    </w:p>
    <w:p w14:paraId="03C31A3D" w14:textId="77777777" w:rsidR="00646ABB" w:rsidRPr="00576D15" w:rsidRDefault="00646ABB">
      <w:pPr>
        <w:rPr>
          <w:lang w:val="en-US"/>
        </w:rPr>
      </w:pPr>
    </w:p>
    <w:p w14:paraId="7A450B3D" w14:textId="2AF746BC" w:rsidR="00323673" w:rsidRPr="00576D15" w:rsidRDefault="00C90C73" w:rsidP="00DC26C2">
      <w:pPr>
        <w:spacing w:line="276" w:lineRule="auto"/>
      </w:pPr>
      <w:r w:rsidRPr="00576D15">
        <w:lastRenderedPageBreak/>
        <w:t>References</w:t>
      </w:r>
      <w:r w:rsidR="00323673" w:rsidRPr="00576D15">
        <w:t>:</w:t>
      </w:r>
    </w:p>
    <w:p w14:paraId="6B2DE5BB" w14:textId="77777777" w:rsidR="00B801E2" w:rsidRPr="00576D15" w:rsidRDefault="00B801E2" w:rsidP="00B801E2">
      <w:pPr>
        <w:pStyle w:val="Luettelokappale"/>
        <w:numPr>
          <w:ilvl w:val="0"/>
          <w:numId w:val="4"/>
        </w:numPr>
        <w:spacing w:line="276" w:lineRule="auto"/>
        <w:rPr>
          <w:lang w:val="en-US"/>
        </w:rPr>
      </w:pPr>
      <w:r w:rsidRPr="00576D15">
        <w:rPr>
          <w:lang w:val="en-US"/>
        </w:rPr>
        <w:t>Blumenthal KG, Peter JG, Trubiano JA, Phillips EJ.  Antibiotic allergy. Lancet 2019; 393: 183-198.</w:t>
      </w:r>
    </w:p>
    <w:p w14:paraId="5F394221" w14:textId="723E5D64" w:rsidR="00323673" w:rsidRPr="00576D15" w:rsidRDefault="00282460" w:rsidP="00323673">
      <w:pPr>
        <w:pStyle w:val="Luettelokappale"/>
        <w:numPr>
          <w:ilvl w:val="0"/>
          <w:numId w:val="4"/>
        </w:numPr>
        <w:spacing w:line="276" w:lineRule="auto"/>
        <w:rPr>
          <w:lang w:val="en-US"/>
        </w:rPr>
      </w:pPr>
      <w:r w:rsidRPr="00576D15">
        <w:rPr>
          <w:lang w:val="en-US"/>
        </w:rPr>
        <w:t xml:space="preserve">Macy E, Ngor EW. Safety diagnosing clinically significant penicillin allergy using only penicilloyl-poly-lysine, penicillin, and oral amoxicillin.  </w:t>
      </w:r>
      <w:r w:rsidRPr="00576D15">
        <w:t xml:space="preserve">J Allergy Clin Immunol Pract 2013; 1: 258-263. </w:t>
      </w:r>
    </w:p>
    <w:p w14:paraId="32AAC47B" w14:textId="71D22E90" w:rsidR="00323673" w:rsidRPr="00576D15" w:rsidRDefault="00623746" w:rsidP="00323673">
      <w:pPr>
        <w:pStyle w:val="Luettelokappale"/>
        <w:numPr>
          <w:ilvl w:val="0"/>
          <w:numId w:val="4"/>
        </w:numPr>
        <w:spacing w:line="276" w:lineRule="auto"/>
        <w:rPr>
          <w:lang w:val="en-US"/>
        </w:rPr>
      </w:pPr>
      <w:r w:rsidRPr="00576D15">
        <w:rPr>
          <w:lang w:val="en-US"/>
        </w:rPr>
        <w:t>Campagna ED,</w:t>
      </w:r>
      <w:r w:rsidR="00323673" w:rsidRPr="00576D15">
        <w:rPr>
          <w:lang w:val="en-US"/>
        </w:rPr>
        <w:t xml:space="preserve"> Bond MC, Sc</w:t>
      </w:r>
      <w:r w:rsidRPr="00576D15">
        <w:rPr>
          <w:lang w:val="en-US"/>
        </w:rPr>
        <w:t>habelman E, Hayes BD. The use o</w:t>
      </w:r>
      <w:r w:rsidR="00323673" w:rsidRPr="00576D15">
        <w:rPr>
          <w:lang w:val="en-US"/>
        </w:rPr>
        <w:t>f cephalosporins in penicillin-allergic patients: a literature review.  J Emerg Med 2012;</w:t>
      </w:r>
      <w:r w:rsidR="0029213E" w:rsidRPr="00576D15">
        <w:rPr>
          <w:lang w:val="en-US"/>
        </w:rPr>
        <w:t xml:space="preserve"> </w:t>
      </w:r>
      <w:r w:rsidR="00323673" w:rsidRPr="00576D15">
        <w:rPr>
          <w:lang w:val="en-US"/>
        </w:rPr>
        <w:t>42:</w:t>
      </w:r>
      <w:r w:rsidRPr="00576D15">
        <w:rPr>
          <w:lang w:val="en-US"/>
        </w:rPr>
        <w:t xml:space="preserve"> </w:t>
      </w:r>
      <w:r w:rsidR="00323673" w:rsidRPr="00576D15">
        <w:rPr>
          <w:lang w:val="en-US"/>
        </w:rPr>
        <w:t>612-620.</w:t>
      </w:r>
    </w:p>
    <w:p w14:paraId="2E2FF24C" w14:textId="1FC45BD1" w:rsidR="00323673" w:rsidRPr="00576D15" w:rsidRDefault="00323673" w:rsidP="00323673">
      <w:pPr>
        <w:pStyle w:val="Luettelokappale"/>
        <w:numPr>
          <w:ilvl w:val="0"/>
          <w:numId w:val="4"/>
        </w:numPr>
        <w:spacing w:line="276" w:lineRule="auto"/>
        <w:rPr>
          <w:lang w:val="en-US"/>
        </w:rPr>
      </w:pPr>
      <w:r w:rsidRPr="00576D15">
        <w:rPr>
          <w:lang w:val="en-US"/>
        </w:rPr>
        <w:t>Picard M, Ro</w:t>
      </w:r>
      <w:r w:rsidR="009A714B" w:rsidRPr="00576D15">
        <w:rPr>
          <w:lang w:val="en-US"/>
        </w:rPr>
        <w:t xml:space="preserve">bitaille G, Karam F,  </w:t>
      </w:r>
      <w:r w:rsidR="00B11A3A" w:rsidRPr="00576D15">
        <w:rPr>
          <w:lang w:val="en-US"/>
        </w:rPr>
        <w:t xml:space="preserve">Daigle J-M, </w:t>
      </w:r>
      <w:r w:rsidR="005A1A01" w:rsidRPr="00576D15">
        <w:rPr>
          <w:lang w:val="en-US"/>
        </w:rPr>
        <w:t xml:space="preserve">Bédard F, Biron É, Tardif MR,  Lacombe-Barrios J, Bégin P. </w:t>
      </w:r>
      <w:r w:rsidR="00283309" w:rsidRPr="00576D15">
        <w:rPr>
          <w:lang w:val="en-US"/>
        </w:rPr>
        <w:t>Cross-R</w:t>
      </w:r>
      <w:r w:rsidR="009A714B" w:rsidRPr="00576D15">
        <w:rPr>
          <w:lang w:val="en-US"/>
        </w:rPr>
        <w:t>eactivity to Cephalosporins and Carbapenems in Penicillin-Allergic Patients: Two Systematic Reviews and Meta-A</w:t>
      </w:r>
      <w:r w:rsidRPr="00576D15">
        <w:rPr>
          <w:lang w:val="en-US"/>
        </w:rPr>
        <w:t>nalyses. J Allergy Clin Imm</w:t>
      </w:r>
      <w:r w:rsidR="00623746" w:rsidRPr="00576D15">
        <w:rPr>
          <w:lang w:val="en-US"/>
        </w:rPr>
        <w:t>u</w:t>
      </w:r>
      <w:r w:rsidRPr="00576D15">
        <w:rPr>
          <w:lang w:val="en-US"/>
        </w:rPr>
        <w:t>nol Pract 2019;</w:t>
      </w:r>
      <w:r w:rsidR="00623746" w:rsidRPr="00576D15">
        <w:rPr>
          <w:lang w:val="en-US"/>
        </w:rPr>
        <w:t xml:space="preserve"> </w:t>
      </w:r>
      <w:r w:rsidRPr="00576D15">
        <w:rPr>
          <w:lang w:val="en-US"/>
        </w:rPr>
        <w:t>7:</w:t>
      </w:r>
      <w:r w:rsidR="00623746" w:rsidRPr="00576D15">
        <w:rPr>
          <w:lang w:val="en-US"/>
        </w:rPr>
        <w:t xml:space="preserve"> </w:t>
      </w:r>
      <w:r w:rsidRPr="00576D15">
        <w:rPr>
          <w:lang w:val="en-US"/>
        </w:rPr>
        <w:t>2722-2738.</w:t>
      </w:r>
    </w:p>
    <w:p w14:paraId="006F1518" w14:textId="77777777" w:rsidR="00323673" w:rsidRPr="00576D15" w:rsidRDefault="00323673" w:rsidP="00323673">
      <w:pPr>
        <w:pStyle w:val="Luettelokappale"/>
        <w:numPr>
          <w:ilvl w:val="0"/>
          <w:numId w:val="4"/>
        </w:numPr>
        <w:spacing w:line="276" w:lineRule="auto"/>
        <w:rPr>
          <w:lang w:val="en-US"/>
        </w:rPr>
      </w:pPr>
    </w:p>
    <w:p w14:paraId="4088F822" w14:textId="77777777" w:rsidR="00323673" w:rsidRPr="00576D15" w:rsidRDefault="005F32F9" w:rsidP="00323673">
      <w:pPr>
        <w:spacing w:line="276" w:lineRule="auto"/>
        <w:rPr>
          <w:rStyle w:val="Hyperlinkki"/>
          <w:color w:val="auto"/>
          <w:lang w:val="en-US"/>
        </w:rPr>
      </w:pPr>
      <w:hyperlink r:id="rId6" w:history="1">
        <w:r w:rsidR="00323673" w:rsidRPr="00576D15">
          <w:rPr>
            <w:rStyle w:val="Hyperlinkki"/>
            <w:color w:val="auto"/>
            <w:lang w:val="en-US"/>
          </w:rPr>
          <w:t>https://www.unmc.edu/intmed/divisions/id/asp/clinical-pathways/docs/penicillin-allergy-guidance.pdf</w:t>
        </w:r>
      </w:hyperlink>
    </w:p>
    <w:p w14:paraId="61A415F4" w14:textId="77777777" w:rsidR="00323673" w:rsidRPr="00576D15" w:rsidRDefault="00323673" w:rsidP="00323673">
      <w:pPr>
        <w:spacing w:line="276" w:lineRule="auto"/>
        <w:rPr>
          <w:lang w:val="en-US"/>
        </w:rPr>
      </w:pPr>
    </w:p>
    <w:p w14:paraId="142934B7" w14:textId="6826F389" w:rsidR="006C45A1" w:rsidRPr="00576D15" w:rsidRDefault="006C45A1" w:rsidP="00323673">
      <w:pPr>
        <w:pStyle w:val="Luettelokappale"/>
        <w:numPr>
          <w:ilvl w:val="0"/>
          <w:numId w:val="4"/>
        </w:numPr>
        <w:spacing w:line="276" w:lineRule="auto"/>
        <w:rPr>
          <w:lang w:val="en-US"/>
        </w:rPr>
      </w:pPr>
      <w:r w:rsidRPr="00576D15">
        <w:rPr>
          <w:lang w:val="en-US"/>
        </w:rPr>
        <w:t>Norton AE, Broyles AD. Drug allergy in children and adults. Is it the double X chromosome? Ann Allergy Asthma Immunol 2019; 122: 148-155.</w:t>
      </w:r>
    </w:p>
    <w:p w14:paraId="5C31B4DE" w14:textId="6142F21E" w:rsidR="00757D8F" w:rsidRDefault="00757D8F" w:rsidP="00757D8F">
      <w:pPr>
        <w:spacing w:line="276" w:lineRule="auto"/>
        <w:rPr>
          <w:lang w:val="en-US"/>
        </w:rPr>
      </w:pPr>
    </w:p>
    <w:p w14:paraId="604F4D3A" w14:textId="2D2220E1" w:rsidR="008673EB" w:rsidRDefault="008673EB" w:rsidP="00757D8F">
      <w:pPr>
        <w:spacing w:line="276" w:lineRule="auto"/>
        <w:rPr>
          <w:lang w:val="en-US"/>
        </w:rPr>
      </w:pPr>
    </w:p>
    <w:p w14:paraId="11543254" w14:textId="77777777" w:rsidR="005F32F9" w:rsidRPr="00576D15" w:rsidRDefault="005F32F9" w:rsidP="00757D8F">
      <w:pPr>
        <w:spacing w:line="276" w:lineRule="auto"/>
        <w:rPr>
          <w:lang w:val="en-US"/>
        </w:rPr>
      </w:pPr>
    </w:p>
    <w:p w14:paraId="6A9FA35B" w14:textId="5CEA1DA9" w:rsidR="00DC26C2" w:rsidRPr="00576D15" w:rsidRDefault="00B96D8E" w:rsidP="00313CA1">
      <w:pPr>
        <w:spacing w:line="276" w:lineRule="auto"/>
      </w:pPr>
      <w:r w:rsidRPr="00576D15">
        <w:t>Authors</w:t>
      </w:r>
      <w:r w:rsidR="00313CA1" w:rsidRPr="00576D15">
        <w:t>:</w:t>
      </w:r>
    </w:p>
    <w:p w14:paraId="1CB66482" w14:textId="745BEF0E" w:rsidR="00641CFE" w:rsidRPr="00576D15" w:rsidRDefault="00313CA1" w:rsidP="00313CA1">
      <w:pPr>
        <w:spacing w:line="276" w:lineRule="auto"/>
        <w:rPr>
          <w:lang w:val="en-US"/>
        </w:rPr>
      </w:pPr>
      <w:r w:rsidRPr="00576D15">
        <w:rPr>
          <w:lang w:val="en-US"/>
        </w:rPr>
        <w:t xml:space="preserve">Rauno </w:t>
      </w:r>
      <w:r w:rsidR="00B96D8E" w:rsidRPr="00576D15">
        <w:rPr>
          <w:lang w:val="en-US"/>
        </w:rPr>
        <w:t xml:space="preserve">J. </w:t>
      </w:r>
      <w:r w:rsidRPr="00576D15">
        <w:rPr>
          <w:lang w:val="en-US"/>
        </w:rPr>
        <w:t xml:space="preserve">Harvima, </w:t>
      </w:r>
      <w:r w:rsidR="00B96D8E" w:rsidRPr="00576D15">
        <w:rPr>
          <w:lang w:val="en-US"/>
        </w:rPr>
        <w:t>Medical Counselor</w:t>
      </w:r>
      <w:r w:rsidR="000E19F8" w:rsidRPr="00576D15">
        <w:rPr>
          <w:lang w:val="en-US"/>
        </w:rPr>
        <w:t xml:space="preserve">, </w:t>
      </w:r>
      <w:r w:rsidR="00B96D8E" w:rsidRPr="00576D15">
        <w:rPr>
          <w:lang w:val="en-US"/>
        </w:rPr>
        <w:t xml:space="preserve">MD, PhD, </w:t>
      </w:r>
      <w:proofErr w:type="gramStart"/>
      <w:r w:rsidR="00B96D8E" w:rsidRPr="00576D15">
        <w:rPr>
          <w:lang w:val="en-US"/>
        </w:rPr>
        <w:t>DSc</w:t>
      </w:r>
      <w:proofErr w:type="gramEnd"/>
      <w:r w:rsidR="00B96D8E" w:rsidRPr="00576D15">
        <w:rPr>
          <w:lang w:val="en-US"/>
        </w:rPr>
        <w:t>, Docent.</w:t>
      </w:r>
      <w:r w:rsidRPr="00576D15">
        <w:rPr>
          <w:lang w:val="en-US"/>
        </w:rPr>
        <w:t xml:space="preserve"> </w:t>
      </w:r>
      <w:r w:rsidR="00B96D8E" w:rsidRPr="00576D15">
        <w:rPr>
          <w:lang w:val="en-US"/>
        </w:rPr>
        <w:t>Department of Dermatology, Kuopio University Hospital and Universit</w:t>
      </w:r>
      <w:r w:rsidR="00E278CB" w:rsidRPr="00576D15">
        <w:rPr>
          <w:lang w:val="en-US"/>
        </w:rPr>
        <w:t>y of Eastern Finland, FIN-70210</w:t>
      </w:r>
      <w:r w:rsidR="0085762E">
        <w:rPr>
          <w:lang w:val="en-US"/>
        </w:rPr>
        <w:t xml:space="preserve"> Kuopio, </w:t>
      </w:r>
      <w:proofErr w:type="gramStart"/>
      <w:r w:rsidR="0085762E">
        <w:rPr>
          <w:lang w:val="en-US"/>
        </w:rPr>
        <w:t>Finland .</w:t>
      </w:r>
      <w:proofErr w:type="gramEnd"/>
      <w:r w:rsidR="0085762E">
        <w:rPr>
          <w:lang w:val="en-US"/>
        </w:rPr>
        <w:t xml:space="preserve"> Email: rauno.harvima@kuh.fi</w:t>
      </w:r>
    </w:p>
    <w:p w14:paraId="0E27A8DF" w14:textId="7382154B" w:rsidR="00641CFE" w:rsidRPr="00576D15" w:rsidRDefault="00641CFE" w:rsidP="00313CA1">
      <w:pPr>
        <w:spacing w:line="276" w:lineRule="auto"/>
        <w:rPr>
          <w:lang w:val="en-US"/>
        </w:rPr>
      </w:pPr>
      <w:r w:rsidRPr="00576D15">
        <w:rPr>
          <w:lang w:val="en-US"/>
        </w:rPr>
        <w:t xml:space="preserve">Ilkka </w:t>
      </w:r>
      <w:r w:rsidR="00B96D8E" w:rsidRPr="00576D15">
        <w:rPr>
          <w:lang w:val="en-US"/>
        </w:rPr>
        <w:t xml:space="preserve">T. </w:t>
      </w:r>
      <w:r w:rsidRPr="00576D15">
        <w:rPr>
          <w:lang w:val="en-US"/>
        </w:rPr>
        <w:t xml:space="preserve">Harvima, </w:t>
      </w:r>
      <w:r w:rsidR="00B96D8E" w:rsidRPr="00576D15">
        <w:rPr>
          <w:lang w:val="en-US"/>
        </w:rPr>
        <w:t>MD, PhD</w:t>
      </w:r>
      <w:r w:rsidRPr="00576D15">
        <w:rPr>
          <w:lang w:val="en-US"/>
        </w:rPr>
        <w:t xml:space="preserve">, </w:t>
      </w:r>
      <w:r w:rsidR="00B96D8E" w:rsidRPr="00576D15">
        <w:rPr>
          <w:lang w:val="en-US"/>
        </w:rPr>
        <w:t>P</w:t>
      </w:r>
      <w:r w:rsidR="006B5927" w:rsidRPr="00576D15">
        <w:rPr>
          <w:lang w:val="en-US"/>
        </w:rPr>
        <w:t>rof</w:t>
      </w:r>
      <w:r w:rsidR="00B96D8E" w:rsidRPr="00576D15">
        <w:rPr>
          <w:lang w:val="en-US"/>
        </w:rPr>
        <w:t>essor</w:t>
      </w:r>
      <w:r w:rsidR="006B5927" w:rsidRPr="00576D15">
        <w:rPr>
          <w:lang w:val="en-US"/>
        </w:rPr>
        <w:t>,</w:t>
      </w:r>
      <w:r w:rsidRPr="00576D15">
        <w:rPr>
          <w:lang w:val="en-US"/>
        </w:rPr>
        <w:t xml:space="preserve"> </w:t>
      </w:r>
      <w:r w:rsidR="00B96D8E" w:rsidRPr="00576D15">
        <w:rPr>
          <w:lang w:val="en-US"/>
        </w:rPr>
        <w:t>Department of Dermatology, Kuopio University Hospital and Universit</w:t>
      </w:r>
      <w:r w:rsidR="00E278CB" w:rsidRPr="00576D15">
        <w:rPr>
          <w:lang w:val="en-US"/>
        </w:rPr>
        <w:t>y of Eastern Finland, FIN-70210</w:t>
      </w:r>
      <w:r w:rsidR="0085762E">
        <w:rPr>
          <w:lang w:val="en-US"/>
        </w:rPr>
        <w:t xml:space="preserve"> Kuopio, Finland. Email: ilkka.harvima@kuh.fi</w:t>
      </w:r>
    </w:p>
    <w:p w14:paraId="32FF4809" w14:textId="5AB59157" w:rsidR="00B96D8E" w:rsidRPr="00576D15" w:rsidRDefault="00B96D8E" w:rsidP="00313CA1">
      <w:pPr>
        <w:spacing w:line="276" w:lineRule="auto"/>
        <w:rPr>
          <w:lang w:val="en-US"/>
        </w:rPr>
      </w:pPr>
    </w:p>
    <w:p w14:paraId="0295A594" w14:textId="41FDD29E" w:rsidR="007E0F6F" w:rsidRPr="00576D15" w:rsidRDefault="007E0F6F" w:rsidP="00313CA1">
      <w:pPr>
        <w:spacing w:line="276" w:lineRule="auto"/>
        <w:rPr>
          <w:lang w:val="en-US"/>
        </w:rPr>
      </w:pPr>
    </w:p>
    <w:p w14:paraId="14F42136" w14:textId="4ADEB391" w:rsidR="008B6AF5" w:rsidRPr="00576D15" w:rsidRDefault="008B6AF5" w:rsidP="00313CA1">
      <w:pPr>
        <w:spacing w:line="276" w:lineRule="auto"/>
        <w:rPr>
          <w:lang w:val="en-US"/>
        </w:rPr>
      </w:pPr>
    </w:p>
    <w:p w14:paraId="5E649D2F" w14:textId="0ECA66EB" w:rsidR="007E0F6F" w:rsidRPr="00576D15" w:rsidRDefault="007E0F6F" w:rsidP="00313CA1">
      <w:pPr>
        <w:spacing w:line="276" w:lineRule="auto"/>
        <w:rPr>
          <w:lang w:val="en-US"/>
        </w:rPr>
      </w:pPr>
    </w:p>
    <w:p w14:paraId="7F297CC3" w14:textId="116753EF" w:rsidR="008952DB" w:rsidRDefault="00B96D8E" w:rsidP="00313CA1">
      <w:pPr>
        <w:spacing w:line="276" w:lineRule="auto"/>
        <w:rPr>
          <w:lang w:val="en-US"/>
        </w:rPr>
      </w:pPr>
      <w:r w:rsidRPr="00576D15">
        <w:rPr>
          <w:lang w:val="en-US"/>
        </w:rPr>
        <w:t>Conflict of interest: Authors do not have any relevant conflict of interests.</w:t>
      </w:r>
    </w:p>
    <w:p w14:paraId="440BA3A8" w14:textId="0E708EFF" w:rsidR="0085762E" w:rsidRDefault="0085762E" w:rsidP="00313CA1">
      <w:pPr>
        <w:spacing w:line="276" w:lineRule="auto"/>
        <w:rPr>
          <w:lang w:val="en-US"/>
        </w:rPr>
      </w:pPr>
    </w:p>
    <w:p w14:paraId="0F2A76AD" w14:textId="48099F8F" w:rsidR="0002084C" w:rsidRDefault="0002084C" w:rsidP="00313CA1">
      <w:pPr>
        <w:spacing w:line="276" w:lineRule="auto"/>
        <w:rPr>
          <w:lang w:val="en-US"/>
        </w:rPr>
      </w:pPr>
      <w:r>
        <w:rPr>
          <w:lang w:val="en-US"/>
        </w:rPr>
        <w:t>Other statements:</w:t>
      </w:r>
    </w:p>
    <w:p w14:paraId="271C969A" w14:textId="30A10159" w:rsidR="005F32F9" w:rsidRDefault="0002084C" w:rsidP="005F32F9">
      <w:pPr>
        <w:spacing w:line="276" w:lineRule="auto"/>
        <w:rPr>
          <w:lang w:val="en-US"/>
        </w:rPr>
      </w:pPr>
      <w:r>
        <w:rPr>
          <w:lang w:val="en-US"/>
        </w:rPr>
        <w:t xml:space="preserve">Kuopio University Hospital with Ethics Committee </w:t>
      </w:r>
      <w:r w:rsidR="004E0B8B">
        <w:rPr>
          <w:lang w:val="en-US"/>
        </w:rPr>
        <w:t>has</w:t>
      </w:r>
      <w:r>
        <w:rPr>
          <w:lang w:val="en-US"/>
        </w:rPr>
        <w:t xml:space="preserve"> given </w:t>
      </w:r>
      <w:r>
        <w:rPr>
          <w:lang w:val="en-US"/>
        </w:rPr>
        <w:t>permit to publish this patient case and the background allergy laboratory data as reference</w:t>
      </w:r>
      <w:r>
        <w:rPr>
          <w:lang w:val="en-US"/>
        </w:rPr>
        <w:t>.  The patient has given a written consent to publish this patient case.</w:t>
      </w:r>
      <w:r w:rsidR="004E0B8B">
        <w:rPr>
          <w:lang w:val="en-US"/>
        </w:rPr>
        <w:t xml:space="preserve"> The funding for publication costs will be provided by the Department of Dermatology of Kuopio University Hospital and/or of University</w:t>
      </w:r>
      <w:r w:rsidR="005F32F9">
        <w:rPr>
          <w:lang w:val="en-US"/>
        </w:rPr>
        <w:t xml:space="preserve"> of Eastern Finland.</w:t>
      </w:r>
    </w:p>
    <w:p w14:paraId="3C6CAFCC" w14:textId="77777777" w:rsidR="005F32F9" w:rsidRDefault="005F32F9" w:rsidP="005F32F9">
      <w:pPr>
        <w:spacing w:line="276" w:lineRule="auto"/>
        <w:rPr>
          <w:lang w:val="en-US"/>
        </w:rPr>
      </w:pPr>
    </w:p>
    <w:p w14:paraId="707CC182" w14:textId="05DAF81A" w:rsidR="008952DB" w:rsidRPr="00576D15" w:rsidRDefault="008952DB" w:rsidP="005F32F9">
      <w:pPr>
        <w:spacing w:line="276" w:lineRule="auto"/>
        <w:rPr>
          <w:lang w:val="en-US"/>
        </w:rPr>
      </w:pPr>
      <w:r w:rsidRPr="00576D15">
        <w:rPr>
          <w:lang w:val="en-US"/>
        </w:rPr>
        <w:lastRenderedPageBreak/>
        <w:t>Table 1. Total number of assays and cases with elevated specific IgE to an antibiotic.</w:t>
      </w:r>
      <w:r w:rsidRPr="00576D15">
        <w:rPr>
          <w:lang w:val="en-US"/>
        </w:rPr>
        <w:tab/>
      </w:r>
    </w:p>
    <w:tbl>
      <w:tblPr>
        <w:tblStyle w:val="TaulukkoRuudukko"/>
        <w:tblW w:w="4405" w:type="pct"/>
        <w:tblLook w:val="04A0" w:firstRow="1" w:lastRow="0" w:firstColumn="1" w:lastColumn="0" w:noHBand="0" w:noVBand="1"/>
      </w:tblPr>
      <w:tblGrid>
        <w:gridCol w:w="1009"/>
        <w:gridCol w:w="826"/>
        <w:gridCol w:w="975"/>
        <w:gridCol w:w="13"/>
        <w:gridCol w:w="1018"/>
        <w:gridCol w:w="1018"/>
        <w:gridCol w:w="1192"/>
        <w:gridCol w:w="952"/>
        <w:gridCol w:w="1479"/>
      </w:tblGrid>
      <w:tr w:rsidR="00576D15" w:rsidRPr="00D50D9E" w14:paraId="41512894" w14:textId="77777777" w:rsidTr="002D76C5">
        <w:trPr>
          <w:trHeight w:val="643"/>
        </w:trPr>
        <w:tc>
          <w:tcPr>
            <w:tcW w:w="630" w:type="pct"/>
          </w:tcPr>
          <w:p w14:paraId="7D1889F7" w14:textId="77777777" w:rsidR="008952DB" w:rsidRPr="00576D15" w:rsidRDefault="008952DB" w:rsidP="002D76C5">
            <w:pPr>
              <w:rPr>
                <w:lang w:val="en-US"/>
              </w:rPr>
            </w:pPr>
          </w:p>
        </w:tc>
        <w:tc>
          <w:tcPr>
            <w:tcW w:w="522" w:type="pct"/>
          </w:tcPr>
          <w:p w14:paraId="3171BEBE" w14:textId="77777777" w:rsidR="008952DB" w:rsidRPr="00576D15" w:rsidRDefault="008952DB" w:rsidP="002D76C5">
            <w:pPr>
              <w:rPr>
                <w:lang w:val="en-US"/>
              </w:rPr>
            </w:pPr>
          </w:p>
        </w:tc>
        <w:tc>
          <w:tcPr>
            <w:tcW w:w="610" w:type="pct"/>
          </w:tcPr>
          <w:p w14:paraId="73AF5C28" w14:textId="77777777" w:rsidR="008952DB" w:rsidRPr="00576D15" w:rsidRDefault="008952DB" w:rsidP="002D76C5">
            <w:pPr>
              <w:rPr>
                <w:lang w:val="en-US"/>
              </w:rPr>
            </w:pPr>
          </w:p>
        </w:tc>
        <w:tc>
          <w:tcPr>
            <w:tcW w:w="2329" w:type="pct"/>
            <w:gridSpan w:val="5"/>
          </w:tcPr>
          <w:p w14:paraId="296F6245" w14:textId="77777777" w:rsidR="008952DB" w:rsidRPr="00576D15" w:rsidRDefault="008952DB" w:rsidP="002D76C5">
            <w:pPr>
              <w:rPr>
                <w:lang w:val="en-US"/>
              </w:rPr>
            </w:pPr>
            <w:r w:rsidRPr="00576D15">
              <w:rPr>
                <w:lang w:val="en-US"/>
              </w:rPr>
              <w:t>Specific IgE level to an antibiotic (kU/L)</w:t>
            </w:r>
          </w:p>
        </w:tc>
        <w:tc>
          <w:tcPr>
            <w:tcW w:w="908" w:type="pct"/>
          </w:tcPr>
          <w:p w14:paraId="3119AEBC" w14:textId="77777777" w:rsidR="008952DB" w:rsidRPr="00576D15" w:rsidRDefault="008952DB" w:rsidP="002D76C5">
            <w:pPr>
              <w:rPr>
                <w:lang w:val="en-US"/>
              </w:rPr>
            </w:pPr>
          </w:p>
        </w:tc>
      </w:tr>
      <w:tr w:rsidR="00576D15" w:rsidRPr="00576D15" w14:paraId="101C3796" w14:textId="77777777" w:rsidTr="002D76C5">
        <w:trPr>
          <w:trHeight w:val="643"/>
        </w:trPr>
        <w:tc>
          <w:tcPr>
            <w:tcW w:w="630" w:type="pct"/>
          </w:tcPr>
          <w:p w14:paraId="618E9E24" w14:textId="77777777" w:rsidR="008952DB" w:rsidRPr="00576D15" w:rsidRDefault="008952DB" w:rsidP="002D76C5">
            <w:r w:rsidRPr="00576D15">
              <w:t>Patient</w:t>
            </w:r>
          </w:p>
          <w:p w14:paraId="3755A5E4" w14:textId="77777777" w:rsidR="008952DB" w:rsidRPr="00576D15" w:rsidRDefault="008952DB" w:rsidP="002D76C5">
            <w:r w:rsidRPr="00576D15">
              <w:t>number</w:t>
            </w:r>
          </w:p>
        </w:tc>
        <w:tc>
          <w:tcPr>
            <w:tcW w:w="522" w:type="pct"/>
          </w:tcPr>
          <w:p w14:paraId="6BC9FB5C" w14:textId="77777777" w:rsidR="008952DB" w:rsidRPr="00576D15" w:rsidRDefault="008952DB" w:rsidP="002D76C5">
            <w:pPr>
              <w:rPr>
                <w:lang w:val="en-US"/>
              </w:rPr>
            </w:pPr>
            <w:r w:rsidRPr="00576D15">
              <w:rPr>
                <w:lang w:val="en-US"/>
              </w:rPr>
              <w:t>Sex and age at assay</w:t>
            </w:r>
          </w:p>
        </w:tc>
        <w:tc>
          <w:tcPr>
            <w:tcW w:w="620" w:type="pct"/>
            <w:gridSpan w:val="2"/>
          </w:tcPr>
          <w:p w14:paraId="3EBCE8F7" w14:textId="77777777" w:rsidR="008952DB" w:rsidRPr="00576D15" w:rsidRDefault="008952DB" w:rsidP="002D76C5">
            <w:r w:rsidRPr="00576D15">
              <w:t>Total IgE</w:t>
            </w:r>
          </w:p>
          <w:p w14:paraId="70421EF9" w14:textId="77777777" w:rsidR="008952DB" w:rsidRPr="00576D15" w:rsidRDefault="008952DB" w:rsidP="002D76C5"/>
          <w:p w14:paraId="33AB2F18" w14:textId="77777777" w:rsidR="008952DB" w:rsidRPr="00576D15" w:rsidRDefault="008952DB" w:rsidP="002D76C5">
            <w:r w:rsidRPr="00576D15">
              <w:t>(1198 assays)</w:t>
            </w:r>
          </w:p>
        </w:tc>
        <w:tc>
          <w:tcPr>
            <w:tcW w:w="579" w:type="pct"/>
          </w:tcPr>
          <w:p w14:paraId="493A7047" w14:textId="77777777" w:rsidR="008952DB" w:rsidRPr="00576D15" w:rsidRDefault="008952DB" w:rsidP="002D76C5">
            <w:r w:rsidRPr="00576D15">
              <w:t>Phenoxy methyl penicillin</w:t>
            </w:r>
          </w:p>
          <w:p w14:paraId="61F23559" w14:textId="77777777" w:rsidR="008952DB" w:rsidRPr="00576D15" w:rsidRDefault="008952DB" w:rsidP="002D76C5">
            <w:r w:rsidRPr="00576D15">
              <w:t>(264 assays)</w:t>
            </w:r>
          </w:p>
        </w:tc>
        <w:tc>
          <w:tcPr>
            <w:tcW w:w="565" w:type="pct"/>
          </w:tcPr>
          <w:p w14:paraId="23F58434" w14:textId="77777777" w:rsidR="008952DB" w:rsidRPr="00576D15" w:rsidRDefault="008952DB" w:rsidP="002D76C5">
            <w:r w:rsidRPr="00576D15">
              <w:t>Benzyl penicillin</w:t>
            </w:r>
          </w:p>
          <w:p w14:paraId="1CDD95CF" w14:textId="77777777" w:rsidR="008952DB" w:rsidRPr="00576D15" w:rsidRDefault="008952DB" w:rsidP="002D76C5"/>
          <w:p w14:paraId="7BC8F4A5" w14:textId="77777777" w:rsidR="008952DB" w:rsidRPr="00576D15" w:rsidRDefault="008952DB" w:rsidP="002D76C5">
            <w:r w:rsidRPr="00576D15">
              <w:t>(242</w:t>
            </w:r>
          </w:p>
          <w:p w14:paraId="675E64F6" w14:textId="77777777" w:rsidR="008952DB" w:rsidRPr="00576D15" w:rsidRDefault="008952DB" w:rsidP="002D76C5">
            <w:r w:rsidRPr="00576D15">
              <w:t>assays)</w:t>
            </w:r>
          </w:p>
        </w:tc>
        <w:tc>
          <w:tcPr>
            <w:tcW w:w="549" w:type="pct"/>
          </w:tcPr>
          <w:p w14:paraId="2B54177F" w14:textId="75380E65" w:rsidR="008952DB" w:rsidRPr="00576D15" w:rsidRDefault="008952DB" w:rsidP="002D76C5">
            <w:r w:rsidRPr="00576D15">
              <w:t>Amox</w:t>
            </w:r>
            <w:r w:rsidR="00CE5376" w:rsidRPr="00576D15">
              <w:t>i</w:t>
            </w:r>
            <w:r w:rsidRPr="00576D15">
              <w:t>cillin</w:t>
            </w:r>
          </w:p>
          <w:p w14:paraId="54162CB7" w14:textId="77777777" w:rsidR="008952DB" w:rsidRPr="00576D15" w:rsidRDefault="008952DB" w:rsidP="002D76C5"/>
          <w:p w14:paraId="71BE508E" w14:textId="77777777" w:rsidR="008952DB" w:rsidRPr="00576D15" w:rsidRDefault="008952DB" w:rsidP="002D76C5"/>
          <w:p w14:paraId="2D253CE4" w14:textId="77777777" w:rsidR="008952DB" w:rsidRPr="00576D15" w:rsidRDefault="008952DB" w:rsidP="002D76C5">
            <w:r w:rsidRPr="00576D15">
              <w:t>(137</w:t>
            </w:r>
          </w:p>
          <w:p w14:paraId="089DC07D" w14:textId="77777777" w:rsidR="008952DB" w:rsidRPr="00576D15" w:rsidRDefault="008952DB" w:rsidP="002D76C5">
            <w:r w:rsidRPr="00576D15">
              <w:t xml:space="preserve"> assays)</w:t>
            </w:r>
          </w:p>
        </w:tc>
        <w:tc>
          <w:tcPr>
            <w:tcW w:w="627" w:type="pct"/>
          </w:tcPr>
          <w:p w14:paraId="26EE1DBB" w14:textId="3FC1E78D" w:rsidR="008952DB" w:rsidRPr="00576D15" w:rsidRDefault="000532BB" w:rsidP="002D76C5">
            <w:r w:rsidRPr="00576D15">
              <w:t>Cefaclor</w:t>
            </w:r>
          </w:p>
          <w:p w14:paraId="17F749C1" w14:textId="77777777" w:rsidR="008952DB" w:rsidRPr="00576D15" w:rsidRDefault="008952DB" w:rsidP="002D76C5"/>
          <w:p w14:paraId="04D53B25" w14:textId="77777777" w:rsidR="008952DB" w:rsidRPr="00576D15" w:rsidRDefault="008952DB" w:rsidP="002D76C5"/>
          <w:p w14:paraId="034ABF9B" w14:textId="77777777" w:rsidR="008952DB" w:rsidRPr="00576D15" w:rsidRDefault="008952DB" w:rsidP="002D76C5">
            <w:r w:rsidRPr="00576D15">
              <w:t>(143 assays)</w:t>
            </w:r>
          </w:p>
        </w:tc>
        <w:tc>
          <w:tcPr>
            <w:tcW w:w="908" w:type="pct"/>
          </w:tcPr>
          <w:p w14:paraId="65A54385" w14:textId="77777777" w:rsidR="008952DB" w:rsidRPr="00576D15" w:rsidRDefault="008952DB" w:rsidP="002D76C5">
            <w:r w:rsidRPr="00576D15">
              <w:t>Month-year</w:t>
            </w:r>
          </w:p>
        </w:tc>
      </w:tr>
      <w:tr w:rsidR="00576D15" w:rsidRPr="00576D15" w14:paraId="3C5F4220" w14:textId="77777777" w:rsidTr="002D76C5">
        <w:trPr>
          <w:trHeight w:val="321"/>
        </w:trPr>
        <w:tc>
          <w:tcPr>
            <w:tcW w:w="630" w:type="pct"/>
          </w:tcPr>
          <w:p w14:paraId="258D400C" w14:textId="77777777" w:rsidR="008952DB" w:rsidRPr="00576D15" w:rsidRDefault="008952DB" w:rsidP="002D76C5">
            <w:r w:rsidRPr="00576D15">
              <w:t>1. The case</w:t>
            </w:r>
          </w:p>
        </w:tc>
        <w:tc>
          <w:tcPr>
            <w:tcW w:w="522" w:type="pct"/>
          </w:tcPr>
          <w:p w14:paraId="36DEDBEF" w14:textId="77777777" w:rsidR="008952DB" w:rsidRPr="00576D15" w:rsidRDefault="008952DB" w:rsidP="002D76C5">
            <w:r w:rsidRPr="00576D15">
              <w:t>M54</w:t>
            </w:r>
          </w:p>
        </w:tc>
        <w:tc>
          <w:tcPr>
            <w:tcW w:w="620" w:type="pct"/>
            <w:gridSpan w:val="2"/>
          </w:tcPr>
          <w:p w14:paraId="1EA835EB" w14:textId="77777777" w:rsidR="008952DB" w:rsidRPr="00576D15" w:rsidRDefault="008952DB" w:rsidP="002D76C5">
            <w:r w:rsidRPr="00576D15">
              <w:t>1093</w:t>
            </w:r>
          </w:p>
        </w:tc>
        <w:tc>
          <w:tcPr>
            <w:tcW w:w="579" w:type="pct"/>
          </w:tcPr>
          <w:p w14:paraId="362946E6" w14:textId="77777777" w:rsidR="008952DB" w:rsidRPr="00576D15" w:rsidRDefault="008952DB" w:rsidP="002D76C5">
            <w:r w:rsidRPr="00576D15">
              <w:t>&gt;100</w:t>
            </w:r>
          </w:p>
        </w:tc>
        <w:tc>
          <w:tcPr>
            <w:tcW w:w="565" w:type="pct"/>
          </w:tcPr>
          <w:p w14:paraId="6891A6D1" w14:textId="77777777" w:rsidR="008952DB" w:rsidRPr="00576D15" w:rsidRDefault="008952DB" w:rsidP="002D76C5">
            <w:r w:rsidRPr="00576D15">
              <w:t>&gt;100</w:t>
            </w:r>
          </w:p>
        </w:tc>
        <w:tc>
          <w:tcPr>
            <w:tcW w:w="549" w:type="pct"/>
          </w:tcPr>
          <w:p w14:paraId="36B981C8" w14:textId="77777777" w:rsidR="008952DB" w:rsidRPr="00576D15" w:rsidRDefault="008952DB" w:rsidP="002D76C5">
            <w:r w:rsidRPr="00576D15">
              <w:t>&lt;0.35</w:t>
            </w:r>
          </w:p>
        </w:tc>
        <w:tc>
          <w:tcPr>
            <w:tcW w:w="627" w:type="pct"/>
          </w:tcPr>
          <w:p w14:paraId="05B4B80A" w14:textId="77777777" w:rsidR="008952DB" w:rsidRPr="00576D15" w:rsidRDefault="008952DB" w:rsidP="002D76C5">
            <w:r w:rsidRPr="00576D15">
              <w:t>n.d.</w:t>
            </w:r>
          </w:p>
        </w:tc>
        <w:tc>
          <w:tcPr>
            <w:tcW w:w="908" w:type="pct"/>
          </w:tcPr>
          <w:p w14:paraId="01051E12" w14:textId="77777777" w:rsidR="008952DB" w:rsidRPr="00576D15" w:rsidRDefault="008952DB" w:rsidP="002D76C5">
            <w:r w:rsidRPr="00576D15">
              <w:t>9-2008</w:t>
            </w:r>
          </w:p>
        </w:tc>
      </w:tr>
      <w:tr w:rsidR="00576D15" w:rsidRPr="00576D15" w14:paraId="47FDBD1C" w14:textId="77777777" w:rsidTr="002D76C5">
        <w:trPr>
          <w:trHeight w:val="304"/>
        </w:trPr>
        <w:tc>
          <w:tcPr>
            <w:tcW w:w="630" w:type="pct"/>
          </w:tcPr>
          <w:p w14:paraId="2D789833" w14:textId="77777777" w:rsidR="008952DB" w:rsidRPr="00576D15" w:rsidRDefault="008952DB" w:rsidP="002D76C5"/>
        </w:tc>
        <w:tc>
          <w:tcPr>
            <w:tcW w:w="522" w:type="pct"/>
          </w:tcPr>
          <w:p w14:paraId="0673A1EA" w14:textId="77777777" w:rsidR="008952DB" w:rsidRPr="00576D15" w:rsidRDefault="008952DB" w:rsidP="002D76C5">
            <w:r w:rsidRPr="00576D15">
              <w:t>M54</w:t>
            </w:r>
          </w:p>
        </w:tc>
        <w:tc>
          <w:tcPr>
            <w:tcW w:w="620" w:type="pct"/>
            <w:gridSpan w:val="2"/>
          </w:tcPr>
          <w:p w14:paraId="1D174921" w14:textId="77777777" w:rsidR="008952DB" w:rsidRPr="00576D15" w:rsidRDefault="008952DB" w:rsidP="002D76C5">
            <w:r w:rsidRPr="00576D15">
              <w:t>973</w:t>
            </w:r>
          </w:p>
        </w:tc>
        <w:tc>
          <w:tcPr>
            <w:tcW w:w="579" w:type="pct"/>
          </w:tcPr>
          <w:p w14:paraId="215D3688" w14:textId="77777777" w:rsidR="008952DB" w:rsidRPr="00576D15" w:rsidRDefault="008952DB" w:rsidP="002D76C5">
            <w:r w:rsidRPr="00576D15">
              <w:t>307.5</w:t>
            </w:r>
          </w:p>
        </w:tc>
        <w:tc>
          <w:tcPr>
            <w:tcW w:w="565" w:type="pct"/>
          </w:tcPr>
          <w:p w14:paraId="1001B416" w14:textId="77777777" w:rsidR="008952DB" w:rsidRPr="00576D15" w:rsidRDefault="008952DB" w:rsidP="002D76C5">
            <w:r w:rsidRPr="00576D15">
              <w:t>137.5</w:t>
            </w:r>
          </w:p>
        </w:tc>
        <w:tc>
          <w:tcPr>
            <w:tcW w:w="549" w:type="pct"/>
          </w:tcPr>
          <w:p w14:paraId="2C6657B5" w14:textId="77777777" w:rsidR="008952DB" w:rsidRPr="00576D15" w:rsidRDefault="008952DB" w:rsidP="002D76C5">
            <w:r w:rsidRPr="00576D15">
              <w:t>n.d.</w:t>
            </w:r>
          </w:p>
        </w:tc>
        <w:tc>
          <w:tcPr>
            <w:tcW w:w="627" w:type="pct"/>
          </w:tcPr>
          <w:p w14:paraId="6D3F7891" w14:textId="77777777" w:rsidR="008952DB" w:rsidRPr="00576D15" w:rsidRDefault="008952DB" w:rsidP="002D76C5">
            <w:r w:rsidRPr="00576D15">
              <w:t>11.1</w:t>
            </w:r>
          </w:p>
        </w:tc>
        <w:tc>
          <w:tcPr>
            <w:tcW w:w="908" w:type="pct"/>
          </w:tcPr>
          <w:p w14:paraId="37014D42" w14:textId="77777777" w:rsidR="008952DB" w:rsidRPr="00576D15" w:rsidRDefault="008952DB" w:rsidP="002D76C5">
            <w:r w:rsidRPr="00576D15">
              <w:t>10-2008</w:t>
            </w:r>
          </w:p>
        </w:tc>
      </w:tr>
      <w:tr w:rsidR="00576D15" w:rsidRPr="00576D15" w14:paraId="77EC853F" w14:textId="77777777" w:rsidTr="002D76C5">
        <w:trPr>
          <w:trHeight w:val="321"/>
        </w:trPr>
        <w:tc>
          <w:tcPr>
            <w:tcW w:w="630" w:type="pct"/>
          </w:tcPr>
          <w:p w14:paraId="6C4CB6BB" w14:textId="77777777" w:rsidR="008952DB" w:rsidRPr="00576D15" w:rsidRDefault="008952DB" w:rsidP="002D76C5"/>
        </w:tc>
        <w:tc>
          <w:tcPr>
            <w:tcW w:w="522" w:type="pct"/>
          </w:tcPr>
          <w:p w14:paraId="560B22C9" w14:textId="77777777" w:rsidR="008952DB" w:rsidRPr="00576D15" w:rsidRDefault="008952DB" w:rsidP="002D76C5">
            <w:r w:rsidRPr="00576D15">
              <w:t>M66</w:t>
            </w:r>
          </w:p>
        </w:tc>
        <w:tc>
          <w:tcPr>
            <w:tcW w:w="620" w:type="pct"/>
            <w:gridSpan w:val="2"/>
          </w:tcPr>
          <w:p w14:paraId="044266CB" w14:textId="77777777" w:rsidR="008952DB" w:rsidRPr="00576D15" w:rsidRDefault="008952DB" w:rsidP="002D76C5">
            <w:r w:rsidRPr="00576D15">
              <w:t>156</w:t>
            </w:r>
          </w:p>
        </w:tc>
        <w:tc>
          <w:tcPr>
            <w:tcW w:w="579" w:type="pct"/>
          </w:tcPr>
          <w:p w14:paraId="026E3132" w14:textId="77777777" w:rsidR="008952DB" w:rsidRPr="00576D15" w:rsidRDefault="008952DB" w:rsidP="002D76C5">
            <w:r w:rsidRPr="00576D15">
              <w:t>2.93</w:t>
            </w:r>
          </w:p>
        </w:tc>
        <w:tc>
          <w:tcPr>
            <w:tcW w:w="565" w:type="pct"/>
          </w:tcPr>
          <w:p w14:paraId="58620E86" w14:textId="77777777" w:rsidR="008952DB" w:rsidRPr="00576D15" w:rsidRDefault="008952DB" w:rsidP="002D76C5">
            <w:r w:rsidRPr="00576D15">
              <w:t>0.77</w:t>
            </w:r>
          </w:p>
        </w:tc>
        <w:tc>
          <w:tcPr>
            <w:tcW w:w="549" w:type="pct"/>
          </w:tcPr>
          <w:p w14:paraId="44D40FD6" w14:textId="77777777" w:rsidR="008952DB" w:rsidRPr="00576D15" w:rsidRDefault="008952DB" w:rsidP="002D76C5">
            <w:r w:rsidRPr="00576D15">
              <w:t>&lt;0.35</w:t>
            </w:r>
          </w:p>
        </w:tc>
        <w:tc>
          <w:tcPr>
            <w:tcW w:w="627" w:type="pct"/>
          </w:tcPr>
          <w:p w14:paraId="16705777" w14:textId="77777777" w:rsidR="008952DB" w:rsidRPr="00576D15" w:rsidRDefault="008952DB" w:rsidP="002D76C5">
            <w:r w:rsidRPr="00576D15">
              <w:t>0.08</w:t>
            </w:r>
          </w:p>
        </w:tc>
        <w:tc>
          <w:tcPr>
            <w:tcW w:w="908" w:type="pct"/>
          </w:tcPr>
          <w:p w14:paraId="6ED83816" w14:textId="77777777" w:rsidR="008952DB" w:rsidRPr="00576D15" w:rsidRDefault="008952DB" w:rsidP="002D76C5">
            <w:r w:rsidRPr="00576D15">
              <w:t>6-2020</w:t>
            </w:r>
          </w:p>
        </w:tc>
      </w:tr>
      <w:tr w:rsidR="00576D15" w:rsidRPr="00576D15" w14:paraId="35FEC957" w14:textId="77777777" w:rsidTr="002D76C5">
        <w:trPr>
          <w:trHeight w:val="321"/>
        </w:trPr>
        <w:tc>
          <w:tcPr>
            <w:tcW w:w="630" w:type="pct"/>
          </w:tcPr>
          <w:p w14:paraId="47C0B966" w14:textId="77777777" w:rsidR="008952DB" w:rsidRPr="00576D15" w:rsidRDefault="008952DB" w:rsidP="002D76C5">
            <w:r w:rsidRPr="00576D15">
              <w:t>2.</w:t>
            </w:r>
          </w:p>
        </w:tc>
        <w:tc>
          <w:tcPr>
            <w:tcW w:w="522" w:type="pct"/>
          </w:tcPr>
          <w:p w14:paraId="47954D1B" w14:textId="77777777" w:rsidR="008952DB" w:rsidRPr="00576D15" w:rsidRDefault="008952DB" w:rsidP="002D76C5">
            <w:r w:rsidRPr="00576D15">
              <w:t>F50</w:t>
            </w:r>
          </w:p>
        </w:tc>
        <w:tc>
          <w:tcPr>
            <w:tcW w:w="620" w:type="pct"/>
            <w:gridSpan w:val="2"/>
          </w:tcPr>
          <w:p w14:paraId="45BBD07C" w14:textId="77777777" w:rsidR="008952DB" w:rsidRPr="00576D15" w:rsidRDefault="008952DB" w:rsidP="002D76C5">
            <w:r w:rsidRPr="00576D15">
              <w:t>95</w:t>
            </w:r>
          </w:p>
        </w:tc>
        <w:tc>
          <w:tcPr>
            <w:tcW w:w="579" w:type="pct"/>
          </w:tcPr>
          <w:p w14:paraId="513A106B" w14:textId="77777777" w:rsidR="008952DB" w:rsidRPr="00576D15" w:rsidRDefault="008952DB" w:rsidP="002D76C5">
            <w:r w:rsidRPr="00576D15">
              <w:t>0.83</w:t>
            </w:r>
          </w:p>
        </w:tc>
        <w:tc>
          <w:tcPr>
            <w:tcW w:w="565" w:type="pct"/>
          </w:tcPr>
          <w:p w14:paraId="3B94BDE0" w14:textId="77777777" w:rsidR="008952DB" w:rsidRPr="00576D15" w:rsidRDefault="008952DB" w:rsidP="002D76C5">
            <w:r w:rsidRPr="00576D15">
              <w:t>&lt;0,35</w:t>
            </w:r>
          </w:p>
        </w:tc>
        <w:tc>
          <w:tcPr>
            <w:tcW w:w="549" w:type="pct"/>
          </w:tcPr>
          <w:p w14:paraId="54450E85" w14:textId="77777777" w:rsidR="008952DB" w:rsidRPr="00576D15" w:rsidRDefault="008952DB" w:rsidP="002D76C5">
            <w:r w:rsidRPr="00576D15">
              <w:t>n.d.</w:t>
            </w:r>
          </w:p>
        </w:tc>
        <w:tc>
          <w:tcPr>
            <w:tcW w:w="627" w:type="pct"/>
          </w:tcPr>
          <w:p w14:paraId="784ADD7A" w14:textId="77777777" w:rsidR="008952DB" w:rsidRPr="00576D15" w:rsidRDefault="008952DB" w:rsidP="002D76C5">
            <w:r w:rsidRPr="00576D15">
              <w:t>n.d.</w:t>
            </w:r>
          </w:p>
        </w:tc>
        <w:tc>
          <w:tcPr>
            <w:tcW w:w="908" w:type="pct"/>
          </w:tcPr>
          <w:p w14:paraId="6B1F975D" w14:textId="77777777" w:rsidR="008952DB" w:rsidRPr="00576D15" w:rsidRDefault="008952DB" w:rsidP="002D76C5">
            <w:r w:rsidRPr="00576D15">
              <w:t>8-2015</w:t>
            </w:r>
          </w:p>
        </w:tc>
      </w:tr>
      <w:tr w:rsidR="00576D15" w:rsidRPr="00576D15" w14:paraId="2325FDB4" w14:textId="77777777" w:rsidTr="002D76C5">
        <w:trPr>
          <w:trHeight w:val="321"/>
        </w:trPr>
        <w:tc>
          <w:tcPr>
            <w:tcW w:w="630" w:type="pct"/>
          </w:tcPr>
          <w:p w14:paraId="0A7EE081" w14:textId="77777777" w:rsidR="008952DB" w:rsidRPr="00576D15" w:rsidRDefault="008952DB" w:rsidP="002D76C5">
            <w:r w:rsidRPr="00576D15">
              <w:t xml:space="preserve">3. </w:t>
            </w:r>
          </w:p>
        </w:tc>
        <w:tc>
          <w:tcPr>
            <w:tcW w:w="522" w:type="pct"/>
          </w:tcPr>
          <w:p w14:paraId="40777CCB" w14:textId="77777777" w:rsidR="008952DB" w:rsidRPr="00576D15" w:rsidRDefault="008952DB" w:rsidP="002D76C5">
            <w:r w:rsidRPr="00576D15">
              <w:t>F56</w:t>
            </w:r>
          </w:p>
        </w:tc>
        <w:tc>
          <w:tcPr>
            <w:tcW w:w="620" w:type="pct"/>
            <w:gridSpan w:val="2"/>
          </w:tcPr>
          <w:p w14:paraId="42FB5FF9" w14:textId="77777777" w:rsidR="008952DB" w:rsidRPr="00576D15" w:rsidRDefault="008952DB" w:rsidP="002D76C5">
            <w:r w:rsidRPr="00576D15">
              <w:t>n.d.</w:t>
            </w:r>
          </w:p>
        </w:tc>
        <w:tc>
          <w:tcPr>
            <w:tcW w:w="579" w:type="pct"/>
          </w:tcPr>
          <w:p w14:paraId="409DA055" w14:textId="77777777" w:rsidR="008952DB" w:rsidRPr="00576D15" w:rsidRDefault="008952DB" w:rsidP="002D76C5">
            <w:r w:rsidRPr="00576D15">
              <w:t>15.1</w:t>
            </w:r>
          </w:p>
        </w:tc>
        <w:tc>
          <w:tcPr>
            <w:tcW w:w="565" w:type="pct"/>
          </w:tcPr>
          <w:p w14:paraId="7A1CC4A7" w14:textId="77777777" w:rsidR="008952DB" w:rsidRPr="00576D15" w:rsidRDefault="008952DB" w:rsidP="002D76C5">
            <w:r w:rsidRPr="00576D15">
              <w:t>2.93</w:t>
            </w:r>
          </w:p>
        </w:tc>
        <w:tc>
          <w:tcPr>
            <w:tcW w:w="549" w:type="pct"/>
          </w:tcPr>
          <w:p w14:paraId="3CB12A76" w14:textId="77777777" w:rsidR="008952DB" w:rsidRPr="00576D15" w:rsidRDefault="008952DB" w:rsidP="002D76C5">
            <w:r w:rsidRPr="00576D15">
              <w:t>1.46</w:t>
            </w:r>
          </w:p>
        </w:tc>
        <w:tc>
          <w:tcPr>
            <w:tcW w:w="627" w:type="pct"/>
          </w:tcPr>
          <w:p w14:paraId="73B6CB01" w14:textId="77777777" w:rsidR="008952DB" w:rsidRPr="00576D15" w:rsidRDefault="008952DB" w:rsidP="002D76C5">
            <w:r w:rsidRPr="00576D15">
              <w:t>0.04</w:t>
            </w:r>
          </w:p>
        </w:tc>
        <w:tc>
          <w:tcPr>
            <w:tcW w:w="908" w:type="pct"/>
          </w:tcPr>
          <w:p w14:paraId="4696D2E9" w14:textId="77777777" w:rsidR="008952DB" w:rsidRPr="00576D15" w:rsidRDefault="008952DB" w:rsidP="002D76C5">
            <w:r w:rsidRPr="00576D15">
              <w:t>5-2020</w:t>
            </w:r>
          </w:p>
        </w:tc>
      </w:tr>
      <w:tr w:rsidR="00576D15" w:rsidRPr="00576D15" w14:paraId="66BF192A" w14:textId="77777777" w:rsidTr="002D76C5">
        <w:trPr>
          <w:trHeight w:val="304"/>
        </w:trPr>
        <w:tc>
          <w:tcPr>
            <w:tcW w:w="630" w:type="pct"/>
          </w:tcPr>
          <w:p w14:paraId="038299B1" w14:textId="77777777" w:rsidR="008952DB" w:rsidRPr="00576D15" w:rsidRDefault="008952DB" w:rsidP="002D76C5"/>
        </w:tc>
        <w:tc>
          <w:tcPr>
            <w:tcW w:w="522" w:type="pct"/>
          </w:tcPr>
          <w:p w14:paraId="444ED0BA" w14:textId="77777777" w:rsidR="008952DB" w:rsidRPr="00576D15" w:rsidRDefault="008952DB" w:rsidP="002D76C5">
            <w:r w:rsidRPr="00576D15">
              <w:t>F57</w:t>
            </w:r>
          </w:p>
        </w:tc>
        <w:tc>
          <w:tcPr>
            <w:tcW w:w="620" w:type="pct"/>
            <w:gridSpan w:val="2"/>
          </w:tcPr>
          <w:p w14:paraId="1EAA369B" w14:textId="77777777" w:rsidR="008952DB" w:rsidRPr="00576D15" w:rsidRDefault="008952DB" w:rsidP="002D76C5">
            <w:r w:rsidRPr="00576D15">
              <w:t>159</w:t>
            </w:r>
          </w:p>
        </w:tc>
        <w:tc>
          <w:tcPr>
            <w:tcW w:w="579" w:type="pct"/>
          </w:tcPr>
          <w:p w14:paraId="02FD9348" w14:textId="77777777" w:rsidR="008952DB" w:rsidRPr="00576D15" w:rsidRDefault="008952DB" w:rsidP="002D76C5">
            <w:r w:rsidRPr="00576D15">
              <w:t>4.48</w:t>
            </w:r>
          </w:p>
        </w:tc>
        <w:tc>
          <w:tcPr>
            <w:tcW w:w="565" w:type="pct"/>
          </w:tcPr>
          <w:p w14:paraId="5507E2C2" w14:textId="77777777" w:rsidR="008952DB" w:rsidRPr="00576D15" w:rsidRDefault="008952DB" w:rsidP="002D76C5">
            <w:r w:rsidRPr="00576D15">
              <w:t>0.72</w:t>
            </w:r>
          </w:p>
        </w:tc>
        <w:tc>
          <w:tcPr>
            <w:tcW w:w="549" w:type="pct"/>
          </w:tcPr>
          <w:p w14:paraId="2A930FC3" w14:textId="77777777" w:rsidR="008952DB" w:rsidRPr="00576D15" w:rsidRDefault="008952DB" w:rsidP="002D76C5">
            <w:r w:rsidRPr="00576D15">
              <w:t>0.37</w:t>
            </w:r>
          </w:p>
        </w:tc>
        <w:tc>
          <w:tcPr>
            <w:tcW w:w="627" w:type="pct"/>
          </w:tcPr>
          <w:p w14:paraId="66D069CE" w14:textId="77777777" w:rsidR="008952DB" w:rsidRPr="00576D15" w:rsidRDefault="008952DB" w:rsidP="002D76C5">
            <w:r w:rsidRPr="00576D15">
              <w:t>0.05</w:t>
            </w:r>
          </w:p>
        </w:tc>
        <w:tc>
          <w:tcPr>
            <w:tcW w:w="908" w:type="pct"/>
          </w:tcPr>
          <w:p w14:paraId="6477E5FD" w14:textId="77777777" w:rsidR="008952DB" w:rsidRPr="00576D15" w:rsidRDefault="008952DB" w:rsidP="002D76C5">
            <w:r w:rsidRPr="00576D15">
              <w:t>4-2021</w:t>
            </w:r>
          </w:p>
        </w:tc>
      </w:tr>
      <w:tr w:rsidR="00576D15" w:rsidRPr="00576D15" w14:paraId="2234057A" w14:textId="77777777" w:rsidTr="002D76C5">
        <w:trPr>
          <w:trHeight w:val="321"/>
        </w:trPr>
        <w:tc>
          <w:tcPr>
            <w:tcW w:w="630" w:type="pct"/>
          </w:tcPr>
          <w:p w14:paraId="4C353C92" w14:textId="77777777" w:rsidR="008952DB" w:rsidRPr="00576D15" w:rsidRDefault="008952DB" w:rsidP="002D76C5">
            <w:r w:rsidRPr="00576D15">
              <w:t xml:space="preserve">4. </w:t>
            </w:r>
          </w:p>
        </w:tc>
        <w:tc>
          <w:tcPr>
            <w:tcW w:w="522" w:type="pct"/>
          </w:tcPr>
          <w:p w14:paraId="31617E7D" w14:textId="77777777" w:rsidR="008952DB" w:rsidRPr="00576D15" w:rsidRDefault="008952DB" w:rsidP="002D76C5">
            <w:r w:rsidRPr="00576D15">
              <w:t>F74</w:t>
            </w:r>
          </w:p>
        </w:tc>
        <w:tc>
          <w:tcPr>
            <w:tcW w:w="620" w:type="pct"/>
            <w:gridSpan w:val="2"/>
          </w:tcPr>
          <w:p w14:paraId="043E45E6" w14:textId="77777777" w:rsidR="008952DB" w:rsidRPr="00576D15" w:rsidRDefault="008952DB" w:rsidP="002D76C5">
            <w:r w:rsidRPr="00576D15">
              <w:t>5649</w:t>
            </w:r>
          </w:p>
        </w:tc>
        <w:tc>
          <w:tcPr>
            <w:tcW w:w="579" w:type="pct"/>
          </w:tcPr>
          <w:p w14:paraId="640C3CC7" w14:textId="77777777" w:rsidR="008952DB" w:rsidRPr="00576D15" w:rsidRDefault="008952DB" w:rsidP="002D76C5">
            <w:r w:rsidRPr="00576D15">
              <w:t>0.97</w:t>
            </w:r>
          </w:p>
        </w:tc>
        <w:tc>
          <w:tcPr>
            <w:tcW w:w="565" w:type="pct"/>
          </w:tcPr>
          <w:p w14:paraId="44848F49" w14:textId="77777777" w:rsidR="008952DB" w:rsidRPr="00576D15" w:rsidRDefault="008952DB" w:rsidP="002D76C5">
            <w:r w:rsidRPr="00576D15">
              <w:t>&lt;0.35</w:t>
            </w:r>
          </w:p>
        </w:tc>
        <w:tc>
          <w:tcPr>
            <w:tcW w:w="549" w:type="pct"/>
          </w:tcPr>
          <w:p w14:paraId="2C79BA10" w14:textId="77777777" w:rsidR="008952DB" w:rsidRPr="00576D15" w:rsidRDefault="008952DB" w:rsidP="002D76C5">
            <w:r w:rsidRPr="00576D15">
              <w:t>n.d.</w:t>
            </w:r>
          </w:p>
        </w:tc>
        <w:tc>
          <w:tcPr>
            <w:tcW w:w="627" w:type="pct"/>
          </w:tcPr>
          <w:p w14:paraId="54E3C9C8" w14:textId="77777777" w:rsidR="008952DB" w:rsidRPr="00576D15" w:rsidRDefault="008952DB" w:rsidP="002D76C5">
            <w:r w:rsidRPr="00576D15">
              <w:t>n.d.</w:t>
            </w:r>
          </w:p>
        </w:tc>
        <w:tc>
          <w:tcPr>
            <w:tcW w:w="908" w:type="pct"/>
          </w:tcPr>
          <w:p w14:paraId="41C0F2EB" w14:textId="77777777" w:rsidR="008952DB" w:rsidRPr="00576D15" w:rsidRDefault="008952DB" w:rsidP="002D76C5">
            <w:r w:rsidRPr="00576D15">
              <w:t>1-2014</w:t>
            </w:r>
          </w:p>
        </w:tc>
      </w:tr>
      <w:tr w:rsidR="00576D15" w:rsidRPr="00576D15" w14:paraId="291A7B2D" w14:textId="77777777" w:rsidTr="002D76C5">
        <w:trPr>
          <w:trHeight w:val="321"/>
        </w:trPr>
        <w:tc>
          <w:tcPr>
            <w:tcW w:w="630" w:type="pct"/>
          </w:tcPr>
          <w:p w14:paraId="40C2E692" w14:textId="77777777" w:rsidR="008952DB" w:rsidRPr="00576D15" w:rsidRDefault="008952DB" w:rsidP="002D76C5">
            <w:r w:rsidRPr="00576D15">
              <w:t xml:space="preserve">5. </w:t>
            </w:r>
          </w:p>
        </w:tc>
        <w:tc>
          <w:tcPr>
            <w:tcW w:w="522" w:type="pct"/>
          </w:tcPr>
          <w:p w14:paraId="1014534C" w14:textId="77777777" w:rsidR="008952DB" w:rsidRPr="00576D15" w:rsidRDefault="008952DB" w:rsidP="002D76C5">
            <w:r w:rsidRPr="00576D15">
              <w:t>F42</w:t>
            </w:r>
          </w:p>
        </w:tc>
        <w:tc>
          <w:tcPr>
            <w:tcW w:w="620" w:type="pct"/>
            <w:gridSpan w:val="2"/>
          </w:tcPr>
          <w:p w14:paraId="76CC3F6E" w14:textId="77777777" w:rsidR="008952DB" w:rsidRPr="00576D15" w:rsidRDefault="008952DB" w:rsidP="002D76C5">
            <w:r w:rsidRPr="00576D15">
              <w:t>517</w:t>
            </w:r>
          </w:p>
        </w:tc>
        <w:tc>
          <w:tcPr>
            <w:tcW w:w="579" w:type="pct"/>
          </w:tcPr>
          <w:p w14:paraId="14AA6157" w14:textId="77777777" w:rsidR="008952DB" w:rsidRPr="00576D15" w:rsidRDefault="008952DB" w:rsidP="002D76C5">
            <w:r w:rsidRPr="00576D15">
              <w:t>2.97</w:t>
            </w:r>
          </w:p>
        </w:tc>
        <w:tc>
          <w:tcPr>
            <w:tcW w:w="565" w:type="pct"/>
          </w:tcPr>
          <w:p w14:paraId="6764FC2D" w14:textId="77777777" w:rsidR="008952DB" w:rsidRPr="00576D15" w:rsidRDefault="008952DB" w:rsidP="002D76C5">
            <w:r w:rsidRPr="00576D15">
              <w:t>n.d.</w:t>
            </w:r>
          </w:p>
        </w:tc>
        <w:tc>
          <w:tcPr>
            <w:tcW w:w="549" w:type="pct"/>
          </w:tcPr>
          <w:p w14:paraId="282B45AE" w14:textId="77777777" w:rsidR="008952DB" w:rsidRPr="00576D15" w:rsidRDefault="008952DB" w:rsidP="002D76C5">
            <w:r w:rsidRPr="00576D15">
              <w:t>n.d.</w:t>
            </w:r>
          </w:p>
        </w:tc>
        <w:tc>
          <w:tcPr>
            <w:tcW w:w="627" w:type="pct"/>
          </w:tcPr>
          <w:p w14:paraId="1F1CFD4E" w14:textId="77777777" w:rsidR="008952DB" w:rsidRPr="00576D15" w:rsidRDefault="008952DB" w:rsidP="002D76C5">
            <w:r w:rsidRPr="00576D15">
              <w:t>n.d.</w:t>
            </w:r>
          </w:p>
        </w:tc>
        <w:tc>
          <w:tcPr>
            <w:tcW w:w="908" w:type="pct"/>
          </w:tcPr>
          <w:p w14:paraId="362E4BB0" w14:textId="77777777" w:rsidR="008952DB" w:rsidRPr="00576D15" w:rsidRDefault="008952DB" w:rsidP="002D76C5">
            <w:r w:rsidRPr="00576D15">
              <w:t>7-2014</w:t>
            </w:r>
          </w:p>
        </w:tc>
      </w:tr>
      <w:tr w:rsidR="00576D15" w:rsidRPr="00576D15" w14:paraId="39C97202" w14:textId="77777777" w:rsidTr="002D76C5">
        <w:trPr>
          <w:trHeight w:val="321"/>
        </w:trPr>
        <w:tc>
          <w:tcPr>
            <w:tcW w:w="630" w:type="pct"/>
          </w:tcPr>
          <w:p w14:paraId="77F437D3" w14:textId="77777777" w:rsidR="008952DB" w:rsidRPr="00576D15" w:rsidRDefault="008952DB" w:rsidP="002D76C5">
            <w:r w:rsidRPr="00576D15">
              <w:t xml:space="preserve">6. </w:t>
            </w:r>
          </w:p>
        </w:tc>
        <w:tc>
          <w:tcPr>
            <w:tcW w:w="522" w:type="pct"/>
          </w:tcPr>
          <w:p w14:paraId="6F0E889E" w14:textId="77777777" w:rsidR="008952DB" w:rsidRPr="00576D15" w:rsidRDefault="008952DB" w:rsidP="002D76C5">
            <w:r w:rsidRPr="00576D15">
              <w:t>F56</w:t>
            </w:r>
          </w:p>
        </w:tc>
        <w:tc>
          <w:tcPr>
            <w:tcW w:w="620" w:type="pct"/>
            <w:gridSpan w:val="2"/>
          </w:tcPr>
          <w:p w14:paraId="1B9C160E" w14:textId="77777777" w:rsidR="008952DB" w:rsidRPr="00576D15" w:rsidRDefault="008952DB" w:rsidP="002D76C5">
            <w:r w:rsidRPr="00576D15">
              <w:t>n.d.</w:t>
            </w:r>
          </w:p>
        </w:tc>
        <w:tc>
          <w:tcPr>
            <w:tcW w:w="579" w:type="pct"/>
          </w:tcPr>
          <w:p w14:paraId="4E06C5EA" w14:textId="77777777" w:rsidR="008952DB" w:rsidRPr="00576D15" w:rsidRDefault="008952DB" w:rsidP="002D76C5">
            <w:r w:rsidRPr="00576D15">
              <w:t>0.61</w:t>
            </w:r>
          </w:p>
        </w:tc>
        <w:tc>
          <w:tcPr>
            <w:tcW w:w="565" w:type="pct"/>
          </w:tcPr>
          <w:p w14:paraId="74E39000" w14:textId="77777777" w:rsidR="008952DB" w:rsidRPr="00576D15" w:rsidRDefault="008952DB" w:rsidP="002D76C5">
            <w:r w:rsidRPr="00576D15">
              <w:t>&lt;0.35</w:t>
            </w:r>
          </w:p>
        </w:tc>
        <w:tc>
          <w:tcPr>
            <w:tcW w:w="549" w:type="pct"/>
          </w:tcPr>
          <w:p w14:paraId="591842B7" w14:textId="77777777" w:rsidR="008952DB" w:rsidRPr="00576D15" w:rsidRDefault="008952DB" w:rsidP="002D76C5">
            <w:r w:rsidRPr="00576D15">
              <w:t>n.d.</w:t>
            </w:r>
          </w:p>
        </w:tc>
        <w:tc>
          <w:tcPr>
            <w:tcW w:w="627" w:type="pct"/>
          </w:tcPr>
          <w:p w14:paraId="12C443EB" w14:textId="77777777" w:rsidR="008952DB" w:rsidRPr="00576D15" w:rsidRDefault="008952DB" w:rsidP="002D76C5">
            <w:r w:rsidRPr="00576D15">
              <w:t>0.16</w:t>
            </w:r>
          </w:p>
        </w:tc>
        <w:tc>
          <w:tcPr>
            <w:tcW w:w="908" w:type="pct"/>
          </w:tcPr>
          <w:p w14:paraId="0E6E5542" w14:textId="77777777" w:rsidR="008952DB" w:rsidRPr="00576D15" w:rsidRDefault="008952DB" w:rsidP="002D76C5">
            <w:r w:rsidRPr="00576D15">
              <w:t>8-2020</w:t>
            </w:r>
          </w:p>
        </w:tc>
      </w:tr>
      <w:tr w:rsidR="00576D15" w:rsidRPr="00576D15" w14:paraId="58F240B5" w14:textId="77777777" w:rsidTr="002D76C5">
        <w:trPr>
          <w:trHeight w:val="304"/>
        </w:trPr>
        <w:tc>
          <w:tcPr>
            <w:tcW w:w="630" w:type="pct"/>
          </w:tcPr>
          <w:p w14:paraId="002796F0" w14:textId="77777777" w:rsidR="008952DB" w:rsidRPr="00576D15" w:rsidRDefault="008952DB" w:rsidP="002D76C5">
            <w:r w:rsidRPr="00576D15">
              <w:t xml:space="preserve">7. </w:t>
            </w:r>
          </w:p>
        </w:tc>
        <w:tc>
          <w:tcPr>
            <w:tcW w:w="522" w:type="pct"/>
          </w:tcPr>
          <w:p w14:paraId="09D6315C" w14:textId="77777777" w:rsidR="008952DB" w:rsidRPr="00576D15" w:rsidRDefault="008952DB" w:rsidP="002D76C5">
            <w:r w:rsidRPr="00576D15">
              <w:t>F27</w:t>
            </w:r>
          </w:p>
        </w:tc>
        <w:tc>
          <w:tcPr>
            <w:tcW w:w="620" w:type="pct"/>
            <w:gridSpan w:val="2"/>
          </w:tcPr>
          <w:p w14:paraId="7930446D" w14:textId="77777777" w:rsidR="008952DB" w:rsidRPr="00576D15" w:rsidRDefault="008952DB" w:rsidP="002D76C5">
            <w:r w:rsidRPr="00576D15">
              <w:t>91</w:t>
            </w:r>
          </w:p>
        </w:tc>
        <w:tc>
          <w:tcPr>
            <w:tcW w:w="579" w:type="pct"/>
          </w:tcPr>
          <w:p w14:paraId="4BBE060B" w14:textId="77777777" w:rsidR="008952DB" w:rsidRPr="00576D15" w:rsidRDefault="008952DB" w:rsidP="002D76C5">
            <w:r w:rsidRPr="00576D15">
              <w:t>1.41</w:t>
            </w:r>
          </w:p>
        </w:tc>
        <w:tc>
          <w:tcPr>
            <w:tcW w:w="565" w:type="pct"/>
          </w:tcPr>
          <w:p w14:paraId="53FAB9AC" w14:textId="77777777" w:rsidR="008952DB" w:rsidRPr="00576D15" w:rsidRDefault="008952DB" w:rsidP="002D76C5">
            <w:r w:rsidRPr="00576D15">
              <w:t>n.d.</w:t>
            </w:r>
          </w:p>
        </w:tc>
        <w:tc>
          <w:tcPr>
            <w:tcW w:w="549" w:type="pct"/>
          </w:tcPr>
          <w:p w14:paraId="54B1E7FB" w14:textId="77777777" w:rsidR="008952DB" w:rsidRPr="00576D15" w:rsidRDefault="008952DB" w:rsidP="002D76C5">
            <w:r w:rsidRPr="00576D15">
              <w:t>&lt;0.35</w:t>
            </w:r>
          </w:p>
        </w:tc>
        <w:tc>
          <w:tcPr>
            <w:tcW w:w="627" w:type="pct"/>
          </w:tcPr>
          <w:p w14:paraId="481D629F" w14:textId="77777777" w:rsidR="008952DB" w:rsidRPr="00576D15" w:rsidRDefault="008952DB" w:rsidP="002D76C5">
            <w:r w:rsidRPr="00576D15">
              <w:t>2.56</w:t>
            </w:r>
          </w:p>
        </w:tc>
        <w:tc>
          <w:tcPr>
            <w:tcW w:w="908" w:type="pct"/>
          </w:tcPr>
          <w:p w14:paraId="2A5D50D2" w14:textId="77777777" w:rsidR="008952DB" w:rsidRPr="00576D15" w:rsidRDefault="008952DB" w:rsidP="002D76C5">
            <w:r w:rsidRPr="00576D15">
              <w:t>9-2019</w:t>
            </w:r>
          </w:p>
        </w:tc>
      </w:tr>
      <w:tr w:rsidR="00576D15" w:rsidRPr="00576D15" w14:paraId="36F89AC2" w14:textId="77777777" w:rsidTr="002D76C5">
        <w:trPr>
          <w:trHeight w:val="321"/>
        </w:trPr>
        <w:tc>
          <w:tcPr>
            <w:tcW w:w="630" w:type="pct"/>
          </w:tcPr>
          <w:p w14:paraId="60A95756" w14:textId="77777777" w:rsidR="008952DB" w:rsidRPr="00576D15" w:rsidRDefault="008952DB" w:rsidP="002D76C5">
            <w:r w:rsidRPr="00576D15">
              <w:t xml:space="preserve">8. </w:t>
            </w:r>
          </w:p>
        </w:tc>
        <w:tc>
          <w:tcPr>
            <w:tcW w:w="522" w:type="pct"/>
          </w:tcPr>
          <w:p w14:paraId="5B887A8C" w14:textId="77777777" w:rsidR="008952DB" w:rsidRPr="00576D15" w:rsidRDefault="008952DB" w:rsidP="002D76C5">
            <w:r w:rsidRPr="00576D15">
              <w:t>M70</w:t>
            </w:r>
          </w:p>
        </w:tc>
        <w:tc>
          <w:tcPr>
            <w:tcW w:w="620" w:type="pct"/>
            <w:gridSpan w:val="2"/>
          </w:tcPr>
          <w:p w14:paraId="1DD233D0" w14:textId="77777777" w:rsidR="008952DB" w:rsidRPr="00576D15" w:rsidRDefault="008952DB" w:rsidP="002D76C5">
            <w:r w:rsidRPr="00576D15">
              <w:t>n.d.</w:t>
            </w:r>
          </w:p>
        </w:tc>
        <w:tc>
          <w:tcPr>
            <w:tcW w:w="579" w:type="pct"/>
          </w:tcPr>
          <w:p w14:paraId="241A7C12" w14:textId="77777777" w:rsidR="008952DB" w:rsidRPr="00576D15" w:rsidRDefault="008952DB" w:rsidP="002D76C5">
            <w:r w:rsidRPr="00576D15">
              <w:t>0.61</w:t>
            </w:r>
          </w:p>
        </w:tc>
        <w:tc>
          <w:tcPr>
            <w:tcW w:w="565" w:type="pct"/>
          </w:tcPr>
          <w:p w14:paraId="27167949" w14:textId="77777777" w:rsidR="008952DB" w:rsidRPr="00576D15" w:rsidRDefault="008952DB" w:rsidP="002D76C5">
            <w:r w:rsidRPr="00576D15">
              <w:t>&lt;0.35</w:t>
            </w:r>
          </w:p>
        </w:tc>
        <w:tc>
          <w:tcPr>
            <w:tcW w:w="549" w:type="pct"/>
          </w:tcPr>
          <w:p w14:paraId="2437A895" w14:textId="77777777" w:rsidR="008952DB" w:rsidRPr="00576D15" w:rsidRDefault="008952DB" w:rsidP="002D76C5">
            <w:r w:rsidRPr="00576D15">
              <w:t>&lt;0.35</w:t>
            </w:r>
          </w:p>
        </w:tc>
        <w:tc>
          <w:tcPr>
            <w:tcW w:w="627" w:type="pct"/>
          </w:tcPr>
          <w:p w14:paraId="064B256A" w14:textId="77777777" w:rsidR="008952DB" w:rsidRPr="00576D15" w:rsidRDefault="008952DB" w:rsidP="002D76C5">
            <w:r w:rsidRPr="00576D15">
              <w:t>n.d.</w:t>
            </w:r>
          </w:p>
        </w:tc>
        <w:tc>
          <w:tcPr>
            <w:tcW w:w="908" w:type="pct"/>
          </w:tcPr>
          <w:p w14:paraId="0BE6F95A" w14:textId="77777777" w:rsidR="008952DB" w:rsidRPr="00576D15" w:rsidRDefault="008952DB" w:rsidP="002D76C5">
            <w:r w:rsidRPr="00576D15">
              <w:t>2-2020</w:t>
            </w:r>
          </w:p>
        </w:tc>
      </w:tr>
      <w:tr w:rsidR="00576D15" w:rsidRPr="00576D15" w14:paraId="6B4E9562" w14:textId="77777777" w:rsidTr="002D76C5">
        <w:trPr>
          <w:trHeight w:val="321"/>
        </w:trPr>
        <w:tc>
          <w:tcPr>
            <w:tcW w:w="630" w:type="pct"/>
          </w:tcPr>
          <w:p w14:paraId="7A55CCA1" w14:textId="77777777" w:rsidR="008952DB" w:rsidRPr="00576D15" w:rsidRDefault="008952DB" w:rsidP="002D76C5">
            <w:r w:rsidRPr="00576D15">
              <w:t xml:space="preserve">9. </w:t>
            </w:r>
          </w:p>
        </w:tc>
        <w:tc>
          <w:tcPr>
            <w:tcW w:w="522" w:type="pct"/>
          </w:tcPr>
          <w:p w14:paraId="4898399E" w14:textId="77777777" w:rsidR="008952DB" w:rsidRPr="00576D15" w:rsidRDefault="008952DB" w:rsidP="002D76C5">
            <w:r w:rsidRPr="00576D15">
              <w:t>F48</w:t>
            </w:r>
          </w:p>
        </w:tc>
        <w:tc>
          <w:tcPr>
            <w:tcW w:w="620" w:type="pct"/>
            <w:gridSpan w:val="2"/>
          </w:tcPr>
          <w:p w14:paraId="12E7496E" w14:textId="77777777" w:rsidR="008952DB" w:rsidRPr="00576D15" w:rsidRDefault="008952DB" w:rsidP="002D76C5">
            <w:r w:rsidRPr="00576D15">
              <w:t>195</w:t>
            </w:r>
          </w:p>
        </w:tc>
        <w:tc>
          <w:tcPr>
            <w:tcW w:w="579" w:type="pct"/>
          </w:tcPr>
          <w:p w14:paraId="4DF8AB12" w14:textId="77777777" w:rsidR="008952DB" w:rsidRPr="00576D15" w:rsidRDefault="008952DB" w:rsidP="002D76C5">
            <w:r w:rsidRPr="00576D15">
              <w:t>&lt;0.35</w:t>
            </w:r>
          </w:p>
        </w:tc>
        <w:tc>
          <w:tcPr>
            <w:tcW w:w="565" w:type="pct"/>
          </w:tcPr>
          <w:p w14:paraId="57C7AE86" w14:textId="77777777" w:rsidR="008952DB" w:rsidRPr="00576D15" w:rsidRDefault="008952DB" w:rsidP="002D76C5">
            <w:r w:rsidRPr="00576D15">
              <w:t>&lt;0.35</w:t>
            </w:r>
          </w:p>
        </w:tc>
        <w:tc>
          <w:tcPr>
            <w:tcW w:w="549" w:type="pct"/>
          </w:tcPr>
          <w:p w14:paraId="227F347B" w14:textId="77777777" w:rsidR="008952DB" w:rsidRPr="00576D15" w:rsidRDefault="008952DB" w:rsidP="002D76C5">
            <w:r w:rsidRPr="00576D15">
              <w:t>11.2</w:t>
            </w:r>
          </w:p>
        </w:tc>
        <w:tc>
          <w:tcPr>
            <w:tcW w:w="627" w:type="pct"/>
          </w:tcPr>
          <w:p w14:paraId="050D1872" w14:textId="77777777" w:rsidR="008952DB" w:rsidRPr="00576D15" w:rsidRDefault="008952DB" w:rsidP="002D76C5">
            <w:r w:rsidRPr="00576D15">
              <w:t>n.d.</w:t>
            </w:r>
          </w:p>
        </w:tc>
        <w:tc>
          <w:tcPr>
            <w:tcW w:w="908" w:type="pct"/>
          </w:tcPr>
          <w:p w14:paraId="626F8502" w14:textId="77777777" w:rsidR="008952DB" w:rsidRPr="00576D15" w:rsidRDefault="008952DB" w:rsidP="002D76C5">
            <w:r w:rsidRPr="00576D15">
              <w:t>2-2019</w:t>
            </w:r>
          </w:p>
        </w:tc>
      </w:tr>
      <w:tr w:rsidR="00576D15" w:rsidRPr="00576D15" w14:paraId="6A0A844C" w14:textId="77777777" w:rsidTr="002D76C5">
        <w:trPr>
          <w:trHeight w:val="321"/>
        </w:trPr>
        <w:tc>
          <w:tcPr>
            <w:tcW w:w="630" w:type="pct"/>
          </w:tcPr>
          <w:p w14:paraId="40C5D3E0" w14:textId="77777777" w:rsidR="008952DB" w:rsidRPr="00576D15" w:rsidRDefault="008952DB" w:rsidP="002D76C5">
            <w:pPr>
              <w:rPr>
                <w:lang w:val="en-US"/>
              </w:rPr>
            </w:pPr>
            <w:r w:rsidRPr="00576D15">
              <w:rPr>
                <w:lang w:val="en-US"/>
              </w:rPr>
              <w:t xml:space="preserve">10. </w:t>
            </w:r>
          </w:p>
        </w:tc>
        <w:tc>
          <w:tcPr>
            <w:tcW w:w="522" w:type="pct"/>
          </w:tcPr>
          <w:p w14:paraId="005E1B36" w14:textId="77777777" w:rsidR="008952DB" w:rsidRPr="00576D15" w:rsidRDefault="008952DB" w:rsidP="002D76C5">
            <w:pPr>
              <w:rPr>
                <w:lang w:val="en-US"/>
              </w:rPr>
            </w:pPr>
            <w:r w:rsidRPr="00576D15">
              <w:rPr>
                <w:lang w:val="en-US"/>
              </w:rPr>
              <w:t>F53</w:t>
            </w:r>
          </w:p>
        </w:tc>
        <w:tc>
          <w:tcPr>
            <w:tcW w:w="620" w:type="pct"/>
            <w:gridSpan w:val="2"/>
          </w:tcPr>
          <w:p w14:paraId="35468A22" w14:textId="77777777" w:rsidR="008952DB" w:rsidRPr="00576D15" w:rsidRDefault="008952DB" w:rsidP="002D76C5">
            <w:pPr>
              <w:rPr>
                <w:lang w:val="en-US"/>
              </w:rPr>
            </w:pPr>
            <w:r w:rsidRPr="00576D15">
              <w:rPr>
                <w:lang w:val="en-US"/>
              </w:rPr>
              <w:t>2470</w:t>
            </w:r>
          </w:p>
        </w:tc>
        <w:tc>
          <w:tcPr>
            <w:tcW w:w="579" w:type="pct"/>
          </w:tcPr>
          <w:p w14:paraId="6E2E17F0" w14:textId="77777777" w:rsidR="008952DB" w:rsidRPr="00576D15" w:rsidRDefault="008952DB" w:rsidP="002D76C5">
            <w:pPr>
              <w:rPr>
                <w:lang w:val="en-US"/>
              </w:rPr>
            </w:pPr>
            <w:r w:rsidRPr="00576D15">
              <w:rPr>
                <w:lang w:val="en-US"/>
              </w:rPr>
              <w:t>n.d.</w:t>
            </w:r>
          </w:p>
        </w:tc>
        <w:tc>
          <w:tcPr>
            <w:tcW w:w="565" w:type="pct"/>
          </w:tcPr>
          <w:p w14:paraId="79593564" w14:textId="77777777" w:rsidR="008952DB" w:rsidRPr="00576D15" w:rsidRDefault="008952DB" w:rsidP="002D76C5">
            <w:pPr>
              <w:rPr>
                <w:lang w:val="en-US"/>
              </w:rPr>
            </w:pPr>
            <w:r w:rsidRPr="00576D15">
              <w:rPr>
                <w:lang w:val="en-US"/>
              </w:rPr>
              <w:t>n.d.</w:t>
            </w:r>
          </w:p>
        </w:tc>
        <w:tc>
          <w:tcPr>
            <w:tcW w:w="549" w:type="pct"/>
          </w:tcPr>
          <w:p w14:paraId="6E622A0C" w14:textId="77777777" w:rsidR="008952DB" w:rsidRPr="00576D15" w:rsidRDefault="008952DB" w:rsidP="002D76C5">
            <w:pPr>
              <w:rPr>
                <w:lang w:val="en-US"/>
              </w:rPr>
            </w:pPr>
            <w:r w:rsidRPr="00576D15">
              <w:rPr>
                <w:lang w:val="en-US"/>
              </w:rPr>
              <w:t>0.36</w:t>
            </w:r>
          </w:p>
        </w:tc>
        <w:tc>
          <w:tcPr>
            <w:tcW w:w="627" w:type="pct"/>
          </w:tcPr>
          <w:p w14:paraId="46F3FDC7" w14:textId="77777777" w:rsidR="008952DB" w:rsidRPr="00576D15" w:rsidRDefault="008952DB" w:rsidP="002D76C5">
            <w:pPr>
              <w:rPr>
                <w:lang w:val="en-US"/>
              </w:rPr>
            </w:pPr>
            <w:r w:rsidRPr="00576D15">
              <w:rPr>
                <w:lang w:val="en-US"/>
              </w:rPr>
              <w:t>n.d.</w:t>
            </w:r>
          </w:p>
        </w:tc>
        <w:tc>
          <w:tcPr>
            <w:tcW w:w="908" w:type="pct"/>
          </w:tcPr>
          <w:p w14:paraId="195B9908" w14:textId="77777777" w:rsidR="008952DB" w:rsidRPr="00576D15" w:rsidRDefault="008952DB" w:rsidP="002D76C5">
            <w:pPr>
              <w:rPr>
                <w:lang w:val="en-US"/>
              </w:rPr>
            </w:pPr>
            <w:r w:rsidRPr="00576D15">
              <w:rPr>
                <w:lang w:val="en-US"/>
              </w:rPr>
              <w:t>11-2018</w:t>
            </w:r>
          </w:p>
        </w:tc>
      </w:tr>
      <w:tr w:rsidR="00576D15" w:rsidRPr="00576D15" w14:paraId="0FA55ECA" w14:textId="77777777" w:rsidTr="002D76C5">
        <w:trPr>
          <w:trHeight w:val="321"/>
        </w:trPr>
        <w:tc>
          <w:tcPr>
            <w:tcW w:w="630" w:type="pct"/>
          </w:tcPr>
          <w:p w14:paraId="308240E3" w14:textId="77777777" w:rsidR="008952DB" w:rsidRPr="00576D15" w:rsidRDefault="008952DB" w:rsidP="002D76C5">
            <w:pPr>
              <w:rPr>
                <w:lang w:val="en-US"/>
              </w:rPr>
            </w:pPr>
            <w:r w:rsidRPr="00576D15">
              <w:rPr>
                <w:lang w:val="en-US"/>
              </w:rPr>
              <w:t xml:space="preserve">11. </w:t>
            </w:r>
          </w:p>
        </w:tc>
        <w:tc>
          <w:tcPr>
            <w:tcW w:w="522" w:type="pct"/>
          </w:tcPr>
          <w:p w14:paraId="0FFFFFD0" w14:textId="77777777" w:rsidR="008952DB" w:rsidRPr="00576D15" w:rsidRDefault="008952DB" w:rsidP="002D76C5">
            <w:pPr>
              <w:rPr>
                <w:lang w:val="en-US"/>
              </w:rPr>
            </w:pPr>
            <w:r w:rsidRPr="00576D15">
              <w:rPr>
                <w:lang w:val="en-US"/>
              </w:rPr>
              <w:t>F31</w:t>
            </w:r>
          </w:p>
        </w:tc>
        <w:tc>
          <w:tcPr>
            <w:tcW w:w="620" w:type="pct"/>
            <w:gridSpan w:val="2"/>
          </w:tcPr>
          <w:p w14:paraId="6B057CA4" w14:textId="77777777" w:rsidR="008952DB" w:rsidRPr="00576D15" w:rsidRDefault="008952DB" w:rsidP="002D76C5">
            <w:pPr>
              <w:rPr>
                <w:lang w:val="en-US"/>
              </w:rPr>
            </w:pPr>
            <w:r w:rsidRPr="00576D15">
              <w:rPr>
                <w:lang w:val="en-US"/>
              </w:rPr>
              <w:t>475</w:t>
            </w:r>
          </w:p>
        </w:tc>
        <w:tc>
          <w:tcPr>
            <w:tcW w:w="579" w:type="pct"/>
          </w:tcPr>
          <w:p w14:paraId="4C8B949E" w14:textId="77777777" w:rsidR="008952DB" w:rsidRPr="00576D15" w:rsidRDefault="008952DB" w:rsidP="002D76C5">
            <w:pPr>
              <w:rPr>
                <w:lang w:val="en-US"/>
              </w:rPr>
            </w:pPr>
            <w:r w:rsidRPr="00576D15">
              <w:rPr>
                <w:lang w:val="en-US"/>
              </w:rPr>
              <w:t>&lt;0.35</w:t>
            </w:r>
          </w:p>
        </w:tc>
        <w:tc>
          <w:tcPr>
            <w:tcW w:w="565" w:type="pct"/>
          </w:tcPr>
          <w:p w14:paraId="21D140C0" w14:textId="77777777" w:rsidR="008952DB" w:rsidRPr="00576D15" w:rsidRDefault="008952DB" w:rsidP="002D76C5">
            <w:pPr>
              <w:rPr>
                <w:lang w:val="en-US"/>
              </w:rPr>
            </w:pPr>
            <w:r w:rsidRPr="00576D15">
              <w:rPr>
                <w:lang w:val="en-US"/>
              </w:rPr>
              <w:t>&lt;0.35</w:t>
            </w:r>
          </w:p>
        </w:tc>
        <w:tc>
          <w:tcPr>
            <w:tcW w:w="549" w:type="pct"/>
          </w:tcPr>
          <w:p w14:paraId="73ADC6EF" w14:textId="77777777" w:rsidR="008952DB" w:rsidRPr="00576D15" w:rsidRDefault="008952DB" w:rsidP="002D76C5">
            <w:pPr>
              <w:rPr>
                <w:lang w:val="en-US"/>
              </w:rPr>
            </w:pPr>
            <w:r w:rsidRPr="00576D15">
              <w:rPr>
                <w:lang w:val="en-US"/>
              </w:rPr>
              <w:t>0.38</w:t>
            </w:r>
          </w:p>
        </w:tc>
        <w:tc>
          <w:tcPr>
            <w:tcW w:w="627" w:type="pct"/>
          </w:tcPr>
          <w:p w14:paraId="6CB5C013" w14:textId="77777777" w:rsidR="008952DB" w:rsidRPr="00576D15" w:rsidRDefault="008952DB" w:rsidP="002D76C5">
            <w:pPr>
              <w:rPr>
                <w:lang w:val="en-US"/>
              </w:rPr>
            </w:pPr>
            <w:r w:rsidRPr="00576D15">
              <w:rPr>
                <w:lang w:val="en-US"/>
              </w:rPr>
              <w:t>0.06</w:t>
            </w:r>
          </w:p>
        </w:tc>
        <w:tc>
          <w:tcPr>
            <w:tcW w:w="908" w:type="pct"/>
          </w:tcPr>
          <w:p w14:paraId="13967F7B" w14:textId="77777777" w:rsidR="008952DB" w:rsidRPr="00576D15" w:rsidRDefault="008952DB" w:rsidP="002D76C5">
            <w:pPr>
              <w:rPr>
                <w:lang w:val="en-US"/>
              </w:rPr>
            </w:pPr>
            <w:r w:rsidRPr="00576D15">
              <w:rPr>
                <w:lang w:val="en-US"/>
              </w:rPr>
              <w:t>11-2018</w:t>
            </w:r>
          </w:p>
        </w:tc>
      </w:tr>
      <w:tr w:rsidR="00576D15" w:rsidRPr="00576D15" w14:paraId="5307B34A" w14:textId="77777777" w:rsidTr="002D76C5">
        <w:trPr>
          <w:trHeight w:val="304"/>
        </w:trPr>
        <w:tc>
          <w:tcPr>
            <w:tcW w:w="630" w:type="pct"/>
          </w:tcPr>
          <w:p w14:paraId="56321B56" w14:textId="77777777" w:rsidR="008952DB" w:rsidRPr="00576D15" w:rsidRDefault="008952DB" w:rsidP="002D76C5">
            <w:pPr>
              <w:rPr>
                <w:lang w:val="en-US"/>
              </w:rPr>
            </w:pPr>
            <w:r w:rsidRPr="00576D15">
              <w:rPr>
                <w:lang w:val="en-US"/>
              </w:rPr>
              <w:t xml:space="preserve">12. </w:t>
            </w:r>
          </w:p>
        </w:tc>
        <w:tc>
          <w:tcPr>
            <w:tcW w:w="522" w:type="pct"/>
          </w:tcPr>
          <w:p w14:paraId="5B4F95AC" w14:textId="77777777" w:rsidR="008952DB" w:rsidRPr="00576D15" w:rsidRDefault="008952DB" w:rsidP="002D76C5">
            <w:pPr>
              <w:rPr>
                <w:lang w:val="en-US"/>
              </w:rPr>
            </w:pPr>
            <w:r w:rsidRPr="00576D15">
              <w:rPr>
                <w:lang w:val="en-US"/>
              </w:rPr>
              <w:t>F58</w:t>
            </w:r>
          </w:p>
        </w:tc>
        <w:tc>
          <w:tcPr>
            <w:tcW w:w="620" w:type="pct"/>
            <w:gridSpan w:val="2"/>
          </w:tcPr>
          <w:p w14:paraId="172DC2C0" w14:textId="77777777" w:rsidR="008952DB" w:rsidRPr="00576D15" w:rsidRDefault="008952DB" w:rsidP="002D76C5">
            <w:pPr>
              <w:rPr>
                <w:lang w:val="en-US"/>
              </w:rPr>
            </w:pPr>
            <w:r w:rsidRPr="00576D15">
              <w:rPr>
                <w:lang w:val="en-US"/>
              </w:rPr>
              <w:t>n.d.</w:t>
            </w:r>
          </w:p>
        </w:tc>
        <w:tc>
          <w:tcPr>
            <w:tcW w:w="579" w:type="pct"/>
          </w:tcPr>
          <w:p w14:paraId="5194FC5E" w14:textId="77777777" w:rsidR="008952DB" w:rsidRPr="00576D15" w:rsidRDefault="008952DB" w:rsidP="002D76C5">
            <w:pPr>
              <w:rPr>
                <w:lang w:val="en-US"/>
              </w:rPr>
            </w:pPr>
            <w:r w:rsidRPr="00576D15">
              <w:rPr>
                <w:lang w:val="en-US"/>
              </w:rPr>
              <w:t>&lt;0.35</w:t>
            </w:r>
          </w:p>
        </w:tc>
        <w:tc>
          <w:tcPr>
            <w:tcW w:w="565" w:type="pct"/>
          </w:tcPr>
          <w:p w14:paraId="5BA279F7" w14:textId="77777777" w:rsidR="008952DB" w:rsidRPr="00576D15" w:rsidRDefault="008952DB" w:rsidP="002D76C5">
            <w:pPr>
              <w:rPr>
                <w:lang w:val="en-US"/>
              </w:rPr>
            </w:pPr>
            <w:r w:rsidRPr="00576D15">
              <w:rPr>
                <w:lang w:val="en-US"/>
              </w:rPr>
              <w:t>&lt;0.35</w:t>
            </w:r>
          </w:p>
        </w:tc>
        <w:tc>
          <w:tcPr>
            <w:tcW w:w="549" w:type="pct"/>
          </w:tcPr>
          <w:p w14:paraId="032DCE14" w14:textId="77777777" w:rsidR="008952DB" w:rsidRPr="00576D15" w:rsidRDefault="008952DB" w:rsidP="002D76C5">
            <w:pPr>
              <w:rPr>
                <w:lang w:val="en-US"/>
              </w:rPr>
            </w:pPr>
            <w:r w:rsidRPr="00576D15">
              <w:rPr>
                <w:lang w:val="en-US"/>
              </w:rPr>
              <w:t>0.43</w:t>
            </w:r>
          </w:p>
        </w:tc>
        <w:tc>
          <w:tcPr>
            <w:tcW w:w="627" w:type="pct"/>
          </w:tcPr>
          <w:p w14:paraId="0F478479" w14:textId="77777777" w:rsidR="008952DB" w:rsidRPr="00576D15" w:rsidRDefault="008952DB" w:rsidP="002D76C5">
            <w:pPr>
              <w:rPr>
                <w:lang w:val="en-US"/>
              </w:rPr>
            </w:pPr>
            <w:r w:rsidRPr="00576D15">
              <w:rPr>
                <w:lang w:val="en-US"/>
              </w:rPr>
              <w:t>&lt;0.35</w:t>
            </w:r>
          </w:p>
        </w:tc>
        <w:tc>
          <w:tcPr>
            <w:tcW w:w="908" w:type="pct"/>
          </w:tcPr>
          <w:p w14:paraId="45B1DA12" w14:textId="77777777" w:rsidR="008952DB" w:rsidRPr="00576D15" w:rsidRDefault="008952DB" w:rsidP="002D76C5">
            <w:pPr>
              <w:rPr>
                <w:lang w:val="en-US"/>
              </w:rPr>
            </w:pPr>
            <w:r w:rsidRPr="00576D15">
              <w:rPr>
                <w:lang w:val="en-US"/>
              </w:rPr>
              <w:t>9-2019</w:t>
            </w:r>
          </w:p>
        </w:tc>
      </w:tr>
      <w:tr w:rsidR="00576D15" w:rsidRPr="00576D15" w14:paraId="26C8ABAE" w14:textId="77777777" w:rsidTr="002D76C5">
        <w:trPr>
          <w:trHeight w:val="321"/>
        </w:trPr>
        <w:tc>
          <w:tcPr>
            <w:tcW w:w="630" w:type="pct"/>
          </w:tcPr>
          <w:p w14:paraId="6975F40C" w14:textId="77777777" w:rsidR="008952DB" w:rsidRPr="00576D15" w:rsidRDefault="008952DB" w:rsidP="002D76C5">
            <w:pPr>
              <w:rPr>
                <w:lang w:val="en-US"/>
              </w:rPr>
            </w:pPr>
            <w:r w:rsidRPr="00576D15">
              <w:rPr>
                <w:lang w:val="en-US"/>
              </w:rPr>
              <w:t xml:space="preserve">13. </w:t>
            </w:r>
          </w:p>
        </w:tc>
        <w:tc>
          <w:tcPr>
            <w:tcW w:w="522" w:type="pct"/>
          </w:tcPr>
          <w:p w14:paraId="6D206C37" w14:textId="77777777" w:rsidR="008952DB" w:rsidRPr="00576D15" w:rsidRDefault="008952DB" w:rsidP="002D76C5">
            <w:pPr>
              <w:rPr>
                <w:lang w:val="en-US"/>
              </w:rPr>
            </w:pPr>
            <w:r w:rsidRPr="00576D15">
              <w:rPr>
                <w:lang w:val="en-US"/>
              </w:rPr>
              <w:t>F53</w:t>
            </w:r>
          </w:p>
        </w:tc>
        <w:tc>
          <w:tcPr>
            <w:tcW w:w="620" w:type="pct"/>
            <w:gridSpan w:val="2"/>
          </w:tcPr>
          <w:p w14:paraId="0FE45D7D" w14:textId="77777777" w:rsidR="008952DB" w:rsidRPr="00576D15" w:rsidRDefault="008952DB" w:rsidP="002D76C5">
            <w:pPr>
              <w:rPr>
                <w:lang w:val="en-US"/>
              </w:rPr>
            </w:pPr>
            <w:r w:rsidRPr="00576D15">
              <w:rPr>
                <w:lang w:val="en-US"/>
              </w:rPr>
              <w:t>n.d.</w:t>
            </w:r>
          </w:p>
        </w:tc>
        <w:tc>
          <w:tcPr>
            <w:tcW w:w="579" w:type="pct"/>
          </w:tcPr>
          <w:p w14:paraId="46E34047" w14:textId="77777777" w:rsidR="008952DB" w:rsidRPr="00576D15" w:rsidRDefault="008952DB" w:rsidP="002D76C5">
            <w:pPr>
              <w:rPr>
                <w:lang w:val="en-US"/>
              </w:rPr>
            </w:pPr>
            <w:r w:rsidRPr="00576D15">
              <w:rPr>
                <w:lang w:val="en-US"/>
              </w:rPr>
              <w:t>&lt;0.35</w:t>
            </w:r>
          </w:p>
        </w:tc>
        <w:tc>
          <w:tcPr>
            <w:tcW w:w="565" w:type="pct"/>
          </w:tcPr>
          <w:p w14:paraId="1725C2A8" w14:textId="77777777" w:rsidR="008952DB" w:rsidRPr="00576D15" w:rsidRDefault="008952DB" w:rsidP="002D76C5">
            <w:pPr>
              <w:rPr>
                <w:lang w:val="en-US"/>
              </w:rPr>
            </w:pPr>
            <w:r w:rsidRPr="00576D15">
              <w:rPr>
                <w:lang w:val="en-US"/>
              </w:rPr>
              <w:t>&lt;0.35</w:t>
            </w:r>
          </w:p>
        </w:tc>
        <w:tc>
          <w:tcPr>
            <w:tcW w:w="549" w:type="pct"/>
          </w:tcPr>
          <w:p w14:paraId="1EA958DC" w14:textId="77777777" w:rsidR="008952DB" w:rsidRPr="00576D15" w:rsidRDefault="008952DB" w:rsidP="002D76C5">
            <w:pPr>
              <w:rPr>
                <w:lang w:val="en-US"/>
              </w:rPr>
            </w:pPr>
            <w:r w:rsidRPr="00576D15">
              <w:rPr>
                <w:lang w:val="en-US"/>
              </w:rPr>
              <w:t>&lt;0.35</w:t>
            </w:r>
          </w:p>
        </w:tc>
        <w:tc>
          <w:tcPr>
            <w:tcW w:w="627" w:type="pct"/>
          </w:tcPr>
          <w:p w14:paraId="61C2C1BE" w14:textId="77777777" w:rsidR="008952DB" w:rsidRPr="00576D15" w:rsidRDefault="008952DB" w:rsidP="002D76C5">
            <w:pPr>
              <w:rPr>
                <w:lang w:val="en-US"/>
              </w:rPr>
            </w:pPr>
            <w:r w:rsidRPr="00576D15">
              <w:rPr>
                <w:lang w:val="en-US"/>
              </w:rPr>
              <w:t>0.36</w:t>
            </w:r>
          </w:p>
        </w:tc>
        <w:tc>
          <w:tcPr>
            <w:tcW w:w="908" w:type="pct"/>
          </w:tcPr>
          <w:p w14:paraId="078F7D5A" w14:textId="77777777" w:rsidR="008952DB" w:rsidRPr="00576D15" w:rsidRDefault="008952DB" w:rsidP="002D76C5">
            <w:pPr>
              <w:rPr>
                <w:lang w:val="en-US"/>
              </w:rPr>
            </w:pPr>
            <w:r w:rsidRPr="00576D15">
              <w:rPr>
                <w:lang w:val="en-US"/>
              </w:rPr>
              <w:t>3-2020</w:t>
            </w:r>
          </w:p>
        </w:tc>
      </w:tr>
      <w:tr w:rsidR="00576D15" w:rsidRPr="00576D15" w14:paraId="5C5FCB7E" w14:textId="77777777" w:rsidTr="002D76C5">
        <w:trPr>
          <w:trHeight w:val="321"/>
        </w:trPr>
        <w:tc>
          <w:tcPr>
            <w:tcW w:w="630" w:type="pct"/>
          </w:tcPr>
          <w:p w14:paraId="7B6EFEB6" w14:textId="77777777" w:rsidR="008952DB" w:rsidRPr="00576D15" w:rsidRDefault="008952DB" w:rsidP="002D76C5">
            <w:pPr>
              <w:rPr>
                <w:lang w:val="en-US"/>
              </w:rPr>
            </w:pPr>
          </w:p>
        </w:tc>
        <w:tc>
          <w:tcPr>
            <w:tcW w:w="522" w:type="pct"/>
          </w:tcPr>
          <w:p w14:paraId="6C2E776A" w14:textId="77777777" w:rsidR="008952DB" w:rsidRPr="00576D15" w:rsidRDefault="008952DB" w:rsidP="002D76C5">
            <w:pPr>
              <w:rPr>
                <w:lang w:val="en-US"/>
              </w:rPr>
            </w:pPr>
            <w:r w:rsidRPr="00576D15">
              <w:rPr>
                <w:lang w:val="en-US"/>
              </w:rPr>
              <w:t>F53</w:t>
            </w:r>
          </w:p>
        </w:tc>
        <w:tc>
          <w:tcPr>
            <w:tcW w:w="620" w:type="pct"/>
            <w:gridSpan w:val="2"/>
          </w:tcPr>
          <w:p w14:paraId="4DA7FB8B" w14:textId="77777777" w:rsidR="008952DB" w:rsidRPr="00576D15" w:rsidRDefault="008952DB" w:rsidP="002D76C5">
            <w:pPr>
              <w:rPr>
                <w:lang w:val="en-US"/>
              </w:rPr>
            </w:pPr>
            <w:r w:rsidRPr="00576D15">
              <w:rPr>
                <w:lang w:val="en-US"/>
              </w:rPr>
              <w:t>n.d.</w:t>
            </w:r>
          </w:p>
        </w:tc>
        <w:tc>
          <w:tcPr>
            <w:tcW w:w="579" w:type="pct"/>
          </w:tcPr>
          <w:p w14:paraId="4069DBD6" w14:textId="77777777" w:rsidR="008952DB" w:rsidRPr="00576D15" w:rsidRDefault="008952DB" w:rsidP="002D76C5">
            <w:pPr>
              <w:rPr>
                <w:lang w:val="en-US"/>
              </w:rPr>
            </w:pPr>
            <w:r w:rsidRPr="00576D15">
              <w:rPr>
                <w:lang w:val="en-US"/>
              </w:rPr>
              <w:t>n.d.</w:t>
            </w:r>
          </w:p>
        </w:tc>
        <w:tc>
          <w:tcPr>
            <w:tcW w:w="565" w:type="pct"/>
          </w:tcPr>
          <w:p w14:paraId="38238080" w14:textId="77777777" w:rsidR="008952DB" w:rsidRPr="00576D15" w:rsidRDefault="008952DB" w:rsidP="002D76C5">
            <w:pPr>
              <w:rPr>
                <w:lang w:val="en-US"/>
              </w:rPr>
            </w:pPr>
            <w:r w:rsidRPr="00576D15">
              <w:rPr>
                <w:lang w:val="en-US"/>
              </w:rPr>
              <w:t>n.d.</w:t>
            </w:r>
          </w:p>
        </w:tc>
        <w:tc>
          <w:tcPr>
            <w:tcW w:w="549" w:type="pct"/>
          </w:tcPr>
          <w:p w14:paraId="45058D96" w14:textId="77777777" w:rsidR="008952DB" w:rsidRPr="00576D15" w:rsidRDefault="008952DB" w:rsidP="002D76C5">
            <w:pPr>
              <w:rPr>
                <w:lang w:val="en-US"/>
              </w:rPr>
            </w:pPr>
            <w:r w:rsidRPr="00576D15">
              <w:rPr>
                <w:lang w:val="en-US"/>
              </w:rPr>
              <w:t>n.d.</w:t>
            </w:r>
          </w:p>
        </w:tc>
        <w:tc>
          <w:tcPr>
            <w:tcW w:w="627" w:type="pct"/>
          </w:tcPr>
          <w:p w14:paraId="01157A3B" w14:textId="77777777" w:rsidR="008952DB" w:rsidRPr="00576D15" w:rsidRDefault="008952DB" w:rsidP="002D76C5">
            <w:pPr>
              <w:rPr>
                <w:lang w:val="en-US"/>
              </w:rPr>
            </w:pPr>
            <w:r w:rsidRPr="00576D15">
              <w:rPr>
                <w:lang w:val="en-US"/>
              </w:rPr>
              <w:t>0.08</w:t>
            </w:r>
          </w:p>
        </w:tc>
        <w:tc>
          <w:tcPr>
            <w:tcW w:w="908" w:type="pct"/>
          </w:tcPr>
          <w:p w14:paraId="2FFEC888" w14:textId="77777777" w:rsidR="008952DB" w:rsidRPr="00576D15" w:rsidRDefault="008952DB" w:rsidP="002D76C5">
            <w:pPr>
              <w:rPr>
                <w:lang w:val="en-US"/>
              </w:rPr>
            </w:pPr>
            <w:r w:rsidRPr="00576D15">
              <w:rPr>
                <w:lang w:val="en-US"/>
              </w:rPr>
              <w:t>8-2020</w:t>
            </w:r>
          </w:p>
        </w:tc>
      </w:tr>
      <w:tr w:rsidR="00576D15" w:rsidRPr="00576D15" w14:paraId="0BE2202A" w14:textId="77777777" w:rsidTr="002D76C5">
        <w:trPr>
          <w:trHeight w:val="321"/>
        </w:trPr>
        <w:tc>
          <w:tcPr>
            <w:tcW w:w="630" w:type="pct"/>
          </w:tcPr>
          <w:p w14:paraId="620E8E0E" w14:textId="77777777" w:rsidR="008952DB" w:rsidRPr="00576D15" w:rsidRDefault="008952DB" w:rsidP="002D76C5">
            <w:pPr>
              <w:rPr>
                <w:lang w:val="en-US"/>
              </w:rPr>
            </w:pPr>
            <w:r w:rsidRPr="00576D15">
              <w:rPr>
                <w:lang w:val="en-US"/>
              </w:rPr>
              <w:t xml:space="preserve">14. </w:t>
            </w:r>
          </w:p>
        </w:tc>
        <w:tc>
          <w:tcPr>
            <w:tcW w:w="522" w:type="pct"/>
          </w:tcPr>
          <w:p w14:paraId="636C992F" w14:textId="77777777" w:rsidR="008952DB" w:rsidRPr="00576D15" w:rsidRDefault="008952DB" w:rsidP="002D76C5">
            <w:pPr>
              <w:rPr>
                <w:lang w:val="en-US"/>
              </w:rPr>
            </w:pPr>
            <w:r w:rsidRPr="00576D15">
              <w:rPr>
                <w:lang w:val="en-US"/>
              </w:rPr>
              <w:t>F31</w:t>
            </w:r>
          </w:p>
        </w:tc>
        <w:tc>
          <w:tcPr>
            <w:tcW w:w="620" w:type="pct"/>
            <w:gridSpan w:val="2"/>
          </w:tcPr>
          <w:p w14:paraId="583D81B4" w14:textId="77777777" w:rsidR="008952DB" w:rsidRPr="00576D15" w:rsidRDefault="008952DB" w:rsidP="002D76C5">
            <w:pPr>
              <w:rPr>
                <w:lang w:val="en-US"/>
              </w:rPr>
            </w:pPr>
            <w:r w:rsidRPr="00576D15">
              <w:rPr>
                <w:lang w:val="en-US"/>
              </w:rPr>
              <w:t>n.d.</w:t>
            </w:r>
          </w:p>
        </w:tc>
        <w:tc>
          <w:tcPr>
            <w:tcW w:w="579" w:type="pct"/>
          </w:tcPr>
          <w:p w14:paraId="4AA5CA3B" w14:textId="77777777" w:rsidR="008952DB" w:rsidRPr="00576D15" w:rsidRDefault="008952DB" w:rsidP="002D76C5">
            <w:pPr>
              <w:rPr>
                <w:lang w:val="en-US"/>
              </w:rPr>
            </w:pPr>
            <w:r w:rsidRPr="00576D15">
              <w:rPr>
                <w:lang w:val="en-US"/>
              </w:rPr>
              <w:t>&lt;0.35</w:t>
            </w:r>
          </w:p>
        </w:tc>
        <w:tc>
          <w:tcPr>
            <w:tcW w:w="565" w:type="pct"/>
          </w:tcPr>
          <w:p w14:paraId="554C0C3A" w14:textId="77777777" w:rsidR="008952DB" w:rsidRPr="00576D15" w:rsidRDefault="008952DB" w:rsidP="002D76C5">
            <w:pPr>
              <w:rPr>
                <w:lang w:val="en-US"/>
              </w:rPr>
            </w:pPr>
            <w:r w:rsidRPr="00576D15">
              <w:rPr>
                <w:lang w:val="en-US"/>
              </w:rPr>
              <w:t>&lt;0.35</w:t>
            </w:r>
          </w:p>
        </w:tc>
        <w:tc>
          <w:tcPr>
            <w:tcW w:w="549" w:type="pct"/>
          </w:tcPr>
          <w:p w14:paraId="617E0242" w14:textId="77777777" w:rsidR="008952DB" w:rsidRPr="00576D15" w:rsidRDefault="008952DB" w:rsidP="002D76C5">
            <w:pPr>
              <w:rPr>
                <w:lang w:val="en-US"/>
              </w:rPr>
            </w:pPr>
            <w:r w:rsidRPr="00576D15">
              <w:rPr>
                <w:lang w:val="en-US"/>
              </w:rPr>
              <w:t>n.d.</w:t>
            </w:r>
          </w:p>
        </w:tc>
        <w:tc>
          <w:tcPr>
            <w:tcW w:w="627" w:type="pct"/>
          </w:tcPr>
          <w:p w14:paraId="3A297B1D" w14:textId="77777777" w:rsidR="008952DB" w:rsidRPr="00576D15" w:rsidRDefault="008952DB" w:rsidP="002D76C5">
            <w:pPr>
              <w:rPr>
                <w:lang w:val="en-US"/>
              </w:rPr>
            </w:pPr>
            <w:r w:rsidRPr="00576D15">
              <w:rPr>
                <w:lang w:val="en-US"/>
              </w:rPr>
              <w:t>0.71</w:t>
            </w:r>
          </w:p>
        </w:tc>
        <w:tc>
          <w:tcPr>
            <w:tcW w:w="908" w:type="pct"/>
          </w:tcPr>
          <w:p w14:paraId="6464D8E8" w14:textId="77777777" w:rsidR="008952DB" w:rsidRPr="00576D15" w:rsidRDefault="008952DB" w:rsidP="002D76C5">
            <w:pPr>
              <w:rPr>
                <w:lang w:val="en-US"/>
              </w:rPr>
            </w:pPr>
            <w:r w:rsidRPr="00576D15">
              <w:rPr>
                <w:lang w:val="en-US"/>
              </w:rPr>
              <w:t>11-2017</w:t>
            </w:r>
          </w:p>
        </w:tc>
      </w:tr>
      <w:tr w:rsidR="00576D15" w:rsidRPr="00576D15" w14:paraId="6DA8A1F2" w14:textId="77777777" w:rsidTr="002D76C5">
        <w:trPr>
          <w:trHeight w:val="304"/>
        </w:trPr>
        <w:tc>
          <w:tcPr>
            <w:tcW w:w="630" w:type="pct"/>
          </w:tcPr>
          <w:p w14:paraId="7CF8A39A" w14:textId="77777777" w:rsidR="008952DB" w:rsidRPr="00576D15" w:rsidRDefault="008952DB" w:rsidP="002D76C5">
            <w:pPr>
              <w:rPr>
                <w:lang w:val="en-US"/>
              </w:rPr>
            </w:pPr>
          </w:p>
        </w:tc>
        <w:tc>
          <w:tcPr>
            <w:tcW w:w="522" w:type="pct"/>
          </w:tcPr>
          <w:p w14:paraId="69A93B8F" w14:textId="77777777" w:rsidR="008952DB" w:rsidRPr="00576D15" w:rsidRDefault="008952DB" w:rsidP="002D76C5">
            <w:pPr>
              <w:rPr>
                <w:lang w:val="en-US"/>
              </w:rPr>
            </w:pPr>
            <w:r w:rsidRPr="00576D15">
              <w:rPr>
                <w:lang w:val="en-US"/>
              </w:rPr>
              <w:t>F32</w:t>
            </w:r>
          </w:p>
        </w:tc>
        <w:tc>
          <w:tcPr>
            <w:tcW w:w="620" w:type="pct"/>
            <w:gridSpan w:val="2"/>
          </w:tcPr>
          <w:p w14:paraId="1C5EDD74" w14:textId="77777777" w:rsidR="008952DB" w:rsidRPr="00576D15" w:rsidRDefault="008952DB" w:rsidP="002D76C5">
            <w:pPr>
              <w:rPr>
                <w:lang w:val="en-US"/>
              </w:rPr>
            </w:pPr>
            <w:r w:rsidRPr="00576D15">
              <w:rPr>
                <w:lang w:val="en-US"/>
              </w:rPr>
              <w:t>n.d.</w:t>
            </w:r>
          </w:p>
        </w:tc>
        <w:tc>
          <w:tcPr>
            <w:tcW w:w="579" w:type="pct"/>
          </w:tcPr>
          <w:p w14:paraId="7E627252" w14:textId="77777777" w:rsidR="008952DB" w:rsidRPr="00576D15" w:rsidRDefault="008952DB" w:rsidP="002D76C5">
            <w:pPr>
              <w:rPr>
                <w:lang w:val="en-US"/>
              </w:rPr>
            </w:pPr>
            <w:r w:rsidRPr="00576D15">
              <w:rPr>
                <w:lang w:val="en-US"/>
              </w:rPr>
              <w:t>&lt;0.35</w:t>
            </w:r>
          </w:p>
        </w:tc>
        <w:tc>
          <w:tcPr>
            <w:tcW w:w="565" w:type="pct"/>
          </w:tcPr>
          <w:p w14:paraId="21C8A30F" w14:textId="77777777" w:rsidR="008952DB" w:rsidRPr="00576D15" w:rsidRDefault="008952DB" w:rsidP="002D76C5">
            <w:pPr>
              <w:rPr>
                <w:lang w:val="en-US"/>
              </w:rPr>
            </w:pPr>
            <w:r w:rsidRPr="00576D15">
              <w:rPr>
                <w:lang w:val="en-US"/>
              </w:rPr>
              <w:t>&lt;0.35</w:t>
            </w:r>
          </w:p>
        </w:tc>
        <w:tc>
          <w:tcPr>
            <w:tcW w:w="549" w:type="pct"/>
          </w:tcPr>
          <w:p w14:paraId="29244640" w14:textId="77777777" w:rsidR="008952DB" w:rsidRPr="00576D15" w:rsidRDefault="008952DB" w:rsidP="002D76C5">
            <w:pPr>
              <w:rPr>
                <w:lang w:val="en-US"/>
              </w:rPr>
            </w:pPr>
            <w:r w:rsidRPr="00576D15">
              <w:rPr>
                <w:lang w:val="en-US"/>
              </w:rPr>
              <w:t>n.d.</w:t>
            </w:r>
          </w:p>
        </w:tc>
        <w:tc>
          <w:tcPr>
            <w:tcW w:w="627" w:type="pct"/>
          </w:tcPr>
          <w:p w14:paraId="6FA7C9E2" w14:textId="77777777" w:rsidR="008952DB" w:rsidRPr="00576D15" w:rsidRDefault="008952DB" w:rsidP="002D76C5">
            <w:pPr>
              <w:rPr>
                <w:lang w:val="en-US"/>
              </w:rPr>
            </w:pPr>
            <w:r w:rsidRPr="00576D15">
              <w:rPr>
                <w:lang w:val="en-US"/>
              </w:rPr>
              <w:t>0.13</w:t>
            </w:r>
          </w:p>
        </w:tc>
        <w:tc>
          <w:tcPr>
            <w:tcW w:w="908" w:type="pct"/>
          </w:tcPr>
          <w:p w14:paraId="12F8CBA1" w14:textId="77777777" w:rsidR="008952DB" w:rsidRPr="00576D15" w:rsidRDefault="008952DB" w:rsidP="002D76C5">
            <w:pPr>
              <w:rPr>
                <w:lang w:val="en-US"/>
              </w:rPr>
            </w:pPr>
            <w:r w:rsidRPr="00576D15">
              <w:rPr>
                <w:lang w:val="en-US"/>
              </w:rPr>
              <w:t>4-2019</w:t>
            </w:r>
          </w:p>
        </w:tc>
      </w:tr>
    </w:tbl>
    <w:p w14:paraId="7959C589" w14:textId="77777777" w:rsidR="008952DB" w:rsidRPr="00576D15" w:rsidRDefault="008952DB" w:rsidP="009915D0">
      <w:pPr>
        <w:jc w:val="right"/>
      </w:pPr>
    </w:p>
    <w:p w14:paraId="03FC0618" w14:textId="7D38695C" w:rsidR="008952DB" w:rsidRPr="00576D15" w:rsidRDefault="008952DB" w:rsidP="008952DB">
      <w:pPr>
        <w:rPr>
          <w:lang w:val="en-US"/>
        </w:rPr>
      </w:pPr>
      <w:r w:rsidRPr="00576D15">
        <w:rPr>
          <w:lang w:val="en-US"/>
        </w:rPr>
        <w:t xml:space="preserve">The decision for assays is based on the clinician’s evaluation upon examination of a patient. M=male, F=female, “n.d.” denotes not determined. </w:t>
      </w:r>
      <w:r w:rsidR="00B14FFB" w:rsidRPr="00576D15">
        <w:rPr>
          <w:lang w:val="en-US"/>
        </w:rPr>
        <w:t xml:space="preserve"> Total number</w:t>
      </w:r>
      <w:r w:rsidR="00692D2B" w:rsidRPr="00576D15">
        <w:rPr>
          <w:lang w:val="en-US"/>
        </w:rPr>
        <w:t xml:space="preserve"> of </w:t>
      </w:r>
      <w:r w:rsidR="00B14FFB" w:rsidRPr="00576D15">
        <w:rPr>
          <w:lang w:val="en-US"/>
        </w:rPr>
        <w:t xml:space="preserve">IgE </w:t>
      </w:r>
      <w:r w:rsidR="00692D2B" w:rsidRPr="00576D15">
        <w:rPr>
          <w:lang w:val="en-US"/>
        </w:rPr>
        <w:t xml:space="preserve">assays </w:t>
      </w:r>
      <w:r w:rsidR="00B14FFB" w:rsidRPr="00576D15">
        <w:rPr>
          <w:lang w:val="en-US"/>
        </w:rPr>
        <w:t>represents all atopy studies.</w:t>
      </w:r>
    </w:p>
    <w:p w14:paraId="782EEC26" w14:textId="251E953E" w:rsidR="009915D0" w:rsidRPr="00576D15" w:rsidRDefault="009915D0" w:rsidP="008952DB">
      <w:pPr>
        <w:rPr>
          <w:lang w:val="en-US"/>
        </w:rPr>
      </w:pPr>
      <w:r w:rsidRPr="00576D15">
        <w:rPr>
          <w:lang w:val="en-US"/>
        </w:rPr>
        <w:t xml:space="preserve">Normal </w:t>
      </w:r>
      <w:r w:rsidR="002A6CDC" w:rsidRPr="00576D15">
        <w:rPr>
          <w:lang w:val="en-US"/>
        </w:rPr>
        <w:t>reference value for total IgE is 0-100 kU/</w:t>
      </w:r>
      <w:r w:rsidR="00AC31F8" w:rsidRPr="00576D15">
        <w:rPr>
          <w:lang w:val="en-US"/>
        </w:rPr>
        <w:t>L</w:t>
      </w:r>
      <w:r w:rsidR="002A6CDC" w:rsidRPr="00576D15">
        <w:rPr>
          <w:lang w:val="en-US"/>
        </w:rPr>
        <w:t xml:space="preserve">. For antibiotic specific IgE value for normal </w:t>
      </w:r>
      <w:r w:rsidRPr="00576D15">
        <w:rPr>
          <w:lang w:val="en-US"/>
        </w:rPr>
        <w:t>or negative reference value for all is &lt;0.35 kU/L.</w:t>
      </w:r>
    </w:p>
    <w:p w14:paraId="7DD58DAC" w14:textId="1B932F5D" w:rsidR="00B96D8E" w:rsidRPr="00576D15" w:rsidRDefault="008952DB" w:rsidP="008E644B">
      <w:pPr>
        <w:rPr>
          <w:lang w:val="en-US"/>
        </w:rPr>
      </w:pPr>
      <w:r w:rsidRPr="00576D15">
        <w:rPr>
          <w:lang w:val="en-US"/>
        </w:rPr>
        <w:t>The results represent the population of 251,000 in the Kuopio University Hospital District in Northern Savo province during January 2010 to August 2021.</w:t>
      </w:r>
      <w:r w:rsidRPr="00576D15">
        <w:rPr>
          <w:lang w:val="en-US"/>
        </w:rPr>
        <w:tab/>
      </w:r>
      <w:bookmarkEnd w:id="0"/>
    </w:p>
    <w:sectPr w:rsidR="00B96D8E" w:rsidRPr="00576D15">
      <w:pgSz w:w="11906" w:h="16838"/>
      <w:pgMar w:top="1417" w:right="113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B80854"/>
    <w:multiLevelType w:val="hybridMultilevel"/>
    <w:tmpl w:val="08C83BFE"/>
    <w:lvl w:ilvl="0" w:tplc="040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8500C1"/>
    <w:multiLevelType w:val="hybridMultilevel"/>
    <w:tmpl w:val="DF9292C2"/>
    <w:lvl w:ilvl="0" w:tplc="040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162334"/>
    <w:multiLevelType w:val="hybridMultilevel"/>
    <w:tmpl w:val="3BAA781C"/>
    <w:lvl w:ilvl="0" w:tplc="040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365D1B"/>
    <w:multiLevelType w:val="hybridMultilevel"/>
    <w:tmpl w:val="9D0453B4"/>
    <w:lvl w:ilvl="0" w:tplc="040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i-FI" w:vendorID="64" w:dllVersion="131078" w:nlCheck="1" w:checkStyle="0"/>
  <w:activeWritingStyle w:appName="MSWord" w:lang="en-US" w:vendorID="64" w:dllVersion="131078" w:nlCheck="1" w:checkStyle="1"/>
  <w:proofState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6ED2"/>
    <w:rsid w:val="000019F0"/>
    <w:rsid w:val="000073B9"/>
    <w:rsid w:val="000075E0"/>
    <w:rsid w:val="00014D82"/>
    <w:rsid w:val="0002084C"/>
    <w:rsid w:val="00024F65"/>
    <w:rsid w:val="00030FD9"/>
    <w:rsid w:val="000365EC"/>
    <w:rsid w:val="00037719"/>
    <w:rsid w:val="0004198C"/>
    <w:rsid w:val="00042F34"/>
    <w:rsid w:val="000433D8"/>
    <w:rsid w:val="000474C2"/>
    <w:rsid w:val="00051287"/>
    <w:rsid w:val="000520AC"/>
    <w:rsid w:val="000532BB"/>
    <w:rsid w:val="00054F52"/>
    <w:rsid w:val="00061DAA"/>
    <w:rsid w:val="00061E73"/>
    <w:rsid w:val="0006217C"/>
    <w:rsid w:val="00064253"/>
    <w:rsid w:val="0007075B"/>
    <w:rsid w:val="000709EB"/>
    <w:rsid w:val="00082E21"/>
    <w:rsid w:val="000868F7"/>
    <w:rsid w:val="0009310C"/>
    <w:rsid w:val="000936EC"/>
    <w:rsid w:val="000958A7"/>
    <w:rsid w:val="000A0109"/>
    <w:rsid w:val="000A702F"/>
    <w:rsid w:val="000A7F7F"/>
    <w:rsid w:val="000B546A"/>
    <w:rsid w:val="000B5F85"/>
    <w:rsid w:val="000B696D"/>
    <w:rsid w:val="000B70AF"/>
    <w:rsid w:val="000B76FE"/>
    <w:rsid w:val="000C3608"/>
    <w:rsid w:val="000C7C2A"/>
    <w:rsid w:val="000E042F"/>
    <w:rsid w:val="000E19F8"/>
    <w:rsid w:val="000E42BE"/>
    <w:rsid w:val="000E51C5"/>
    <w:rsid w:val="000F4DC3"/>
    <w:rsid w:val="000F5052"/>
    <w:rsid w:val="000F76BF"/>
    <w:rsid w:val="00105C72"/>
    <w:rsid w:val="00105CA9"/>
    <w:rsid w:val="00110140"/>
    <w:rsid w:val="001147E8"/>
    <w:rsid w:val="00114B5E"/>
    <w:rsid w:val="001261EB"/>
    <w:rsid w:val="00131988"/>
    <w:rsid w:val="00132DAD"/>
    <w:rsid w:val="00135EDD"/>
    <w:rsid w:val="00137DA5"/>
    <w:rsid w:val="00141181"/>
    <w:rsid w:val="00153B67"/>
    <w:rsid w:val="00155C22"/>
    <w:rsid w:val="0016743B"/>
    <w:rsid w:val="001710C3"/>
    <w:rsid w:val="00171EB6"/>
    <w:rsid w:val="0018003D"/>
    <w:rsid w:val="001823BC"/>
    <w:rsid w:val="00182A39"/>
    <w:rsid w:val="00186538"/>
    <w:rsid w:val="00186AB7"/>
    <w:rsid w:val="00191113"/>
    <w:rsid w:val="00193C2C"/>
    <w:rsid w:val="001A0A35"/>
    <w:rsid w:val="001A0AC3"/>
    <w:rsid w:val="001A1ED0"/>
    <w:rsid w:val="001A2A04"/>
    <w:rsid w:val="001A47C5"/>
    <w:rsid w:val="001B5050"/>
    <w:rsid w:val="001B78B9"/>
    <w:rsid w:val="001C4446"/>
    <w:rsid w:val="001C6642"/>
    <w:rsid w:val="001D1B2B"/>
    <w:rsid w:val="001D35EC"/>
    <w:rsid w:val="001D715D"/>
    <w:rsid w:val="001D7B39"/>
    <w:rsid w:val="001E1147"/>
    <w:rsid w:val="001E7F5E"/>
    <w:rsid w:val="001F5171"/>
    <w:rsid w:val="001F536A"/>
    <w:rsid w:val="00202BAE"/>
    <w:rsid w:val="00202D67"/>
    <w:rsid w:val="0020747A"/>
    <w:rsid w:val="002079F3"/>
    <w:rsid w:val="002117E5"/>
    <w:rsid w:val="00212023"/>
    <w:rsid w:val="00212EF7"/>
    <w:rsid w:val="00213830"/>
    <w:rsid w:val="00216D5C"/>
    <w:rsid w:val="0022003C"/>
    <w:rsid w:val="00221BEA"/>
    <w:rsid w:val="0022340A"/>
    <w:rsid w:val="00223BA4"/>
    <w:rsid w:val="00231A7F"/>
    <w:rsid w:val="002328F7"/>
    <w:rsid w:val="00233747"/>
    <w:rsid w:val="0023467E"/>
    <w:rsid w:val="00237E89"/>
    <w:rsid w:val="00246129"/>
    <w:rsid w:val="002462E6"/>
    <w:rsid w:val="00247CFA"/>
    <w:rsid w:val="00257FFB"/>
    <w:rsid w:val="002607B0"/>
    <w:rsid w:val="00261239"/>
    <w:rsid w:val="00262793"/>
    <w:rsid w:val="0026468B"/>
    <w:rsid w:val="002676EE"/>
    <w:rsid w:val="00271064"/>
    <w:rsid w:val="00272A50"/>
    <w:rsid w:val="00275650"/>
    <w:rsid w:val="00275C22"/>
    <w:rsid w:val="00282207"/>
    <w:rsid w:val="00282460"/>
    <w:rsid w:val="00282861"/>
    <w:rsid w:val="00283309"/>
    <w:rsid w:val="00283F75"/>
    <w:rsid w:val="00284765"/>
    <w:rsid w:val="00284C6F"/>
    <w:rsid w:val="0029213E"/>
    <w:rsid w:val="0029761A"/>
    <w:rsid w:val="002A6CDC"/>
    <w:rsid w:val="002B2B6F"/>
    <w:rsid w:val="002B3E71"/>
    <w:rsid w:val="002C4E3D"/>
    <w:rsid w:val="002C6864"/>
    <w:rsid w:val="002D3BC9"/>
    <w:rsid w:val="002E4AAF"/>
    <w:rsid w:val="002E50D0"/>
    <w:rsid w:val="002E6ED3"/>
    <w:rsid w:val="002E6F41"/>
    <w:rsid w:val="002F43F2"/>
    <w:rsid w:val="0030039A"/>
    <w:rsid w:val="00302102"/>
    <w:rsid w:val="003034DD"/>
    <w:rsid w:val="00304DAF"/>
    <w:rsid w:val="00311E4B"/>
    <w:rsid w:val="00313CA1"/>
    <w:rsid w:val="00323673"/>
    <w:rsid w:val="003240EE"/>
    <w:rsid w:val="0032774E"/>
    <w:rsid w:val="00331F0C"/>
    <w:rsid w:val="00341039"/>
    <w:rsid w:val="00346828"/>
    <w:rsid w:val="00350C8F"/>
    <w:rsid w:val="00352AFC"/>
    <w:rsid w:val="00353A7B"/>
    <w:rsid w:val="00354E77"/>
    <w:rsid w:val="003554BE"/>
    <w:rsid w:val="003558C6"/>
    <w:rsid w:val="00357C8B"/>
    <w:rsid w:val="003608D2"/>
    <w:rsid w:val="00362D54"/>
    <w:rsid w:val="00367A04"/>
    <w:rsid w:val="00375021"/>
    <w:rsid w:val="0038236D"/>
    <w:rsid w:val="00383889"/>
    <w:rsid w:val="00384113"/>
    <w:rsid w:val="00390090"/>
    <w:rsid w:val="003918EA"/>
    <w:rsid w:val="00391922"/>
    <w:rsid w:val="003A17FB"/>
    <w:rsid w:val="003A1C15"/>
    <w:rsid w:val="003A3082"/>
    <w:rsid w:val="003B44D8"/>
    <w:rsid w:val="003B7902"/>
    <w:rsid w:val="003C1D85"/>
    <w:rsid w:val="003C3A12"/>
    <w:rsid w:val="003C45FE"/>
    <w:rsid w:val="003C4B70"/>
    <w:rsid w:val="003D4229"/>
    <w:rsid w:val="003D671D"/>
    <w:rsid w:val="003E139E"/>
    <w:rsid w:val="003E2100"/>
    <w:rsid w:val="003E4B92"/>
    <w:rsid w:val="003E53DB"/>
    <w:rsid w:val="003F07BA"/>
    <w:rsid w:val="003F244B"/>
    <w:rsid w:val="003F4540"/>
    <w:rsid w:val="003F4681"/>
    <w:rsid w:val="003F6BDC"/>
    <w:rsid w:val="00406053"/>
    <w:rsid w:val="0040635F"/>
    <w:rsid w:val="00411251"/>
    <w:rsid w:val="00413040"/>
    <w:rsid w:val="004168E8"/>
    <w:rsid w:val="00416E24"/>
    <w:rsid w:val="00436FAF"/>
    <w:rsid w:val="00444551"/>
    <w:rsid w:val="00444B41"/>
    <w:rsid w:val="00451A13"/>
    <w:rsid w:val="0045438A"/>
    <w:rsid w:val="00454C1A"/>
    <w:rsid w:val="004610D4"/>
    <w:rsid w:val="00466330"/>
    <w:rsid w:val="00470041"/>
    <w:rsid w:val="00472896"/>
    <w:rsid w:val="00474F00"/>
    <w:rsid w:val="0048096F"/>
    <w:rsid w:val="00480DA3"/>
    <w:rsid w:val="004900DA"/>
    <w:rsid w:val="0049072B"/>
    <w:rsid w:val="00490B2C"/>
    <w:rsid w:val="00491031"/>
    <w:rsid w:val="00493524"/>
    <w:rsid w:val="00496CDF"/>
    <w:rsid w:val="00496EDE"/>
    <w:rsid w:val="004A4238"/>
    <w:rsid w:val="004B0B75"/>
    <w:rsid w:val="004B0FD3"/>
    <w:rsid w:val="004B687E"/>
    <w:rsid w:val="004C1762"/>
    <w:rsid w:val="004C2232"/>
    <w:rsid w:val="004C3B97"/>
    <w:rsid w:val="004D0EB7"/>
    <w:rsid w:val="004D4635"/>
    <w:rsid w:val="004E0B8B"/>
    <w:rsid w:val="004E4310"/>
    <w:rsid w:val="004F277D"/>
    <w:rsid w:val="004F286F"/>
    <w:rsid w:val="004F5F71"/>
    <w:rsid w:val="004F65FE"/>
    <w:rsid w:val="0050387B"/>
    <w:rsid w:val="005044FC"/>
    <w:rsid w:val="00514312"/>
    <w:rsid w:val="00515C63"/>
    <w:rsid w:val="0052288C"/>
    <w:rsid w:val="005249DF"/>
    <w:rsid w:val="00525866"/>
    <w:rsid w:val="005321DA"/>
    <w:rsid w:val="00536601"/>
    <w:rsid w:val="00536CDB"/>
    <w:rsid w:val="00536ED2"/>
    <w:rsid w:val="005502C7"/>
    <w:rsid w:val="00557FD9"/>
    <w:rsid w:val="005626DD"/>
    <w:rsid w:val="00564E44"/>
    <w:rsid w:val="00576D15"/>
    <w:rsid w:val="005777D7"/>
    <w:rsid w:val="00580063"/>
    <w:rsid w:val="00580B67"/>
    <w:rsid w:val="00583BC3"/>
    <w:rsid w:val="0058455C"/>
    <w:rsid w:val="00586132"/>
    <w:rsid w:val="00587449"/>
    <w:rsid w:val="00597BF3"/>
    <w:rsid w:val="005A1A01"/>
    <w:rsid w:val="005A2731"/>
    <w:rsid w:val="005A5470"/>
    <w:rsid w:val="005B1626"/>
    <w:rsid w:val="005B6A36"/>
    <w:rsid w:val="005C1DCC"/>
    <w:rsid w:val="005C5AD1"/>
    <w:rsid w:val="005C6CCE"/>
    <w:rsid w:val="005D0BDB"/>
    <w:rsid w:val="005D15DA"/>
    <w:rsid w:val="005E00FA"/>
    <w:rsid w:val="005E2C0A"/>
    <w:rsid w:val="005F32F9"/>
    <w:rsid w:val="005F51B3"/>
    <w:rsid w:val="005F52D3"/>
    <w:rsid w:val="005F683F"/>
    <w:rsid w:val="006034D8"/>
    <w:rsid w:val="00606EF5"/>
    <w:rsid w:val="00607DD9"/>
    <w:rsid w:val="006121A6"/>
    <w:rsid w:val="00612782"/>
    <w:rsid w:val="00617497"/>
    <w:rsid w:val="0062328D"/>
    <w:rsid w:val="00623746"/>
    <w:rsid w:val="00623869"/>
    <w:rsid w:val="006303F2"/>
    <w:rsid w:val="00632333"/>
    <w:rsid w:val="00641CFE"/>
    <w:rsid w:val="0064235E"/>
    <w:rsid w:val="006430C6"/>
    <w:rsid w:val="00643420"/>
    <w:rsid w:val="00645280"/>
    <w:rsid w:val="00646ABB"/>
    <w:rsid w:val="006508F1"/>
    <w:rsid w:val="00672F61"/>
    <w:rsid w:val="00676836"/>
    <w:rsid w:val="00676B87"/>
    <w:rsid w:val="00677B0A"/>
    <w:rsid w:val="00680212"/>
    <w:rsid w:val="0068595B"/>
    <w:rsid w:val="0068608B"/>
    <w:rsid w:val="00692C84"/>
    <w:rsid w:val="00692D2B"/>
    <w:rsid w:val="00697D27"/>
    <w:rsid w:val="006A1E7A"/>
    <w:rsid w:val="006A39DF"/>
    <w:rsid w:val="006A5CFE"/>
    <w:rsid w:val="006A7DF5"/>
    <w:rsid w:val="006B0F95"/>
    <w:rsid w:val="006B1988"/>
    <w:rsid w:val="006B3B31"/>
    <w:rsid w:val="006B4991"/>
    <w:rsid w:val="006B5927"/>
    <w:rsid w:val="006C00D4"/>
    <w:rsid w:val="006C1B3D"/>
    <w:rsid w:val="006C3709"/>
    <w:rsid w:val="006C4467"/>
    <w:rsid w:val="006C45A1"/>
    <w:rsid w:val="006D3E69"/>
    <w:rsid w:val="006D69A6"/>
    <w:rsid w:val="006E025A"/>
    <w:rsid w:val="006E31CB"/>
    <w:rsid w:val="006E4B9A"/>
    <w:rsid w:val="006E4E19"/>
    <w:rsid w:val="006F06EC"/>
    <w:rsid w:val="006F0D6E"/>
    <w:rsid w:val="006F24DC"/>
    <w:rsid w:val="006F256D"/>
    <w:rsid w:val="006F5C84"/>
    <w:rsid w:val="006F6685"/>
    <w:rsid w:val="006F7C15"/>
    <w:rsid w:val="00700309"/>
    <w:rsid w:val="00703296"/>
    <w:rsid w:val="00715961"/>
    <w:rsid w:val="007161E1"/>
    <w:rsid w:val="00720A8E"/>
    <w:rsid w:val="00721F42"/>
    <w:rsid w:val="0073432C"/>
    <w:rsid w:val="007452E3"/>
    <w:rsid w:val="00747305"/>
    <w:rsid w:val="007540D0"/>
    <w:rsid w:val="00757D8F"/>
    <w:rsid w:val="00761ECC"/>
    <w:rsid w:val="00762B92"/>
    <w:rsid w:val="0077275B"/>
    <w:rsid w:val="00772F14"/>
    <w:rsid w:val="007820FF"/>
    <w:rsid w:val="007828A0"/>
    <w:rsid w:val="00782CF3"/>
    <w:rsid w:val="0078676C"/>
    <w:rsid w:val="007868D5"/>
    <w:rsid w:val="007913AE"/>
    <w:rsid w:val="00792957"/>
    <w:rsid w:val="00793A8D"/>
    <w:rsid w:val="00794B4B"/>
    <w:rsid w:val="007951AF"/>
    <w:rsid w:val="007963E0"/>
    <w:rsid w:val="007A5074"/>
    <w:rsid w:val="007A7272"/>
    <w:rsid w:val="007B1FE7"/>
    <w:rsid w:val="007B238C"/>
    <w:rsid w:val="007B268D"/>
    <w:rsid w:val="007B699F"/>
    <w:rsid w:val="007C0ACC"/>
    <w:rsid w:val="007C2BB6"/>
    <w:rsid w:val="007C342D"/>
    <w:rsid w:val="007C5425"/>
    <w:rsid w:val="007C5CCB"/>
    <w:rsid w:val="007C7458"/>
    <w:rsid w:val="007D24E6"/>
    <w:rsid w:val="007D2C99"/>
    <w:rsid w:val="007D313D"/>
    <w:rsid w:val="007D4A18"/>
    <w:rsid w:val="007E0F6F"/>
    <w:rsid w:val="00802C7D"/>
    <w:rsid w:val="00805198"/>
    <w:rsid w:val="00810470"/>
    <w:rsid w:val="008125B2"/>
    <w:rsid w:val="00826C75"/>
    <w:rsid w:val="00827C30"/>
    <w:rsid w:val="00830D61"/>
    <w:rsid w:val="0083146D"/>
    <w:rsid w:val="00836F95"/>
    <w:rsid w:val="008440B8"/>
    <w:rsid w:val="0085762E"/>
    <w:rsid w:val="00863119"/>
    <w:rsid w:val="0086507B"/>
    <w:rsid w:val="00865F2D"/>
    <w:rsid w:val="008673EB"/>
    <w:rsid w:val="0087381D"/>
    <w:rsid w:val="008752BC"/>
    <w:rsid w:val="00877A38"/>
    <w:rsid w:val="00882CDD"/>
    <w:rsid w:val="00883C4C"/>
    <w:rsid w:val="0088567A"/>
    <w:rsid w:val="00886292"/>
    <w:rsid w:val="008952DB"/>
    <w:rsid w:val="008A2FE5"/>
    <w:rsid w:val="008A38EA"/>
    <w:rsid w:val="008A4488"/>
    <w:rsid w:val="008A702F"/>
    <w:rsid w:val="008B0CCF"/>
    <w:rsid w:val="008B2735"/>
    <w:rsid w:val="008B649A"/>
    <w:rsid w:val="008B6AF5"/>
    <w:rsid w:val="008B74DE"/>
    <w:rsid w:val="008C5D8B"/>
    <w:rsid w:val="008C6AEA"/>
    <w:rsid w:val="008C7E9B"/>
    <w:rsid w:val="008D0552"/>
    <w:rsid w:val="008E2EC9"/>
    <w:rsid w:val="008E644B"/>
    <w:rsid w:val="008E6641"/>
    <w:rsid w:val="008F2F96"/>
    <w:rsid w:val="008F478F"/>
    <w:rsid w:val="008F502C"/>
    <w:rsid w:val="00900044"/>
    <w:rsid w:val="00901817"/>
    <w:rsid w:val="00905430"/>
    <w:rsid w:val="009102F7"/>
    <w:rsid w:val="009122B1"/>
    <w:rsid w:val="00912FA4"/>
    <w:rsid w:val="00914FEF"/>
    <w:rsid w:val="00922AA3"/>
    <w:rsid w:val="009252FC"/>
    <w:rsid w:val="00925DD1"/>
    <w:rsid w:val="00925E52"/>
    <w:rsid w:val="00926DC6"/>
    <w:rsid w:val="00927494"/>
    <w:rsid w:val="00940A16"/>
    <w:rsid w:val="00940F23"/>
    <w:rsid w:val="00941333"/>
    <w:rsid w:val="00941C48"/>
    <w:rsid w:val="009420F7"/>
    <w:rsid w:val="009472CC"/>
    <w:rsid w:val="0095135A"/>
    <w:rsid w:val="00951C93"/>
    <w:rsid w:val="009579B7"/>
    <w:rsid w:val="009604DA"/>
    <w:rsid w:val="0096244A"/>
    <w:rsid w:val="0096417E"/>
    <w:rsid w:val="00964DB5"/>
    <w:rsid w:val="00970D5A"/>
    <w:rsid w:val="009710FB"/>
    <w:rsid w:val="0097449F"/>
    <w:rsid w:val="009830D3"/>
    <w:rsid w:val="00983D81"/>
    <w:rsid w:val="009915D0"/>
    <w:rsid w:val="00991946"/>
    <w:rsid w:val="00991B4D"/>
    <w:rsid w:val="00992887"/>
    <w:rsid w:val="00992915"/>
    <w:rsid w:val="009A17CD"/>
    <w:rsid w:val="009A714B"/>
    <w:rsid w:val="009B0F8C"/>
    <w:rsid w:val="009B3E91"/>
    <w:rsid w:val="009B740D"/>
    <w:rsid w:val="009C03AA"/>
    <w:rsid w:val="009C6AB7"/>
    <w:rsid w:val="009D20FE"/>
    <w:rsid w:val="009D2916"/>
    <w:rsid w:val="009D32AF"/>
    <w:rsid w:val="009D587C"/>
    <w:rsid w:val="009D6FC4"/>
    <w:rsid w:val="009D75CC"/>
    <w:rsid w:val="009E3866"/>
    <w:rsid w:val="009E56E6"/>
    <w:rsid w:val="009E7565"/>
    <w:rsid w:val="009F2140"/>
    <w:rsid w:val="009F2362"/>
    <w:rsid w:val="009F2DBC"/>
    <w:rsid w:val="009F2E5F"/>
    <w:rsid w:val="009F3CBB"/>
    <w:rsid w:val="009F57A5"/>
    <w:rsid w:val="009F7F58"/>
    <w:rsid w:val="00A06F80"/>
    <w:rsid w:val="00A13805"/>
    <w:rsid w:val="00A153C0"/>
    <w:rsid w:val="00A23FC3"/>
    <w:rsid w:val="00A25163"/>
    <w:rsid w:val="00A3539C"/>
    <w:rsid w:val="00A41084"/>
    <w:rsid w:val="00A448C5"/>
    <w:rsid w:val="00A45B24"/>
    <w:rsid w:val="00A5010E"/>
    <w:rsid w:val="00A51976"/>
    <w:rsid w:val="00A53E48"/>
    <w:rsid w:val="00A600D8"/>
    <w:rsid w:val="00A61F5B"/>
    <w:rsid w:val="00A6528C"/>
    <w:rsid w:val="00A7375C"/>
    <w:rsid w:val="00A7391A"/>
    <w:rsid w:val="00A74529"/>
    <w:rsid w:val="00A771E5"/>
    <w:rsid w:val="00A80DF5"/>
    <w:rsid w:val="00A83115"/>
    <w:rsid w:val="00A83969"/>
    <w:rsid w:val="00A86099"/>
    <w:rsid w:val="00A90D33"/>
    <w:rsid w:val="00A93C1E"/>
    <w:rsid w:val="00A94B20"/>
    <w:rsid w:val="00AA1493"/>
    <w:rsid w:val="00AA3506"/>
    <w:rsid w:val="00AA4436"/>
    <w:rsid w:val="00AA49B7"/>
    <w:rsid w:val="00AA61F4"/>
    <w:rsid w:val="00AB1A21"/>
    <w:rsid w:val="00AB41BC"/>
    <w:rsid w:val="00AB61B3"/>
    <w:rsid w:val="00AC0D8E"/>
    <w:rsid w:val="00AC31F8"/>
    <w:rsid w:val="00AC7823"/>
    <w:rsid w:val="00AD0A8D"/>
    <w:rsid w:val="00AD17AA"/>
    <w:rsid w:val="00AD31BC"/>
    <w:rsid w:val="00AD4A68"/>
    <w:rsid w:val="00AD4CA4"/>
    <w:rsid w:val="00AD5224"/>
    <w:rsid w:val="00AD6A35"/>
    <w:rsid w:val="00AE22D2"/>
    <w:rsid w:val="00AE2889"/>
    <w:rsid w:val="00AE3905"/>
    <w:rsid w:val="00AE4399"/>
    <w:rsid w:val="00AE4624"/>
    <w:rsid w:val="00AE6774"/>
    <w:rsid w:val="00AE6F40"/>
    <w:rsid w:val="00AF271A"/>
    <w:rsid w:val="00AF2A1E"/>
    <w:rsid w:val="00AF7731"/>
    <w:rsid w:val="00B04940"/>
    <w:rsid w:val="00B06DD8"/>
    <w:rsid w:val="00B108C8"/>
    <w:rsid w:val="00B11981"/>
    <w:rsid w:val="00B11A3A"/>
    <w:rsid w:val="00B12763"/>
    <w:rsid w:val="00B13DD3"/>
    <w:rsid w:val="00B14FFB"/>
    <w:rsid w:val="00B15377"/>
    <w:rsid w:val="00B2227B"/>
    <w:rsid w:val="00B229C1"/>
    <w:rsid w:val="00B251D7"/>
    <w:rsid w:val="00B25ABD"/>
    <w:rsid w:val="00B26B2A"/>
    <w:rsid w:val="00B31366"/>
    <w:rsid w:val="00B32C5C"/>
    <w:rsid w:val="00B33672"/>
    <w:rsid w:val="00B36BA4"/>
    <w:rsid w:val="00B37E4C"/>
    <w:rsid w:val="00B4695E"/>
    <w:rsid w:val="00B46E1C"/>
    <w:rsid w:val="00B46F23"/>
    <w:rsid w:val="00B505A9"/>
    <w:rsid w:val="00B511CF"/>
    <w:rsid w:val="00B53253"/>
    <w:rsid w:val="00B554C7"/>
    <w:rsid w:val="00B57183"/>
    <w:rsid w:val="00B65771"/>
    <w:rsid w:val="00B678C2"/>
    <w:rsid w:val="00B70C7C"/>
    <w:rsid w:val="00B774A2"/>
    <w:rsid w:val="00B801E2"/>
    <w:rsid w:val="00B82303"/>
    <w:rsid w:val="00B842DC"/>
    <w:rsid w:val="00B941E7"/>
    <w:rsid w:val="00B94E40"/>
    <w:rsid w:val="00B96D8E"/>
    <w:rsid w:val="00BA1096"/>
    <w:rsid w:val="00BA193D"/>
    <w:rsid w:val="00BA22BD"/>
    <w:rsid w:val="00BA6BA2"/>
    <w:rsid w:val="00BA734B"/>
    <w:rsid w:val="00BA7717"/>
    <w:rsid w:val="00BB11B2"/>
    <w:rsid w:val="00BB15CE"/>
    <w:rsid w:val="00BB28A5"/>
    <w:rsid w:val="00BB2B93"/>
    <w:rsid w:val="00BB3D74"/>
    <w:rsid w:val="00BB4040"/>
    <w:rsid w:val="00BB7479"/>
    <w:rsid w:val="00BB7DF2"/>
    <w:rsid w:val="00BC13C0"/>
    <w:rsid w:val="00BC170E"/>
    <w:rsid w:val="00BC1B9C"/>
    <w:rsid w:val="00BC2D93"/>
    <w:rsid w:val="00BC4E24"/>
    <w:rsid w:val="00BC51D1"/>
    <w:rsid w:val="00BD4F85"/>
    <w:rsid w:val="00BD513C"/>
    <w:rsid w:val="00BD7DCE"/>
    <w:rsid w:val="00BE00D9"/>
    <w:rsid w:val="00BF3530"/>
    <w:rsid w:val="00BF5346"/>
    <w:rsid w:val="00BF7F06"/>
    <w:rsid w:val="00C01436"/>
    <w:rsid w:val="00C0595F"/>
    <w:rsid w:val="00C06540"/>
    <w:rsid w:val="00C11CFA"/>
    <w:rsid w:val="00C16934"/>
    <w:rsid w:val="00C20578"/>
    <w:rsid w:val="00C207E3"/>
    <w:rsid w:val="00C24BA5"/>
    <w:rsid w:val="00C2586C"/>
    <w:rsid w:val="00C34717"/>
    <w:rsid w:val="00C4309C"/>
    <w:rsid w:val="00C504DB"/>
    <w:rsid w:val="00C53A2C"/>
    <w:rsid w:val="00C55D02"/>
    <w:rsid w:val="00C67310"/>
    <w:rsid w:val="00C7472B"/>
    <w:rsid w:val="00C81019"/>
    <w:rsid w:val="00C811A9"/>
    <w:rsid w:val="00C8487B"/>
    <w:rsid w:val="00C84E32"/>
    <w:rsid w:val="00C875A3"/>
    <w:rsid w:val="00C90C73"/>
    <w:rsid w:val="00C96CE6"/>
    <w:rsid w:val="00CA2E8D"/>
    <w:rsid w:val="00CA549C"/>
    <w:rsid w:val="00CA60B1"/>
    <w:rsid w:val="00CA70F6"/>
    <w:rsid w:val="00CB167B"/>
    <w:rsid w:val="00CB2B63"/>
    <w:rsid w:val="00CB4F9C"/>
    <w:rsid w:val="00CB57FB"/>
    <w:rsid w:val="00CB587D"/>
    <w:rsid w:val="00CB7BA3"/>
    <w:rsid w:val="00CD1209"/>
    <w:rsid w:val="00CD4B11"/>
    <w:rsid w:val="00CE11E7"/>
    <w:rsid w:val="00CE400C"/>
    <w:rsid w:val="00CE5376"/>
    <w:rsid w:val="00CF0C36"/>
    <w:rsid w:val="00D0211D"/>
    <w:rsid w:val="00D02BC8"/>
    <w:rsid w:val="00D06A42"/>
    <w:rsid w:val="00D13CB1"/>
    <w:rsid w:val="00D24E02"/>
    <w:rsid w:val="00D40843"/>
    <w:rsid w:val="00D409BF"/>
    <w:rsid w:val="00D41695"/>
    <w:rsid w:val="00D41E48"/>
    <w:rsid w:val="00D43181"/>
    <w:rsid w:val="00D438CB"/>
    <w:rsid w:val="00D46C94"/>
    <w:rsid w:val="00D503F5"/>
    <w:rsid w:val="00D50D9E"/>
    <w:rsid w:val="00D53F32"/>
    <w:rsid w:val="00D574F9"/>
    <w:rsid w:val="00D705B2"/>
    <w:rsid w:val="00D7158F"/>
    <w:rsid w:val="00D71C7B"/>
    <w:rsid w:val="00D739F9"/>
    <w:rsid w:val="00D7474F"/>
    <w:rsid w:val="00D76311"/>
    <w:rsid w:val="00D81AE1"/>
    <w:rsid w:val="00D82EA6"/>
    <w:rsid w:val="00D84ECD"/>
    <w:rsid w:val="00D863A6"/>
    <w:rsid w:val="00D94172"/>
    <w:rsid w:val="00DA09CA"/>
    <w:rsid w:val="00DA4B0C"/>
    <w:rsid w:val="00DA772B"/>
    <w:rsid w:val="00DA7D84"/>
    <w:rsid w:val="00DB1952"/>
    <w:rsid w:val="00DB3589"/>
    <w:rsid w:val="00DB51CF"/>
    <w:rsid w:val="00DB72A6"/>
    <w:rsid w:val="00DC26C2"/>
    <w:rsid w:val="00DC3338"/>
    <w:rsid w:val="00DC53FD"/>
    <w:rsid w:val="00DD0C6D"/>
    <w:rsid w:val="00DD25A2"/>
    <w:rsid w:val="00DD27EE"/>
    <w:rsid w:val="00DD4FB7"/>
    <w:rsid w:val="00DD66F1"/>
    <w:rsid w:val="00DF5DBD"/>
    <w:rsid w:val="00E05ACA"/>
    <w:rsid w:val="00E0695E"/>
    <w:rsid w:val="00E0721B"/>
    <w:rsid w:val="00E13827"/>
    <w:rsid w:val="00E13FFD"/>
    <w:rsid w:val="00E14BB8"/>
    <w:rsid w:val="00E14C93"/>
    <w:rsid w:val="00E15101"/>
    <w:rsid w:val="00E278CB"/>
    <w:rsid w:val="00E27A7B"/>
    <w:rsid w:val="00E33ED5"/>
    <w:rsid w:val="00E4192F"/>
    <w:rsid w:val="00E429D7"/>
    <w:rsid w:val="00E4467D"/>
    <w:rsid w:val="00E54014"/>
    <w:rsid w:val="00E54CB3"/>
    <w:rsid w:val="00E5797E"/>
    <w:rsid w:val="00E62E6D"/>
    <w:rsid w:val="00E6321F"/>
    <w:rsid w:val="00E66C28"/>
    <w:rsid w:val="00E777BC"/>
    <w:rsid w:val="00E8216A"/>
    <w:rsid w:val="00E874BD"/>
    <w:rsid w:val="00E9091B"/>
    <w:rsid w:val="00E949A5"/>
    <w:rsid w:val="00EA0E69"/>
    <w:rsid w:val="00EA1ED1"/>
    <w:rsid w:val="00EA2212"/>
    <w:rsid w:val="00EA3759"/>
    <w:rsid w:val="00EA62ED"/>
    <w:rsid w:val="00EB4783"/>
    <w:rsid w:val="00EC1788"/>
    <w:rsid w:val="00EC400E"/>
    <w:rsid w:val="00EC400F"/>
    <w:rsid w:val="00ED132F"/>
    <w:rsid w:val="00ED2E3B"/>
    <w:rsid w:val="00ED547D"/>
    <w:rsid w:val="00EF0178"/>
    <w:rsid w:val="00EF1C70"/>
    <w:rsid w:val="00EF3A6B"/>
    <w:rsid w:val="00EF64F6"/>
    <w:rsid w:val="00EF7482"/>
    <w:rsid w:val="00EF7940"/>
    <w:rsid w:val="00F017B8"/>
    <w:rsid w:val="00F04BC4"/>
    <w:rsid w:val="00F238D3"/>
    <w:rsid w:val="00F24DFA"/>
    <w:rsid w:val="00F308FC"/>
    <w:rsid w:val="00F3115E"/>
    <w:rsid w:val="00F32B75"/>
    <w:rsid w:val="00F428DA"/>
    <w:rsid w:val="00F474AA"/>
    <w:rsid w:val="00F508DA"/>
    <w:rsid w:val="00F5280D"/>
    <w:rsid w:val="00F56C4E"/>
    <w:rsid w:val="00F56F6B"/>
    <w:rsid w:val="00F604FF"/>
    <w:rsid w:val="00F650AC"/>
    <w:rsid w:val="00F678D6"/>
    <w:rsid w:val="00F754EE"/>
    <w:rsid w:val="00F82CA0"/>
    <w:rsid w:val="00F857DB"/>
    <w:rsid w:val="00F933E2"/>
    <w:rsid w:val="00F95F0B"/>
    <w:rsid w:val="00FB251A"/>
    <w:rsid w:val="00FB2D84"/>
    <w:rsid w:val="00FB7013"/>
    <w:rsid w:val="00FB7413"/>
    <w:rsid w:val="00FC1784"/>
    <w:rsid w:val="00FC74CD"/>
    <w:rsid w:val="00FD0E1B"/>
    <w:rsid w:val="00FD1041"/>
    <w:rsid w:val="00FD3AC8"/>
    <w:rsid w:val="00FD6702"/>
    <w:rsid w:val="00FD770D"/>
    <w:rsid w:val="00FE02E8"/>
    <w:rsid w:val="00FE29B3"/>
    <w:rsid w:val="00FE745B"/>
    <w:rsid w:val="00FF1EF0"/>
    <w:rsid w:val="00FF65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7C72E7"/>
  <w15:chartTrackingRefBased/>
  <w15:docId w15:val="{FE74935A-5FE1-45A4-88C3-D3AD1C7C9D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i">
    <w:name w:val="Normal"/>
    <w:qFormat/>
    <w:rsid w:val="006C4467"/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character" w:styleId="Kommentinviite">
    <w:name w:val="annotation reference"/>
    <w:basedOn w:val="Kappaleenoletusfontti"/>
    <w:uiPriority w:val="99"/>
    <w:semiHidden/>
    <w:unhideWhenUsed/>
    <w:rsid w:val="00C207E3"/>
    <w:rPr>
      <w:sz w:val="16"/>
      <w:szCs w:val="16"/>
    </w:rPr>
  </w:style>
  <w:style w:type="paragraph" w:styleId="Kommentinteksti">
    <w:name w:val="annotation text"/>
    <w:basedOn w:val="Normaali"/>
    <w:link w:val="KommentintekstiChar"/>
    <w:uiPriority w:val="99"/>
    <w:semiHidden/>
    <w:unhideWhenUsed/>
    <w:rsid w:val="00C207E3"/>
    <w:pPr>
      <w:spacing w:line="240" w:lineRule="auto"/>
    </w:pPr>
    <w:rPr>
      <w:sz w:val="20"/>
      <w:szCs w:val="20"/>
    </w:rPr>
  </w:style>
  <w:style w:type="character" w:customStyle="1" w:styleId="KommentintekstiChar">
    <w:name w:val="Kommentin teksti Char"/>
    <w:basedOn w:val="Kappaleenoletusfontti"/>
    <w:link w:val="Kommentinteksti"/>
    <w:uiPriority w:val="99"/>
    <w:semiHidden/>
    <w:rsid w:val="00C207E3"/>
    <w:rPr>
      <w:sz w:val="20"/>
      <w:szCs w:val="20"/>
    </w:rPr>
  </w:style>
  <w:style w:type="paragraph" w:styleId="Kommentinotsikko">
    <w:name w:val="annotation subject"/>
    <w:basedOn w:val="Kommentinteksti"/>
    <w:next w:val="Kommentinteksti"/>
    <w:link w:val="KommentinotsikkoChar"/>
    <w:uiPriority w:val="99"/>
    <w:semiHidden/>
    <w:unhideWhenUsed/>
    <w:rsid w:val="00C207E3"/>
    <w:rPr>
      <w:b/>
      <w:bCs/>
    </w:rPr>
  </w:style>
  <w:style w:type="character" w:customStyle="1" w:styleId="KommentinotsikkoChar">
    <w:name w:val="Kommentin otsikko Char"/>
    <w:basedOn w:val="KommentintekstiChar"/>
    <w:link w:val="Kommentinotsikko"/>
    <w:uiPriority w:val="99"/>
    <w:semiHidden/>
    <w:rsid w:val="00C207E3"/>
    <w:rPr>
      <w:b/>
      <w:bCs/>
      <w:sz w:val="20"/>
      <w:szCs w:val="20"/>
    </w:rPr>
  </w:style>
  <w:style w:type="paragraph" w:styleId="Seliteteksti">
    <w:name w:val="Balloon Text"/>
    <w:basedOn w:val="Normaali"/>
    <w:link w:val="SelitetekstiChar"/>
    <w:uiPriority w:val="99"/>
    <w:semiHidden/>
    <w:unhideWhenUsed/>
    <w:rsid w:val="00C207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elitetekstiChar">
    <w:name w:val="Seliteteksti Char"/>
    <w:basedOn w:val="Kappaleenoletusfontti"/>
    <w:link w:val="Seliteteksti"/>
    <w:uiPriority w:val="99"/>
    <w:semiHidden/>
    <w:rsid w:val="00C207E3"/>
    <w:rPr>
      <w:rFonts w:ascii="Segoe UI" w:hAnsi="Segoe UI" w:cs="Segoe UI"/>
      <w:sz w:val="18"/>
      <w:szCs w:val="18"/>
    </w:rPr>
  </w:style>
  <w:style w:type="character" w:styleId="Hyperlinkki">
    <w:name w:val="Hyperlink"/>
    <w:basedOn w:val="Kappaleenoletusfontti"/>
    <w:uiPriority w:val="99"/>
    <w:unhideWhenUsed/>
    <w:rsid w:val="00E874BD"/>
    <w:rPr>
      <w:color w:val="0563C1" w:themeColor="hyperlink"/>
      <w:u w:val="single"/>
    </w:rPr>
  </w:style>
  <w:style w:type="paragraph" w:styleId="Luettelokappale">
    <w:name w:val="List Paragraph"/>
    <w:basedOn w:val="Normaali"/>
    <w:uiPriority w:val="34"/>
    <w:qFormat/>
    <w:rsid w:val="00DC26C2"/>
    <w:pPr>
      <w:ind w:left="720"/>
      <w:contextualSpacing/>
    </w:pPr>
  </w:style>
  <w:style w:type="character" w:styleId="AvattuHyperlinkki">
    <w:name w:val="FollowedHyperlink"/>
    <w:basedOn w:val="Kappaleenoletusfontti"/>
    <w:uiPriority w:val="99"/>
    <w:semiHidden/>
    <w:unhideWhenUsed/>
    <w:rsid w:val="0022340A"/>
    <w:rPr>
      <w:color w:val="954F72" w:themeColor="followedHyperlink"/>
      <w:u w:val="single"/>
    </w:rPr>
  </w:style>
  <w:style w:type="table" w:styleId="TaulukkoRuudukko">
    <w:name w:val="Table Grid"/>
    <w:basedOn w:val="Normaalitaulukko"/>
    <w:uiPriority w:val="39"/>
    <w:rsid w:val="008952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220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unmc.edu/intmed/divisions/id/asp/clinical-pathways/docs/penicillin-allergy-guidance.pdf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5148F8-9D3E-4D4E-8461-7F88603FD0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6</Pages>
  <Words>1792</Words>
  <Characters>14522</Characters>
  <Application>Microsoft Office Word</Application>
  <DocSecurity>0</DocSecurity>
  <Lines>121</Lines>
  <Paragraphs>32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Company>Istekki Oy</Company>
  <LinksUpToDate>false</LinksUpToDate>
  <CharactersWithSpaces>16282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Harvima Rauno</dc:creator>
  <cp:keywords/>
  <dc:description/>
  <cp:lastModifiedBy>Harvima Rauno</cp:lastModifiedBy>
  <cp:revision>93</cp:revision>
  <cp:lastPrinted>2021-09-16T14:10:00Z</cp:lastPrinted>
  <dcterms:created xsi:type="dcterms:W3CDTF">2021-09-20T12:04:00Z</dcterms:created>
  <dcterms:modified xsi:type="dcterms:W3CDTF">2021-09-23T18:42:00Z</dcterms:modified>
</cp:coreProperties>
</file>